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adjustRightInd w:val="0"/>
        <w:snapToGrid w:val="0"/>
        <w:jc w:val="center"/>
        <w:outlineLvl w:val="0"/>
        <w:rPr>
          <w:rFonts w:hint="default" w:ascii="Times New Roman" w:hAnsi="Times New Roman" w:eastAsia="宋体" w:cs="Times New Roman"/>
          <w:bCs/>
          <w:sz w:val="72"/>
          <w:szCs w:val="72"/>
        </w:rPr>
      </w:pPr>
      <w:bookmarkStart w:id="0" w:name="_Toc13518"/>
      <w:bookmarkStart w:id="1" w:name="_Toc3130"/>
      <w:r>
        <w:rPr>
          <w:rFonts w:hint="default" w:ascii="Times New Roman" w:hAnsi="Times New Roman" w:eastAsia="宋体" w:cs="Times New Roman"/>
          <w:bCs/>
          <w:sz w:val="72"/>
          <w:szCs w:val="72"/>
        </w:rPr>
        <w:t>建设项目环境影响报告表</w:t>
      </w:r>
      <w:bookmarkEnd w:id="0"/>
      <w:bookmarkEnd w:id="1"/>
    </w:p>
    <w:p>
      <w:pPr>
        <w:adjustRightInd w:val="0"/>
        <w:snapToGrid w:val="0"/>
        <w:jc w:val="center"/>
        <w:rPr>
          <w:rFonts w:hint="default" w:ascii="Times New Roman" w:hAnsi="Times New Roman" w:eastAsia="宋体" w:cs="Times New Roman"/>
          <w:bCs/>
          <w:sz w:val="48"/>
          <w:szCs w:val="48"/>
        </w:rPr>
      </w:pPr>
      <w:r>
        <w:rPr>
          <w:rFonts w:hint="default" w:ascii="Times New Roman" w:hAnsi="Times New Roman" w:eastAsia="宋体" w:cs="Times New Roman"/>
          <w:bCs/>
          <w:sz w:val="48"/>
          <w:szCs w:val="48"/>
        </w:rPr>
        <w:t>（污染影响类）</w:t>
      </w: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ind w:firstLine="1040"/>
        <w:rPr>
          <w:rFonts w:hint="default" w:ascii="Times New Roman" w:hAnsi="Times New Roman" w:eastAsia="宋体" w:cs="Times New Roman"/>
          <w:sz w:val="44"/>
          <w:szCs w:val="44"/>
        </w:rPr>
      </w:pPr>
    </w:p>
    <w:p>
      <w:pPr>
        <w:pStyle w:val="2"/>
        <w:rPr>
          <w:rFonts w:hint="default" w:ascii="Times New Roman" w:hAnsi="Times New Roman" w:eastAsia="宋体" w:cs="Times New Roman"/>
          <w:sz w:val="44"/>
          <w:szCs w:val="44"/>
        </w:rPr>
      </w:pPr>
    </w:p>
    <w:p>
      <w:pPr>
        <w:rPr>
          <w:rFonts w:hint="default" w:ascii="Times New Roman" w:hAnsi="Times New Roman" w:eastAsia="宋体" w:cs="Times New Roman"/>
          <w:sz w:val="44"/>
          <w:szCs w:val="44"/>
        </w:rPr>
      </w:pPr>
    </w:p>
    <w:p>
      <w:pPr>
        <w:pStyle w:val="2"/>
        <w:rPr>
          <w:rFonts w:hint="default" w:ascii="Times New Roman" w:hAnsi="Times New Roman" w:eastAsia="宋体" w:cs="Times New Roman"/>
        </w:rPr>
      </w:pPr>
    </w:p>
    <w:p>
      <w:pPr>
        <w:ind w:firstLine="1040"/>
        <w:rPr>
          <w:rFonts w:hint="default" w:ascii="Times New Roman" w:hAnsi="Times New Roman" w:eastAsia="宋体" w:cs="Times New Roman"/>
          <w:sz w:val="44"/>
          <w:szCs w:val="44"/>
        </w:rPr>
      </w:pPr>
    </w:p>
    <w:p>
      <w:pPr>
        <w:ind w:firstLine="1040"/>
        <w:rPr>
          <w:rFonts w:hint="default" w:ascii="Times New Roman" w:hAnsi="Times New Roman" w:eastAsia="宋体" w:cs="Times New Roman"/>
          <w:sz w:val="44"/>
          <w:szCs w:val="44"/>
        </w:rPr>
      </w:pPr>
    </w:p>
    <w:p>
      <w:pPr>
        <w:adjustRightInd w:val="0"/>
        <w:snapToGrid w:val="0"/>
        <w:spacing w:line="288" w:lineRule="auto"/>
        <w:ind w:firstLine="720" w:firstLineChars="200"/>
        <w:rPr>
          <w:rFonts w:hint="default" w:ascii="Times New Roman" w:hAnsi="Times New Roman" w:eastAsia="宋体" w:cs="Times New Roman"/>
          <w:sz w:val="36"/>
          <w:szCs w:val="36"/>
          <w:u w:val="single"/>
          <w:lang w:eastAsia="zh-CN"/>
        </w:rPr>
      </w:pPr>
      <w:r>
        <w:rPr>
          <w:rFonts w:hint="default" w:ascii="Times New Roman" w:hAnsi="Times New Roman" w:eastAsia="宋体" w:cs="Times New Roman"/>
          <w:sz w:val="36"/>
          <w:szCs w:val="36"/>
        </w:rPr>
        <w:t>项目名称：</w:t>
      </w:r>
      <w:r>
        <w:rPr>
          <w:rFonts w:hint="default" w:ascii="Times New Roman" w:hAnsi="Times New Roman" w:eastAsia="宋体" w:cs="Times New Roman"/>
          <w:sz w:val="36"/>
          <w:szCs w:val="36"/>
          <w:u w:val="single"/>
          <w:lang w:eastAsia="zh-CN"/>
        </w:rPr>
        <w:t>年产1.5万吨造纸添加剂项目</w:t>
      </w:r>
    </w:p>
    <w:p>
      <w:pPr>
        <w:adjustRightInd w:val="0"/>
        <w:snapToGrid w:val="0"/>
        <w:spacing w:line="288" w:lineRule="auto"/>
        <w:ind w:left="2833" w:leftChars="835" w:hanging="1080" w:hangingChars="300"/>
        <w:rPr>
          <w:rFonts w:hint="default" w:ascii="Times New Roman" w:hAnsi="Times New Roman" w:eastAsia="宋体" w:cs="Times New Roman"/>
          <w:sz w:val="36"/>
          <w:szCs w:val="36"/>
          <w:u w:val="single"/>
        </w:rPr>
      </w:pPr>
    </w:p>
    <w:p>
      <w:pPr>
        <w:adjustRightInd w:val="0"/>
        <w:snapToGrid w:val="0"/>
        <w:spacing w:line="288" w:lineRule="auto"/>
        <w:ind w:firstLine="720" w:firstLineChars="200"/>
        <w:rPr>
          <w:rFonts w:hint="default" w:ascii="Times New Roman" w:hAnsi="Times New Roman" w:eastAsia="宋体" w:cs="Times New Roman"/>
          <w:sz w:val="36"/>
          <w:szCs w:val="36"/>
          <w:u w:val="single"/>
          <w:lang w:eastAsia="zh-CN"/>
        </w:rPr>
      </w:pPr>
      <w:r>
        <w:rPr>
          <w:rFonts w:hint="default" w:ascii="Times New Roman" w:hAnsi="Times New Roman" w:eastAsia="宋体" w:cs="Times New Roman"/>
          <w:sz w:val="36"/>
          <w:szCs w:val="36"/>
        </w:rPr>
        <w:t>建设单位（盖章）：</w:t>
      </w:r>
      <w:r>
        <w:rPr>
          <w:rFonts w:hint="default" w:ascii="Times New Roman" w:hAnsi="Times New Roman" w:eastAsia="宋体" w:cs="Times New Roman"/>
          <w:sz w:val="36"/>
          <w:szCs w:val="36"/>
          <w:u w:val="single"/>
          <w:lang w:eastAsia="zh-CN"/>
        </w:rPr>
        <w:t>云南爱瑞新型材料科技有限公司</w:t>
      </w:r>
    </w:p>
    <w:p>
      <w:pPr>
        <w:adjustRightInd w:val="0"/>
        <w:snapToGrid w:val="0"/>
        <w:spacing w:line="288" w:lineRule="auto"/>
        <w:ind w:left="2835" w:leftChars="493" w:hanging="1800" w:hangingChars="500"/>
        <w:rPr>
          <w:rFonts w:hint="default" w:ascii="Times New Roman" w:hAnsi="Times New Roman" w:eastAsia="宋体" w:cs="Times New Roman"/>
          <w:sz w:val="36"/>
          <w:szCs w:val="36"/>
        </w:rPr>
      </w:pPr>
    </w:p>
    <w:p>
      <w:pPr>
        <w:adjustRightInd w:val="0"/>
        <w:snapToGrid w:val="0"/>
        <w:spacing w:line="288" w:lineRule="auto"/>
        <w:ind w:firstLine="1800" w:firstLineChars="5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t>编制日期：</w:t>
      </w:r>
      <w:r>
        <w:rPr>
          <w:rFonts w:hint="default" w:ascii="Times New Roman" w:hAnsi="Times New Roman" w:eastAsia="宋体" w:cs="Times New Roman"/>
          <w:sz w:val="36"/>
          <w:szCs w:val="36"/>
          <w:u w:val="single"/>
        </w:rPr>
        <w:t xml:space="preserve"> 2022年</w:t>
      </w:r>
      <w:r>
        <w:rPr>
          <w:rFonts w:hint="default" w:ascii="Times New Roman" w:hAnsi="Times New Roman" w:eastAsia="宋体" w:cs="Times New Roman"/>
          <w:sz w:val="36"/>
          <w:szCs w:val="36"/>
          <w:u w:val="single"/>
          <w:lang w:val="en-US" w:eastAsia="zh-CN"/>
        </w:rPr>
        <w:t>11</w:t>
      </w:r>
      <w:r>
        <w:rPr>
          <w:rFonts w:hint="default" w:ascii="Times New Roman" w:hAnsi="Times New Roman" w:eastAsia="宋体" w:cs="Times New Roman"/>
          <w:sz w:val="36"/>
          <w:szCs w:val="36"/>
          <w:u w:val="single"/>
        </w:rPr>
        <w:t xml:space="preserve">月  </w:t>
      </w: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pStyle w:val="2"/>
        <w:rPr>
          <w:rFonts w:hint="default" w:ascii="Times New Roman" w:hAnsi="Times New Roman" w:eastAsia="宋体" w:cs="Times New Roman"/>
          <w:sz w:val="21"/>
        </w:rPr>
      </w:pPr>
    </w:p>
    <w:p>
      <w:pPr>
        <w:rPr>
          <w:rFonts w:hint="default" w:ascii="Times New Roman" w:hAnsi="Times New Roman" w:eastAsia="宋体" w:cs="Times New Roman"/>
        </w:rPr>
      </w:pPr>
    </w:p>
    <w:p>
      <w:pPr>
        <w:pStyle w:val="2"/>
        <w:rPr>
          <w:rFonts w:hint="default" w:ascii="Times New Roman" w:hAnsi="Times New Roman" w:eastAsia="宋体" w:cs="Times New Roman"/>
          <w:sz w:val="21"/>
        </w:rPr>
      </w:pPr>
    </w:p>
    <w:p>
      <w:pPr>
        <w:rPr>
          <w:rFonts w:hint="default" w:ascii="Times New Roman" w:hAnsi="Times New Roman" w:eastAsia="宋体" w:cs="Times New Roman"/>
        </w:rPr>
      </w:pPr>
    </w:p>
    <w:p>
      <w:pPr>
        <w:pStyle w:val="2"/>
        <w:rPr>
          <w:rFonts w:hint="default" w:ascii="Times New Roman" w:hAnsi="Times New Roman" w:eastAsia="宋体" w:cs="Times New Roman"/>
        </w:rPr>
      </w:pPr>
    </w:p>
    <w:p>
      <w:pPr>
        <w:jc w:val="center"/>
        <w:rPr>
          <w:rFonts w:hint="default" w:ascii="Times New Roman" w:hAnsi="Times New Roman" w:eastAsia="宋体" w:cs="Times New Roman"/>
        </w:rPr>
      </w:pPr>
    </w:p>
    <w:p>
      <w:pPr>
        <w:pStyle w:val="10"/>
        <w:rPr>
          <w:rFonts w:hint="default" w:ascii="Times New Roman" w:hAnsi="Times New Roman" w:eastAsia="宋体" w:cs="Times New Roman"/>
          <w:sz w:val="21"/>
        </w:rPr>
      </w:pPr>
    </w:p>
    <w:p>
      <w:pPr>
        <w:rPr>
          <w:rFonts w:hint="default" w:ascii="Times New Roman" w:hAnsi="Times New Roman" w:eastAsia="宋体" w:cs="Times New Roman"/>
        </w:rPr>
      </w:pPr>
    </w:p>
    <w:p>
      <w:pPr>
        <w:rPr>
          <w:rFonts w:hint="default" w:ascii="Times New Roman" w:hAnsi="Times New Roman" w:eastAsia="宋体" w:cs="Times New Roman"/>
        </w:rPr>
      </w:pPr>
    </w:p>
    <w:p>
      <w:pPr>
        <w:jc w:val="center"/>
        <w:rPr>
          <w:rFonts w:hint="default" w:ascii="Times New Roman" w:hAnsi="Times New Roman" w:eastAsia="宋体" w:cs="Times New Roman"/>
        </w:rPr>
      </w:pPr>
    </w:p>
    <w:p>
      <w:pPr>
        <w:adjustRightInd w:val="0"/>
        <w:snapToGrid w:val="0"/>
        <w:spacing w:line="288" w:lineRule="auto"/>
        <w:jc w:val="center"/>
        <w:rPr>
          <w:rFonts w:hint="default" w:ascii="Times New Roman" w:hAnsi="Times New Roman" w:eastAsia="宋体" w:cs="Times New Roman"/>
          <w:sz w:val="36"/>
          <w:szCs w:val="36"/>
        </w:rPr>
      </w:pPr>
      <w:r>
        <w:rPr>
          <w:rFonts w:hint="default" w:ascii="Times New Roman" w:hAnsi="Times New Roman" w:eastAsia="宋体" w:cs="Times New Roman"/>
          <w:sz w:val="36"/>
          <w:szCs w:val="36"/>
        </w:rPr>
        <w:t>中华人民共和国生态环境部制</w:t>
      </w:r>
    </w:p>
    <w:p>
      <w:pPr>
        <w:rPr>
          <w:rFonts w:hint="default" w:ascii="Times New Roman" w:hAnsi="Times New Roman" w:eastAsia="宋体" w:cs="Times New Roman"/>
          <w:sz w:val="36"/>
          <w:szCs w:val="36"/>
        </w:rPr>
      </w:pPr>
    </w:p>
    <w:p>
      <w:pPr>
        <w:rPr>
          <w:rFonts w:hint="default" w:ascii="Times New Roman" w:hAnsi="Times New Roman" w:eastAsia="宋体" w:cs="Times New Roman"/>
        </w:rPr>
        <w:sectPr>
          <w:footerReference r:id="rId3" w:type="default"/>
          <w:pgSz w:w="11906" w:h="16838"/>
          <w:pgMar w:top="1701" w:right="1531" w:bottom="1701" w:left="1531" w:header="851" w:footer="1077" w:gutter="0"/>
          <w:pgNumType w:start="1"/>
          <w:cols w:space="720" w:num="1"/>
          <w:docGrid w:linePitch="312" w:charSpace="0"/>
        </w:sectPr>
      </w:pPr>
    </w:p>
    <w:p>
      <w:pPr>
        <w:keepNext w:val="0"/>
        <w:keepLines w:val="0"/>
        <w:pageBreakBefore w:val="0"/>
        <w:widowControl w:val="0"/>
        <w:kinsoku/>
        <w:wordWrap/>
        <w:overflowPunct/>
        <w:topLinePunct w:val="0"/>
        <w:autoSpaceDE/>
        <w:autoSpaceDN/>
        <w:bidi w:val="0"/>
        <w:spacing w:line="288" w:lineRule="auto"/>
        <w:jc w:val="center"/>
        <w:textAlignment w:val="auto"/>
        <w:rPr>
          <w:rFonts w:hint="default" w:ascii="Times New Roman" w:hAnsi="Times New Roman" w:eastAsia="宋体" w:cs="Times New Roman"/>
          <w:b/>
          <w:bCs/>
          <w:color w:val="000000" w:themeColor="text1"/>
          <w:sz w:val="44"/>
          <w:szCs w:val="44"/>
          <w:lang w:val="zh-CN"/>
          <w14:textFill>
            <w14:solidFill>
              <w14:schemeClr w14:val="tx1"/>
            </w14:solidFill>
          </w14:textFill>
        </w:rPr>
      </w:pPr>
      <w:r>
        <w:rPr>
          <w:rFonts w:hint="default" w:ascii="Times New Roman" w:hAnsi="Times New Roman" w:eastAsia="宋体" w:cs="Times New Roman"/>
          <w:b/>
          <w:bCs/>
          <w:color w:val="000000" w:themeColor="text1"/>
          <w:sz w:val="44"/>
          <w:szCs w:val="44"/>
          <w:lang w:val="zh-CN"/>
          <w14:textFill>
            <w14:solidFill>
              <w14:schemeClr w14:val="tx1"/>
            </w14:solidFill>
          </w14:textFill>
        </w:rPr>
        <w:t>目录</w:t>
      </w:r>
    </w:p>
    <w:p>
      <w:pPr>
        <w:pStyle w:val="20"/>
        <w:keepNext w:val="0"/>
        <w:keepLines w:val="0"/>
        <w:pageBreakBefore w:val="0"/>
        <w:widowControl w:val="0"/>
        <w:tabs>
          <w:tab w:val="right" w:leader="dot" w:pos="8844"/>
        </w:tabs>
        <w:kinsoku/>
        <w:wordWrap/>
        <w:overflowPunct/>
        <w:topLinePunct w:val="0"/>
        <w:autoSpaceDE/>
        <w:autoSpaceDN/>
        <w:bidi w:val="0"/>
        <w:spacing w:line="288"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36"/>
          <w:szCs w:val="36"/>
          <w:u w:val="single"/>
          <w14:textFill>
            <w14:solidFill>
              <w14:schemeClr w14:val="tx1"/>
            </w14:solidFill>
          </w14:textFill>
        </w:rPr>
        <w:fldChar w:fldCharType="begin"/>
      </w:r>
      <w:r>
        <w:rPr>
          <w:rFonts w:hint="default" w:ascii="Times New Roman" w:hAnsi="Times New Roman" w:eastAsia="宋体" w:cs="Times New Roman"/>
          <w:color w:val="000000" w:themeColor="text1"/>
          <w:sz w:val="36"/>
          <w:szCs w:val="36"/>
          <w:u w:val="single"/>
          <w14:textFill>
            <w14:solidFill>
              <w14:schemeClr w14:val="tx1"/>
            </w14:solidFill>
          </w14:textFill>
        </w:rPr>
        <w:instrText xml:space="preserve">TOC \o "1-1" \h \u </w:instrText>
      </w:r>
      <w:r>
        <w:rPr>
          <w:rFonts w:hint="default" w:ascii="Times New Roman" w:hAnsi="Times New Roman" w:eastAsia="宋体" w:cs="Times New Roman"/>
          <w:color w:val="000000" w:themeColor="text1"/>
          <w:sz w:val="36"/>
          <w:szCs w:val="36"/>
          <w:u w:val="single"/>
          <w14:textFill>
            <w14:solidFill>
              <w14:schemeClr w14:val="tx1"/>
            </w14:solidFill>
          </w14:textFill>
        </w:rPr>
        <w:fldChar w:fldCharType="separate"/>
      </w:r>
    </w:p>
    <w:p>
      <w:pPr>
        <w:pStyle w:val="20"/>
        <w:keepNext w:val="0"/>
        <w:keepLines w:val="0"/>
        <w:pageBreakBefore w:val="0"/>
        <w:widowControl w:val="0"/>
        <w:tabs>
          <w:tab w:val="right" w:leader="dot" w:pos="8844"/>
        </w:tabs>
        <w:kinsoku/>
        <w:wordWrap/>
        <w:overflowPunct/>
        <w:topLinePunct w:val="0"/>
        <w:autoSpaceDE/>
        <w:autoSpaceDN/>
        <w:bidi w:val="0"/>
        <w:spacing w:line="288"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"_Toc26177"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snapToGrid w:val="0"/>
          <w:color w:val="000000" w:themeColor="text1"/>
          <w:szCs w:val="30"/>
          <w14:textFill>
            <w14:solidFill>
              <w14:schemeClr w14:val="tx1"/>
            </w14:solidFill>
          </w14:textFill>
        </w:rPr>
        <w:t>一、建设项目基本情况</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_Toc26177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pPr>
        <w:pStyle w:val="20"/>
        <w:keepNext w:val="0"/>
        <w:keepLines w:val="0"/>
        <w:pageBreakBefore w:val="0"/>
        <w:widowControl w:val="0"/>
        <w:tabs>
          <w:tab w:val="right" w:leader="dot" w:pos="8844"/>
        </w:tabs>
        <w:kinsoku/>
        <w:wordWrap/>
        <w:overflowPunct/>
        <w:topLinePunct w:val="0"/>
        <w:autoSpaceDE/>
        <w:autoSpaceDN/>
        <w:bidi w:val="0"/>
        <w:spacing w:line="288"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"_Toc23529"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snapToGrid w:val="0"/>
          <w:color w:val="000000" w:themeColor="text1"/>
          <w:szCs w:val="30"/>
          <w14:textFill>
            <w14:solidFill>
              <w14:schemeClr w14:val="tx1"/>
            </w14:solidFill>
          </w14:textFill>
        </w:rPr>
        <w:t>二、建设项目工程分析</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_Toc23529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20</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pPr>
        <w:pStyle w:val="20"/>
        <w:keepNext w:val="0"/>
        <w:keepLines w:val="0"/>
        <w:pageBreakBefore w:val="0"/>
        <w:widowControl w:val="0"/>
        <w:tabs>
          <w:tab w:val="right" w:leader="dot" w:pos="8844"/>
        </w:tabs>
        <w:kinsoku/>
        <w:wordWrap/>
        <w:overflowPunct/>
        <w:topLinePunct w:val="0"/>
        <w:autoSpaceDE/>
        <w:autoSpaceDN/>
        <w:bidi w:val="0"/>
        <w:spacing w:line="288"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"_Toc22563"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snapToGrid w:val="0"/>
          <w:color w:val="000000" w:themeColor="text1"/>
          <w:szCs w:val="30"/>
          <w14:textFill>
            <w14:solidFill>
              <w14:schemeClr w14:val="tx1"/>
            </w14:solidFill>
          </w14:textFill>
        </w:rPr>
        <w:t>三、区域环境质量现状、环境保护目标及评价标准</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_Toc22563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34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pPr>
        <w:pStyle w:val="20"/>
        <w:keepNext w:val="0"/>
        <w:keepLines w:val="0"/>
        <w:pageBreakBefore w:val="0"/>
        <w:widowControl w:val="0"/>
        <w:tabs>
          <w:tab w:val="right" w:leader="dot" w:pos="8844"/>
        </w:tabs>
        <w:kinsoku/>
        <w:wordWrap/>
        <w:overflowPunct/>
        <w:topLinePunct w:val="0"/>
        <w:autoSpaceDE/>
        <w:autoSpaceDN/>
        <w:bidi w:val="0"/>
        <w:spacing w:line="288"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"_Toc21135"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snapToGrid w:val="0"/>
          <w:color w:val="000000" w:themeColor="text1"/>
          <w:szCs w:val="30"/>
          <w14:textFill>
            <w14:solidFill>
              <w14:schemeClr w14:val="tx1"/>
            </w14:solidFill>
          </w14:textFill>
        </w:rPr>
        <w:t>四、主要环境影响和保护措施</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_Toc21135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41</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pPr>
        <w:pStyle w:val="20"/>
        <w:keepNext w:val="0"/>
        <w:keepLines w:val="0"/>
        <w:pageBreakBefore w:val="0"/>
        <w:widowControl w:val="0"/>
        <w:tabs>
          <w:tab w:val="right" w:leader="dot" w:pos="8844"/>
        </w:tabs>
        <w:kinsoku/>
        <w:wordWrap/>
        <w:overflowPunct/>
        <w:topLinePunct w:val="0"/>
        <w:autoSpaceDE/>
        <w:autoSpaceDN/>
        <w:bidi w:val="0"/>
        <w:spacing w:line="288"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"_Toc16877"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snapToGrid w:val="0"/>
          <w:color w:val="000000" w:themeColor="text1"/>
          <w:szCs w:val="30"/>
          <w14:textFill>
            <w14:solidFill>
              <w14:schemeClr w14:val="tx1"/>
            </w14:solidFill>
          </w14:textFill>
        </w:rPr>
        <w:t>五、环境保护措施监督检查清单</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_Toc16877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66</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pPr>
        <w:pStyle w:val="20"/>
        <w:keepNext w:val="0"/>
        <w:keepLines w:val="0"/>
        <w:pageBreakBefore w:val="0"/>
        <w:widowControl w:val="0"/>
        <w:tabs>
          <w:tab w:val="right" w:leader="dot" w:pos="8844"/>
        </w:tabs>
        <w:kinsoku/>
        <w:wordWrap/>
        <w:overflowPunct/>
        <w:topLinePunct w:val="0"/>
        <w:autoSpaceDE/>
        <w:autoSpaceDN/>
        <w:bidi w:val="0"/>
        <w:spacing w:line="288"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"_Toc5151"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snapToGrid w:val="0"/>
          <w:color w:val="000000" w:themeColor="text1"/>
          <w:szCs w:val="24"/>
          <w14:textFill>
            <w14:solidFill>
              <w14:schemeClr w14:val="tx1"/>
            </w14:solidFill>
          </w14:textFill>
        </w:rPr>
        <w:t>六、结论</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_Toc5151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69</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pPr>
        <w:pStyle w:val="16"/>
        <w:keepNext w:val="0"/>
        <w:keepLines w:val="0"/>
        <w:pageBreakBefore w:val="0"/>
        <w:widowControl w:val="0"/>
        <w:kinsoku/>
        <w:wordWrap/>
        <w:overflowPunct/>
        <w:topLinePunct w:val="0"/>
        <w:autoSpaceDE/>
        <w:autoSpaceDN/>
        <w:bidi w:val="0"/>
        <w:spacing w:line="288" w:lineRule="auto"/>
        <w:ind w:left="0" w:leftChars="0" w:firstLine="420" w:firstLineChars="200"/>
        <w:contextualSpacing/>
        <w:textAlignment w:val="auto"/>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Cs w:val="36"/>
          <w:u w:val="single"/>
          <w14:textFill>
            <w14:solidFill>
              <w14:schemeClr w14:val="tx1"/>
            </w14:solidFill>
          </w14:textFill>
        </w:rPr>
        <w:fldChar w:fldCharType="end"/>
      </w:r>
      <w:r>
        <w:rPr>
          <w:rFonts w:hint="default" w:ascii="Times New Roman" w:hAnsi="Times New Roman" w:eastAsia="宋体" w:cs="Times New Roman"/>
          <w:bCs/>
          <w:color w:val="000000" w:themeColor="text1"/>
          <w:sz w:val="24"/>
          <w14:textFill>
            <w14:solidFill>
              <w14:schemeClr w14:val="tx1"/>
            </w14:solidFill>
          </w14:textFill>
        </w:rPr>
        <w:t>附件：</w:t>
      </w:r>
    </w:p>
    <w:p>
      <w:pPr>
        <w:pStyle w:val="16"/>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附件1 委托书</w:t>
      </w:r>
    </w:p>
    <w:p>
      <w:pPr>
        <w:pStyle w:val="16"/>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附件2 入园批复</w:t>
      </w:r>
    </w:p>
    <w:p>
      <w:pPr>
        <w:pStyle w:val="16"/>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附件3 投资备案证</w:t>
      </w:r>
    </w:p>
    <w:p>
      <w:pPr>
        <w:pStyle w:val="16"/>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附件4 晋宁工业园区规划环评审查意见的函及审查意见</w:t>
      </w:r>
    </w:p>
    <w:p>
      <w:pPr>
        <w:pStyle w:val="16"/>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附件5云南省工业和信息化委员关于云南晋宁工业园区总体规划修编给予以备案的意见”（园区【2012】684号）</w:t>
      </w:r>
    </w:p>
    <w:p>
      <w:pPr>
        <w:pStyle w:val="16"/>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附件</w:t>
      </w:r>
      <w:r>
        <w:rPr>
          <w:rFonts w:hint="default" w:ascii="Times New Roman" w:hAnsi="Times New Roman" w:eastAsia="宋体" w:cs="Times New Roman"/>
          <w:bCs/>
          <w:color w:val="000000" w:themeColor="text1"/>
          <w:sz w:val="24"/>
          <w:lang w:val="en-US" w:eastAsia="zh-CN"/>
          <w14:textFill>
            <w14:solidFill>
              <w14:schemeClr w14:val="tx1"/>
            </w14:solidFill>
          </w14:textFill>
        </w:rPr>
        <w:t>6</w:t>
      </w:r>
      <w:r>
        <w:rPr>
          <w:rFonts w:hint="default" w:ascii="Times New Roman" w:hAnsi="Times New Roman" w:eastAsia="宋体" w:cs="Times New Roman"/>
          <w:bCs/>
          <w:color w:val="000000" w:themeColor="text1"/>
          <w:sz w:val="24"/>
          <w14:textFill>
            <w14:solidFill>
              <w14:schemeClr w14:val="tx1"/>
            </w14:solidFill>
          </w14:textFill>
        </w:rPr>
        <w:t>昆明众灿金属制品有限公司（监测报告）</w:t>
      </w:r>
    </w:p>
    <w:p>
      <w:pPr>
        <w:pStyle w:val="16"/>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附件</w:t>
      </w:r>
      <w:r>
        <w:rPr>
          <w:rFonts w:hint="default" w:ascii="Times New Roman" w:hAnsi="Times New Roman" w:eastAsia="宋体" w:cs="Times New Roman"/>
          <w:bCs/>
          <w:color w:val="000000" w:themeColor="text1"/>
          <w:sz w:val="24"/>
          <w:lang w:val="en-US" w:eastAsia="zh-CN"/>
          <w14:textFill>
            <w14:solidFill>
              <w14:schemeClr w14:val="tx1"/>
            </w14:solidFill>
          </w14:textFill>
        </w:rPr>
        <w:t>7</w:t>
      </w:r>
      <w:r>
        <w:rPr>
          <w:rFonts w:hint="default" w:ascii="Times New Roman" w:hAnsi="Times New Roman" w:eastAsia="宋体" w:cs="Times New Roman"/>
          <w:bCs/>
          <w:color w:val="000000" w:themeColor="text1"/>
          <w:sz w:val="24"/>
          <w14:textFill>
            <w14:solidFill>
              <w14:schemeClr w14:val="tx1"/>
            </w14:solidFill>
          </w14:textFill>
        </w:rPr>
        <w:t>云南宏奥电梯公司环评批复</w:t>
      </w:r>
    </w:p>
    <w:p>
      <w:pPr>
        <w:pStyle w:val="16"/>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p>
    <w:p>
      <w:pPr>
        <w:pStyle w:val="16"/>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附图：</w:t>
      </w:r>
    </w:p>
    <w:p>
      <w:pPr>
        <w:pStyle w:val="16"/>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附图1 项目地理位置图</w:t>
      </w:r>
    </w:p>
    <w:p>
      <w:pPr>
        <w:pStyle w:val="16"/>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附图2 周边关系图</w:t>
      </w:r>
    </w:p>
    <w:p>
      <w:pPr>
        <w:pStyle w:val="16"/>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附图3 项目区水系图</w:t>
      </w:r>
    </w:p>
    <w:p>
      <w:pPr>
        <w:pStyle w:val="16"/>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附图4平面布置图</w:t>
      </w:r>
    </w:p>
    <w:p>
      <w:pPr>
        <w:pStyle w:val="16"/>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附图5项目与二街基地用地规划图</w:t>
      </w:r>
    </w:p>
    <w:p>
      <w:pPr>
        <w:pStyle w:val="16"/>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p>
    <w:p>
      <w:pPr>
        <w:pStyle w:val="16"/>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p>
    <w:p>
      <w:pPr>
        <w:pStyle w:val="16"/>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p>
    <w:p>
      <w:pPr>
        <w:pStyle w:val="23"/>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sectPr>
          <w:footerReference r:id="rId4" w:type="default"/>
          <w:pgSz w:w="11906" w:h="16838"/>
          <w:pgMar w:top="1701" w:right="1531" w:bottom="1701" w:left="1531" w:header="851" w:footer="1077" w:gutter="0"/>
          <w:pgNumType w:start="1"/>
          <w:cols w:space="720" w:num="1"/>
          <w:docGrid w:linePitch="312" w:charSpace="0"/>
        </w:sectPr>
      </w:pPr>
      <w:bookmarkStart w:id="2" w:name="_Toc26177"/>
      <w:bookmarkStart w:id="3" w:name="_Toc29204"/>
    </w:p>
    <w:p>
      <w:pPr>
        <w:pStyle w:val="23"/>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 w:val="30"/>
          <w:szCs w:val="30"/>
          <w14:textFill>
            <w14:solidFill>
              <w14:schemeClr w14:val="tx1"/>
            </w14:solidFill>
          </w14:textFill>
        </w:rPr>
        <w:t>一、建设项目基本情况</w:t>
      </w:r>
      <w:bookmarkEnd w:id="2"/>
      <w:bookmarkEnd w:id="3"/>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91"/>
        <w:gridCol w:w="2470"/>
        <w:gridCol w:w="1893"/>
        <w:gridCol w:w="28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59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建设项目名称</w:t>
            </w:r>
          </w:p>
        </w:tc>
        <w:tc>
          <w:tcPr>
            <w:tcW w:w="7255" w:type="dxa"/>
            <w:gridSpan w:val="3"/>
            <w:vAlign w:val="center"/>
          </w:tcPr>
          <w:p>
            <w:pPr>
              <w:adjustRightInd w:val="0"/>
              <w:snapToGrid w:val="0"/>
              <w:jc w:val="center"/>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lang w:eastAsia="zh-CN"/>
                <w14:textFill>
                  <w14:solidFill>
                    <w14:schemeClr w14:val="tx1"/>
                  </w14:solidFill>
                </w14:textFill>
              </w:rPr>
              <w:t>年产1.5万吨造纸添加剂项目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9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项目代码</w:t>
            </w:r>
          </w:p>
        </w:tc>
        <w:tc>
          <w:tcPr>
            <w:tcW w:w="7255" w:type="dxa"/>
            <w:gridSpan w:val="3"/>
            <w:vAlign w:val="center"/>
          </w:tcPr>
          <w:p>
            <w:pPr>
              <w:adjustRightInd w:val="0"/>
              <w:snapToGrid w:val="0"/>
              <w:jc w:val="center"/>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lang w:eastAsia="zh-CN"/>
                <w14:textFill>
                  <w14:solidFill>
                    <w14:schemeClr w14:val="tx1"/>
                  </w14:solidFill>
                </w14:textFill>
              </w:rPr>
              <w:t>2209-530115-04-05-293070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9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建设单位联系人</w:t>
            </w:r>
          </w:p>
        </w:tc>
        <w:tc>
          <w:tcPr>
            <w:tcW w:w="2470" w:type="dxa"/>
            <w:vAlign w:val="center"/>
          </w:tcPr>
          <w:p>
            <w:pPr>
              <w:adjustRightInd w:val="0"/>
              <w:snapToGrid w:val="0"/>
              <w:jc w:val="center"/>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lang w:eastAsia="zh-CN"/>
                <w14:textFill>
                  <w14:solidFill>
                    <w14:schemeClr w14:val="tx1"/>
                  </w14:solidFill>
                </w14:textFill>
              </w:rPr>
              <w:t>宗靖</w:t>
            </w:r>
          </w:p>
        </w:tc>
        <w:tc>
          <w:tcPr>
            <w:tcW w:w="1893" w:type="dxa"/>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联系方式</w:t>
            </w:r>
          </w:p>
        </w:tc>
        <w:tc>
          <w:tcPr>
            <w:tcW w:w="2892" w:type="dxa"/>
            <w:vAlign w:val="center"/>
          </w:tcPr>
          <w:p>
            <w:pPr>
              <w:adjustRightInd w:val="0"/>
              <w:snapToGrid w:val="0"/>
              <w:jc w:val="center"/>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lang w:eastAsia="zh-CN"/>
                <w14:textFill>
                  <w14:solidFill>
                    <w14:schemeClr w14:val="tx1"/>
                  </w14:solidFill>
                </w14:textFill>
              </w:rPr>
              <w:t>13708451319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9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建设地点</w:t>
            </w:r>
          </w:p>
        </w:tc>
        <w:tc>
          <w:tcPr>
            <w:tcW w:w="7255" w:type="dxa"/>
            <w:gridSpan w:val="3"/>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u w:val="single"/>
                <w14:textFill>
                  <w14:solidFill>
                    <w14:schemeClr w14:val="tx1"/>
                  </w14:solidFill>
                </w14:textFill>
              </w:rPr>
              <w:t>云南省昆明市晋宁工业园区二街基地</w:t>
            </w:r>
            <w:r>
              <w:rPr>
                <w:rFonts w:hint="default" w:ascii="Times New Roman" w:hAnsi="Times New Roman" w:eastAsia="宋体" w:cs="Times New Roman"/>
                <w:color w:val="000000" w:themeColor="text1"/>
                <w:sz w:val="24"/>
                <w:u w:val="single"/>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sz w:val="24"/>
                <w:u w:val="single"/>
                <w14:textFill>
                  <w14:solidFill>
                    <w14:schemeClr w14:val="tx1"/>
                  </w14:solidFill>
                </w14:textFill>
              </w:rPr>
              <w:t>的厂区内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9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地理坐标</w:t>
            </w:r>
          </w:p>
        </w:tc>
        <w:tc>
          <w:tcPr>
            <w:tcW w:w="7255" w:type="dxa"/>
            <w:gridSpan w:val="3"/>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u w:val="single"/>
                <w14:textFill>
                  <w14:solidFill>
                    <w14:schemeClr w14:val="tx1"/>
                  </w14:solidFill>
                </w14:textFill>
              </w:rPr>
              <w:t>102</w:t>
            </w:r>
            <w:r>
              <w:rPr>
                <w:rFonts w:hint="default" w:ascii="Times New Roman" w:hAnsi="Times New Roman" w:eastAsia="宋体" w:cs="Times New Roman"/>
                <w:color w:val="000000" w:themeColor="text1"/>
                <w:sz w:val="24"/>
                <w14:textFill>
                  <w14:solidFill>
                    <w14:schemeClr w14:val="tx1"/>
                  </w14:solidFill>
                </w14:textFill>
              </w:rPr>
              <w:t xml:space="preserve">度 </w:t>
            </w:r>
            <w:r>
              <w:rPr>
                <w:rFonts w:hint="default" w:ascii="Times New Roman" w:hAnsi="Times New Roman" w:eastAsia="宋体" w:cs="Times New Roman"/>
                <w:color w:val="000000" w:themeColor="text1"/>
                <w:sz w:val="24"/>
                <w:u w:val="single"/>
                <w14:textFill>
                  <w14:solidFill>
                    <w14:schemeClr w14:val="tx1"/>
                  </w14:solidFill>
                </w14:textFill>
              </w:rPr>
              <w:t>30</w:t>
            </w:r>
            <w:r>
              <w:rPr>
                <w:rFonts w:hint="default" w:ascii="Times New Roman" w:hAnsi="Times New Roman" w:eastAsia="宋体" w:cs="Times New Roman"/>
                <w:color w:val="000000" w:themeColor="text1"/>
                <w:sz w:val="24"/>
                <w14:textFill>
                  <w14:solidFill>
                    <w14:schemeClr w14:val="tx1"/>
                  </w14:solidFill>
                </w14:textFill>
              </w:rPr>
              <w:t xml:space="preserve"> 分 </w:t>
            </w:r>
            <w:r>
              <w:rPr>
                <w:rFonts w:hint="default" w:ascii="Times New Roman" w:hAnsi="Times New Roman" w:eastAsia="宋体" w:cs="Times New Roman"/>
                <w:color w:val="000000" w:themeColor="text1"/>
                <w:sz w:val="24"/>
                <w:u w:val="single"/>
                <w14:textFill>
                  <w14:solidFill>
                    <w14:schemeClr w14:val="tx1"/>
                  </w14:solidFill>
                </w14:textFill>
              </w:rPr>
              <w:t>50.238</w:t>
            </w:r>
            <w:r>
              <w:rPr>
                <w:rFonts w:hint="default" w:ascii="Times New Roman" w:hAnsi="Times New Roman" w:eastAsia="宋体" w:cs="Times New Roman"/>
                <w:color w:val="000000" w:themeColor="text1"/>
                <w:sz w:val="24"/>
                <w14:textFill>
                  <w14:solidFill>
                    <w14:schemeClr w14:val="tx1"/>
                  </w14:solidFill>
                </w14:textFill>
              </w:rPr>
              <w:t>秒</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u w:val="single"/>
                <w14:textFill>
                  <w14:solidFill>
                    <w14:schemeClr w14:val="tx1"/>
                  </w14:solidFill>
                </w14:textFill>
              </w:rPr>
              <w:t>24</w:t>
            </w:r>
            <w:r>
              <w:rPr>
                <w:rFonts w:hint="default" w:ascii="Times New Roman" w:hAnsi="Times New Roman" w:eastAsia="宋体" w:cs="Times New Roman"/>
                <w:color w:val="000000" w:themeColor="text1"/>
                <w:sz w:val="24"/>
                <w14:textFill>
                  <w14:solidFill>
                    <w14:schemeClr w14:val="tx1"/>
                  </w14:solidFill>
                </w14:textFill>
              </w:rPr>
              <w:t xml:space="preserve">度 </w:t>
            </w:r>
            <w:r>
              <w:rPr>
                <w:rFonts w:hint="default" w:ascii="Times New Roman" w:hAnsi="Times New Roman" w:eastAsia="宋体" w:cs="Times New Roman"/>
                <w:color w:val="000000" w:themeColor="text1"/>
                <w:sz w:val="24"/>
                <w:u w:val="single"/>
                <w14:textFill>
                  <w14:solidFill>
                    <w14:schemeClr w14:val="tx1"/>
                  </w14:solidFill>
                </w14:textFill>
              </w:rPr>
              <w:t>41</w:t>
            </w:r>
            <w:r>
              <w:rPr>
                <w:rFonts w:hint="default" w:ascii="Times New Roman" w:hAnsi="Times New Roman" w:eastAsia="宋体" w:cs="Times New Roman"/>
                <w:color w:val="000000" w:themeColor="text1"/>
                <w:sz w:val="24"/>
                <w14:textFill>
                  <w14:solidFill>
                    <w14:schemeClr w14:val="tx1"/>
                  </w14:solidFill>
                </w14:textFill>
              </w:rPr>
              <w:t xml:space="preserve"> 分 </w:t>
            </w:r>
            <w:r>
              <w:rPr>
                <w:rFonts w:hint="default" w:ascii="Times New Roman" w:hAnsi="Times New Roman" w:eastAsia="宋体" w:cs="Times New Roman"/>
                <w:color w:val="000000" w:themeColor="text1"/>
                <w:sz w:val="24"/>
                <w:u w:val="single"/>
                <w14:textFill>
                  <w14:solidFill>
                    <w14:schemeClr w14:val="tx1"/>
                  </w14:solidFill>
                </w14:textFill>
              </w:rPr>
              <w:t>41.875</w:t>
            </w:r>
            <w:r>
              <w:rPr>
                <w:rFonts w:hint="default" w:ascii="Times New Roman" w:hAnsi="Times New Roman" w:eastAsia="宋体" w:cs="Times New Roman"/>
                <w:color w:val="000000" w:themeColor="text1"/>
                <w:sz w:val="24"/>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9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国民经济</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行业类别</w:t>
            </w:r>
          </w:p>
        </w:tc>
        <w:tc>
          <w:tcPr>
            <w:tcW w:w="2470" w:type="dxa"/>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kern w:val="0"/>
                <w:sz w:val="24"/>
                <w:szCs w:val="24"/>
                <w:lang w:val="en-US" w:eastAsia="zh-CN" w:bidi="ar"/>
              </w:rPr>
              <w:t>（C2661）化学试剂和助剂制造</w:t>
            </w:r>
          </w:p>
        </w:tc>
        <w:tc>
          <w:tcPr>
            <w:tcW w:w="1893" w:type="dxa"/>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bookmarkStart w:id="4" w:name="_Hlk49843745"/>
            <w:r>
              <w:rPr>
                <w:rFonts w:hint="default" w:ascii="Times New Roman" w:hAnsi="Times New Roman" w:eastAsia="宋体" w:cs="Times New Roman"/>
                <w:color w:val="000000" w:themeColor="text1"/>
                <w:kern w:val="0"/>
                <w:sz w:val="24"/>
                <w14:textFill>
                  <w14:solidFill>
                    <w14:schemeClr w14:val="tx1"/>
                  </w14:solidFill>
                </w14:textFill>
              </w:rPr>
              <w:t>建设项目</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行业类别</w:t>
            </w:r>
            <w:bookmarkEnd w:id="4"/>
          </w:p>
        </w:tc>
        <w:tc>
          <w:tcPr>
            <w:tcW w:w="2892" w:type="dxa"/>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第</w:t>
            </w:r>
            <w:r>
              <w:rPr>
                <w:rFonts w:hint="default" w:ascii="Times New Roman" w:hAnsi="Times New Roman" w:eastAsia="宋体" w:cs="Times New Roman"/>
                <w:color w:val="000000" w:themeColor="text1"/>
                <w:sz w:val="24"/>
                <w:lang w:val="en-US" w:eastAsia="zh-CN"/>
                <w14:textFill>
                  <w14:solidFill>
                    <w14:schemeClr w14:val="tx1"/>
                  </w14:solidFill>
                </w14:textFill>
              </w:rPr>
              <w:t>二十三</w:t>
            </w:r>
            <w:r>
              <w:rPr>
                <w:rFonts w:hint="default" w:ascii="Times New Roman" w:hAnsi="Times New Roman" w:eastAsia="宋体" w:cs="Times New Roman"/>
                <w:color w:val="000000" w:themeColor="text1"/>
                <w:sz w:val="24"/>
                <w14:textFill>
                  <w14:solidFill>
                    <w14:schemeClr w14:val="tx1"/>
                  </w14:solidFill>
                </w14:textFill>
              </w:rPr>
              <w:t>项“</w:t>
            </w:r>
            <w:r>
              <w:rPr>
                <w:rFonts w:hint="default" w:ascii="Times New Roman" w:hAnsi="Times New Roman" w:eastAsia="宋体" w:cs="Times New Roman"/>
                <w:color w:val="000000" w:themeColor="text1"/>
                <w:sz w:val="24"/>
                <w:lang w:val="en-US" w:eastAsia="zh-CN"/>
                <w14:textFill>
                  <w14:solidFill>
                    <w14:schemeClr w14:val="tx1"/>
                  </w14:solidFill>
                </w14:textFill>
              </w:rPr>
              <w:t>化学原料和化学制品制造26</w:t>
            </w:r>
            <w:r>
              <w:rPr>
                <w:rFonts w:hint="default" w:ascii="Times New Roman" w:hAnsi="Times New Roman" w:eastAsia="宋体" w:cs="Times New Roman"/>
                <w:color w:val="000000" w:themeColor="text1"/>
                <w:sz w:val="24"/>
                <w14:textFill>
                  <w14:solidFill>
                    <w14:schemeClr w14:val="tx1"/>
                  </w14:solidFill>
                </w14:textFill>
              </w:rPr>
              <w:t>”第</w:t>
            </w:r>
            <w:r>
              <w:rPr>
                <w:rFonts w:hint="default" w:ascii="Times New Roman" w:hAnsi="Times New Roman" w:eastAsia="宋体" w:cs="Times New Roman"/>
                <w:color w:val="000000" w:themeColor="text1"/>
                <w:sz w:val="24"/>
                <w:lang w:val="en-US" w:eastAsia="zh-CN"/>
                <w14:textFill>
                  <w14:solidFill>
                    <w14:schemeClr w14:val="tx1"/>
                  </w14:solidFill>
                </w14:textFill>
              </w:rPr>
              <w:t>44</w:t>
            </w:r>
            <w:r>
              <w:rPr>
                <w:rFonts w:hint="default" w:ascii="Times New Roman" w:hAnsi="Times New Roman" w:eastAsia="宋体" w:cs="Times New Roman"/>
                <w:color w:val="000000" w:themeColor="text1"/>
                <w:sz w:val="24"/>
                <w14:textFill>
                  <w14:solidFill>
                    <w14:schemeClr w14:val="tx1"/>
                  </w14:solidFill>
                </w14:textFill>
              </w:rPr>
              <w:t>条“</w:t>
            </w:r>
            <w:r>
              <w:rPr>
                <w:rFonts w:hint="default" w:ascii="Times New Roman" w:hAnsi="Times New Roman" w:eastAsia="宋体" w:cs="Times New Roman"/>
                <w:color w:val="000000" w:themeColor="text1"/>
                <w:sz w:val="24"/>
                <w:lang w:val="en-US" w:eastAsia="zh-CN"/>
                <w14:textFill>
                  <w14:solidFill>
                    <w14:schemeClr w14:val="tx1"/>
                  </w14:solidFill>
                </w14:textFill>
              </w:rPr>
              <w:t>专用化学产品制造266</w:t>
            </w:r>
            <w:r>
              <w:rPr>
                <w:rFonts w:hint="default" w:ascii="Times New Roman" w:hAnsi="Times New Roman" w:eastAsia="宋体" w:cs="Times New Roman"/>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19" w:hRule="atLeast"/>
          <w:jc w:val="center"/>
        </w:trPr>
        <w:tc>
          <w:tcPr>
            <w:tcW w:w="159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建设性质</w:t>
            </w:r>
          </w:p>
        </w:tc>
        <w:tc>
          <w:tcPr>
            <w:tcW w:w="2470" w:type="dxa"/>
            <w:vAlign w:val="center"/>
          </w:tcPr>
          <w:p>
            <w:pPr>
              <w:adjustRightInd w:val="0"/>
              <w:snapToGrid w:val="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sym w:font="Wingdings 2" w:char="0052"/>
            </w:r>
            <w:r>
              <w:rPr>
                <w:rFonts w:hint="default" w:ascii="Times New Roman" w:hAnsi="Times New Roman" w:eastAsia="宋体" w:cs="Times New Roman"/>
                <w:color w:val="000000" w:themeColor="text1"/>
                <w:kern w:val="0"/>
                <w:sz w:val="24"/>
                <w14:textFill>
                  <w14:solidFill>
                    <w14:schemeClr w14:val="tx1"/>
                  </w14:solidFill>
                </w14:textFill>
              </w:rPr>
              <w:t>新建（迁建）</w:t>
            </w:r>
          </w:p>
          <w:p>
            <w:pPr>
              <w:adjustRightInd w:val="0"/>
              <w:snapToGrid w:val="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sym w:font="Wingdings 2" w:char="00A3"/>
            </w:r>
            <w:r>
              <w:rPr>
                <w:rFonts w:hint="default" w:ascii="Times New Roman" w:hAnsi="Times New Roman" w:eastAsia="宋体" w:cs="Times New Roman"/>
                <w:color w:val="000000" w:themeColor="text1"/>
                <w:kern w:val="0"/>
                <w:sz w:val="24"/>
                <w14:textFill>
                  <w14:solidFill>
                    <w14:schemeClr w14:val="tx1"/>
                  </w14:solidFill>
                </w14:textFill>
              </w:rPr>
              <w:t>改建</w:t>
            </w:r>
          </w:p>
          <w:p>
            <w:pPr>
              <w:adjustRightInd w:val="0"/>
              <w:snapToGrid w:val="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sym w:font="Wingdings 2" w:char="00A3"/>
            </w:r>
            <w:r>
              <w:rPr>
                <w:rFonts w:hint="default" w:ascii="Times New Roman" w:hAnsi="Times New Roman" w:eastAsia="宋体" w:cs="Times New Roman"/>
                <w:color w:val="000000" w:themeColor="text1"/>
                <w:kern w:val="0"/>
                <w:sz w:val="24"/>
                <w14:textFill>
                  <w14:solidFill>
                    <w14:schemeClr w14:val="tx1"/>
                  </w14:solidFill>
                </w14:textFill>
              </w:rPr>
              <w:t>扩建</w:t>
            </w:r>
          </w:p>
          <w:p>
            <w:pPr>
              <w:adjustRightInd w:val="0"/>
              <w:snapToGrid w:val="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sym w:font="Wingdings 2" w:char="00A3"/>
            </w:r>
            <w:r>
              <w:rPr>
                <w:rFonts w:hint="default" w:ascii="Times New Roman" w:hAnsi="Times New Roman" w:eastAsia="宋体" w:cs="Times New Roman"/>
                <w:color w:val="000000" w:themeColor="text1"/>
                <w:kern w:val="0"/>
                <w:sz w:val="24"/>
                <w14:textFill>
                  <w14:solidFill>
                    <w14:schemeClr w14:val="tx1"/>
                  </w14:solidFill>
                </w14:textFill>
              </w:rPr>
              <w:t>技术改造</w:t>
            </w:r>
          </w:p>
        </w:tc>
        <w:tc>
          <w:tcPr>
            <w:tcW w:w="1893" w:type="dxa"/>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建设项目</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申报情形</w:t>
            </w:r>
          </w:p>
        </w:tc>
        <w:tc>
          <w:tcPr>
            <w:tcW w:w="2892" w:type="dxa"/>
            <w:vAlign w:val="center"/>
          </w:tcPr>
          <w:p>
            <w:pPr>
              <w:adjustRightInd w:val="0"/>
              <w:snapToGrid w:val="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sym w:font="Wingdings 2" w:char="0052"/>
            </w:r>
            <w:r>
              <w:rPr>
                <w:rFonts w:hint="default" w:ascii="Times New Roman" w:hAnsi="Times New Roman" w:eastAsia="宋体" w:cs="Times New Roman"/>
                <w:color w:val="000000" w:themeColor="text1"/>
                <w:kern w:val="0"/>
                <w:sz w:val="24"/>
                <w14:textFill>
                  <w14:solidFill>
                    <w14:schemeClr w14:val="tx1"/>
                  </w14:solidFill>
                </w14:textFill>
              </w:rPr>
              <w:t xml:space="preserve">首次申报项目             </w:t>
            </w:r>
          </w:p>
          <w:p>
            <w:pPr>
              <w:adjustRightInd w:val="0"/>
              <w:snapToGrid w:val="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sym w:font="Wingdings 2" w:char="00A3"/>
            </w:r>
            <w:r>
              <w:rPr>
                <w:rFonts w:hint="default" w:ascii="Times New Roman" w:hAnsi="Times New Roman" w:eastAsia="宋体" w:cs="Times New Roman"/>
                <w:color w:val="000000" w:themeColor="text1"/>
                <w:kern w:val="0"/>
                <w:sz w:val="24"/>
                <w14:textFill>
                  <w14:solidFill>
                    <w14:schemeClr w14:val="tx1"/>
                  </w14:solidFill>
                </w14:textFill>
              </w:rPr>
              <w:t>不予批准后再次申报项目</w:t>
            </w:r>
          </w:p>
          <w:p>
            <w:pPr>
              <w:adjustRightInd w:val="0"/>
              <w:snapToGrid w:val="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sym w:font="Wingdings 2" w:char="00A3"/>
            </w:r>
            <w:r>
              <w:rPr>
                <w:rFonts w:hint="default" w:ascii="Times New Roman" w:hAnsi="Times New Roman" w:eastAsia="宋体" w:cs="Times New Roman"/>
                <w:color w:val="000000" w:themeColor="text1"/>
                <w:kern w:val="0"/>
                <w:sz w:val="24"/>
                <w14:textFill>
                  <w14:solidFill>
                    <w14:schemeClr w14:val="tx1"/>
                  </w14:solidFill>
                </w14:textFill>
              </w:rPr>
              <w:t xml:space="preserve">超五年重新审核项目     </w:t>
            </w:r>
          </w:p>
          <w:p>
            <w:pPr>
              <w:adjustRightInd w:val="0"/>
              <w:snapToGrid w:val="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sym w:font="Wingdings 2" w:char="00A3"/>
            </w:r>
            <w:r>
              <w:rPr>
                <w:rFonts w:hint="default" w:ascii="Times New Roman" w:hAnsi="Times New Roman" w:eastAsia="宋体" w:cs="Times New Roman"/>
                <w:color w:val="000000" w:themeColor="text1"/>
                <w:kern w:val="0"/>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9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项目审批（核准/备案）部门（选填）</w:t>
            </w:r>
          </w:p>
        </w:tc>
        <w:tc>
          <w:tcPr>
            <w:tcW w:w="2470" w:type="dxa"/>
            <w:vAlign w:val="center"/>
          </w:tcPr>
          <w:p>
            <w:pPr>
              <w:pStyle w:val="45"/>
              <w:spacing w:before="3" w:line="310" w:lineRule="atLeast"/>
              <w:ind w:left="831" w:right="-29" w:hanging="840"/>
              <w:rPr>
                <w:rFonts w:hint="default" w:ascii="Times New Roman" w:hAnsi="Times New Roman" w:eastAsia="宋体" w:cs="Times New Roman"/>
                <w:color w:val="000000" w:themeColor="text1"/>
                <w:spacing w:val="-2"/>
                <w:sz w:val="24"/>
                <w14:textFill>
                  <w14:solidFill>
                    <w14:schemeClr w14:val="tx1"/>
                  </w14:solidFill>
                </w14:textFill>
              </w:rPr>
            </w:pPr>
            <w:r>
              <w:rPr>
                <w:rFonts w:hint="default" w:ascii="Times New Roman" w:hAnsi="Times New Roman" w:eastAsia="宋体" w:cs="Times New Roman"/>
                <w:color w:val="000000" w:themeColor="text1"/>
                <w:spacing w:val="-2"/>
                <w:sz w:val="24"/>
                <w:lang w:val="en-US"/>
                <w14:textFill>
                  <w14:solidFill>
                    <w14:schemeClr w14:val="tx1"/>
                  </w14:solidFill>
                </w14:textFill>
              </w:rPr>
              <w:t>昆明市晋宁区</w:t>
            </w:r>
            <w:r>
              <w:rPr>
                <w:rFonts w:hint="default" w:ascii="Times New Roman" w:hAnsi="Times New Roman" w:eastAsia="宋体" w:cs="Times New Roman"/>
                <w:color w:val="000000" w:themeColor="text1"/>
                <w:spacing w:val="-2"/>
                <w:sz w:val="24"/>
                <w14:textFill>
                  <w14:solidFill>
                    <w14:schemeClr w14:val="tx1"/>
                  </w14:solidFill>
                </w14:textFill>
              </w:rPr>
              <w:t>发</w:t>
            </w:r>
          </w:p>
          <w:p>
            <w:pPr>
              <w:pStyle w:val="45"/>
              <w:spacing w:before="3" w:line="310" w:lineRule="atLeast"/>
              <w:ind w:left="831" w:right="-29" w:hanging="840"/>
              <w:rPr>
                <w:rFonts w:hint="default" w:ascii="Times New Roman" w:hAnsi="Times New Roman" w:eastAsia="宋体" w:cs="Times New Roman"/>
                <w:color w:val="000000" w:themeColor="text1"/>
                <w:kern w:val="0"/>
                <w:sz w:val="24"/>
                <w:lang w:val="en-US"/>
                <w14:textFill>
                  <w14:solidFill>
                    <w14:schemeClr w14:val="tx1"/>
                  </w14:solidFill>
                </w14:textFill>
              </w:rPr>
            </w:pPr>
            <w:r>
              <w:rPr>
                <w:rFonts w:hint="default" w:ascii="Times New Roman" w:hAnsi="Times New Roman" w:eastAsia="宋体" w:cs="Times New Roman"/>
                <w:color w:val="000000" w:themeColor="text1"/>
                <w:spacing w:val="-2"/>
                <w:sz w:val="24"/>
                <w14:textFill>
                  <w14:solidFill>
                    <w14:schemeClr w14:val="tx1"/>
                  </w14:solidFill>
                </w14:textFill>
              </w:rPr>
              <w:t>展</w:t>
            </w:r>
            <w:r>
              <w:rPr>
                <w:rFonts w:hint="default" w:ascii="Times New Roman" w:hAnsi="Times New Roman" w:eastAsia="宋体" w:cs="Times New Roman"/>
                <w:color w:val="000000" w:themeColor="text1"/>
                <w:sz w:val="24"/>
                <w14:textFill>
                  <w14:solidFill>
                    <w14:schemeClr w14:val="tx1"/>
                  </w14:solidFill>
                </w14:textFill>
              </w:rPr>
              <w:t>和改革局</w:t>
            </w:r>
          </w:p>
        </w:tc>
        <w:tc>
          <w:tcPr>
            <w:tcW w:w="1893" w:type="dxa"/>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项目审批（核准/</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备案）文号（选填）</w:t>
            </w:r>
          </w:p>
        </w:tc>
        <w:tc>
          <w:tcPr>
            <w:tcW w:w="2892" w:type="dxa"/>
            <w:vAlign w:val="center"/>
          </w:tcPr>
          <w:p>
            <w:pPr>
              <w:widowControl/>
              <w:jc w:val="center"/>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color w:val="000000" w:themeColor="text1"/>
                <w:kern w:val="0"/>
                <w:sz w:val="24"/>
                <w14:textFill>
                  <w14:solidFill>
                    <w14:schemeClr w14:val="tx1"/>
                  </w14:solidFill>
                </w14:textFill>
              </w:rPr>
              <w:t>项目代码：</w:t>
            </w:r>
            <w:r>
              <w:rPr>
                <w:rFonts w:hint="default" w:ascii="Times New Roman" w:hAnsi="Times New Roman" w:eastAsia="宋体" w:cs="Times New Roman"/>
                <w:color w:val="000000" w:themeColor="text1"/>
                <w:kern w:val="0"/>
                <w:sz w:val="24"/>
                <w:lang w:eastAsia="zh-CN"/>
                <w14:textFill>
                  <w14:solidFill>
                    <w14:schemeClr w14:val="tx1"/>
                  </w14:solidFill>
                </w14:textFill>
              </w:rPr>
              <w:t>2209-530115-04-05-293070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9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总投资（万元）</w:t>
            </w:r>
          </w:p>
        </w:tc>
        <w:tc>
          <w:tcPr>
            <w:tcW w:w="2470" w:type="dxa"/>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800</w:t>
            </w:r>
          </w:p>
        </w:tc>
        <w:tc>
          <w:tcPr>
            <w:tcW w:w="1893"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环保投资（万元）</w:t>
            </w:r>
          </w:p>
        </w:tc>
        <w:tc>
          <w:tcPr>
            <w:tcW w:w="2892" w:type="dxa"/>
            <w:vAlign w:val="center"/>
          </w:tcPr>
          <w:p>
            <w:pPr>
              <w:adjustRightInd w:val="0"/>
              <w:snapToGrid w:val="0"/>
              <w:jc w:val="center"/>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16.9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9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环保投资占比（%）</w:t>
            </w:r>
          </w:p>
        </w:tc>
        <w:tc>
          <w:tcPr>
            <w:tcW w:w="2470" w:type="dxa"/>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2.1</w:t>
            </w:r>
            <w:r>
              <w:rPr>
                <w:rFonts w:hint="default" w:ascii="Times New Roman" w:hAnsi="Times New Roman" w:eastAsia="宋体" w:cs="Times New Roman"/>
                <w:color w:val="000000" w:themeColor="text1"/>
                <w:sz w:val="24"/>
                <w14:textFill>
                  <w14:solidFill>
                    <w14:schemeClr w14:val="tx1"/>
                  </w14:solidFill>
                </w14:textFill>
              </w:rPr>
              <w:t>％</w:t>
            </w:r>
          </w:p>
        </w:tc>
        <w:tc>
          <w:tcPr>
            <w:tcW w:w="1893"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施工工期</w:t>
            </w:r>
          </w:p>
        </w:tc>
        <w:tc>
          <w:tcPr>
            <w:tcW w:w="2892" w:type="dxa"/>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9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是否开工建设</w:t>
            </w:r>
          </w:p>
        </w:tc>
        <w:tc>
          <w:tcPr>
            <w:tcW w:w="2470" w:type="dxa"/>
            <w:vAlign w:val="center"/>
          </w:tcPr>
          <w:p>
            <w:pPr>
              <w:adjustRightInd w:val="0"/>
              <w:snapToGrid w:val="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sym w:font="Wingdings 2" w:char="0052"/>
            </w:r>
            <w:r>
              <w:rPr>
                <w:rFonts w:hint="default" w:ascii="Times New Roman" w:hAnsi="Times New Roman" w:eastAsia="宋体" w:cs="Times New Roman"/>
                <w:color w:val="000000" w:themeColor="text1"/>
                <w:kern w:val="0"/>
                <w:sz w:val="24"/>
                <w14:textFill>
                  <w14:solidFill>
                    <w14:schemeClr w14:val="tx1"/>
                  </w14:solidFill>
                </w14:textFill>
              </w:rPr>
              <w:t>否</w:t>
            </w:r>
          </w:p>
          <w:p>
            <w:pPr>
              <w:adjustRightInd w:val="0"/>
              <w:snapToGrid w:val="0"/>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sym w:font="Wingdings 2" w:char="00A3"/>
            </w:r>
            <w:r>
              <w:rPr>
                <w:rFonts w:hint="default" w:ascii="Times New Roman" w:hAnsi="Times New Roman" w:eastAsia="宋体" w:cs="Times New Roman"/>
                <w:color w:val="000000" w:themeColor="text1"/>
                <w:kern w:val="0"/>
                <w:sz w:val="24"/>
                <w14:textFill>
                  <w14:solidFill>
                    <w14:schemeClr w14:val="tx1"/>
                  </w14:solidFill>
                </w14:textFill>
              </w:rPr>
              <w:t>是：</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 xml:space="preserve">      </w:t>
            </w:r>
          </w:p>
        </w:tc>
        <w:tc>
          <w:tcPr>
            <w:tcW w:w="1893"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用地（用海）</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面积（m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14:textFill>
                  <w14:solidFill>
                    <w14:schemeClr w14:val="tx1"/>
                  </w14:solidFill>
                </w14:textFill>
              </w:rPr>
              <w:t>）</w:t>
            </w:r>
          </w:p>
        </w:tc>
        <w:tc>
          <w:tcPr>
            <w:tcW w:w="2892" w:type="dxa"/>
            <w:vAlign w:val="center"/>
          </w:tcPr>
          <w:p>
            <w:pPr>
              <w:adjustRightInd w:val="0"/>
              <w:snapToGrid w:val="0"/>
              <w:jc w:val="center"/>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2000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591" w:type="dxa"/>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专项评价设置情况</w:t>
            </w:r>
          </w:p>
        </w:tc>
        <w:tc>
          <w:tcPr>
            <w:tcW w:w="725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专项评价设置原则表</w:t>
            </w:r>
          </w:p>
          <w:tbl>
            <w:tblPr>
              <w:tblStyle w:val="27"/>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4"/>
              <w:gridCol w:w="2866"/>
              <w:gridCol w:w="2104"/>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759" w:type="pct"/>
                  <w:noWrap w:val="0"/>
                  <w:vAlign w:val="center"/>
                </w:tcPr>
                <w:p>
                  <w:pPr>
                    <w:widowControl/>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专项评价的类别</w:t>
                  </w:r>
                </w:p>
              </w:tc>
              <w:tc>
                <w:tcPr>
                  <w:tcW w:w="2122" w:type="pct"/>
                  <w:noWrap w:val="0"/>
                  <w:vAlign w:val="center"/>
                </w:tcPr>
                <w:p>
                  <w:pPr>
                    <w:widowControl/>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设置原则</w:t>
                  </w:r>
                </w:p>
              </w:tc>
              <w:tc>
                <w:tcPr>
                  <w:tcW w:w="1558" w:type="pct"/>
                  <w:noWrap w:val="0"/>
                  <w:vAlign w:val="center"/>
                </w:tcPr>
                <w:p>
                  <w:pPr>
                    <w:widowControl/>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本项目情况</w:t>
                  </w:r>
                </w:p>
              </w:tc>
              <w:tc>
                <w:tcPr>
                  <w:tcW w:w="558" w:type="pct"/>
                  <w:noWrap w:val="0"/>
                  <w:vAlign w:val="center"/>
                </w:tcPr>
                <w:p>
                  <w:pPr>
                    <w:widowControl/>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是否设置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759" w:type="pct"/>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tc>
              <w:tc>
                <w:tcPr>
                  <w:tcW w:w="2122" w:type="pct"/>
                  <w:noWrap w:val="0"/>
                  <w:vAlign w:val="center"/>
                </w:tcPr>
                <w:p>
                  <w:pPr>
                    <w:widowControl/>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排放废气中含有有毒有害污染物、二噁英、苯并芘、氰化物、氯气且厂界外500m范围内有环境空气保护目标的建设项目。</w:t>
                  </w:r>
                </w:p>
              </w:tc>
              <w:tc>
                <w:tcPr>
                  <w:tcW w:w="1558" w:type="pct"/>
                  <w:noWrap w:val="0"/>
                  <w:vAlign w:val="center"/>
                </w:tcPr>
                <w:p>
                  <w:pPr>
                    <w:widowControl/>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本项目排放的废气</w:t>
                  </w:r>
                  <w:r>
                    <w:rPr>
                      <w:rFonts w:hint="eastAsia" w:cs="Times New Roman"/>
                      <w:sz w:val="21"/>
                      <w:szCs w:val="21"/>
                      <w:lang w:val="en-US" w:eastAsia="zh-CN"/>
                    </w:rPr>
                    <w:t>主要为</w:t>
                  </w:r>
                  <w:r>
                    <w:rPr>
                      <w:rFonts w:hint="default" w:ascii="Times New Roman" w:hAnsi="Times New Roman" w:eastAsia="宋体" w:cs="Times New Roman"/>
                      <w:b w:val="0"/>
                      <w:bCs w:val="0"/>
                      <w:color w:val="000000" w:themeColor="text1"/>
                      <w:sz w:val="21"/>
                      <w:szCs w:val="21"/>
                      <w14:textFill>
                        <w14:solidFill>
                          <w14:schemeClr w14:val="tx1"/>
                        </w14:solidFill>
                      </w14:textFill>
                    </w:rPr>
                    <w:t>AKD蜡</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热熔</w:t>
                  </w:r>
                  <w:r>
                    <w:rPr>
                      <w:rFonts w:hint="eastAsia" w:cs="Times New Roman"/>
                      <w:sz w:val="21"/>
                      <w:szCs w:val="21"/>
                      <w:lang w:val="en-US" w:eastAsia="zh-CN"/>
                    </w:rPr>
                    <w:t>过程中产生的</w:t>
                  </w:r>
                  <w:r>
                    <w:rPr>
                      <w:rFonts w:hint="default" w:ascii="Times New Roman" w:hAnsi="Times New Roman" w:eastAsia="宋体" w:cs="Times New Roman"/>
                      <w:sz w:val="21"/>
                      <w:szCs w:val="21"/>
                    </w:rPr>
                    <w:t>挥发性有机物</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以非甲烷总烃计</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不属于有毒有害污染物</w:t>
                  </w:r>
                  <w:r>
                    <w:rPr>
                      <w:rFonts w:hint="eastAsia" w:cs="Times New Roman"/>
                      <w:sz w:val="21"/>
                      <w:szCs w:val="21"/>
                      <w:lang w:eastAsia="zh-CN"/>
                    </w:rPr>
                    <w:t>，</w:t>
                  </w:r>
                  <w:r>
                    <w:rPr>
                      <w:rFonts w:hint="default" w:ascii="Times New Roman" w:hAnsi="Times New Roman" w:eastAsia="宋体" w:cs="Times New Roman"/>
                      <w:sz w:val="21"/>
                      <w:szCs w:val="21"/>
                    </w:rPr>
                    <w:t>项目无二噁英、苯并芘、氰化物、氯气的产生及排放</w:t>
                  </w:r>
                  <w:r>
                    <w:rPr>
                      <w:rFonts w:hint="default" w:ascii="Times New Roman" w:hAnsi="Times New Roman" w:eastAsia="宋体" w:cs="Times New Roman"/>
                      <w:sz w:val="21"/>
                      <w:szCs w:val="21"/>
                      <w:lang w:eastAsia="zh-CN"/>
                    </w:rPr>
                    <w:t>。</w:t>
                  </w:r>
                </w:p>
              </w:tc>
              <w:tc>
                <w:tcPr>
                  <w:tcW w:w="558" w:type="pct"/>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9" w:type="pct"/>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w:t>
                  </w:r>
                </w:p>
              </w:tc>
              <w:tc>
                <w:tcPr>
                  <w:tcW w:w="2122" w:type="pct"/>
                  <w:noWrap w:val="0"/>
                  <w:vAlign w:val="center"/>
                </w:tcPr>
                <w:p>
                  <w:pPr>
                    <w:widowControl/>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新增工业废水直排建设项目（槽</w:t>
                  </w:r>
                  <w:r>
                    <w:rPr>
                      <w:rFonts w:hint="default" w:ascii="Times New Roman" w:hAnsi="Times New Roman" w:eastAsia="宋体" w:cs="Times New Roman"/>
                      <w:sz w:val="21"/>
                      <w:szCs w:val="21"/>
                      <w:lang w:eastAsia="zh-CN"/>
                    </w:rPr>
                    <w:t>缸</w:t>
                  </w:r>
                  <w:r>
                    <w:rPr>
                      <w:rFonts w:hint="default" w:ascii="Times New Roman" w:hAnsi="Times New Roman" w:eastAsia="宋体" w:cs="Times New Roman"/>
                      <w:sz w:val="21"/>
                      <w:szCs w:val="21"/>
                    </w:rPr>
                    <w:t>车外运污水处理厂的除外）；新增废水直排的污水集中处理厂。</w:t>
                  </w:r>
                </w:p>
              </w:tc>
              <w:tc>
                <w:tcPr>
                  <w:tcW w:w="1558" w:type="pct"/>
                  <w:noWrap w:val="0"/>
                  <w:vAlign w:val="center"/>
                </w:tcPr>
                <w:p>
                  <w:pPr>
                    <w:widowControl/>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项目生产过程中需要</w:t>
                  </w:r>
                  <w:r>
                    <w:rPr>
                      <w:rFonts w:hint="default" w:ascii="Times New Roman" w:hAnsi="Times New Roman" w:eastAsia="宋体" w:cs="Times New Roman"/>
                      <w:b w:val="0"/>
                      <w:bCs w:val="0"/>
                      <w:color w:val="000000" w:themeColor="text1"/>
                      <w:sz w:val="21"/>
                      <w:szCs w:val="21"/>
                      <w14:textFill>
                        <w14:solidFill>
                          <w14:schemeClr w14:val="tx1"/>
                        </w14:solidFill>
                      </w14:textFill>
                    </w:rPr>
                    <w:t>AKD蜡</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热熔后的</w:t>
                  </w:r>
                  <w:r>
                    <w:rPr>
                      <w:rFonts w:hint="default" w:ascii="Times New Roman" w:hAnsi="Times New Roman" w:eastAsia="宋体" w:cs="Times New Roman"/>
                      <w:sz w:val="21"/>
                      <w:szCs w:val="21"/>
                      <w:lang w:val="en-US" w:eastAsia="zh-CN"/>
                    </w:rPr>
                    <w:t>冷却用水</w:t>
                  </w:r>
                  <w:r>
                    <w:rPr>
                      <w:rFonts w:hint="eastAsia" w:cs="Times New Roman"/>
                      <w:sz w:val="21"/>
                      <w:szCs w:val="21"/>
                      <w:lang w:eastAsia="zh-CN"/>
                    </w:rPr>
                    <w:t>，</w:t>
                  </w:r>
                  <w:r>
                    <w:rPr>
                      <w:rFonts w:hint="default" w:ascii="Times New Roman" w:hAnsi="Times New Roman" w:eastAsia="宋体" w:cs="Times New Roman"/>
                      <w:sz w:val="21"/>
                      <w:szCs w:val="21"/>
                      <w:lang w:val="en-US" w:eastAsia="zh-CN"/>
                    </w:rPr>
                    <w:t>属于间接接触</w:t>
                  </w:r>
                  <w:r>
                    <w:rPr>
                      <w:rFonts w:hint="eastAsia" w:cs="Times New Roman"/>
                      <w:sz w:val="21"/>
                      <w:szCs w:val="21"/>
                      <w:lang w:eastAsia="zh-CN"/>
                    </w:rPr>
                    <w:t>，</w:t>
                  </w:r>
                  <w:r>
                    <w:rPr>
                      <w:rFonts w:hint="default" w:ascii="Times New Roman" w:hAnsi="Times New Roman" w:eastAsia="宋体" w:cs="Times New Roman"/>
                      <w:sz w:val="21"/>
                      <w:szCs w:val="21"/>
                      <w:lang w:val="en-US" w:eastAsia="zh-CN"/>
                    </w:rPr>
                    <w:t>只需定期补充</w:t>
                  </w:r>
                  <w:r>
                    <w:rPr>
                      <w:rFonts w:hint="eastAsia" w:cs="Times New Roman"/>
                      <w:sz w:val="21"/>
                      <w:szCs w:val="21"/>
                      <w:lang w:val="en-US" w:eastAsia="zh-CN"/>
                    </w:rPr>
                    <w:t>，</w:t>
                  </w:r>
                  <w:r>
                    <w:rPr>
                      <w:rFonts w:hint="default" w:ascii="Times New Roman" w:hAnsi="Times New Roman" w:eastAsia="宋体" w:cs="Times New Roman"/>
                      <w:sz w:val="21"/>
                      <w:szCs w:val="21"/>
                    </w:rPr>
                    <w:t>不外排</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zh-CN" w:eastAsia="zh-CN"/>
                    </w:rPr>
                    <w:t>食堂废水经隔油池处理后与其他生活污水一起经过依托云南晋宁宏奥电梯有限公司的化粪池处理后</w:t>
                  </w:r>
                  <w:r>
                    <w:rPr>
                      <w:rFonts w:hint="default" w:ascii="Times New Roman" w:hAnsi="Times New Roman" w:eastAsia="宋体" w:cs="Times New Roman"/>
                      <w:b w:val="0"/>
                      <w:color w:val="000000" w:themeColor="text1"/>
                      <w14:textFill>
                        <w14:solidFill>
                          <w14:schemeClr w14:val="tx1"/>
                        </w14:solidFill>
                      </w14:textFill>
                    </w:rPr>
                    <w:t>排入园区污水管网</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最终进入晋宁县工业园区二街片区生活污水处理厂处理。</w:t>
                  </w:r>
                </w:p>
              </w:tc>
              <w:tc>
                <w:tcPr>
                  <w:tcW w:w="558" w:type="pct"/>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jc w:val="center"/>
              </w:trPr>
              <w:tc>
                <w:tcPr>
                  <w:tcW w:w="759" w:type="pct"/>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环境风险</w:t>
                  </w:r>
                </w:p>
              </w:tc>
              <w:tc>
                <w:tcPr>
                  <w:tcW w:w="2122" w:type="pct"/>
                  <w:noWrap w:val="0"/>
                  <w:vAlign w:val="center"/>
                </w:tcPr>
                <w:p>
                  <w:pPr>
                    <w:widowControl/>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有毒有害和易燃易爆危险物质存储量超过临界量的建设项目。</w:t>
                  </w:r>
                </w:p>
              </w:tc>
              <w:tc>
                <w:tcPr>
                  <w:tcW w:w="1558" w:type="pct"/>
                  <w:noWrap w:val="0"/>
                  <w:vAlign w:val="center"/>
                </w:tcPr>
                <w:p>
                  <w:pPr>
                    <w:widowControl/>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本项目使用的原辅料中未涉及有毒有害和</w:t>
                  </w:r>
                  <w:r>
                    <w:rPr>
                      <w:rFonts w:hint="default" w:ascii="Times New Roman" w:hAnsi="Times New Roman" w:eastAsia="宋体" w:cs="Times New Roman"/>
                      <w:color w:val="000000" w:themeColor="text1"/>
                      <w:sz w:val="21"/>
                      <w:szCs w:val="21"/>
                      <w14:textFill>
                        <w14:solidFill>
                          <w14:schemeClr w14:val="tx1"/>
                        </w14:solidFill>
                      </w14:textFill>
                    </w:rPr>
                    <w:t>易燃易爆危险物质</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项目设备检修过程产生的少量</w:t>
                  </w:r>
                  <w:r>
                    <w:rPr>
                      <w:rFonts w:hint="default" w:ascii="Times New Roman" w:hAnsi="Times New Roman" w:eastAsia="宋体" w:cs="Times New Roman"/>
                      <w:color w:val="000000" w:themeColor="text1"/>
                      <w:sz w:val="21"/>
                      <w:szCs w:val="21"/>
                      <w:lang w:eastAsia="zh-CN"/>
                      <w14:textFill>
                        <w14:solidFill>
                          <w14:schemeClr w14:val="tx1"/>
                        </w14:solidFill>
                      </w14:textFill>
                    </w:rPr>
                    <w:t>废矿物油</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属于易燃易爆物质</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产生量很小</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Q=</w:t>
                  </w:r>
                  <w:r>
                    <w:rPr>
                      <w:rFonts w:hint="eastAsia" w:cs="Times New Roman"/>
                      <w:color w:val="000000" w:themeColor="text1"/>
                      <w:sz w:val="21"/>
                      <w:szCs w:val="21"/>
                      <w:lang w:eastAsia="zh-CN"/>
                      <w14:textFill>
                        <w14:solidFill>
                          <w14:schemeClr w14:val="tx1"/>
                        </w14:solidFill>
                      </w14:textFill>
                    </w:rPr>
                    <w:t>0.00004，</w:t>
                  </w:r>
                  <w:r>
                    <w:rPr>
                      <w:rFonts w:hint="default" w:ascii="Times New Roman" w:hAnsi="Times New Roman" w:eastAsia="宋体" w:cs="Times New Roman"/>
                      <w:color w:val="000000" w:themeColor="text1"/>
                      <w:sz w:val="21"/>
                      <w:szCs w:val="21"/>
                      <w14:textFill>
                        <w14:solidFill>
                          <w14:schemeClr w14:val="tx1"/>
                        </w14:solidFill>
                      </w14:textFill>
                    </w:rPr>
                    <w:t>未超过临界量。</w:t>
                  </w:r>
                </w:p>
              </w:tc>
              <w:tc>
                <w:tcPr>
                  <w:tcW w:w="558" w:type="pct"/>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759" w:type="pct"/>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w:t>
                  </w:r>
                </w:p>
              </w:tc>
              <w:tc>
                <w:tcPr>
                  <w:tcW w:w="2122" w:type="pct"/>
                  <w:noWrap w:val="0"/>
                  <w:vAlign w:val="center"/>
                </w:tcPr>
                <w:p>
                  <w:pPr>
                    <w:widowControl/>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取水口下游500m范围有重要水生生物的自然产卵场、索饵场、越冬场和</w:t>
                  </w:r>
                  <w:r>
                    <w:rPr>
                      <w:rFonts w:hint="default" w:ascii="Times New Roman" w:hAnsi="Times New Roman" w:eastAsia="宋体" w:cs="Times New Roman"/>
                      <w:sz w:val="21"/>
                      <w:szCs w:val="21"/>
                      <w:lang w:val="en-US" w:eastAsia="zh-CN"/>
                    </w:rPr>
                    <w:t>洄</w:t>
                  </w:r>
                  <w:r>
                    <w:rPr>
                      <w:rFonts w:hint="default" w:ascii="Times New Roman" w:hAnsi="Times New Roman" w:eastAsia="宋体" w:cs="Times New Roman"/>
                      <w:sz w:val="21"/>
                      <w:szCs w:val="21"/>
                    </w:rPr>
                    <w:t>游通道的新增河道取的污染类建设项目。</w:t>
                  </w:r>
                </w:p>
              </w:tc>
              <w:tc>
                <w:tcPr>
                  <w:tcW w:w="1558" w:type="pct"/>
                  <w:noWrap w:val="0"/>
                  <w:vAlign w:val="center"/>
                </w:tcPr>
                <w:p>
                  <w:pPr>
                    <w:widowControl/>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本项目不从河道直接取水</w:t>
                  </w:r>
                </w:p>
              </w:tc>
              <w:tc>
                <w:tcPr>
                  <w:tcW w:w="558" w:type="pct"/>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759" w:type="pct"/>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海洋</w:t>
                  </w:r>
                </w:p>
              </w:tc>
              <w:tc>
                <w:tcPr>
                  <w:tcW w:w="2122" w:type="pct"/>
                  <w:noWrap w:val="0"/>
                  <w:vAlign w:val="center"/>
                </w:tcPr>
                <w:p>
                  <w:pPr>
                    <w:widowControl/>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直接向海洋排放污染物的海洋工程建设项目</w:t>
                  </w:r>
                </w:p>
              </w:tc>
              <w:tc>
                <w:tcPr>
                  <w:tcW w:w="1558" w:type="pct"/>
                  <w:noWrap w:val="0"/>
                  <w:vAlign w:val="center"/>
                </w:tcPr>
                <w:p>
                  <w:pPr>
                    <w:widowControl/>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本项目不涉及海洋</w:t>
                  </w:r>
                </w:p>
              </w:tc>
              <w:tc>
                <w:tcPr>
                  <w:tcW w:w="558" w:type="pct"/>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759" w:type="pct"/>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地下水</w:t>
                  </w:r>
                </w:p>
              </w:tc>
              <w:tc>
                <w:tcPr>
                  <w:tcW w:w="2122" w:type="pct"/>
                  <w:noWrap w:val="0"/>
                  <w:vAlign w:val="center"/>
                </w:tcPr>
                <w:p>
                  <w:pPr>
                    <w:widowControl/>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涉及集中式饮用水水源和热水、矿泉水、温泉等特殊地下水资源保护区。</w:t>
                  </w:r>
                </w:p>
              </w:tc>
              <w:tc>
                <w:tcPr>
                  <w:tcW w:w="1558" w:type="pct"/>
                  <w:noWrap w:val="0"/>
                  <w:vAlign w:val="center"/>
                </w:tcPr>
                <w:p>
                  <w:pPr>
                    <w:widowControl/>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本项目不涉及集中式饮用水水源和热水、矿泉水、温泉等特殊地下水资源保护区。</w:t>
                  </w:r>
                </w:p>
              </w:tc>
              <w:tc>
                <w:tcPr>
                  <w:tcW w:w="558" w:type="pct"/>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bl>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32"/>
                <w:lang w:val="zh-CN"/>
                <w14:textFill>
                  <w14:solidFill>
                    <w14:schemeClr w14:val="tx1"/>
                  </w14:solidFill>
                </w14:textFill>
              </w:rPr>
            </w:pPr>
            <w:r>
              <w:rPr>
                <w:rFonts w:hint="default" w:ascii="Times New Roman" w:hAnsi="Times New Roman" w:eastAsia="宋体" w:cs="Times New Roman"/>
                <w:b w:val="0"/>
                <w:bCs/>
                <w:sz w:val="24"/>
                <w:szCs w:val="24"/>
              </w:rPr>
              <w:t>综上所述</w:t>
            </w:r>
            <w:r>
              <w:rPr>
                <w:rFonts w:hint="eastAsia" w:cs="Times New Roman"/>
                <w:b w:val="0"/>
                <w:bCs/>
                <w:sz w:val="24"/>
                <w:szCs w:val="24"/>
                <w:lang w:eastAsia="zh-CN"/>
              </w:rPr>
              <w:t>，</w:t>
            </w:r>
            <w:r>
              <w:rPr>
                <w:rFonts w:hint="default" w:ascii="Times New Roman" w:hAnsi="Times New Roman" w:eastAsia="宋体" w:cs="Times New Roman"/>
                <w:b w:val="0"/>
                <w:bCs/>
                <w:sz w:val="24"/>
                <w:szCs w:val="24"/>
              </w:rPr>
              <w:t>根据对照结果可知</w:t>
            </w:r>
            <w:r>
              <w:rPr>
                <w:rFonts w:hint="eastAsia" w:cs="Times New Roman"/>
                <w:b w:val="0"/>
                <w:bCs/>
                <w:sz w:val="24"/>
                <w:szCs w:val="24"/>
                <w:lang w:eastAsia="zh-CN"/>
              </w:rPr>
              <w:t>，</w:t>
            </w:r>
            <w:r>
              <w:rPr>
                <w:rFonts w:hint="default" w:ascii="Times New Roman" w:hAnsi="Times New Roman" w:eastAsia="宋体" w:cs="Times New Roman"/>
                <w:b w:val="0"/>
                <w:bCs/>
                <w:sz w:val="24"/>
                <w:szCs w:val="24"/>
              </w:rPr>
              <w:t>本项目不涉及专项评价。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591" w:type="dxa"/>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规划情况</w:t>
            </w:r>
          </w:p>
        </w:tc>
        <w:tc>
          <w:tcPr>
            <w:tcW w:w="7255" w:type="dxa"/>
            <w:gridSpan w:val="3"/>
            <w:vAlign w:val="center"/>
          </w:tcPr>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32"/>
                <w:lang w:val="zh-CN"/>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规划名称：</w:t>
            </w:r>
            <w:r>
              <w:rPr>
                <w:rFonts w:hint="default" w:ascii="Times New Roman" w:hAnsi="Times New Roman" w:eastAsia="宋体" w:cs="Times New Roman"/>
                <w:color w:val="000000" w:themeColor="text1"/>
                <w:sz w:val="24"/>
                <w:szCs w:val="32"/>
                <w:lang w:val="zh-CN"/>
                <w14:textFill>
                  <w14:solidFill>
                    <w14:schemeClr w14:val="tx1"/>
                  </w14:solidFill>
                </w14:textFill>
              </w:rPr>
              <w:t>晋宁工业园区总体规划修（2012-2030）</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32"/>
                <w:lang w:val="zh-CN"/>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审批</w:t>
            </w:r>
            <w:r>
              <w:rPr>
                <w:rFonts w:hint="default" w:ascii="Times New Roman" w:hAnsi="Times New Roman" w:eastAsia="宋体" w:cs="Times New Roman"/>
                <w:color w:val="000000" w:themeColor="text1"/>
                <w:sz w:val="24"/>
                <w:szCs w:val="32"/>
                <w:lang w:val="zh-CN"/>
                <w14:textFill>
                  <w14:solidFill>
                    <w14:schemeClr w14:val="tx1"/>
                  </w14:solidFill>
                </w14:textFill>
              </w:rPr>
              <w:t>机关：</w:t>
            </w:r>
            <w:r>
              <w:rPr>
                <w:rFonts w:hint="default" w:ascii="Times New Roman" w:hAnsi="Times New Roman" w:eastAsia="宋体" w:cs="Times New Roman"/>
                <w:color w:val="000000" w:themeColor="text1"/>
                <w:sz w:val="24"/>
                <w:szCs w:val="32"/>
                <w14:textFill>
                  <w14:solidFill>
                    <w14:schemeClr w14:val="tx1"/>
                  </w14:solidFill>
                </w14:textFill>
              </w:rPr>
              <w:t>云南省工业和信息化委员会</w:t>
            </w:r>
            <w:r>
              <w:rPr>
                <w:rFonts w:hint="default" w:ascii="Times New Roman" w:hAnsi="Times New Roman" w:eastAsia="宋体" w:cs="Times New Roman"/>
                <w:color w:val="000000" w:themeColor="text1"/>
                <w:sz w:val="24"/>
                <w:szCs w:val="32"/>
                <w:lang w:val="zh-CN"/>
                <w14:textFill>
                  <w14:solidFill>
                    <w14:schemeClr w14:val="tx1"/>
                  </w14:solidFill>
                </w14:textFill>
              </w:rPr>
              <w:t>；</w:t>
            </w:r>
          </w:p>
          <w:p>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审批</w:t>
            </w:r>
            <w:r>
              <w:rPr>
                <w:rFonts w:hint="default" w:ascii="Times New Roman" w:hAnsi="Times New Roman" w:eastAsia="宋体" w:cs="Times New Roman"/>
                <w:color w:val="000000" w:themeColor="text1"/>
                <w:sz w:val="24"/>
                <w:szCs w:val="32"/>
                <w:lang w:val="zh-CN"/>
                <w14:textFill>
                  <w14:solidFill>
                    <w14:schemeClr w14:val="tx1"/>
                  </w14:solidFill>
                </w14:textFill>
              </w:rPr>
              <w:t>文件</w:t>
            </w:r>
            <w:r>
              <w:rPr>
                <w:rFonts w:hint="default" w:ascii="Times New Roman" w:hAnsi="Times New Roman" w:eastAsia="宋体" w:cs="Times New Roman"/>
                <w:color w:val="000000" w:themeColor="text1"/>
                <w:sz w:val="24"/>
                <w:szCs w:val="32"/>
                <w14:textFill>
                  <w14:solidFill>
                    <w14:schemeClr w14:val="tx1"/>
                  </w14:solidFill>
                </w14:textFill>
              </w:rPr>
              <w:t>名称及文号</w:t>
            </w:r>
            <w:r>
              <w:rPr>
                <w:rFonts w:hint="default" w:ascii="Times New Roman" w:hAnsi="Times New Roman" w:eastAsia="宋体" w:cs="Times New Roman"/>
                <w:color w:val="000000" w:themeColor="text1"/>
                <w:sz w:val="24"/>
                <w:szCs w:val="32"/>
                <w:lang w:val="zh-CN"/>
                <w14:textFill>
                  <w14:solidFill>
                    <w14:schemeClr w14:val="tx1"/>
                  </w14:solidFill>
                </w14:textFill>
              </w:rPr>
              <w:t>：“</w:t>
            </w:r>
            <w:r>
              <w:rPr>
                <w:rFonts w:hint="default" w:ascii="Times New Roman" w:hAnsi="Times New Roman" w:eastAsia="宋体" w:cs="Times New Roman"/>
                <w:color w:val="000000" w:themeColor="text1"/>
                <w:sz w:val="24"/>
                <w:szCs w:val="32"/>
                <w14:textFill>
                  <w14:solidFill>
                    <w14:schemeClr w14:val="tx1"/>
                  </w14:solidFill>
                </w14:textFill>
              </w:rPr>
              <w:t>云南省工业和信息化委员</w:t>
            </w:r>
            <w:r>
              <w:rPr>
                <w:rFonts w:hint="default" w:ascii="Times New Roman" w:hAnsi="Times New Roman" w:eastAsia="宋体" w:cs="Times New Roman"/>
                <w:color w:val="000000" w:themeColor="text1"/>
                <w:sz w:val="24"/>
                <w:szCs w:val="32"/>
                <w:lang w:val="zh-CN"/>
                <w14:textFill>
                  <w14:solidFill>
                    <w14:schemeClr w14:val="tx1"/>
                  </w14:solidFill>
                </w14:textFill>
              </w:rPr>
              <w:t>关于云南晋宁工业园区总体规划修编</w:t>
            </w:r>
            <w:r>
              <w:rPr>
                <w:rFonts w:hint="default" w:ascii="Times New Roman" w:hAnsi="Times New Roman" w:eastAsia="宋体" w:cs="Times New Roman"/>
                <w:color w:val="000000" w:themeColor="text1"/>
                <w:sz w:val="24"/>
                <w:szCs w:val="32"/>
                <w14:textFill>
                  <w14:solidFill>
                    <w14:schemeClr w14:val="tx1"/>
                  </w14:solidFill>
                </w14:textFill>
              </w:rPr>
              <w:t>给予以备案</w:t>
            </w:r>
            <w:r>
              <w:rPr>
                <w:rFonts w:hint="default" w:ascii="Times New Roman" w:hAnsi="Times New Roman" w:eastAsia="宋体" w:cs="Times New Roman"/>
                <w:color w:val="000000" w:themeColor="text1"/>
                <w:sz w:val="24"/>
                <w:szCs w:val="32"/>
                <w:lang w:val="zh-CN"/>
                <w14:textFill>
                  <w14:solidFill>
                    <w14:schemeClr w14:val="tx1"/>
                  </w14:solidFill>
                </w14:textFill>
              </w:rPr>
              <w:t>的</w:t>
            </w:r>
            <w:r>
              <w:rPr>
                <w:rFonts w:hint="default" w:ascii="Times New Roman" w:hAnsi="Times New Roman" w:eastAsia="宋体" w:cs="Times New Roman"/>
                <w:color w:val="000000" w:themeColor="text1"/>
                <w:sz w:val="24"/>
                <w:szCs w:val="32"/>
                <w14:textFill>
                  <w14:solidFill>
                    <w14:schemeClr w14:val="tx1"/>
                  </w14:solidFill>
                </w14:textFill>
              </w:rPr>
              <w:t>意见</w:t>
            </w:r>
            <w:r>
              <w:rPr>
                <w:rFonts w:hint="default" w:ascii="Times New Roman" w:hAnsi="Times New Roman" w:eastAsia="宋体" w:cs="Times New Roman"/>
                <w:color w:val="000000" w:themeColor="text1"/>
                <w:sz w:val="24"/>
                <w:szCs w:val="32"/>
                <w:lang w:val="zh-CN"/>
                <w14:textFill>
                  <w14:solidFill>
                    <w14:schemeClr w14:val="tx1"/>
                  </w14:solidFill>
                </w14:textFill>
              </w:rPr>
              <w:t>”（</w:t>
            </w:r>
            <w:r>
              <w:rPr>
                <w:rFonts w:hint="default" w:ascii="Times New Roman" w:hAnsi="Times New Roman" w:eastAsia="宋体" w:cs="Times New Roman"/>
                <w:color w:val="000000" w:themeColor="text1"/>
                <w:sz w:val="24"/>
                <w:szCs w:val="32"/>
                <w14:textFill>
                  <w14:solidFill>
                    <w14:schemeClr w14:val="tx1"/>
                  </w14:solidFill>
                </w14:textFill>
              </w:rPr>
              <w:t>园区</w:t>
            </w:r>
            <w:r>
              <w:rPr>
                <w:rFonts w:hint="default" w:ascii="Times New Roman" w:hAnsi="Times New Roman" w:eastAsia="宋体" w:cs="Times New Roman"/>
                <w:color w:val="000000" w:themeColor="text1"/>
                <w:sz w:val="24"/>
                <w:szCs w:val="32"/>
                <w:lang w:val="zh-CN"/>
                <w14:textFill>
                  <w14:solidFill>
                    <w14:schemeClr w14:val="tx1"/>
                  </w14:solidFill>
                </w14:textFill>
              </w:rPr>
              <w:t>【20</w:t>
            </w:r>
            <w:r>
              <w:rPr>
                <w:rFonts w:hint="default" w:ascii="Times New Roman" w:hAnsi="Times New Roman" w:eastAsia="宋体" w:cs="Times New Roman"/>
                <w:color w:val="000000" w:themeColor="text1"/>
                <w:sz w:val="24"/>
                <w:szCs w:val="32"/>
                <w14:textFill>
                  <w14:solidFill>
                    <w14:schemeClr w14:val="tx1"/>
                  </w14:solidFill>
                </w14:textFill>
              </w:rPr>
              <w:t>12</w:t>
            </w:r>
            <w:r>
              <w:rPr>
                <w:rFonts w:hint="default" w:ascii="Times New Roman" w:hAnsi="Times New Roman" w:eastAsia="宋体" w:cs="Times New Roman"/>
                <w:color w:val="000000" w:themeColor="text1"/>
                <w:sz w:val="24"/>
                <w:szCs w:val="32"/>
                <w:lang w:val="zh-CN"/>
                <w14:textFill>
                  <w14:solidFill>
                    <w14:schemeClr w14:val="tx1"/>
                  </w14:solidFill>
                </w14:textFill>
              </w:rPr>
              <w:t>】</w:t>
            </w:r>
            <w:r>
              <w:rPr>
                <w:rFonts w:hint="default" w:ascii="Times New Roman" w:hAnsi="Times New Roman" w:eastAsia="宋体" w:cs="Times New Roman"/>
                <w:color w:val="000000" w:themeColor="text1"/>
                <w:sz w:val="24"/>
                <w:szCs w:val="32"/>
                <w14:textFill>
                  <w14:solidFill>
                    <w14:schemeClr w14:val="tx1"/>
                  </w14:solidFill>
                </w14:textFill>
              </w:rPr>
              <w:t>684</w:t>
            </w:r>
            <w:r>
              <w:rPr>
                <w:rFonts w:hint="default" w:ascii="Times New Roman" w:hAnsi="Times New Roman" w:eastAsia="宋体" w:cs="Times New Roman"/>
                <w:color w:val="000000" w:themeColor="text1"/>
                <w:sz w:val="24"/>
                <w:szCs w:val="32"/>
                <w:lang w:val="zh-CN"/>
                <w14:textFill>
                  <w14:solidFill>
                    <w14:schemeClr w14:val="tx1"/>
                  </w14:solidFill>
                </w14:textFill>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91" w:type="dxa"/>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规划环境影响评价情况</w:t>
            </w:r>
          </w:p>
        </w:tc>
        <w:tc>
          <w:tcPr>
            <w:tcW w:w="7255" w:type="dxa"/>
            <w:gridSpan w:val="3"/>
            <w:vAlign w:val="center"/>
          </w:tcPr>
          <w:p>
            <w:pPr>
              <w:spacing w:line="360" w:lineRule="auto"/>
              <w:ind w:firstLine="480" w:firstLineChars="200"/>
              <w:rPr>
                <w:rFonts w:hint="default" w:ascii="Times New Roman" w:hAnsi="Times New Roman" w:eastAsia="宋体" w:cs="Times New Roman"/>
                <w:color w:val="000000" w:themeColor="text1"/>
                <w:sz w:val="24"/>
                <w:lang w:val="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1、规划环境影响评价文件名称：</w:t>
            </w:r>
            <w:r>
              <w:rPr>
                <w:rFonts w:hint="default" w:ascii="Times New Roman" w:hAnsi="Times New Roman" w:eastAsia="宋体" w:cs="Times New Roman"/>
                <w:color w:val="000000" w:themeColor="text1"/>
                <w:sz w:val="24"/>
                <w:lang w:val="zh-CN"/>
                <w14:textFill>
                  <w14:solidFill>
                    <w14:schemeClr w14:val="tx1"/>
                  </w14:solidFill>
                </w14:textFill>
              </w:rPr>
              <w:t>《晋宁工业园区总体规划修编（2012-2030）环境影响报告书》；</w:t>
            </w:r>
          </w:p>
          <w:p>
            <w:pPr>
              <w:spacing w:line="360" w:lineRule="auto"/>
              <w:ind w:firstLine="480" w:firstLineChars="200"/>
              <w:rPr>
                <w:rFonts w:hint="default" w:ascii="Times New Roman" w:hAnsi="Times New Roman" w:eastAsia="宋体" w:cs="Times New Roman"/>
                <w:color w:val="000000" w:themeColor="text1"/>
                <w:sz w:val="24"/>
                <w:lang w:val="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w:t>
            </w:r>
            <w:r>
              <w:rPr>
                <w:rFonts w:hint="default" w:ascii="Times New Roman" w:hAnsi="Times New Roman" w:eastAsia="宋体" w:cs="Times New Roman"/>
                <w:color w:val="000000" w:themeColor="text1"/>
                <w:sz w:val="24"/>
                <w:lang w:val="zh-CN"/>
                <w14:textFill>
                  <w14:solidFill>
                    <w14:schemeClr w14:val="tx1"/>
                  </w14:solidFill>
                </w14:textFill>
              </w:rPr>
              <w:t>召集审查机关：云南省生态环境厅；</w:t>
            </w:r>
          </w:p>
          <w:p>
            <w:pPr>
              <w:pStyle w:val="45"/>
              <w:spacing w:line="360" w:lineRule="auto"/>
              <w:ind w:firstLine="480" w:firstLineChars="200"/>
              <w:jc w:val="both"/>
              <w:rPr>
                <w:rFonts w:hint="default" w:ascii="Times New Roman" w:hAnsi="Times New Roman" w:eastAsia="宋体" w:cs="Times New Roman"/>
                <w:color w:val="000000" w:themeColor="text1"/>
                <w:sz w:val="24"/>
                <w:lang w:val="en-US"/>
                <w14:textFill>
                  <w14:solidFill>
                    <w14:schemeClr w14:val="tx1"/>
                  </w14:solidFill>
                </w14:textFill>
              </w:rPr>
            </w:pPr>
            <w:r>
              <w:rPr>
                <w:rFonts w:hint="default" w:ascii="Times New Roman" w:hAnsi="Times New Roman" w:eastAsia="宋体" w:cs="Times New Roman"/>
                <w:color w:val="000000" w:themeColor="text1"/>
                <w:sz w:val="24"/>
                <w:lang w:val="en-US"/>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审查文件：“云南省环境保护厅关于晋宁工业园区总体规划修编（2012-2030）环境影响报告书审查意见的函”（云环函【2014】131号）。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591" w:type="dxa"/>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规划及规划环境影响评价符合性分析</w:t>
            </w:r>
          </w:p>
        </w:tc>
        <w:tc>
          <w:tcPr>
            <w:tcW w:w="7255" w:type="dxa"/>
            <w:gridSpan w:val="3"/>
            <w:vAlign w:val="center"/>
          </w:tcPr>
          <w:p>
            <w:pPr>
              <w:spacing w:line="360" w:lineRule="auto"/>
              <w:ind w:firstLine="482" w:firstLineChars="200"/>
              <w:rPr>
                <w:rFonts w:hint="default" w:ascii="Times New Roman" w:hAnsi="Times New Roman" w:eastAsia="宋体" w:cs="Times New Roman"/>
                <w:b/>
                <w:bCs/>
                <w:color w:val="000000" w:themeColor="text1"/>
                <w:sz w:val="24"/>
                <w:lang w:val="zh-CN"/>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w:t>
            </w:r>
            <w:r>
              <w:rPr>
                <w:rFonts w:hint="default" w:ascii="Times New Roman" w:hAnsi="Times New Roman" w:eastAsia="宋体" w:cs="Times New Roman"/>
                <w:b/>
                <w:bCs/>
                <w:color w:val="000000" w:themeColor="text1"/>
                <w:sz w:val="24"/>
                <w:lang w:val="zh-CN"/>
                <w14:textFill>
                  <w14:solidFill>
                    <w14:schemeClr w14:val="tx1"/>
                  </w14:solidFill>
                </w14:textFill>
              </w:rPr>
              <w:t>与《晋宁工业园区总体规划修编（2012-2030）环境影响报告书》相符性分析</w:t>
            </w:r>
          </w:p>
          <w:p>
            <w:pPr>
              <w:spacing w:line="360" w:lineRule="auto"/>
              <w:ind w:firstLine="48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1"/>
                <w:sz w:val="24"/>
                <w14:textFill>
                  <w14:solidFill>
                    <w14:schemeClr w14:val="tx1"/>
                  </w14:solidFill>
                </w14:textFill>
              </w:rPr>
              <w:t>本项目位于晋宁工业园区二街基地</w:t>
            </w:r>
            <w:r>
              <w:rPr>
                <w:rFonts w:hint="eastAsia" w:cs="Times New Roman"/>
                <w:color w:val="000000" w:themeColor="text1"/>
                <w:spacing w:val="-1"/>
                <w:sz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14:textFill>
                  <w14:solidFill>
                    <w14:schemeClr w14:val="tx1"/>
                  </w14:solidFill>
                </w14:textFill>
              </w:rPr>
              <w:t>根据《晋宁工业园区总体规划修编（2012-2030）</w:t>
            </w:r>
            <w:r>
              <w:rPr>
                <w:rFonts w:hint="default" w:ascii="Times New Roman" w:hAnsi="Times New Roman" w:eastAsia="宋体" w:cs="Times New Roman"/>
                <w:color w:val="000000" w:themeColor="text1"/>
                <w:sz w:val="24"/>
                <w:lang w:val="zh-CN"/>
                <w14:textFill>
                  <w14:solidFill>
                    <w14:schemeClr w14:val="tx1"/>
                  </w14:solidFill>
                </w14:textFill>
              </w:rPr>
              <w:t>环境影响报告书</w:t>
            </w:r>
            <w:r>
              <w:rPr>
                <w:rFonts w:hint="default" w:ascii="Times New Roman" w:hAnsi="Times New Roman" w:eastAsia="宋体" w:cs="Times New Roman"/>
                <w:color w:val="000000" w:themeColor="text1"/>
                <w:spacing w:val="-1"/>
                <w:sz w:val="24"/>
                <w14:textFill>
                  <w14:solidFill>
                    <w14:schemeClr w14:val="tx1"/>
                  </w14:solidFill>
                </w14:textFill>
              </w:rPr>
              <w:t>》。</w:t>
            </w:r>
          </w:p>
          <w:p>
            <w:pPr>
              <w:pStyle w:val="45"/>
              <w:spacing w:line="360" w:lineRule="auto"/>
              <w:ind w:firstLine="482" w:firstLineChars="200"/>
              <w:jc w:val="both"/>
              <w:rPr>
                <w:rFonts w:hint="default" w:ascii="Times New Roman" w:hAnsi="Times New Roman" w:eastAsia="宋体" w:cs="Times New Roman"/>
                <w:color w:val="000000" w:themeColor="text1"/>
                <w:spacing w:val="-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产业</w:t>
            </w:r>
            <w:r>
              <w:rPr>
                <w:rFonts w:hint="default" w:ascii="Times New Roman" w:hAnsi="Times New Roman" w:eastAsia="宋体" w:cs="Times New Roman"/>
                <w:b/>
                <w:bCs/>
                <w:color w:val="000000" w:themeColor="text1"/>
                <w:sz w:val="24"/>
                <w:lang w:val="en-US"/>
                <w14:textFill>
                  <w14:solidFill>
                    <w14:schemeClr w14:val="tx1"/>
                  </w14:solidFill>
                </w14:textFill>
              </w:rPr>
              <w:t>规划</w:t>
            </w:r>
            <w:r>
              <w:rPr>
                <w:rFonts w:hint="default" w:ascii="Times New Roman" w:hAnsi="Times New Roman" w:eastAsia="宋体" w:cs="Times New Roman"/>
                <w:b/>
                <w:bCs/>
                <w:color w:val="000000" w:themeColor="text1"/>
                <w:spacing w:val="-1"/>
                <w:sz w:val="24"/>
                <w14:textFill>
                  <w14:solidFill>
                    <w14:schemeClr w14:val="tx1"/>
                  </w14:solidFill>
                </w14:textFill>
              </w:rPr>
              <w:t>为</w:t>
            </w:r>
            <w:r>
              <w:rPr>
                <w:rFonts w:hint="default" w:ascii="Times New Roman" w:hAnsi="Times New Roman" w:eastAsia="宋体" w:cs="Times New Roman"/>
                <w:color w:val="000000" w:themeColor="text1"/>
                <w:spacing w:val="-1"/>
                <w:sz w:val="24"/>
                <w14:textFill>
                  <w14:solidFill>
                    <w14:schemeClr w14:val="tx1"/>
                  </w14:solidFill>
                </w14:textFill>
              </w:rPr>
              <w:t>：云南乃至中国西南的国家重点磷化工产业园、有色金属产业园。规划功能布局为：形成以精细磷化工产业、装备制造产业、有色金属产业为主导产业</w:t>
            </w:r>
            <w:r>
              <w:rPr>
                <w:rFonts w:hint="eastAsia" w:ascii="Times New Roman" w:hAnsi="Times New Roman" w:cs="Times New Roman"/>
                <w:color w:val="000000" w:themeColor="text1"/>
                <w:spacing w:val="-1"/>
                <w:sz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14:textFill>
                  <w14:solidFill>
                    <w14:schemeClr w14:val="tx1"/>
                  </w14:solidFill>
                </w14:textFill>
              </w:rPr>
              <w:t>以生物资源加工、家具制造、建材产业、商贸物流为辅助和配套产业的格局</w:t>
            </w:r>
            <w:r>
              <w:rPr>
                <w:rFonts w:hint="eastAsia" w:ascii="Times New Roman" w:hAnsi="Times New Roman" w:cs="Times New Roman"/>
                <w:color w:val="000000" w:themeColor="text1"/>
                <w:spacing w:val="-1"/>
                <w:sz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14:textFill>
                  <w14:solidFill>
                    <w14:schemeClr w14:val="tx1"/>
                  </w14:solidFill>
                </w14:textFill>
              </w:rPr>
              <w:t>重点发展壮大优势产业</w:t>
            </w:r>
            <w:r>
              <w:rPr>
                <w:rFonts w:hint="eastAsia" w:ascii="Times New Roman" w:hAnsi="Times New Roman" w:cs="Times New Roman"/>
                <w:color w:val="000000" w:themeColor="text1"/>
                <w:spacing w:val="-1"/>
                <w:sz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14:textFill>
                  <w14:solidFill>
                    <w14:schemeClr w14:val="tx1"/>
                  </w14:solidFill>
                </w14:textFill>
              </w:rPr>
              <w:t>改造提升传统产业</w:t>
            </w:r>
            <w:r>
              <w:rPr>
                <w:rFonts w:hint="eastAsia" w:ascii="Times New Roman" w:hAnsi="Times New Roman" w:cs="Times New Roman"/>
                <w:color w:val="000000" w:themeColor="text1"/>
                <w:spacing w:val="-1"/>
                <w:sz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14:textFill>
                  <w14:solidFill>
                    <w14:schemeClr w14:val="tx1"/>
                  </w14:solidFill>
                </w14:textFill>
              </w:rPr>
              <w:t>加快发展新兴产业。</w:t>
            </w:r>
          </w:p>
          <w:p>
            <w:pPr>
              <w:pStyle w:val="45"/>
              <w:spacing w:line="360" w:lineRule="auto"/>
              <w:ind w:firstLine="476" w:firstLineChars="200"/>
              <w:jc w:val="both"/>
              <w:rPr>
                <w:rFonts w:hint="default" w:ascii="Times New Roman" w:hAnsi="Times New Roman" w:eastAsia="宋体" w:cs="Times New Roman"/>
                <w:color w:val="000000" w:themeColor="text1"/>
                <w:spacing w:val="-1"/>
                <w:sz w:val="24"/>
                <w14:textFill>
                  <w14:solidFill>
                    <w14:schemeClr w14:val="tx1"/>
                  </w14:solidFill>
                </w14:textFill>
              </w:rPr>
            </w:pPr>
            <w:r>
              <w:rPr>
                <w:rFonts w:hint="default" w:ascii="Times New Roman" w:hAnsi="Times New Roman" w:eastAsia="宋体" w:cs="Times New Roman"/>
                <w:color w:val="000000" w:themeColor="text1"/>
                <w:spacing w:val="-1"/>
                <w:sz w:val="24"/>
                <w14:textFill>
                  <w14:solidFill>
                    <w14:schemeClr w14:val="tx1"/>
                  </w14:solidFill>
                </w14:textFill>
              </w:rPr>
              <w:t>本项目产品主要为</w:t>
            </w:r>
            <w:r>
              <w:rPr>
                <w:rFonts w:hint="default" w:ascii="Times New Roman" w:hAnsi="Times New Roman" w:eastAsia="宋体" w:cs="Times New Roman"/>
                <w:sz w:val="24"/>
              </w:rPr>
              <w:t>造纸添加剂</w:t>
            </w:r>
            <w:r>
              <w:rPr>
                <w:rFonts w:hint="default" w:ascii="Times New Roman" w:hAnsi="Times New Roman" w:eastAsia="宋体" w:cs="Times New Roman"/>
                <w:color w:val="000000" w:themeColor="text1"/>
                <w:spacing w:val="-1"/>
                <w:sz w:val="24"/>
                <w:lang w:eastAsia="zh-CN"/>
                <w14:textFill>
                  <w14:solidFill>
                    <w14:schemeClr w14:val="tx1"/>
                  </w14:solidFill>
                </w14:textFill>
              </w:rPr>
              <w:t>（AKD乳液、纸用增强剂、</w:t>
            </w:r>
            <w:r>
              <w:rPr>
                <w:rFonts w:hint="default" w:ascii="Times New Roman" w:hAnsi="Times New Roman" w:eastAsia="宋体" w:cs="Times New Roman"/>
                <w:color w:val="000000" w:themeColor="text1"/>
                <w:spacing w:val="-1"/>
                <w:sz w:val="24"/>
                <w14:textFill>
                  <w14:solidFill>
                    <w14:schemeClr w14:val="tx1"/>
                  </w14:solidFill>
                </w14:textFill>
              </w:rPr>
              <w:t>施胶剂、消泡剂、防水剂等</w:t>
            </w:r>
            <w:r>
              <w:rPr>
                <w:rFonts w:hint="default" w:ascii="Times New Roman" w:hAnsi="Times New Roman" w:eastAsia="宋体" w:cs="Times New Roman"/>
                <w:color w:val="000000" w:themeColor="text1"/>
                <w:spacing w:val="-1"/>
                <w:sz w:val="24"/>
                <w:lang w:eastAsia="zh-CN"/>
                <w14:textFill>
                  <w14:solidFill>
                    <w14:schemeClr w14:val="tx1"/>
                  </w14:solidFill>
                </w14:textFill>
              </w:rPr>
              <w:t>）</w:t>
            </w:r>
            <w:r>
              <w:rPr>
                <w:rFonts w:hint="eastAsia" w:ascii="Times New Roman" w:hAnsi="Times New Roman" w:cs="Times New Roman"/>
                <w:color w:val="000000" w:themeColor="text1"/>
                <w:spacing w:val="-1"/>
                <w:sz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14:textFill>
                  <w14:solidFill>
                    <w14:schemeClr w14:val="tx1"/>
                  </w14:solidFill>
                </w14:textFill>
              </w:rPr>
              <w:t>与</w:t>
            </w:r>
            <w:r>
              <w:rPr>
                <w:rFonts w:hint="default" w:ascii="Times New Roman" w:hAnsi="Times New Roman" w:eastAsia="宋体" w:cs="Times New Roman"/>
                <w:color w:val="000000" w:themeColor="text1"/>
                <w:spacing w:val="-1"/>
                <w:sz w:val="24"/>
                <w:lang w:val="en-US"/>
                <w14:textFill>
                  <w14:solidFill>
                    <w14:schemeClr w14:val="tx1"/>
                  </w14:solidFill>
                </w14:textFill>
              </w:rPr>
              <w:t>二街</w:t>
            </w:r>
            <w:r>
              <w:rPr>
                <w:rFonts w:hint="default" w:ascii="Times New Roman" w:hAnsi="Times New Roman" w:eastAsia="宋体" w:cs="Times New Roman"/>
                <w:color w:val="000000" w:themeColor="text1"/>
                <w:spacing w:val="-1"/>
                <w:sz w:val="24"/>
                <w14:textFill>
                  <w14:solidFill>
                    <w14:schemeClr w14:val="tx1"/>
                  </w14:solidFill>
                </w14:textFill>
              </w:rPr>
              <w:t>基地产业定位不冲突。</w:t>
            </w:r>
          </w:p>
          <w:p>
            <w:pPr>
              <w:pStyle w:val="45"/>
              <w:spacing w:line="360" w:lineRule="auto"/>
              <w:ind w:firstLine="480" w:firstLineChars="200"/>
              <w:jc w:val="both"/>
              <w:rPr>
                <w:rFonts w:hint="default" w:ascii="Times New Roman" w:hAnsi="Times New Roman" w:eastAsia="宋体" w:cs="Times New Roman"/>
                <w:color w:val="000000" w:themeColor="text1"/>
                <w:spacing w:val="-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w:t>
            </w:r>
            <w:r>
              <w:rPr>
                <w:rFonts w:hint="default" w:ascii="Times New Roman" w:hAnsi="Times New Roman" w:eastAsia="宋体" w:cs="Times New Roman"/>
                <w:color w:val="000000" w:themeColor="text1"/>
                <w:sz w:val="24"/>
                <w:szCs w:val="24"/>
                <w14:textFill>
                  <w14:solidFill>
                    <w14:schemeClr w14:val="tx1"/>
                  </w14:solidFill>
                </w14:textFill>
              </w:rPr>
              <w:t>据晋宁工业园区管理委员会出具的</w:t>
            </w:r>
            <w:r>
              <w:rPr>
                <w:rFonts w:hint="default" w:ascii="Times New Roman" w:hAnsi="Times New Roman" w:eastAsia="宋体" w:cs="Times New Roman"/>
                <w:color w:val="000000" w:themeColor="text1"/>
                <w:sz w:val="24"/>
                <w14:textFill>
                  <w14:solidFill>
                    <w14:schemeClr w14:val="tx1"/>
                  </w14:solidFill>
                </w14:textFill>
              </w:rPr>
              <w:t>入园批复（园区管委会复[</w:t>
            </w:r>
            <w:r>
              <w:rPr>
                <w:rFonts w:hint="default" w:ascii="Times New Roman" w:hAnsi="Times New Roman" w:eastAsia="宋体" w:cs="Times New Roman"/>
                <w:color w:val="000000" w:themeColor="text1"/>
                <w:sz w:val="24"/>
                <w:lang w:val="en-US" w:eastAsia="zh-CN"/>
                <w14:textFill>
                  <w14:solidFill>
                    <w14:schemeClr w14:val="tx1"/>
                  </w14:solidFill>
                </w14:textFill>
              </w:rPr>
              <w:t>2022</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107</w:t>
            </w:r>
            <w:r>
              <w:rPr>
                <w:rFonts w:hint="default" w:ascii="Times New Roman" w:hAnsi="Times New Roman" w:eastAsia="宋体" w:cs="Times New Roman"/>
                <w:color w:val="000000" w:themeColor="text1"/>
                <w:sz w:val="24"/>
                <w14:textFill>
                  <w14:solidFill>
                    <w14:schemeClr w14:val="tx1"/>
                  </w14:solidFill>
                </w14:textFill>
              </w:rPr>
              <w:t>号）（见附件2）</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同意本项目入驻。</w:t>
            </w:r>
          </w:p>
          <w:p>
            <w:pPr>
              <w:spacing w:line="360" w:lineRule="auto"/>
              <w:ind w:firstLine="482"/>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2、</w:t>
            </w:r>
            <w:r>
              <w:rPr>
                <w:rFonts w:hint="default" w:ascii="Times New Roman" w:hAnsi="Times New Roman" w:eastAsia="宋体" w:cs="Times New Roman"/>
                <w:b/>
                <w:bCs/>
                <w:color w:val="000000" w:themeColor="text1"/>
                <w:sz w:val="24"/>
                <w14:textFill>
                  <w14:solidFill>
                    <w14:schemeClr w14:val="tx1"/>
                  </w14:solidFill>
                </w14:textFill>
              </w:rPr>
              <w:t>与《晋宁工业园区总体规划修编（2012-2030）环境影响报告书》中对项目入驻原则及入住项目环保要求等的符合性分析</w:t>
            </w:r>
          </w:p>
          <w:p>
            <w:pPr>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由表可知</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项目符合《晋宁工业园区总体规划修编（2012-2030）环境影响报告书》的入驻原则以及项目环保要求。符合性分析见下表1-1。</w:t>
            </w:r>
          </w:p>
          <w:p>
            <w:pPr>
              <w:pStyle w:val="8"/>
              <w:keepNext/>
              <w:keepLines/>
              <w:rPr>
                <w:rFonts w:hint="default" w:ascii="Times New Roman" w:hAnsi="Times New Roman" w:eastAsia="宋体" w:cs="Times New Roman"/>
                <w:color w:val="000000" w:themeColor="text1"/>
                <w14:textFill>
                  <w14:solidFill>
                    <w14:schemeClr w14:val="tx1"/>
                  </w14:solidFill>
                </w14:textFill>
              </w:rPr>
            </w:pPr>
          </w:p>
          <w:p>
            <w:pPr>
              <w:pStyle w:val="8"/>
              <w:keepNext/>
              <w:keepLine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表1-1项目与《晋宁工业园区总体规划修编（2012-2030）环境影响报告书》中对项目入驻原则及入住项目环保要求等的符合性分析</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2079"/>
              <w:gridCol w:w="3562"/>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1" w:type="dxa"/>
                  <w:gridSpan w:val="2"/>
                  <w:vAlign w:val="center"/>
                </w:tcPr>
                <w:p>
                  <w:pPr>
                    <w:pStyle w:val="4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晋宁工业园区总体规划修编（2012-2030）环境影响报告书相关要求</w:t>
                  </w:r>
                </w:p>
              </w:tc>
              <w:tc>
                <w:tcPr>
                  <w:tcW w:w="3562" w:type="dxa"/>
                  <w:vAlign w:val="center"/>
                </w:tcPr>
                <w:p>
                  <w:pPr>
                    <w:pStyle w:val="4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w:t>
                  </w:r>
                </w:p>
              </w:tc>
              <w:tc>
                <w:tcPr>
                  <w:tcW w:w="833" w:type="dxa"/>
                  <w:vAlign w:val="center"/>
                </w:tcPr>
                <w:p>
                  <w:pPr>
                    <w:pStyle w:val="4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vMerge w:val="restart"/>
                  <w:vAlign w:val="center"/>
                </w:tcPr>
                <w:p>
                  <w:pPr>
                    <w:pStyle w:val="4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入驻企业原则</w:t>
                  </w:r>
                </w:p>
              </w:tc>
              <w:tc>
                <w:tcPr>
                  <w:tcW w:w="2079" w:type="dxa"/>
                  <w:vAlign w:val="center"/>
                </w:tcPr>
                <w:p>
                  <w:pPr>
                    <w:pStyle w:val="46"/>
                    <w:ind w:firstLine="210" w:firstLineChars="1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符合国家及云南省相关产业政策原则：规划区引进的项目</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其工艺、规模及产品应符合国家及云南省相关产业政策要求</w:t>
                  </w:r>
                </w:p>
              </w:tc>
              <w:tc>
                <w:tcPr>
                  <w:tcW w:w="3562" w:type="dxa"/>
                  <w:vAlign w:val="center"/>
                </w:tcPr>
                <w:p>
                  <w:pPr>
                    <w:pStyle w:val="46"/>
                    <w:ind w:firstLine="396"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w:t>
                  </w:r>
                  <w:r>
                    <w:rPr>
                      <w:rFonts w:hint="default" w:ascii="Times New Roman" w:hAnsi="Times New Roman" w:eastAsia="宋体" w:cs="Times New Roman"/>
                      <w:color w:val="000000" w:themeColor="text1"/>
                      <w14:textFill>
                        <w14:solidFill>
                          <w14:schemeClr w14:val="tx1"/>
                        </w14:solidFill>
                      </w14:textFill>
                    </w:rPr>
                    <w:t>项目符合</w:t>
                  </w:r>
                  <w:r>
                    <w:rPr>
                      <w:rFonts w:hint="default" w:ascii="Times New Roman" w:hAnsi="Times New Roman" w:eastAsia="宋体" w:cs="Times New Roman"/>
                      <w:color w:val="000000" w:themeColor="text1"/>
                      <w:lang w:val="zh-CN"/>
                      <w14:textFill>
                        <w14:solidFill>
                          <w14:schemeClr w14:val="tx1"/>
                        </w14:solidFill>
                      </w14:textFill>
                    </w:rPr>
                    <w:t>国家及云南省相关产业政策原则</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符合规划区</w:t>
                  </w:r>
                  <w:r>
                    <w:rPr>
                      <w:rFonts w:hint="default" w:ascii="Times New Roman" w:hAnsi="Times New Roman" w:eastAsia="宋体" w:cs="Times New Roman"/>
                      <w:color w:val="000000" w:themeColor="text1"/>
                      <w:lang w:val="zh-CN"/>
                      <w14:textFill>
                        <w14:solidFill>
                          <w14:schemeClr w14:val="tx1"/>
                        </w14:solidFill>
                      </w14:textFill>
                    </w:rPr>
                    <w:t>引进的项目</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其工艺、规模及产品符合</w:t>
                  </w:r>
                  <w:r>
                    <w:rPr>
                      <w:rFonts w:hint="default" w:ascii="Times New Roman" w:hAnsi="Times New Roman" w:eastAsia="宋体" w:cs="Times New Roman"/>
                      <w:color w:val="000000" w:themeColor="text1"/>
                      <w:lang w:val="zh-CN"/>
                      <w14:textFill>
                        <w14:solidFill>
                          <w14:schemeClr w14:val="tx1"/>
                        </w14:solidFill>
                      </w14:textFill>
                    </w:rPr>
                    <w:t>国家及云南省相关产业政策要求</w:t>
                  </w:r>
                </w:p>
              </w:tc>
              <w:tc>
                <w:tcPr>
                  <w:tcW w:w="833" w:type="dxa"/>
                  <w:vAlign w:val="center"/>
                </w:tcPr>
                <w:p>
                  <w:pPr>
                    <w:pStyle w:val="4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trPr>
              <w:tc>
                <w:tcPr>
                  <w:tcW w:w="552" w:type="dxa"/>
                  <w:vMerge w:val="continue"/>
                  <w:vAlign w:val="center"/>
                </w:tcPr>
                <w:p>
                  <w:pPr>
                    <w:pStyle w:val="46"/>
                    <w:rPr>
                      <w:rFonts w:hint="default" w:ascii="Times New Roman" w:hAnsi="Times New Roman" w:eastAsia="宋体" w:cs="Times New Roman"/>
                      <w:color w:val="000000" w:themeColor="text1"/>
                      <w:lang w:val="zh-CN"/>
                      <w14:textFill>
                        <w14:solidFill>
                          <w14:schemeClr w14:val="tx1"/>
                        </w14:solidFill>
                      </w14:textFill>
                    </w:rPr>
                  </w:pPr>
                </w:p>
              </w:tc>
              <w:tc>
                <w:tcPr>
                  <w:tcW w:w="2079" w:type="dxa"/>
                  <w:vAlign w:val="center"/>
                </w:tcPr>
                <w:p>
                  <w:pPr>
                    <w:pStyle w:val="46"/>
                    <w:ind w:firstLine="210" w:firstLineChars="1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有利于实现晋宁工业园区产业结构的原则：引进的项目</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应有利于实现晋宁工业园区产业结构</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有利于晋宁工业园区规划目标的达成；</w:t>
                  </w:r>
                </w:p>
              </w:tc>
              <w:tc>
                <w:tcPr>
                  <w:tcW w:w="3562" w:type="dxa"/>
                  <w:vAlign w:val="center"/>
                </w:tcPr>
                <w:p>
                  <w:pPr>
                    <w:pStyle w:val="46"/>
                    <w:ind w:firstLine="42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根据《晋宁工业园区总体规划修编（2012—2030</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zh-CN"/>
                      <w14:textFill>
                        <w14:solidFill>
                          <w14:schemeClr w14:val="tx1"/>
                        </w14:solidFill>
                      </w14:textFill>
                    </w:rPr>
                    <w:t>环境影响报告书</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晋宁工业园区产业发展方向为：形成以精细磷化工产业、装备制造产业、有色金属产业为主</w:t>
                  </w:r>
                  <w:r>
                    <w:rPr>
                      <w:rFonts w:hint="default" w:ascii="Times New Roman" w:hAnsi="Times New Roman" w:eastAsia="宋体" w:cs="Times New Roman"/>
                      <w:color w:val="000000" w:themeColor="text1"/>
                      <w14:textFill>
                        <w14:solidFill>
                          <w14:schemeClr w14:val="tx1"/>
                        </w14:solidFill>
                      </w14:textFill>
                    </w:rPr>
                    <w:t>导产业</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以生物资源加工、家具制造、建材产业、商贸物流为辅助和配套产业的格局</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重点发展壮大优势产业</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改造提升传统产业</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加快发展新兴产业。</w:t>
                  </w:r>
                </w:p>
                <w:p>
                  <w:pPr>
                    <w:pStyle w:val="46"/>
                    <w:ind w:firstLine="420" w:firstLineChars="200"/>
                    <w:jc w:val="both"/>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本项目与二街基地规划性质不相冲突。符合</w:t>
                  </w:r>
                  <w:r>
                    <w:rPr>
                      <w:rFonts w:hint="default" w:ascii="Times New Roman" w:hAnsi="Times New Roman" w:eastAsia="宋体" w:cs="Times New Roman"/>
                      <w:color w:val="000000" w:themeColor="text1"/>
                      <w:lang w:val="zh-CN"/>
                      <w14:textFill>
                        <w14:solidFill>
                          <w14:schemeClr w14:val="tx1"/>
                        </w14:solidFill>
                      </w14:textFill>
                    </w:rPr>
                    <w:t>晋宁工业园区规划</w:t>
                  </w:r>
                  <w:r>
                    <w:rPr>
                      <w:rFonts w:hint="default" w:ascii="Times New Roman" w:hAnsi="Times New Roman" w:eastAsia="宋体" w:cs="Times New Roman"/>
                      <w:color w:val="000000" w:themeColor="text1"/>
                      <w14:textFill>
                        <w14:solidFill>
                          <w14:schemeClr w14:val="tx1"/>
                        </w14:solidFill>
                      </w14:textFill>
                    </w:rPr>
                    <w:t>的要求。本项目有利于实现晋宁工业园区产业结构的原则；本项目有利于实现晋宁工业园区产业结构</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有利于晋宁工业园区规划目标的达成</w:t>
                  </w:r>
                  <w:r>
                    <w:rPr>
                      <w:rFonts w:hint="eastAsia" w:cs="Times New Roman"/>
                      <w:color w:val="000000" w:themeColor="text1"/>
                      <w:lang w:eastAsia="zh-CN"/>
                      <w14:textFill>
                        <w14:solidFill>
                          <w14:schemeClr w14:val="tx1"/>
                        </w14:solidFill>
                      </w14:textFill>
                    </w:rPr>
                    <w:t>，</w:t>
                  </w:r>
                </w:p>
              </w:tc>
              <w:tc>
                <w:tcPr>
                  <w:tcW w:w="833" w:type="dxa"/>
                  <w:vAlign w:val="center"/>
                </w:tcPr>
                <w:p>
                  <w:pPr>
                    <w:pStyle w:val="4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vMerge w:val="continue"/>
                  <w:vAlign w:val="center"/>
                </w:tcPr>
                <w:p>
                  <w:pPr>
                    <w:pStyle w:val="46"/>
                    <w:rPr>
                      <w:rFonts w:hint="default" w:ascii="Times New Roman" w:hAnsi="Times New Roman" w:eastAsia="宋体" w:cs="Times New Roman"/>
                      <w:color w:val="000000" w:themeColor="text1"/>
                      <w:lang w:val="zh-CN"/>
                      <w14:textFill>
                        <w14:solidFill>
                          <w14:schemeClr w14:val="tx1"/>
                        </w14:solidFill>
                      </w14:textFill>
                    </w:rPr>
                  </w:pPr>
                </w:p>
              </w:tc>
              <w:tc>
                <w:tcPr>
                  <w:tcW w:w="2079" w:type="dxa"/>
                  <w:vAlign w:val="center"/>
                </w:tcPr>
                <w:p>
                  <w:pPr>
                    <w:pStyle w:val="46"/>
                    <w:ind w:firstLine="210" w:firstLineChars="1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资源节约原则：引进的项目应能够满足资源节约的原则</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清洁生产水平应达到国内先进水平以上；</w:t>
                  </w:r>
                </w:p>
              </w:tc>
              <w:tc>
                <w:tcPr>
                  <w:tcW w:w="3562" w:type="dxa"/>
                  <w:vAlign w:val="center"/>
                </w:tcPr>
                <w:p>
                  <w:pPr>
                    <w:pStyle w:val="46"/>
                    <w:spacing w:line="360" w:lineRule="auto"/>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本项目满足资源节约的原则</w:t>
                  </w:r>
                  <w:r>
                    <w:rPr>
                      <w:rFonts w:hint="eastAsia"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项目清洁生产水平可达到国内先进水平</w:t>
                  </w:r>
                </w:p>
              </w:tc>
              <w:tc>
                <w:tcPr>
                  <w:tcW w:w="833" w:type="dxa"/>
                  <w:vAlign w:val="center"/>
                </w:tcPr>
                <w:p>
                  <w:pPr>
                    <w:pStyle w:val="4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52" w:type="dxa"/>
                  <w:vMerge w:val="restart"/>
                  <w:vAlign w:val="center"/>
                </w:tcPr>
                <w:p>
                  <w:pPr>
                    <w:pStyle w:val="46"/>
                    <w:rPr>
                      <w:rFonts w:hint="default" w:ascii="Times New Roman" w:hAnsi="Times New Roman" w:eastAsia="宋体" w:cs="Times New Roman"/>
                      <w:color w:val="000000" w:themeColor="text1"/>
                      <w14:textFill>
                        <w14:solidFill>
                          <w14:schemeClr w14:val="tx1"/>
                        </w14:solidFill>
                      </w14:textFill>
                    </w:rPr>
                  </w:pPr>
                </w:p>
                <w:p>
                  <w:pPr>
                    <w:pStyle w:val="4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入驻企业环保要求</w:t>
                  </w:r>
                </w:p>
              </w:tc>
              <w:tc>
                <w:tcPr>
                  <w:tcW w:w="2079" w:type="dxa"/>
                  <w:vAlign w:val="center"/>
                </w:tcPr>
                <w:p>
                  <w:pPr>
                    <w:pStyle w:val="46"/>
                    <w:ind w:firstLine="210" w:firstLineChars="1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项目必须实现达标排放</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同时满足规划区总量控制要求；</w:t>
                  </w:r>
                </w:p>
              </w:tc>
              <w:tc>
                <w:tcPr>
                  <w:tcW w:w="3562" w:type="dxa"/>
                  <w:vAlign w:val="center"/>
                </w:tcPr>
                <w:p>
                  <w:pPr>
                    <w:pStyle w:val="46"/>
                    <w:ind w:firstLine="420" w:firstLineChars="200"/>
                    <w:jc w:val="both"/>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本项目项目生产过程中需要AKD蜡热熔后的冷却用水</w:t>
                  </w:r>
                  <w:r>
                    <w:rPr>
                      <w:rFonts w:hint="eastAsia" w:cs="Times New Roman"/>
                      <w:sz w:val="21"/>
                      <w:szCs w:val="21"/>
                      <w:lang w:eastAsia="zh-CN"/>
                    </w:rPr>
                    <w:t>，</w:t>
                  </w:r>
                  <w:r>
                    <w:rPr>
                      <w:rFonts w:hint="default" w:ascii="Times New Roman" w:hAnsi="Times New Roman" w:eastAsia="宋体" w:cs="Times New Roman"/>
                      <w:sz w:val="21"/>
                      <w:szCs w:val="21"/>
                      <w:lang w:val="en-US" w:eastAsia="zh-CN"/>
                    </w:rPr>
                    <w:t>属于间接接触</w:t>
                  </w:r>
                  <w:r>
                    <w:rPr>
                      <w:rFonts w:hint="eastAsia" w:cs="Times New Roman"/>
                      <w:sz w:val="21"/>
                      <w:szCs w:val="21"/>
                      <w:lang w:eastAsia="zh-CN"/>
                    </w:rPr>
                    <w:t>，</w:t>
                  </w:r>
                  <w:r>
                    <w:rPr>
                      <w:rFonts w:hint="default" w:ascii="Times New Roman" w:hAnsi="Times New Roman" w:eastAsia="宋体" w:cs="Times New Roman"/>
                      <w:sz w:val="21"/>
                      <w:szCs w:val="21"/>
                      <w:lang w:val="en-US" w:eastAsia="zh-CN"/>
                    </w:rPr>
                    <w:t>只需定期补充</w:t>
                  </w:r>
                  <w:r>
                    <w:rPr>
                      <w:rFonts w:hint="eastAsia" w:cs="Times New Roman"/>
                      <w:sz w:val="21"/>
                      <w:szCs w:val="21"/>
                      <w:lang w:val="en-US" w:eastAsia="zh-CN"/>
                    </w:rPr>
                    <w:t>，</w:t>
                  </w:r>
                  <w:r>
                    <w:rPr>
                      <w:rFonts w:hint="default" w:ascii="Times New Roman" w:hAnsi="Times New Roman" w:eastAsia="宋体" w:cs="Times New Roman"/>
                      <w:sz w:val="21"/>
                      <w:szCs w:val="21"/>
                    </w:rPr>
                    <w:t>不外排</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zh-CN" w:eastAsia="zh-CN"/>
                    </w:rPr>
                    <w:t>食堂废水经隔油池处理后与其他生活污水一起经过依托云南晋宁宏奥电梯有限公司的化粪池处理后</w:t>
                  </w:r>
                  <w:r>
                    <w:rPr>
                      <w:rFonts w:hint="default" w:ascii="Times New Roman" w:hAnsi="Times New Roman" w:eastAsia="宋体" w:cs="Times New Roman"/>
                      <w:b w:val="0"/>
                      <w:color w:val="000000" w:themeColor="text1"/>
                      <w14:textFill>
                        <w14:solidFill>
                          <w14:schemeClr w14:val="tx1"/>
                        </w14:solidFill>
                      </w14:textFill>
                    </w:rPr>
                    <w:t>排入园区污水管网</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最终进入晋宁县工业园区二街片区生活污水处理厂处理。</w:t>
                  </w:r>
                </w:p>
                <w:p>
                  <w:pPr>
                    <w:pStyle w:val="46"/>
                    <w:ind w:firstLine="420" w:firstLineChars="20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w:t>
                  </w:r>
                  <w:r>
                    <w:rPr>
                      <w:rFonts w:hint="default" w:ascii="Times New Roman" w:hAnsi="Times New Roman" w:eastAsia="宋体" w:cs="Times New Roman"/>
                      <w:color w:val="000000"/>
                      <w:kern w:val="0"/>
                      <w:sz w:val="20"/>
                      <w:szCs w:val="20"/>
                      <w:lang w:val="en-US" w:eastAsia="zh-CN" w:bidi="ar"/>
                    </w:rPr>
                    <w:t>AKD蜡</w:t>
                  </w:r>
                  <w:r>
                    <w:rPr>
                      <w:rFonts w:hint="default" w:ascii="Times New Roman" w:hAnsi="Times New Roman" w:eastAsia="宋体" w:cs="Times New Roman"/>
                      <w:color w:val="000000" w:themeColor="text1"/>
                      <w:lang w:val="en-US" w:eastAsia="zh-CN"/>
                      <w14:textFill>
                        <w14:solidFill>
                          <w14:schemeClr w14:val="tx1"/>
                        </w14:solidFill>
                      </w14:textFill>
                    </w:rPr>
                    <w:t>融化过程中</w:t>
                  </w:r>
                  <w:r>
                    <w:rPr>
                      <w:rFonts w:hint="default" w:ascii="Times New Roman" w:hAnsi="Times New Roman" w:eastAsia="宋体" w:cs="Times New Roman"/>
                      <w:color w:val="000000" w:themeColor="text1"/>
                      <w14:textFill>
                        <w14:solidFill>
                          <w14:schemeClr w14:val="tx1"/>
                        </w14:solidFill>
                      </w14:textFill>
                    </w:rPr>
                    <w:t>产生的挥发性有机物（以非甲烷总烃计）通过</w:t>
                  </w:r>
                  <w:r>
                    <w:rPr>
                      <w:rFonts w:hint="eastAsia" w:cs="Times New Roman"/>
                      <w:color w:val="000000" w:themeColor="text1"/>
                      <w:lang w:val="en-US" w:eastAsia="zh-CN"/>
                      <w14:textFill>
                        <w14:solidFill>
                          <w14:schemeClr w14:val="tx1"/>
                        </w14:solidFill>
                      </w14:textFill>
                    </w:rPr>
                    <w:t>二级</w:t>
                  </w:r>
                  <w:r>
                    <w:rPr>
                      <w:rFonts w:hint="default" w:ascii="Times New Roman" w:hAnsi="Times New Roman" w:eastAsia="宋体" w:cs="Times New Roman"/>
                      <w:color w:val="000000" w:themeColor="text1"/>
                      <w14:textFill>
                        <w14:solidFill>
                          <w14:schemeClr w14:val="tx1"/>
                        </w14:solidFill>
                      </w14:textFill>
                    </w:rPr>
                    <w:t>活性炭吸附设备处理</w:t>
                  </w:r>
                  <w:r>
                    <w:rPr>
                      <w:rFonts w:hint="default" w:ascii="Times New Roman" w:hAnsi="Times New Roman" w:eastAsia="宋体" w:cs="Times New Roman"/>
                      <w:color w:val="000000" w:themeColor="text1"/>
                      <w:lang w:val="en-US" w:eastAsia="zh-CN"/>
                      <w14:textFill>
                        <w14:solidFill>
                          <w14:schemeClr w14:val="tx1"/>
                        </w14:solidFill>
                      </w14:textFill>
                    </w:rPr>
                    <w:t>后通过15m高的排气筒达标排放</w:t>
                  </w:r>
                  <w:r>
                    <w:rPr>
                      <w:rFonts w:hint="default" w:ascii="Times New Roman" w:hAnsi="Times New Roman" w:eastAsia="宋体" w:cs="Times New Roman"/>
                      <w:color w:val="000000" w:themeColor="text1"/>
                      <w14:textFill>
                        <w14:solidFill>
                          <w14:schemeClr w14:val="tx1"/>
                        </w14:solidFill>
                      </w14:textFill>
                    </w:rPr>
                    <w:t>；挥发性有机物（以非甲烷总烃计）排放能够</w:t>
                  </w:r>
                  <w:r>
                    <w:rPr>
                      <w:rFonts w:hint="default" w:ascii="Times New Roman" w:hAnsi="Times New Roman" w:eastAsia="宋体" w:cs="Times New Roman"/>
                      <w:color w:val="000000" w:themeColor="text1"/>
                      <w:lang w:val="en-US" w:eastAsia="zh-CN"/>
                      <w14:textFill>
                        <w14:solidFill>
                          <w14:schemeClr w14:val="tx1"/>
                        </w14:solidFill>
                      </w14:textFill>
                    </w:rPr>
                    <w:t>满足</w:t>
                  </w:r>
                  <w:r>
                    <w:rPr>
                      <w:rFonts w:hint="default" w:ascii="Times New Roman" w:hAnsi="Times New Roman" w:eastAsia="宋体" w:cs="Times New Roman"/>
                      <w:color w:val="000000" w:themeColor="text1"/>
                      <w14:textFill>
                        <w14:solidFill>
                          <w14:schemeClr w14:val="tx1"/>
                        </w14:solidFill>
                      </w14:textFill>
                    </w:rPr>
                    <w:t>《大气污染物综合排放标准》（GB16297—1996）表2中二级标准限值。</w:t>
                  </w:r>
                </w:p>
                <w:p>
                  <w:pPr>
                    <w:pStyle w:val="46"/>
                    <w:ind w:firstLine="420" w:firstLineChars="200"/>
                    <w:jc w:val="both"/>
                    <w:rPr>
                      <w:rStyle w:val="34"/>
                      <w:rFonts w:hint="default" w:ascii="Times New Roman" w:hAnsi="Times New Roman" w:eastAsia="宋体" w:cs="Times New Roman"/>
                      <w:color w:val="000000" w:themeColor="text1"/>
                      <w:szCs w:val="20"/>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综上所述本项目可实现达标排放</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满足规划区总量控制要求</w:t>
                  </w:r>
                </w:p>
              </w:tc>
              <w:tc>
                <w:tcPr>
                  <w:tcW w:w="833" w:type="dxa"/>
                  <w:vAlign w:val="center"/>
                </w:tcPr>
                <w:p>
                  <w:pPr>
                    <w:pStyle w:val="46"/>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vMerge w:val="continue"/>
                  <w:vAlign w:val="center"/>
                </w:tcPr>
                <w:p>
                  <w:pPr>
                    <w:pStyle w:val="46"/>
                    <w:rPr>
                      <w:rFonts w:hint="default" w:ascii="Times New Roman" w:hAnsi="Times New Roman" w:eastAsia="宋体" w:cs="Times New Roman"/>
                      <w:color w:val="000000" w:themeColor="text1"/>
                      <w:lang w:val="zh-CN"/>
                      <w14:textFill>
                        <w14:solidFill>
                          <w14:schemeClr w14:val="tx1"/>
                        </w14:solidFill>
                      </w14:textFill>
                    </w:rPr>
                  </w:pPr>
                </w:p>
              </w:tc>
              <w:tc>
                <w:tcPr>
                  <w:tcW w:w="2079" w:type="dxa"/>
                  <w:vAlign w:val="center"/>
                </w:tcPr>
                <w:p>
                  <w:pPr>
                    <w:pStyle w:val="46"/>
                    <w:ind w:firstLine="420" w:firstLineChars="200"/>
                    <w:jc w:val="left"/>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入驻项目应采取满足达标排放要求、运行稳定、技术先进、经济效益好的污染治理设施、措施；</w:t>
                  </w:r>
                </w:p>
              </w:tc>
              <w:tc>
                <w:tcPr>
                  <w:tcW w:w="3562" w:type="dxa"/>
                  <w:vAlign w:val="center"/>
                </w:tcPr>
                <w:p>
                  <w:pPr>
                    <w:pStyle w:val="46"/>
                    <w:ind w:firstLine="420" w:firstLineChars="20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本项目采取满足达标排放要求、项目运行稳定、技术先进、经济效益好的污染治理设施、措施</w:t>
                  </w:r>
                  <w:r>
                    <w:rPr>
                      <w:rFonts w:hint="default" w:ascii="Times New Roman" w:hAnsi="Times New Roman" w:eastAsia="宋体" w:cs="Times New Roman"/>
                      <w:color w:val="000000" w:themeColor="text1"/>
                      <w14:textFill>
                        <w14:solidFill>
                          <w14:schemeClr w14:val="tx1"/>
                        </w14:solidFill>
                      </w14:textFill>
                    </w:rPr>
                    <w:t>。</w:t>
                  </w:r>
                </w:p>
                <w:p>
                  <w:pPr>
                    <w:pStyle w:val="46"/>
                    <w:ind w:firstLine="420" w:firstLineChars="200"/>
                    <w:jc w:val="both"/>
                    <w:rPr>
                      <w:rFonts w:hint="default" w:ascii="Times New Roman" w:hAnsi="Times New Roman" w:eastAsia="宋体" w:cs="Times New Roman"/>
                      <w:color w:val="000000" w:themeColor="text1"/>
                      <w:kern w:val="2"/>
                      <w14:textFill>
                        <w14:solidFill>
                          <w14:schemeClr w14:val="tx1"/>
                        </w14:solidFill>
                      </w14:textFill>
                    </w:rPr>
                  </w:pPr>
                </w:p>
              </w:tc>
              <w:tc>
                <w:tcPr>
                  <w:tcW w:w="833" w:type="dxa"/>
                  <w:vAlign w:val="center"/>
                </w:tcPr>
                <w:p>
                  <w:pPr>
                    <w:pStyle w:val="4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2" w:type="dxa"/>
                  <w:vMerge w:val="continue"/>
                  <w:vAlign w:val="center"/>
                </w:tcPr>
                <w:p>
                  <w:pPr>
                    <w:pStyle w:val="46"/>
                    <w:rPr>
                      <w:rFonts w:hint="default" w:ascii="Times New Roman" w:hAnsi="Times New Roman" w:eastAsia="宋体" w:cs="Times New Roman"/>
                      <w:color w:val="000000" w:themeColor="text1"/>
                      <w:lang w:val="zh-CN"/>
                      <w14:textFill>
                        <w14:solidFill>
                          <w14:schemeClr w14:val="tx1"/>
                        </w14:solidFill>
                      </w14:textFill>
                    </w:rPr>
                  </w:pPr>
                </w:p>
              </w:tc>
              <w:tc>
                <w:tcPr>
                  <w:tcW w:w="2079" w:type="dxa"/>
                  <w:vAlign w:val="center"/>
                </w:tcPr>
                <w:p>
                  <w:pPr>
                    <w:pStyle w:val="46"/>
                    <w:ind w:firstLine="420" w:firstLineChars="200"/>
                    <w:jc w:val="left"/>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对排放相同特征污染物的企业</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应鼓励企业之间建设联合污染治理措施</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以降低污染治理成本；</w:t>
                  </w:r>
                </w:p>
              </w:tc>
              <w:tc>
                <w:tcPr>
                  <w:tcW w:w="3562" w:type="dxa"/>
                  <w:vAlign w:val="center"/>
                </w:tcPr>
                <w:p>
                  <w:pPr>
                    <w:pStyle w:val="46"/>
                    <w:ind w:firstLine="42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本项目与周边企业</w:t>
                  </w:r>
                  <w:r>
                    <w:rPr>
                      <w:rFonts w:hint="default" w:ascii="Times New Roman" w:hAnsi="Times New Roman" w:eastAsia="宋体" w:cs="Times New Roman"/>
                      <w:color w:val="000000" w:themeColor="text1"/>
                      <w:lang w:val="zh-CN"/>
                      <w14:textFill>
                        <w14:solidFill>
                          <w14:schemeClr w14:val="tx1"/>
                        </w14:solidFill>
                      </w14:textFill>
                    </w:rPr>
                    <w:t>联合</w:t>
                  </w:r>
                  <w:r>
                    <w:rPr>
                      <w:rFonts w:hint="default" w:ascii="Times New Roman" w:hAnsi="Times New Roman" w:eastAsia="宋体" w:cs="Times New Roman"/>
                      <w:color w:val="000000" w:themeColor="text1"/>
                      <w14:textFill>
                        <w14:solidFill>
                          <w14:schemeClr w14:val="tx1"/>
                        </w14:solidFill>
                      </w14:textFill>
                    </w:rPr>
                    <w:t>开展</w:t>
                  </w:r>
                  <w:r>
                    <w:rPr>
                      <w:rFonts w:hint="default" w:ascii="Times New Roman" w:hAnsi="Times New Roman" w:eastAsia="宋体" w:cs="Times New Roman"/>
                      <w:color w:val="000000" w:themeColor="text1"/>
                      <w:lang w:val="zh-CN"/>
                      <w14:textFill>
                        <w14:solidFill>
                          <w14:schemeClr w14:val="tx1"/>
                        </w14:solidFill>
                      </w14:textFill>
                    </w:rPr>
                    <w:t>污染治理措施</w:t>
                  </w:r>
                  <w:r>
                    <w:rPr>
                      <w:rFonts w:hint="default" w:ascii="Times New Roman" w:hAnsi="Times New Roman" w:eastAsia="宋体" w:cs="Times New Roman"/>
                      <w:color w:val="000000" w:themeColor="text1"/>
                      <w14:textFill>
                        <w14:solidFill>
                          <w14:schemeClr w14:val="tx1"/>
                        </w14:solidFill>
                      </w14:textFill>
                    </w:rPr>
                    <w:t>洽谈</w:t>
                  </w:r>
                  <w:r>
                    <w:rPr>
                      <w:rFonts w:hint="eastAsia" w:cs="Times New Roman"/>
                      <w:color w:val="000000" w:themeColor="text1"/>
                      <w:lang w:val="zh-CN"/>
                      <w14:textFill>
                        <w14:solidFill>
                          <w14:schemeClr w14:val="tx1"/>
                        </w14:solidFill>
                      </w14:textFill>
                    </w:rPr>
                    <w:t>，</w:t>
                  </w:r>
                  <w:r>
                    <w:rPr>
                      <w:rStyle w:val="34"/>
                      <w:rFonts w:hint="default" w:ascii="Times New Roman" w:hAnsi="Times New Roman" w:eastAsia="宋体" w:cs="Times New Roman"/>
                      <w:color w:val="000000" w:themeColor="text1"/>
                      <w:szCs w:val="20"/>
                      <w14:textFill>
                        <w14:solidFill>
                          <w14:schemeClr w14:val="tx1"/>
                        </w14:solidFill>
                      </w14:textFill>
                    </w:rPr>
                    <w:t>讨论</w:t>
                  </w:r>
                  <w:r>
                    <w:rPr>
                      <w:rFonts w:hint="default" w:ascii="Times New Roman" w:hAnsi="Times New Roman" w:eastAsia="宋体" w:cs="Times New Roman"/>
                      <w:color w:val="000000" w:themeColor="text1"/>
                      <w:lang w:val="zh-CN"/>
                      <w14:textFill>
                        <w14:solidFill>
                          <w14:schemeClr w14:val="tx1"/>
                        </w14:solidFill>
                      </w14:textFill>
                    </w:rPr>
                    <w:t>降低污染治理成本；</w:t>
                  </w:r>
                </w:p>
              </w:tc>
              <w:tc>
                <w:tcPr>
                  <w:tcW w:w="833" w:type="dxa"/>
                  <w:vAlign w:val="center"/>
                </w:tcPr>
                <w:p>
                  <w:pPr>
                    <w:pStyle w:val="4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vMerge w:val="continue"/>
                  <w:vAlign w:val="center"/>
                </w:tcPr>
                <w:p>
                  <w:pPr>
                    <w:pStyle w:val="46"/>
                    <w:rPr>
                      <w:rFonts w:hint="default" w:ascii="Times New Roman" w:hAnsi="Times New Roman" w:eastAsia="宋体" w:cs="Times New Roman"/>
                      <w:color w:val="000000" w:themeColor="text1"/>
                      <w:lang w:val="zh-CN"/>
                      <w14:textFill>
                        <w14:solidFill>
                          <w14:schemeClr w14:val="tx1"/>
                        </w14:solidFill>
                      </w14:textFill>
                    </w:rPr>
                  </w:pPr>
                </w:p>
              </w:tc>
              <w:tc>
                <w:tcPr>
                  <w:tcW w:w="2079" w:type="dxa"/>
                  <w:vAlign w:val="center"/>
                </w:tcPr>
                <w:p>
                  <w:pPr>
                    <w:pStyle w:val="46"/>
                    <w:ind w:firstLine="420" w:firstLineChars="200"/>
                    <w:jc w:val="left"/>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入驻企业产生的各种工业固体废弃物</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应满足“减量化、资源化、无害化”要求</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实现废物的零排放；</w:t>
                  </w:r>
                </w:p>
              </w:tc>
              <w:tc>
                <w:tcPr>
                  <w:tcW w:w="3562" w:type="dxa"/>
                  <w:vAlign w:val="center"/>
                </w:tcPr>
                <w:p>
                  <w:pPr>
                    <w:pStyle w:val="46"/>
                    <w:jc w:val="left"/>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项目本身为利用AKD蜡、高分子乳化剂、硫酸铝、聚丙烯酰胺、尿素</w:t>
                  </w:r>
                  <w:r>
                    <w:rPr>
                      <w:rFonts w:hint="eastAsia" w:cs="Times New Roman"/>
                      <w:color w:val="000000" w:themeColor="text1"/>
                      <w:lang w:val="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高含量</w:t>
                  </w:r>
                  <w:r>
                    <w:rPr>
                      <w:rFonts w:hint="default" w:ascii="Times New Roman" w:hAnsi="Times New Roman" w:eastAsia="宋体" w:cs="Times New Roman"/>
                      <w:b w:val="0"/>
                      <w:color w:val="000000" w:themeColor="text1"/>
                      <w14:textFill>
                        <w14:solidFill>
                          <w14:schemeClr w14:val="tx1"/>
                        </w14:solidFill>
                      </w14:textFill>
                    </w:rPr>
                    <w:t>施胶剂、</w:t>
                  </w:r>
                  <w:r>
                    <w:rPr>
                      <w:rFonts w:hint="eastAsia" w:ascii="Times New Roman" w:hAnsi="Times New Roman" w:eastAsia="宋体" w:cs="Times New Roman"/>
                      <w:b w:val="0"/>
                      <w:color w:val="000000" w:themeColor="text1"/>
                      <w:lang w:val="en-US" w:eastAsia="zh-CN"/>
                      <w14:textFill>
                        <w14:solidFill>
                          <w14:schemeClr w14:val="tx1"/>
                        </w14:solidFill>
                      </w14:textFill>
                    </w:rPr>
                    <w:t>高含量</w:t>
                  </w:r>
                  <w:r>
                    <w:rPr>
                      <w:rFonts w:hint="default" w:ascii="Times New Roman" w:hAnsi="Times New Roman" w:eastAsia="宋体" w:cs="Times New Roman"/>
                      <w:b w:val="0"/>
                      <w:color w:val="000000" w:themeColor="text1"/>
                      <w14:textFill>
                        <w14:solidFill>
                          <w14:schemeClr w14:val="tx1"/>
                        </w14:solidFill>
                      </w14:textFill>
                    </w:rPr>
                    <w:t>消泡剂、</w:t>
                  </w:r>
                  <w:r>
                    <w:rPr>
                      <w:rFonts w:hint="eastAsia" w:ascii="Times New Roman" w:hAnsi="Times New Roman" w:eastAsia="宋体" w:cs="Times New Roman"/>
                      <w:b w:val="0"/>
                      <w:color w:val="000000" w:themeColor="text1"/>
                      <w:lang w:val="en-US" w:eastAsia="zh-CN"/>
                      <w14:textFill>
                        <w14:solidFill>
                          <w14:schemeClr w14:val="tx1"/>
                        </w14:solidFill>
                      </w14:textFill>
                    </w:rPr>
                    <w:t>高含量</w:t>
                  </w:r>
                  <w:r>
                    <w:rPr>
                      <w:rFonts w:hint="default" w:ascii="Times New Roman" w:hAnsi="Times New Roman" w:eastAsia="宋体" w:cs="Times New Roman"/>
                      <w:b w:val="0"/>
                      <w:color w:val="000000" w:themeColor="text1"/>
                      <w14:textFill>
                        <w14:solidFill>
                          <w14:schemeClr w14:val="tx1"/>
                        </w14:solidFill>
                      </w14:textFill>
                    </w:rPr>
                    <w:t>防水剂</w:t>
                  </w:r>
                  <w:r>
                    <w:rPr>
                      <w:rFonts w:hint="default" w:ascii="Times New Roman" w:hAnsi="Times New Roman" w:eastAsia="宋体" w:cs="Times New Roman"/>
                      <w:color w:val="000000" w:themeColor="text1"/>
                      <w:lang w:val="zh-CN"/>
                      <w14:textFill>
                        <w14:solidFill>
                          <w14:schemeClr w14:val="tx1"/>
                        </w14:solidFill>
                      </w14:textFill>
                    </w:rPr>
                    <w:t>作为原料</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对于区域来说是满足</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减量化、资源化、无害化</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的要求</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在生产过程中产生</w:t>
                  </w:r>
                  <w:r>
                    <w:rPr>
                      <w:rFonts w:hint="eastAsia" w:cs="Times New Roman"/>
                      <w:color w:val="000000" w:themeColor="text1"/>
                      <w:lang w:val="zh-CN"/>
                      <w14:textFill>
                        <w14:solidFill>
                          <w14:schemeClr w14:val="tx1"/>
                        </w14:solidFill>
                      </w14:textFill>
                    </w:rPr>
                    <w:t>的</w:t>
                  </w:r>
                  <w:r>
                    <w:rPr>
                      <w:rFonts w:hint="default" w:ascii="Times New Roman" w:hAnsi="Times New Roman" w:eastAsia="宋体" w:cs="Times New Roman"/>
                      <w:color w:val="000000" w:themeColor="text1"/>
                      <w:lang w:val="zh-CN"/>
                      <w14:textFill>
                        <w14:solidFill>
                          <w14:schemeClr w14:val="tx1"/>
                        </w14:solidFill>
                      </w14:textFill>
                    </w:rPr>
                    <w:t>废包装</w:t>
                  </w:r>
                  <w:r>
                    <w:rPr>
                      <w:rFonts w:hint="eastAsia" w:cs="Times New Roman"/>
                      <w:color w:val="000000" w:themeColor="text1"/>
                      <w:lang w:val="en-US" w:eastAsia="zh-CN"/>
                      <w14:textFill>
                        <w14:solidFill>
                          <w14:schemeClr w14:val="tx1"/>
                        </w14:solidFill>
                      </w14:textFill>
                    </w:rPr>
                    <w:t>袋</w:t>
                  </w:r>
                  <w:r>
                    <w:rPr>
                      <w:rFonts w:hint="default" w:ascii="Times New Roman" w:hAnsi="Times New Roman" w:eastAsia="宋体" w:cs="Times New Roman"/>
                      <w:color w:val="000000" w:themeColor="text1"/>
                      <w:lang w:val="zh-CN"/>
                      <w14:textFill>
                        <w14:solidFill>
                          <w14:schemeClr w14:val="tx1"/>
                        </w14:solidFill>
                      </w14:textFill>
                    </w:rPr>
                    <w:t>外售废品回收站</w:t>
                  </w:r>
                  <w:r>
                    <w:rPr>
                      <w:rFonts w:hint="eastAsia" w:cs="Times New Roman"/>
                      <w:color w:val="000000" w:themeColor="text1"/>
                      <w:lang w:val="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废包装桶定期由厂家回收</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危险废物统</w:t>
                  </w:r>
                  <w:r>
                    <w:rPr>
                      <w:rFonts w:hint="eastAsia" w:cs="Times New Roman"/>
                      <w:color w:val="000000" w:themeColor="text1"/>
                      <w:lang w:val="en-US" w:eastAsia="zh-CN"/>
                      <w14:textFill>
                        <w14:solidFill>
                          <w14:schemeClr w14:val="tx1"/>
                        </w14:solidFill>
                      </w14:textFill>
                    </w:rPr>
                    <w:t>一</w:t>
                  </w:r>
                  <w:r>
                    <w:rPr>
                      <w:rFonts w:hint="default" w:ascii="Times New Roman" w:hAnsi="Times New Roman" w:eastAsia="宋体" w:cs="Times New Roman"/>
                      <w:color w:val="000000" w:themeColor="text1"/>
                      <w:lang w:val="zh-CN"/>
                      <w14:textFill>
                        <w14:solidFill>
                          <w14:schemeClr w14:val="tx1"/>
                        </w14:solidFill>
                      </w14:textFill>
                    </w:rPr>
                    <w:t>暂存危废间后委托有资质单位清运处理。</w:t>
                  </w:r>
                </w:p>
                <w:p>
                  <w:pPr>
                    <w:pStyle w:val="46"/>
                    <w:ind w:firstLine="210" w:firstLineChars="100"/>
                    <w:jc w:val="left"/>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总上所述已实现固废的零排放。</w:t>
                  </w:r>
                </w:p>
              </w:tc>
              <w:tc>
                <w:tcPr>
                  <w:tcW w:w="833" w:type="dxa"/>
                  <w:vAlign w:val="center"/>
                </w:tcPr>
                <w:p>
                  <w:pPr>
                    <w:pStyle w:val="46"/>
                    <w:jc w:val="left"/>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vMerge w:val="continue"/>
                  <w:vAlign w:val="center"/>
                </w:tcPr>
                <w:p>
                  <w:pPr>
                    <w:pStyle w:val="46"/>
                    <w:rPr>
                      <w:rFonts w:hint="default" w:ascii="Times New Roman" w:hAnsi="Times New Roman" w:eastAsia="宋体" w:cs="Times New Roman"/>
                      <w:color w:val="000000" w:themeColor="text1"/>
                      <w:lang w:val="zh-CN"/>
                      <w14:textFill>
                        <w14:solidFill>
                          <w14:schemeClr w14:val="tx1"/>
                        </w14:solidFill>
                      </w14:textFill>
                    </w:rPr>
                  </w:pPr>
                </w:p>
              </w:tc>
              <w:tc>
                <w:tcPr>
                  <w:tcW w:w="2079" w:type="dxa"/>
                  <w:vAlign w:val="center"/>
                </w:tcPr>
                <w:p>
                  <w:pPr>
                    <w:pStyle w:val="46"/>
                    <w:ind w:firstLine="420" w:firstLineChars="200"/>
                    <w:jc w:val="left"/>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限制发展高耗水、高排水产业</w:t>
                  </w:r>
                </w:p>
              </w:tc>
              <w:tc>
                <w:tcPr>
                  <w:tcW w:w="3562" w:type="dxa"/>
                  <w:vAlign w:val="center"/>
                </w:tcPr>
                <w:p>
                  <w:pPr>
                    <w:pStyle w:val="46"/>
                    <w:ind w:firstLine="420" w:firstLineChars="20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本项目生产过程用水主要为产品冷却水</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属于间接接触</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只需定期补充</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不外排。食堂废水经隔油池处理后与其他生活污水一起经过依托</w:t>
                  </w:r>
                  <w:r>
                    <w:rPr>
                      <w:rFonts w:hint="default" w:ascii="Times New Roman" w:hAnsi="Times New Roman" w:eastAsia="宋体" w:cs="Times New Roman"/>
                      <w:color w:val="000000" w:themeColor="text1"/>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14:textFill>
                        <w14:solidFill>
                          <w14:schemeClr w14:val="tx1"/>
                        </w14:solidFill>
                      </w14:textFill>
                    </w:rPr>
                    <w:t>的化粪池预处理达到GB/T31962-2015《污水排入城镇下水道水质标准》(表1) A等级标准后排入园区污水管网</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最终进入晋宁县工业园区二街片区生活污水处理厂处理。</w:t>
                  </w:r>
                </w:p>
                <w:p>
                  <w:pPr>
                    <w:pStyle w:val="46"/>
                    <w:ind w:firstLine="420" w:firstLineChars="20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因此不属于</w:t>
                  </w:r>
                  <w:r>
                    <w:rPr>
                      <w:rFonts w:hint="default" w:ascii="Times New Roman" w:hAnsi="Times New Roman" w:eastAsia="宋体" w:cs="Times New Roman"/>
                      <w:color w:val="000000" w:themeColor="text1"/>
                      <w:lang w:val="zh-CN"/>
                      <w14:textFill>
                        <w14:solidFill>
                          <w14:schemeClr w14:val="tx1"/>
                        </w14:solidFill>
                      </w14:textFill>
                    </w:rPr>
                    <w:t>高耗水、高排水产业。</w:t>
                  </w:r>
                </w:p>
              </w:tc>
              <w:tc>
                <w:tcPr>
                  <w:tcW w:w="833" w:type="dxa"/>
                  <w:vAlign w:val="center"/>
                </w:tcPr>
                <w:p>
                  <w:pPr>
                    <w:pStyle w:val="4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vMerge w:val="continue"/>
                  <w:vAlign w:val="center"/>
                </w:tcPr>
                <w:p>
                  <w:pPr>
                    <w:pStyle w:val="46"/>
                    <w:rPr>
                      <w:rFonts w:hint="default" w:ascii="Times New Roman" w:hAnsi="Times New Roman" w:eastAsia="宋体" w:cs="Times New Roman"/>
                      <w:color w:val="000000" w:themeColor="text1"/>
                      <w:lang w:val="zh-CN"/>
                      <w14:textFill>
                        <w14:solidFill>
                          <w14:schemeClr w14:val="tx1"/>
                        </w14:solidFill>
                      </w14:textFill>
                    </w:rPr>
                  </w:pPr>
                </w:p>
              </w:tc>
              <w:tc>
                <w:tcPr>
                  <w:tcW w:w="2079" w:type="dxa"/>
                  <w:vAlign w:val="center"/>
                </w:tcPr>
                <w:p>
                  <w:pPr>
                    <w:pStyle w:val="46"/>
                    <w:ind w:firstLine="420" w:firstLineChars="200"/>
                    <w:jc w:val="left"/>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应鼓励各入驻企业积极参与和本企业有关的环保技术的研发</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并尽快形成生产力。</w:t>
                  </w:r>
                </w:p>
              </w:tc>
              <w:tc>
                <w:tcPr>
                  <w:tcW w:w="3562" w:type="dxa"/>
                  <w:vAlign w:val="center"/>
                </w:tcPr>
                <w:p>
                  <w:pPr>
                    <w:pStyle w:val="46"/>
                    <w:ind w:firstLine="42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建设单位积极参与利用一般固废</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例如</w:t>
                  </w:r>
                  <w:r>
                    <w:rPr>
                      <w:rFonts w:hint="default" w:ascii="Times New Roman" w:hAnsi="Times New Roman" w:eastAsia="宋体" w:cs="Times New Roman"/>
                      <w:color w:val="000000" w:themeColor="text1"/>
                      <w:lang w:val="zh-CN"/>
                      <w14:textFill>
                        <w14:solidFill>
                          <w14:schemeClr w14:val="tx1"/>
                        </w14:solidFill>
                      </w14:textFill>
                    </w:rPr>
                    <w:t>废包装材料</w:t>
                  </w:r>
                  <w:r>
                    <w:rPr>
                      <w:rFonts w:hint="default" w:ascii="Times New Roman" w:hAnsi="Times New Roman" w:eastAsia="宋体" w:cs="Times New Roman"/>
                      <w:color w:val="000000" w:themeColor="text1"/>
                      <w14:textFill>
                        <w14:solidFill>
                          <w14:schemeClr w14:val="tx1"/>
                        </w14:solidFill>
                      </w14:textFill>
                    </w:rPr>
                    <w:t>。</w:t>
                  </w:r>
                </w:p>
              </w:tc>
              <w:tc>
                <w:tcPr>
                  <w:tcW w:w="833" w:type="dxa"/>
                  <w:vAlign w:val="center"/>
                </w:tcPr>
                <w:p>
                  <w:pPr>
                    <w:pStyle w:val="4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vMerge w:val="continue"/>
                  <w:vAlign w:val="center"/>
                </w:tcPr>
                <w:p>
                  <w:pPr>
                    <w:pStyle w:val="46"/>
                    <w:rPr>
                      <w:rFonts w:hint="default" w:ascii="Times New Roman" w:hAnsi="Times New Roman" w:eastAsia="宋体" w:cs="Times New Roman"/>
                      <w:color w:val="000000" w:themeColor="text1"/>
                      <w:lang w:val="zh-CN"/>
                      <w14:textFill>
                        <w14:solidFill>
                          <w14:schemeClr w14:val="tx1"/>
                        </w14:solidFill>
                      </w14:textFill>
                    </w:rPr>
                  </w:pPr>
                </w:p>
              </w:tc>
              <w:tc>
                <w:tcPr>
                  <w:tcW w:w="2079" w:type="dxa"/>
                  <w:vAlign w:val="center"/>
                </w:tcPr>
                <w:p>
                  <w:pPr>
                    <w:pStyle w:val="46"/>
                    <w:ind w:firstLine="420" w:firstLineChars="200"/>
                    <w:jc w:val="left"/>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滇池流域不得引进违反《云南省滇池保护条例》（2013年1月1日执行）限制或禁止建设的项目</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即：严禁在滇池盆地区（上蒜、晋城、青山、宝峰、乌龙基地）新建钢铁、有色冶金、基础化工、石油化工、化肥、农药、电镀、造纸制浆、制革、印染、石棉制品、土硫磺、土磷肥和染料等污染严重的企业和项目。</w:t>
                  </w:r>
                </w:p>
              </w:tc>
              <w:tc>
                <w:tcPr>
                  <w:tcW w:w="3562" w:type="dxa"/>
                  <w:vAlign w:val="center"/>
                </w:tcPr>
                <w:p>
                  <w:pPr>
                    <w:pStyle w:val="46"/>
                    <w:ind w:firstLine="42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本项目位于二街</w:t>
                  </w:r>
                  <w:r>
                    <w:rPr>
                      <w:rFonts w:hint="default" w:ascii="Times New Roman" w:hAnsi="Times New Roman" w:eastAsia="宋体" w:cs="Times New Roman"/>
                      <w:color w:val="000000" w:themeColor="text1"/>
                      <w:lang w:val="en-US" w:eastAsia="zh-CN"/>
                      <w14:textFill>
                        <w14:solidFill>
                          <w14:schemeClr w14:val="tx1"/>
                        </w14:solidFill>
                      </w14:textFill>
                    </w:rPr>
                    <w:t>基地</w:t>
                  </w:r>
                  <w:r>
                    <w:rPr>
                      <w:rFonts w:hint="default" w:ascii="Times New Roman" w:hAnsi="Times New Roman" w:eastAsia="宋体" w:cs="Times New Roman"/>
                      <w:color w:val="000000" w:themeColor="text1"/>
                      <w:spacing w:val="-1"/>
                      <w14:textFill>
                        <w14:solidFill>
                          <w14:schemeClr w14:val="tx1"/>
                        </w14:solidFill>
                      </w14:textFill>
                    </w:rPr>
                    <w:t>内建设生产</w:t>
                  </w:r>
                  <w:r>
                    <w:rPr>
                      <w:rFonts w:hint="default" w:ascii="Times New Roman" w:hAnsi="Times New Roman" w:eastAsia="宋体" w:cs="Times New Roman"/>
                      <w:color w:val="000000" w:themeColor="text1"/>
                      <w14:textFill>
                        <w14:solidFill>
                          <w14:schemeClr w14:val="tx1"/>
                        </w14:solidFill>
                      </w14:textFill>
                    </w:rPr>
                    <w:t>。</w:t>
                  </w:r>
                </w:p>
                <w:p>
                  <w:pPr>
                    <w:pStyle w:val="46"/>
                    <w:ind w:firstLine="42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综上所述本项目不位于</w:t>
                  </w:r>
                  <w:r>
                    <w:rPr>
                      <w:rFonts w:hint="default" w:ascii="Times New Roman" w:hAnsi="Times New Roman" w:eastAsia="宋体" w:cs="Times New Roman"/>
                      <w:color w:val="000000" w:themeColor="text1"/>
                      <w:lang w:val="zh-CN"/>
                      <w14:textFill>
                        <w14:solidFill>
                          <w14:schemeClr w14:val="tx1"/>
                        </w14:solidFill>
                      </w14:textFill>
                    </w:rPr>
                    <w:t>上蒜、晋城、青山、宝峰、乌龙基地</w:t>
                  </w:r>
                  <w:r>
                    <w:rPr>
                      <w:rFonts w:hint="eastAsia" w:cs="Times New Roman"/>
                      <w:color w:val="000000" w:themeColor="text1"/>
                      <w:lang w:val="zh-CN"/>
                      <w14:textFill>
                        <w14:solidFill>
                          <w14:schemeClr w14:val="tx1"/>
                        </w14:solidFill>
                      </w14:textFill>
                    </w:rPr>
                    <w:t>，</w:t>
                  </w:r>
                </w:p>
              </w:tc>
              <w:tc>
                <w:tcPr>
                  <w:tcW w:w="833" w:type="dxa"/>
                  <w:vAlign w:val="center"/>
                </w:tcPr>
                <w:p>
                  <w:pPr>
                    <w:pStyle w:val="4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bl>
          <w:p>
            <w:pPr>
              <w:widowControl/>
              <w:adjustRightInd w:val="0"/>
              <w:snapToGrid w:val="0"/>
              <w:ind w:firstLine="480"/>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综上所述</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项目与规划环评是相符的。</w:t>
            </w:r>
          </w:p>
          <w:p>
            <w:pPr>
              <w:widowControl/>
              <w:adjustRightInd w:val="0"/>
              <w:snapToGrid w:val="0"/>
              <w:spacing w:line="360" w:lineRule="auto"/>
              <w:ind w:firstLine="482"/>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3、与《晋宁工业园区总体规划修编（2012-2030）环境影响报告书》审查意见的相符性分析</w:t>
            </w:r>
          </w:p>
          <w:p>
            <w:pPr>
              <w:pStyle w:val="2"/>
              <w:adjustRightInd w:val="0"/>
              <w:snapToGrid w:val="0"/>
              <w:spacing w:line="360" w:lineRule="auto"/>
              <w:ind w:firstLine="48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本项目与《晋宁工业园区总体规划修编（2012-2030）环境影响报告书》审查意见相符性分析</w:t>
            </w:r>
            <w:r>
              <w:rPr>
                <w:rFonts w:hint="eastAsia" w:ascii="Times New Roman" w:hAnsi="Times New Roman"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详见下表：</w:t>
            </w:r>
          </w:p>
          <w:p>
            <w:pPr>
              <w:pStyle w:val="4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表1-2项目与规划环评审查意见的相符性分析</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3291"/>
              <w:gridCol w:w="2601"/>
              <w:gridCol w:w="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序号</w:t>
                  </w:r>
                </w:p>
              </w:tc>
              <w:tc>
                <w:tcPr>
                  <w:tcW w:w="2341"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审查意见的函</w:t>
                  </w: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（主要摘选与项目相关要求）</w:t>
                  </w:r>
                </w:p>
              </w:tc>
              <w:tc>
                <w:tcPr>
                  <w:tcW w:w="1850"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本项目情况</w:t>
                  </w:r>
                </w:p>
              </w:tc>
              <w:tc>
                <w:tcPr>
                  <w:tcW w:w="374" w:type="pct"/>
                  <w:vAlign w:val="center"/>
                </w:tcPr>
                <w:p>
                  <w:pPr>
                    <w:pStyle w:val="49"/>
                    <w:spacing w:before="24" w:after="24"/>
                    <w:rPr>
                      <w:rFonts w:hint="default" w:ascii="Times New Roman" w:hAnsi="Times New Roman" w:eastAsia="宋体" w:cs="Times New Roman"/>
                      <w:color w:val="000000" w:themeColor="text1"/>
                      <w:spacing w:val="-6"/>
                      <w:lang w:eastAsia="en-US"/>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1</w:t>
                  </w:r>
                </w:p>
              </w:tc>
              <w:tc>
                <w:tcPr>
                  <w:tcW w:w="2341"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关于水资源和水环境保护问题：</w:t>
                  </w: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（三）园区青山、宝峰、上蒜、晋城、乌龙5个基地均位于滇池流域</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规划实施过程中应严格执行《云南省滇池保护条例》相关规定</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禁止建设造纸、制革、印染、染料、炼焦、炼硫、炼砷、炼油、炼汞、电镀、化肥、农药、石棉、水泥、玻璃、冶金、火电以及其他严重污染环境的生产项目。加快乌龙、青山、上蒜、晋城基地与截污干管的对接工作</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确保各基地项目入驻时</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能够及时进入各基地对应的污水处理厂处理。在古城河、大河、柴河和东大河等入滇河流两侧外延50米不得进行园区建设。</w:t>
                  </w:r>
                </w:p>
              </w:tc>
              <w:tc>
                <w:tcPr>
                  <w:tcW w:w="1850" w:type="pct"/>
                  <w:vAlign w:val="center"/>
                </w:tcPr>
                <w:p>
                  <w:pPr>
                    <w:pStyle w:val="46"/>
                    <w:ind w:firstLine="396"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w:t>
                  </w:r>
                  <w:r>
                    <w:rPr>
                      <w:rFonts w:hint="default" w:ascii="Times New Roman" w:hAnsi="Times New Roman" w:eastAsia="宋体" w:cs="Times New Roman"/>
                      <w:color w:val="000000" w:themeColor="text1"/>
                      <w14:textFill>
                        <w14:solidFill>
                          <w14:schemeClr w14:val="tx1"/>
                        </w14:solidFill>
                      </w14:textFill>
                    </w:rPr>
                    <w:t>位于二街</w:t>
                  </w:r>
                  <w:r>
                    <w:rPr>
                      <w:rFonts w:hint="default" w:ascii="Times New Roman" w:hAnsi="Times New Roman" w:eastAsia="宋体" w:cs="Times New Roman"/>
                      <w:color w:val="000000" w:themeColor="text1"/>
                      <w:lang w:val="en-US" w:eastAsia="zh-CN"/>
                      <w14:textFill>
                        <w14:solidFill>
                          <w14:schemeClr w14:val="tx1"/>
                        </w14:solidFill>
                      </w14:textFill>
                    </w:rPr>
                    <w:t>基地</w:t>
                  </w:r>
                  <w:r>
                    <w:rPr>
                      <w:rFonts w:hint="default" w:ascii="Times New Roman" w:hAnsi="Times New Roman" w:eastAsia="宋体" w:cs="Times New Roman"/>
                      <w:color w:val="000000" w:themeColor="text1"/>
                      <w:spacing w:val="-1"/>
                      <w14:textFill>
                        <w14:solidFill>
                          <w14:schemeClr w14:val="tx1"/>
                        </w14:solidFill>
                      </w14:textFill>
                    </w:rPr>
                    <w:t>内建设生产</w:t>
                  </w:r>
                  <w:r>
                    <w:rPr>
                      <w:rFonts w:hint="default" w:ascii="Times New Roman" w:hAnsi="Times New Roman" w:eastAsia="宋体" w:cs="Times New Roman"/>
                      <w:color w:val="000000" w:themeColor="text1"/>
                      <w14:textFill>
                        <w14:solidFill>
                          <w14:schemeClr w14:val="tx1"/>
                        </w14:solidFill>
                      </w14:textFill>
                    </w:rPr>
                    <w:t>。</w:t>
                  </w: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不位于青山、宝峰、上蒜、晋城、乌龙的滇池流域内</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不属于造纸、制革、印染、染料、炼焦、炼硫、炼砷、炼油、炼汞、电镀、化肥、农药、石棉、水泥、玻璃、冶金、火电以及其他严重污染环境的生产项目</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不在古城河、大河、柴河和东大河等入滇河流两侧外延50米内</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不在《云南省滇池保护条例》所禁止的行业范围内。项目位置距离最近的河流为西面</w:t>
                  </w:r>
                  <w:r>
                    <w:rPr>
                      <w:rFonts w:hint="eastAsia" w:ascii="Times New Roman" w:cs="Times New Roman"/>
                      <w:color w:val="000000" w:themeColor="text1"/>
                      <w:spacing w:val="-6"/>
                      <w:lang w:val="en-US" w:eastAsia="zh-CN"/>
                      <w14:textFill>
                        <w14:solidFill>
                          <w14:schemeClr w14:val="tx1"/>
                        </w14:solidFill>
                      </w14:textFill>
                    </w:rPr>
                    <w:t>379</w:t>
                  </w:r>
                  <w:r>
                    <w:rPr>
                      <w:rFonts w:hint="default" w:ascii="Times New Roman" w:hAnsi="Times New Roman" w:eastAsia="宋体" w:cs="Times New Roman"/>
                      <w:color w:val="000000" w:themeColor="text1"/>
                      <w:spacing w:val="-6"/>
                      <w14:textFill>
                        <w14:solidFill>
                          <w14:schemeClr w14:val="tx1"/>
                        </w14:solidFill>
                      </w14:textFill>
                    </w:rPr>
                    <w:t>米的二街河</w:t>
                  </w:r>
                </w:p>
              </w:tc>
              <w:tc>
                <w:tcPr>
                  <w:tcW w:w="374"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4"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2</w:t>
                  </w:r>
                </w:p>
              </w:tc>
              <w:tc>
                <w:tcPr>
                  <w:tcW w:w="2341"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关于园区大气环境保护问：</w:t>
                  </w: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（一）青山基地产业定位中加工业定位不明确</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建议下步规划中进一步明确</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严格控制大气污染</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不应规划布局大气污染较重的加工产业</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发展精加工的低污染产业。</w:t>
                  </w: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（二）园区应与城镇发展规划、园内村庄搬迁及园内现有村庄保持必要的环境防护距离</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入园企业应严格按照建设项目环境影响评价文件明确的环境防护距离要求进行选址</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防止对保留村庄的环境污染影响。</w:t>
                  </w:r>
                </w:p>
              </w:tc>
              <w:tc>
                <w:tcPr>
                  <w:tcW w:w="1850" w:type="pct"/>
                  <w:vAlign w:val="center"/>
                </w:tcPr>
                <w:p>
                  <w:pPr>
                    <w:pStyle w:val="49"/>
                    <w:spacing w:before="24" w:after="24"/>
                    <w:jc w:val="both"/>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（一）本项目废气主要</w:t>
                  </w:r>
                  <w:r>
                    <w:rPr>
                      <w:rFonts w:hint="eastAsia" w:cs="Times New Roman"/>
                      <w:sz w:val="21"/>
                      <w:szCs w:val="21"/>
                      <w:lang w:val="en-US" w:eastAsia="zh-CN"/>
                    </w:rPr>
                    <w:t>为</w:t>
                  </w:r>
                  <w:r>
                    <w:rPr>
                      <w:rFonts w:hint="default" w:ascii="Times New Roman" w:hAnsi="Times New Roman" w:eastAsia="宋体" w:cs="Times New Roman"/>
                      <w:b w:val="0"/>
                      <w:bCs w:val="0"/>
                      <w:color w:val="000000" w:themeColor="text1"/>
                      <w:sz w:val="21"/>
                      <w:szCs w:val="21"/>
                      <w14:textFill>
                        <w14:solidFill>
                          <w14:schemeClr w14:val="tx1"/>
                        </w14:solidFill>
                      </w14:textFill>
                    </w:rPr>
                    <w:t>AKD蜡</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热熔</w:t>
                  </w:r>
                  <w:r>
                    <w:rPr>
                      <w:rFonts w:hint="eastAsia" w:cs="Times New Roman"/>
                      <w:sz w:val="21"/>
                      <w:szCs w:val="21"/>
                      <w:lang w:val="en-US" w:eastAsia="zh-CN"/>
                    </w:rPr>
                    <w:t>过程中产生的</w:t>
                  </w:r>
                  <w:r>
                    <w:rPr>
                      <w:rFonts w:hint="default" w:ascii="Times New Roman" w:hAnsi="Times New Roman" w:eastAsia="宋体" w:cs="Times New Roman"/>
                      <w:sz w:val="21"/>
                      <w:szCs w:val="21"/>
                    </w:rPr>
                    <w:t>挥发性有机物</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以非甲烷总烃计</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color w:val="000000" w:themeColor="text1"/>
                      <w:spacing w:val="-6"/>
                      <w14:textFill>
                        <w14:solidFill>
                          <w14:schemeClr w14:val="tx1"/>
                        </w14:solidFill>
                      </w14:textFill>
                    </w:rPr>
                    <w:t>采用</w:t>
                  </w:r>
                  <w:r>
                    <w:rPr>
                      <w:rFonts w:hint="eastAsia" w:ascii="Times New Roman" w:cs="Times New Roman"/>
                      <w:color w:val="000000" w:themeColor="text1"/>
                      <w:spacing w:val="-6"/>
                      <w:lang w:val="en-US" w:eastAsia="zh-CN"/>
                      <w14:textFill>
                        <w14:solidFill>
                          <w14:schemeClr w14:val="tx1"/>
                        </w14:solidFill>
                      </w14:textFill>
                    </w:rPr>
                    <w:t>二级活性炭吸附设备处理后</w:t>
                  </w:r>
                  <w:r>
                    <w:rPr>
                      <w:rFonts w:hint="eastAsia" w:ascii="Times New Roman" w:cs="Times New Roman"/>
                      <w:color w:val="000000" w:themeColor="text1"/>
                      <w:spacing w:val="-6"/>
                      <w:lang w:eastAsia="zh-CN"/>
                      <w14:textFill>
                        <w14:solidFill>
                          <w14:schemeClr w14:val="tx1"/>
                        </w14:solidFill>
                      </w14:textFill>
                    </w:rPr>
                    <w:t>，</w:t>
                  </w:r>
                  <w:r>
                    <w:rPr>
                      <w:rFonts w:hint="eastAsia" w:ascii="Times New Roman" w:cs="Times New Roman"/>
                      <w:color w:val="000000" w:themeColor="text1"/>
                      <w:spacing w:val="-6"/>
                      <w:sz w:val="21"/>
                      <w:szCs w:val="21"/>
                      <w:lang w:val="en-US" w:eastAsia="zh-CN"/>
                      <w14:textFill>
                        <w14:solidFill>
                          <w14:schemeClr w14:val="tx1"/>
                        </w14:solidFill>
                      </w14:textFill>
                    </w:rPr>
                    <w:t>能满足</w:t>
                  </w:r>
                  <w:r>
                    <w:rPr>
                      <w:rFonts w:hint="default" w:ascii="Times New Roman" w:hAnsi="Times New Roman" w:eastAsia="宋体" w:cs="Times New Roman"/>
                      <w:color w:val="000000" w:themeColor="text1"/>
                      <w:sz w:val="21"/>
                      <w:szCs w:val="21"/>
                      <w14:textFill>
                        <w14:solidFill>
                          <w14:schemeClr w14:val="tx1"/>
                        </w14:solidFill>
                      </w14:textFill>
                    </w:rPr>
                    <w:t>《大气污染物综合排放标准》（GB16297—1996）</w:t>
                  </w:r>
                  <w:r>
                    <w:rPr>
                      <w:rFonts w:hint="eastAsia" w:ascii="Times New Roman" w:cs="Times New Roman"/>
                      <w:color w:val="000000" w:themeColor="text1"/>
                      <w:spacing w:val="-6"/>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6"/>
                      <w:sz w:val="21"/>
                      <w:szCs w:val="21"/>
                      <w14:textFill>
                        <w14:solidFill>
                          <w14:schemeClr w14:val="tx1"/>
                        </w14:solidFill>
                      </w14:textFill>
                    </w:rPr>
                    <w:t>不属</w:t>
                  </w:r>
                </w:p>
                <w:p>
                  <w:pPr>
                    <w:pStyle w:val="49"/>
                    <w:spacing w:before="24" w:after="24"/>
                    <w:jc w:val="both"/>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于大气重污染型企业。</w:t>
                  </w: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（二）本项目环境影响评价文件类型为报告表</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根据《建设项目环境影响报告表编制技术指南》（污染影响类）</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本项目距离最近保护目标（甸头村）</w:t>
                  </w:r>
                  <w:r>
                    <w:rPr>
                      <w:rFonts w:hint="default" w:ascii="Times New Roman" w:hAnsi="Times New Roman" w:eastAsia="宋体" w:cs="Times New Roman"/>
                      <w:color w:val="000000" w:themeColor="text1"/>
                      <w:spacing w:val="-6"/>
                      <w:lang w:val="en-US" w:eastAsia="zh-CN"/>
                      <w14:textFill>
                        <w14:solidFill>
                          <w14:schemeClr w14:val="tx1"/>
                        </w14:solidFill>
                      </w14:textFill>
                    </w:rPr>
                    <w:t>321</w:t>
                  </w:r>
                  <w:r>
                    <w:rPr>
                      <w:rFonts w:hint="default" w:ascii="Times New Roman" w:hAnsi="Times New Roman" w:eastAsia="宋体" w:cs="Times New Roman"/>
                      <w:color w:val="000000" w:themeColor="text1"/>
                      <w:spacing w:val="-6"/>
                      <w14:textFill>
                        <w14:solidFill>
                          <w14:schemeClr w14:val="tx1"/>
                        </w14:solidFill>
                      </w14:textFill>
                    </w:rPr>
                    <w:t>米</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位于项目</w:t>
                  </w:r>
                  <w:r>
                    <w:rPr>
                      <w:rFonts w:hint="default" w:ascii="Times New Roman" w:hAnsi="Times New Roman" w:eastAsia="宋体" w:cs="Times New Roman"/>
                      <w:color w:val="000000" w:themeColor="text1"/>
                      <w:spacing w:val="-6"/>
                      <w:lang w:val="en-US" w:eastAsia="zh-CN"/>
                      <w14:textFill>
                        <w14:solidFill>
                          <w14:schemeClr w14:val="tx1"/>
                        </w14:solidFill>
                      </w14:textFill>
                    </w:rPr>
                    <w:t>西</w:t>
                  </w:r>
                  <w:r>
                    <w:rPr>
                      <w:rFonts w:hint="default" w:ascii="Times New Roman" w:hAnsi="Times New Roman" w:eastAsia="宋体" w:cs="Times New Roman"/>
                      <w:color w:val="000000" w:themeColor="text1"/>
                      <w:spacing w:val="-6"/>
                      <w14:textFill>
                        <w14:solidFill>
                          <w14:schemeClr w14:val="tx1"/>
                        </w14:solidFill>
                      </w14:textFill>
                    </w:rPr>
                    <w:t>南侧</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项目已取得了入园批复。</w:t>
                  </w:r>
                </w:p>
              </w:tc>
              <w:tc>
                <w:tcPr>
                  <w:tcW w:w="374"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7" w:hRule="atLeast"/>
              </w:trPr>
              <w:tc>
                <w:tcPr>
                  <w:tcW w:w="434"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3</w:t>
                  </w:r>
                </w:p>
              </w:tc>
              <w:tc>
                <w:tcPr>
                  <w:tcW w:w="2341"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关于园区固体废弃物处置问题：</w:t>
                  </w: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（二）园区应加强管理</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要求企业自身提高固废回收利用率</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同时合理引入下游产业将固体废弃物充分综合利用</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尽量将园区固体废物资源化和减量化。</w:t>
                  </w:r>
                </w:p>
              </w:tc>
              <w:tc>
                <w:tcPr>
                  <w:tcW w:w="1850" w:type="pct"/>
                  <w:vAlign w:val="center"/>
                </w:tcPr>
                <w:p>
                  <w:pPr>
                    <w:adjustRightInd w:val="0"/>
                    <w:snapToGrid w:val="0"/>
                    <w:ind w:firstLine="420" w:firstLineChars="200"/>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本项目在生产过程中产生的</w:t>
                  </w:r>
                  <w:r>
                    <w:rPr>
                      <w:rFonts w:hint="default" w:ascii="Times New Roman" w:hAnsi="Times New Roman" w:eastAsia="宋体" w:cs="Times New Roman"/>
                      <w:color w:val="000000" w:themeColor="text1"/>
                      <w:lang w:val="zh-CN"/>
                      <w14:textFill>
                        <w14:solidFill>
                          <w14:schemeClr w14:val="tx1"/>
                        </w14:solidFill>
                      </w14:textFill>
                    </w:rPr>
                    <w:t>废包装</w:t>
                  </w:r>
                  <w:r>
                    <w:rPr>
                      <w:rFonts w:hint="eastAsia" w:cs="Times New Roman"/>
                      <w:color w:val="000000" w:themeColor="text1"/>
                      <w:lang w:val="en-US" w:eastAsia="zh-CN"/>
                      <w14:textFill>
                        <w14:solidFill>
                          <w14:schemeClr w14:val="tx1"/>
                        </w14:solidFill>
                      </w14:textFill>
                    </w:rPr>
                    <w:t>袋</w:t>
                  </w:r>
                  <w:r>
                    <w:rPr>
                      <w:rFonts w:hint="default" w:ascii="Times New Roman" w:hAnsi="Times New Roman" w:eastAsia="宋体" w:cs="Times New Roman"/>
                      <w:color w:val="000000" w:themeColor="text1"/>
                      <w:lang w:val="zh-CN"/>
                      <w14:textFill>
                        <w14:solidFill>
                          <w14:schemeClr w14:val="tx1"/>
                        </w14:solidFill>
                      </w14:textFill>
                    </w:rPr>
                    <w:t>外售废品回收站</w:t>
                  </w:r>
                  <w:r>
                    <w:rPr>
                      <w:rFonts w:hint="eastAsia" w:cs="Times New Roman"/>
                      <w:color w:val="000000" w:themeColor="text1"/>
                      <w:lang w:val="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废包装桶定期由厂家回收</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危险废物统一</w:t>
                  </w:r>
                  <w:r>
                    <w:rPr>
                      <w:rFonts w:hint="eastAsia" w:cs="Times New Roman"/>
                      <w:color w:val="000000" w:themeColor="text1"/>
                      <w:lang w:val="en-US" w:eastAsia="zh-CN"/>
                      <w14:textFill>
                        <w14:solidFill>
                          <w14:schemeClr w14:val="tx1"/>
                        </w14:solidFill>
                      </w14:textFill>
                    </w:rPr>
                    <w:t>收集后</w:t>
                  </w:r>
                  <w:r>
                    <w:rPr>
                      <w:rFonts w:hint="default" w:ascii="Times New Roman" w:hAnsi="Times New Roman" w:eastAsia="宋体" w:cs="Times New Roman"/>
                      <w:color w:val="000000" w:themeColor="text1"/>
                      <w14:textFill>
                        <w14:solidFill>
                          <w14:schemeClr w14:val="tx1"/>
                        </w14:solidFill>
                      </w14:textFill>
                    </w:rPr>
                    <w:t>暂存危废间后委托有资质单位清运处理。</w:t>
                  </w: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本项目固体废物处置率为100%。</w:t>
                  </w:r>
                </w:p>
              </w:tc>
              <w:tc>
                <w:tcPr>
                  <w:tcW w:w="374"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434" w:type="pct"/>
                  <w:vAlign w:val="center"/>
                </w:tcPr>
                <w:p>
                  <w:pPr>
                    <w:pStyle w:val="49"/>
                    <w:spacing w:before="24" w:after="24"/>
                    <w:rPr>
                      <w:rFonts w:hint="default" w:ascii="Times New Roman" w:hAnsi="Times New Roman" w:eastAsia="宋体" w:cs="Times New Roman"/>
                      <w:b/>
                      <w:bCs/>
                      <w:color w:val="000000" w:themeColor="text1"/>
                      <w:spacing w:val="-6"/>
                      <w14:textFill>
                        <w14:solidFill>
                          <w14:schemeClr w14:val="tx1"/>
                        </w14:solidFill>
                      </w14:textFill>
                    </w:rPr>
                  </w:pPr>
                  <w:r>
                    <w:rPr>
                      <w:rFonts w:hint="default" w:ascii="Times New Roman" w:hAnsi="Times New Roman" w:eastAsia="宋体" w:cs="Times New Roman"/>
                      <w:b/>
                      <w:bCs/>
                      <w:color w:val="000000" w:themeColor="text1"/>
                      <w:spacing w:val="-6"/>
                      <w14:textFill>
                        <w14:solidFill>
                          <w14:schemeClr w14:val="tx1"/>
                        </w14:solidFill>
                      </w14:textFill>
                    </w:rPr>
                    <w:t>类</w:t>
                  </w:r>
                </w:p>
                <w:p>
                  <w:pPr>
                    <w:pStyle w:val="49"/>
                    <w:spacing w:before="24" w:after="24"/>
                    <w:rPr>
                      <w:rFonts w:hint="default" w:ascii="Times New Roman" w:hAnsi="Times New Roman" w:eastAsia="宋体" w:cs="Times New Roman"/>
                      <w:b/>
                      <w:bCs/>
                      <w:color w:val="000000" w:themeColor="text1"/>
                      <w:spacing w:val="-6"/>
                      <w14:textFill>
                        <w14:solidFill>
                          <w14:schemeClr w14:val="tx1"/>
                        </w14:solidFill>
                      </w14:textFill>
                    </w:rPr>
                  </w:pPr>
                  <w:r>
                    <w:rPr>
                      <w:rFonts w:hint="default" w:ascii="Times New Roman" w:hAnsi="Times New Roman" w:eastAsia="宋体" w:cs="Times New Roman"/>
                      <w:b/>
                      <w:bCs/>
                      <w:color w:val="000000" w:themeColor="text1"/>
                      <w:spacing w:val="-6"/>
                      <w14:textFill>
                        <w14:solidFill>
                          <w14:schemeClr w14:val="tx1"/>
                        </w14:solidFill>
                      </w14:textFill>
                    </w:rPr>
                    <w:t>别</w:t>
                  </w:r>
                </w:p>
              </w:tc>
              <w:tc>
                <w:tcPr>
                  <w:tcW w:w="2341" w:type="pct"/>
                  <w:vAlign w:val="center"/>
                </w:tcPr>
                <w:p>
                  <w:pPr>
                    <w:pStyle w:val="49"/>
                    <w:spacing w:before="24" w:after="24"/>
                    <w:rPr>
                      <w:rFonts w:hint="default" w:ascii="Times New Roman" w:hAnsi="Times New Roman" w:eastAsia="宋体" w:cs="Times New Roman"/>
                      <w:b/>
                      <w:bCs/>
                      <w:color w:val="000000" w:themeColor="text1"/>
                      <w:spacing w:val="-6"/>
                      <w14:textFill>
                        <w14:solidFill>
                          <w14:schemeClr w14:val="tx1"/>
                        </w14:solidFill>
                      </w14:textFill>
                    </w:rPr>
                  </w:pPr>
                  <w:r>
                    <w:rPr>
                      <w:rFonts w:hint="default" w:ascii="Times New Roman" w:hAnsi="Times New Roman" w:eastAsia="宋体" w:cs="Times New Roman"/>
                      <w:b/>
                      <w:bCs/>
                      <w:color w:val="000000" w:themeColor="text1"/>
                      <w:spacing w:val="-6"/>
                      <w14:textFill>
                        <w14:solidFill>
                          <w14:schemeClr w14:val="tx1"/>
                        </w14:solidFill>
                      </w14:textFill>
                    </w:rPr>
                    <w:t>审查意见</w:t>
                  </w:r>
                </w:p>
                <w:p>
                  <w:pPr>
                    <w:pStyle w:val="49"/>
                    <w:spacing w:before="24" w:after="24"/>
                    <w:rPr>
                      <w:rFonts w:hint="default" w:ascii="Times New Roman" w:hAnsi="Times New Roman" w:eastAsia="宋体" w:cs="Times New Roman"/>
                      <w:b/>
                      <w:bCs/>
                      <w:color w:val="000000" w:themeColor="text1"/>
                      <w:spacing w:val="-6"/>
                      <w14:textFill>
                        <w14:solidFill>
                          <w14:schemeClr w14:val="tx1"/>
                        </w14:solidFill>
                      </w14:textFill>
                    </w:rPr>
                  </w:pPr>
                  <w:r>
                    <w:rPr>
                      <w:rFonts w:hint="default" w:ascii="Times New Roman" w:hAnsi="Times New Roman" w:eastAsia="宋体" w:cs="Times New Roman"/>
                      <w:b/>
                      <w:bCs/>
                      <w:color w:val="000000" w:themeColor="text1"/>
                      <w:spacing w:val="-6"/>
                      <w14:textFill>
                        <w14:solidFill>
                          <w14:schemeClr w14:val="tx1"/>
                        </w14:solidFill>
                      </w14:textFill>
                    </w:rPr>
                    <w:t>（主要摘选与项目相关要求）</w:t>
                  </w:r>
                </w:p>
              </w:tc>
              <w:tc>
                <w:tcPr>
                  <w:tcW w:w="1850" w:type="pct"/>
                  <w:vAlign w:val="center"/>
                </w:tcPr>
                <w:p>
                  <w:pPr>
                    <w:pStyle w:val="49"/>
                    <w:spacing w:before="24" w:after="24"/>
                    <w:rPr>
                      <w:rFonts w:hint="default" w:ascii="Times New Roman" w:hAnsi="Times New Roman" w:eastAsia="宋体" w:cs="Times New Roman"/>
                      <w:b/>
                      <w:bCs/>
                      <w:color w:val="000000" w:themeColor="text1"/>
                      <w:spacing w:val="-6"/>
                      <w14:textFill>
                        <w14:solidFill>
                          <w14:schemeClr w14:val="tx1"/>
                        </w14:solidFill>
                      </w14:textFill>
                    </w:rPr>
                  </w:pPr>
                  <w:r>
                    <w:rPr>
                      <w:rFonts w:hint="default" w:ascii="Times New Roman" w:hAnsi="Times New Roman" w:eastAsia="宋体" w:cs="Times New Roman"/>
                      <w:b/>
                      <w:bCs/>
                      <w:color w:val="000000" w:themeColor="text1"/>
                      <w:spacing w:val="-6"/>
                      <w14:textFill>
                        <w14:solidFill>
                          <w14:schemeClr w14:val="tx1"/>
                        </w14:solidFill>
                      </w14:textFill>
                    </w:rPr>
                    <w:t>本项目情况</w:t>
                  </w:r>
                </w:p>
              </w:tc>
              <w:tc>
                <w:tcPr>
                  <w:tcW w:w="374" w:type="pct"/>
                  <w:vAlign w:val="center"/>
                </w:tcPr>
                <w:p>
                  <w:pPr>
                    <w:pStyle w:val="49"/>
                    <w:spacing w:before="24" w:after="24"/>
                    <w:rPr>
                      <w:rFonts w:hint="default" w:ascii="Times New Roman" w:hAnsi="Times New Roman" w:eastAsia="宋体" w:cs="Times New Roman"/>
                      <w:b/>
                      <w:bCs/>
                      <w:color w:val="000000" w:themeColor="text1"/>
                      <w:spacing w:val="-6"/>
                      <w14:textFill>
                        <w14:solidFill>
                          <w14:schemeClr w14:val="tx1"/>
                        </w14:solidFill>
                      </w14:textFill>
                    </w:rPr>
                  </w:pPr>
                  <w:r>
                    <w:rPr>
                      <w:rFonts w:hint="default" w:ascii="Times New Roman" w:hAnsi="Times New Roman" w:eastAsia="宋体" w:cs="Times New Roman"/>
                      <w:b/>
                      <w:bCs/>
                      <w:color w:val="000000" w:themeColor="text1"/>
                      <w:spacing w:val="-6"/>
                      <w14:textFill>
                        <w14:solidFill>
                          <w14:schemeClr w14:val="tx1"/>
                        </w14:solidFill>
                      </w14:textFill>
                    </w:rPr>
                    <w:t>符合</w:t>
                  </w:r>
                </w:p>
                <w:p>
                  <w:pPr>
                    <w:pStyle w:val="49"/>
                    <w:spacing w:before="24" w:after="24"/>
                    <w:rPr>
                      <w:rFonts w:hint="default" w:ascii="Times New Roman" w:hAnsi="Times New Roman" w:eastAsia="宋体" w:cs="Times New Roman"/>
                      <w:b/>
                      <w:bCs/>
                      <w:color w:val="000000" w:themeColor="text1"/>
                      <w:spacing w:val="-6"/>
                      <w14:textFill>
                        <w14:solidFill>
                          <w14:schemeClr w14:val="tx1"/>
                        </w14:solidFill>
                      </w14:textFill>
                    </w:rPr>
                  </w:pPr>
                  <w:r>
                    <w:rPr>
                      <w:rFonts w:hint="default" w:ascii="Times New Roman" w:hAnsi="Times New Roman" w:eastAsia="宋体" w:cs="Times New Roman"/>
                      <w:b/>
                      <w:bCs/>
                      <w:color w:val="000000" w:themeColor="text1"/>
                      <w:spacing w:val="-6"/>
                      <w14:textFill>
                        <w14:solidFill>
                          <w14:schemeClr w14:val="tx1"/>
                        </w14:solidFill>
                      </w14:textFill>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restar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大气污染防治措施</w:t>
                  </w:r>
                </w:p>
              </w:tc>
              <w:tc>
                <w:tcPr>
                  <w:tcW w:w="2341"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从严格筛选入园企业入手</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鼓励能耗低、工艺设备先进、排放废气污染物较少的企业入园。禁止不符合国家和地方产业政策的项目</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以及列入《严重污染环境（大气）的淘汰工艺和设备名录》的项目进入园区。</w:t>
                  </w:r>
                </w:p>
              </w:tc>
              <w:tc>
                <w:tcPr>
                  <w:tcW w:w="1850"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本项目主要使用电能</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使用的设备均不属于高耗能设备</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废气治理均选用环保可行工艺。项目符合国家和地方产业政策</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生产工艺先进</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工艺和设备均不属于《严重污染环境（大气）的淘汰工艺和设备名录》中所列项目。</w:t>
                  </w:r>
                </w:p>
              </w:tc>
              <w:tc>
                <w:tcPr>
                  <w:tcW w:w="374" w:type="pct"/>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tc>
              <w:tc>
                <w:tcPr>
                  <w:tcW w:w="2341"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严格项目生产运营中的废气污染源控制</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推行清洁生产</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降低能耗、物耗；加强无组织排放粉尘、工艺废气的控制。产生的废气应处理达标后才可以排放。</w:t>
                  </w:r>
                </w:p>
              </w:tc>
              <w:tc>
                <w:tcPr>
                  <w:tcW w:w="1850" w:type="pct"/>
                  <w:vMerge w:val="restart"/>
                  <w:vAlign w:val="center"/>
                </w:tcPr>
                <w:p>
                  <w:pPr>
                    <w:pStyle w:val="46"/>
                    <w:ind w:firstLine="396" w:firstLineChars="20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项目</w:t>
                  </w:r>
                  <w:r>
                    <w:rPr>
                      <w:rFonts w:hint="default" w:ascii="Times New Roman" w:hAnsi="Times New Roman" w:eastAsia="宋体" w:cs="Times New Roman"/>
                      <w:color w:val="000000" w:themeColor="text1"/>
                      <w14:textFill>
                        <w14:solidFill>
                          <w14:schemeClr w14:val="tx1"/>
                        </w14:solidFill>
                      </w14:textFill>
                    </w:rPr>
                    <w:t>项目</w:t>
                  </w:r>
                  <w:r>
                    <w:rPr>
                      <w:rFonts w:hint="default" w:ascii="Times New Roman" w:hAnsi="Times New Roman" w:eastAsia="宋体" w:cs="Times New Roman"/>
                      <w:color w:val="000000"/>
                      <w:kern w:val="0"/>
                      <w:sz w:val="20"/>
                      <w:szCs w:val="20"/>
                      <w:lang w:val="en-US" w:eastAsia="zh-CN" w:bidi="ar"/>
                    </w:rPr>
                    <w:t>AKD蜡</w:t>
                  </w:r>
                  <w:r>
                    <w:rPr>
                      <w:rFonts w:hint="default" w:ascii="Times New Roman" w:hAnsi="Times New Roman" w:eastAsia="宋体" w:cs="Times New Roman"/>
                      <w:color w:val="000000" w:themeColor="text1"/>
                      <w:lang w:val="en-US" w:eastAsia="zh-CN"/>
                      <w14:textFill>
                        <w14:solidFill>
                          <w14:schemeClr w14:val="tx1"/>
                        </w14:solidFill>
                      </w14:textFill>
                    </w:rPr>
                    <w:t>融化过程中</w:t>
                  </w:r>
                  <w:r>
                    <w:rPr>
                      <w:rFonts w:hint="default" w:ascii="Times New Roman" w:hAnsi="Times New Roman" w:eastAsia="宋体" w:cs="Times New Roman"/>
                      <w:color w:val="000000" w:themeColor="text1"/>
                      <w14:textFill>
                        <w14:solidFill>
                          <w14:schemeClr w14:val="tx1"/>
                        </w14:solidFill>
                      </w14:textFill>
                    </w:rPr>
                    <w:t>产生的挥发性有机物（以非甲烷总烃计）通过</w:t>
                  </w:r>
                  <w:r>
                    <w:rPr>
                      <w:rFonts w:hint="eastAsia" w:cs="Times New Roman"/>
                      <w:color w:val="000000" w:themeColor="text1"/>
                      <w:lang w:val="en-US" w:eastAsia="zh-CN"/>
                      <w14:textFill>
                        <w14:solidFill>
                          <w14:schemeClr w14:val="tx1"/>
                        </w14:solidFill>
                      </w14:textFill>
                    </w:rPr>
                    <w:t>二级</w:t>
                  </w:r>
                  <w:r>
                    <w:rPr>
                      <w:rFonts w:hint="default" w:ascii="Times New Roman" w:hAnsi="Times New Roman" w:eastAsia="宋体" w:cs="Times New Roman"/>
                      <w:color w:val="000000" w:themeColor="text1"/>
                      <w14:textFill>
                        <w14:solidFill>
                          <w14:schemeClr w14:val="tx1"/>
                        </w14:solidFill>
                      </w14:textFill>
                    </w:rPr>
                    <w:t>活性炭吸附设备处理</w:t>
                  </w:r>
                  <w:r>
                    <w:rPr>
                      <w:rFonts w:hint="default" w:ascii="Times New Roman" w:hAnsi="Times New Roman" w:eastAsia="宋体" w:cs="Times New Roman"/>
                      <w:color w:val="000000" w:themeColor="text1"/>
                      <w:lang w:val="en-US" w:eastAsia="zh-CN"/>
                      <w14:textFill>
                        <w14:solidFill>
                          <w14:schemeClr w14:val="tx1"/>
                        </w14:solidFill>
                      </w14:textFill>
                    </w:rPr>
                    <w:t>后通过15m高的排气筒达标排放</w:t>
                  </w:r>
                  <w:r>
                    <w:rPr>
                      <w:rFonts w:hint="default" w:ascii="Times New Roman" w:hAnsi="Times New Roman" w:eastAsia="宋体" w:cs="Times New Roman"/>
                      <w:color w:val="000000" w:themeColor="text1"/>
                      <w14:textFill>
                        <w14:solidFill>
                          <w14:schemeClr w14:val="tx1"/>
                        </w14:solidFill>
                      </w14:textFill>
                    </w:rPr>
                    <w:t>；挥发性有机物（以非甲烷总烃计）排放能够</w:t>
                  </w:r>
                  <w:r>
                    <w:rPr>
                      <w:rFonts w:hint="default" w:ascii="Times New Roman" w:hAnsi="Times New Roman" w:eastAsia="宋体" w:cs="Times New Roman"/>
                      <w:color w:val="000000" w:themeColor="text1"/>
                      <w:lang w:val="en-US" w:eastAsia="zh-CN"/>
                      <w14:textFill>
                        <w14:solidFill>
                          <w14:schemeClr w14:val="tx1"/>
                        </w14:solidFill>
                      </w14:textFill>
                    </w:rPr>
                    <w:t>满足</w:t>
                  </w:r>
                  <w:r>
                    <w:rPr>
                      <w:rFonts w:hint="default" w:ascii="Times New Roman" w:hAnsi="Times New Roman" w:eastAsia="宋体" w:cs="Times New Roman"/>
                      <w:color w:val="000000" w:themeColor="text1"/>
                      <w14:textFill>
                        <w14:solidFill>
                          <w14:schemeClr w14:val="tx1"/>
                        </w14:solidFill>
                      </w14:textFill>
                    </w:rPr>
                    <w:t>《大气污染物综合排放标准》（GB16297—1996）表2中二级标准限值。</w:t>
                  </w: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tc>
              <w:tc>
                <w:tcPr>
                  <w:tcW w:w="374" w:type="pct"/>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tc>
              <w:tc>
                <w:tcPr>
                  <w:tcW w:w="2341"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对大气污染物实行严格的总量控制</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园区应削减现有企业排污量</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近、中、远期应分别达到区域环境总量控制目标。通过对现有企业的排放量进行削减</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严格控制新入园企业的排放量</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以及区域削减</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实现园区排污总量达标</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为新建项目腾出总量指标。对于SO</w:t>
                  </w:r>
                  <w:r>
                    <w:rPr>
                      <w:rFonts w:hint="default" w:ascii="Times New Roman" w:hAnsi="Times New Roman" w:eastAsia="宋体" w:cs="Times New Roman"/>
                      <w:color w:val="000000" w:themeColor="text1"/>
                      <w:spacing w:val="-6"/>
                      <w:vertAlign w:val="subscript"/>
                      <w14:textFill>
                        <w14:solidFill>
                          <w14:schemeClr w14:val="tx1"/>
                        </w14:solidFill>
                      </w14:textFill>
                    </w:rPr>
                    <w:t>2</w:t>
                  </w:r>
                  <w:r>
                    <w:rPr>
                      <w:rFonts w:hint="default" w:ascii="Times New Roman" w:hAnsi="Times New Roman" w:eastAsia="宋体" w:cs="Times New Roman"/>
                      <w:color w:val="000000" w:themeColor="text1"/>
                      <w:spacing w:val="-6"/>
                      <w14:textFill>
                        <w14:solidFill>
                          <w14:schemeClr w14:val="tx1"/>
                        </w14:solidFill>
                      </w14:textFill>
                    </w:rPr>
                    <w:t>、NO</w:t>
                  </w:r>
                  <w:r>
                    <w:rPr>
                      <w:rFonts w:hint="default" w:ascii="Times New Roman" w:hAnsi="Times New Roman" w:eastAsia="宋体" w:cs="Times New Roman"/>
                      <w:color w:val="000000" w:themeColor="text1"/>
                      <w:spacing w:val="-6"/>
                      <w:vertAlign w:val="subscript"/>
                      <w14:textFill>
                        <w14:solidFill>
                          <w14:schemeClr w14:val="tx1"/>
                        </w14:solidFill>
                      </w14:textFill>
                    </w:rPr>
                    <w:t>X</w:t>
                  </w:r>
                  <w:r>
                    <w:rPr>
                      <w:rFonts w:hint="default" w:ascii="Times New Roman" w:hAnsi="Times New Roman" w:eastAsia="宋体" w:cs="Times New Roman"/>
                      <w:color w:val="000000" w:themeColor="text1"/>
                      <w:spacing w:val="-6"/>
                      <w14:textFill>
                        <w14:solidFill>
                          <w14:schemeClr w14:val="tx1"/>
                        </w14:solidFill>
                      </w14:textFill>
                    </w:rPr>
                    <w:t>、烟（粉）尘等大气污染物</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要求各企业严格进行治理</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达标排放。</w:t>
                  </w:r>
                </w:p>
              </w:tc>
              <w:tc>
                <w:tcPr>
                  <w:tcW w:w="1850" w:type="pct"/>
                  <w:vMerge w:val="continue"/>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tc>
              <w:tc>
                <w:tcPr>
                  <w:tcW w:w="374" w:type="pct"/>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restar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水污染防治措施</w:t>
                  </w:r>
                </w:p>
              </w:tc>
              <w:tc>
                <w:tcPr>
                  <w:tcW w:w="2341"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乌龙、晋城、上蒜、青山基地生活污水通过各自企业自建污水处理设施处理后</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进入各区域环湖截污管网</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最后进入各污水处理厂处理；生产废水做到企业内部或企业间循环利用</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不外排。</w:t>
                  </w:r>
                </w:p>
              </w:tc>
              <w:tc>
                <w:tcPr>
                  <w:tcW w:w="1850"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本项目位于二街基地</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无生产废水产生</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本项目食堂产生的厨房废水经隔油池处理后</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和其他生活废水一同排入化粪池</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预处理达到GB/T31962-2015《污水排入城镇下水道水质标准》(表1) A等级标准后排入园区污水管网</w:t>
                  </w:r>
                  <w:r>
                    <w:rPr>
                      <w:rFonts w:hint="eastAsia" w:ascii="Times New Roman"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最终进入晋宁县工业园区二街片区生活污水处理厂处理。</w:t>
                  </w:r>
                </w:p>
              </w:tc>
              <w:tc>
                <w:tcPr>
                  <w:tcW w:w="374" w:type="pct"/>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tc>
              <w:tc>
                <w:tcPr>
                  <w:tcW w:w="2341"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管理部门在招商引资的时候应禁止生产工艺装备落后及耗水量大、水污染物产生和排放量多的企业进入园区</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鼓励和优先发展无污染或轻污染、科技含量高、产品附加值高的产业及企业。</w:t>
                  </w:r>
                </w:p>
              </w:tc>
              <w:tc>
                <w:tcPr>
                  <w:tcW w:w="1850" w:type="pct"/>
                  <w:vAlign w:val="center"/>
                </w:tcPr>
                <w:p>
                  <w:pPr>
                    <w:pStyle w:val="49"/>
                    <w:spacing w:before="24" w:after="24"/>
                    <w:jc w:val="both"/>
                    <w:rPr>
                      <w:rFonts w:hint="eastAsia" w:asci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项目生产工艺和设备未列入《严重污染环境（大气）的淘汰工艺和设备名录》</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项目食堂产生的厨房废水经隔油池处理后</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和其他生活废水一同排入化粪池</w:t>
                  </w:r>
                  <w:r>
                    <w:rPr>
                      <w:rFonts w:hint="eastAsia" w:ascii="Times New Roman" w:cs="Times New Roman"/>
                      <w:color w:val="000000" w:themeColor="text1"/>
                      <w:szCs w:val="21"/>
                      <w:lang w:eastAsia="zh-CN"/>
                      <w14:textFill>
                        <w14:solidFill>
                          <w14:schemeClr w14:val="tx1"/>
                        </w14:solidFill>
                      </w14:textFill>
                    </w:rPr>
                    <w:t>，</w:t>
                  </w:r>
                </w:p>
                <w:p>
                  <w:pPr>
                    <w:pStyle w:val="49"/>
                    <w:spacing w:before="24" w:after="24"/>
                    <w:jc w:val="both"/>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预处理达到GB/T31962-2015《污水排入城镇下水道水质标准》(表1) A等级标准后排入园区污水管网</w:t>
                  </w:r>
                  <w:r>
                    <w:rPr>
                      <w:rFonts w:hint="eastAsia" w:ascii="Times New Roman"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最终进入工晋宁县工业园区二街片区生活污水处理厂处理。</w:t>
                  </w:r>
                </w:p>
              </w:tc>
              <w:tc>
                <w:tcPr>
                  <w:tcW w:w="374" w:type="pct"/>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434" w:type="pct"/>
                  <w:vMerge w:val="continue"/>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tc>
              <w:tc>
                <w:tcPr>
                  <w:tcW w:w="2341"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未经当地水行政主管部门的同意</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各企业不得将废水直接排向区域地表水体。</w:t>
                  </w:r>
                </w:p>
              </w:tc>
              <w:tc>
                <w:tcPr>
                  <w:tcW w:w="1850"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项目废水未直接排入地表水体</w:t>
                  </w:r>
                </w:p>
              </w:tc>
              <w:tc>
                <w:tcPr>
                  <w:tcW w:w="374" w:type="pct"/>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5" w:hRule="atLeast"/>
              </w:trPr>
              <w:tc>
                <w:tcPr>
                  <w:tcW w:w="434" w:type="pct"/>
                  <w:vMerge w:val="restar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水污染防治措施</w:t>
                  </w:r>
                </w:p>
              </w:tc>
              <w:tc>
                <w:tcPr>
                  <w:tcW w:w="2341"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做好各企业排污口设置及规范化建设与管理。各企业外排废水与基地污水污水收集管网只能设置1个对接口</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并在对接口前安装污水流量计、设置污水采样口</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定期进行排水水质监测。</w:t>
                  </w:r>
                </w:p>
              </w:tc>
              <w:tc>
                <w:tcPr>
                  <w:tcW w:w="1850" w:type="pct"/>
                  <w:vAlign w:val="center"/>
                </w:tcPr>
                <w:p>
                  <w:pPr>
                    <w:pStyle w:val="49"/>
                    <w:spacing w:before="24" w:after="2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本项目食堂产生的厨房废水经隔油池处理后</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和其他生活废水一同排入化粪</w:t>
                  </w:r>
                </w:p>
                <w:p>
                  <w:pPr>
                    <w:pStyle w:val="49"/>
                    <w:spacing w:before="24" w:after="24"/>
                    <w:jc w:val="both"/>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池</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预处理达到GB/T31962-2015《污水排入城镇下水道水质标准》(表1) A等级标准后排入园区污水管网</w:t>
                  </w:r>
                  <w:r>
                    <w:rPr>
                      <w:rFonts w:hint="eastAsia" w:ascii="Times New Roman"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最终进入晋宁县工业园区二街片区生活污水处理厂处理。</w:t>
                  </w:r>
                </w:p>
              </w:tc>
              <w:tc>
                <w:tcPr>
                  <w:tcW w:w="374" w:type="pct"/>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tc>
              <w:tc>
                <w:tcPr>
                  <w:tcW w:w="2341"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避免引进高耗水、高污染企业入驻滇池流域内各工业基地。</w:t>
                  </w:r>
                </w:p>
              </w:tc>
              <w:tc>
                <w:tcPr>
                  <w:tcW w:w="1850"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本项目不属于高污染、高耗水行业类项目</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生活废水处理之后综合利用</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不外排；固废100%依法依规处置</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不外排。</w:t>
                  </w:r>
                </w:p>
              </w:tc>
              <w:tc>
                <w:tcPr>
                  <w:tcW w:w="374" w:type="pct"/>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34" w:type="pct"/>
                  <w:vMerge w:val="continue"/>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tc>
              <w:tc>
                <w:tcPr>
                  <w:tcW w:w="2341"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生产废水不能做到零排放的企业不得入驻晋城、青山、上蒜、乌龙基地。</w:t>
                  </w:r>
                </w:p>
              </w:tc>
              <w:tc>
                <w:tcPr>
                  <w:tcW w:w="1850"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本项目生活废水不外排</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无产废水</w:t>
                  </w:r>
                  <w:r>
                    <w:rPr>
                      <w:rStyle w:val="34"/>
                      <w:rFonts w:hint="default" w:ascii="Times New Roman" w:hAnsi="Times New Roman" w:eastAsia="宋体" w:cs="Times New Roman"/>
                      <w:color w:val="000000" w:themeColor="text1"/>
                      <w14:textFill>
                        <w14:solidFill>
                          <w14:schemeClr w14:val="tx1"/>
                        </w14:solidFill>
                      </w14:textFill>
                    </w:rPr>
                    <w:t>产生</w:t>
                  </w:r>
                  <w:r>
                    <w:rPr>
                      <w:rFonts w:hint="default" w:ascii="Times New Roman" w:hAnsi="Times New Roman" w:eastAsia="宋体" w:cs="Times New Roman"/>
                      <w:color w:val="000000" w:themeColor="text1"/>
                      <w:spacing w:val="-6"/>
                      <w14:textFill>
                        <w14:solidFill>
                          <w14:schemeClr w14:val="tx1"/>
                        </w14:solidFill>
                      </w14:textFill>
                    </w:rPr>
                    <w:t>。</w:t>
                  </w:r>
                </w:p>
              </w:tc>
              <w:tc>
                <w:tcPr>
                  <w:tcW w:w="374" w:type="pct"/>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tc>
              <w:tc>
                <w:tcPr>
                  <w:tcW w:w="2341"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滇池流域禁止引进不符合《云南省滇池保护条例》相关规定的企业入驻。</w:t>
                  </w:r>
                </w:p>
              </w:tc>
              <w:tc>
                <w:tcPr>
                  <w:tcW w:w="1850"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本项目不在条例禁止行为中。</w:t>
                  </w:r>
                </w:p>
              </w:tc>
              <w:tc>
                <w:tcPr>
                  <w:tcW w:w="374" w:type="pct"/>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9" w:hRule="atLeast"/>
              </w:trPr>
              <w:tc>
                <w:tcPr>
                  <w:tcW w:w="434"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声环境污染防</w:t>
                  </w: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治措施</w:t>
                  </w:r>
                </w:p>
              </w:tc>
              <w:tc>
                <w:tcPr>
                  <w:tcW w:w="2341"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为确保园区边界噪声达标排放</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园区应加强监督管理</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督促入驻园区的企业进行噪声治理</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确保其厂界噪声达标排放</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并通过对企业合理布局</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将噪声较大的企业布置在远离园区边界和园区内村庄等噪声敏感目标的地方。</w:t>
                  </w:r>
                </w:p>
              </w:tc>
              <w:tc>
                <w:tcPr>
                  <w:tcW w:w="1850"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本项目噪声设备均设置在厂房内</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安装时进行基础减震</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可实现厂界达标排放。</w:t>
                  </w:r>
                </w:p>
              </w:tc>
              <w:tc>
                <w:tcPr>
                  <w:tcW w:w="374" w:type="pct"/>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434" w:type="pct"/>
                  <w:vMerge w:val="restar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主要固废污染防治措施</w:t>
                  </w:r>
                </w:p>
              </w:tc>
              <w:tc>
                <w:tcPr>
                  <w:tcW w:w="2341"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对于危险废物</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需按照GB18597-2001《危险废物贮存污染控制标准》的要求进行贮存</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委托昆明市危险废物中心处理；目前不能处置的废物</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应在项目内妥善处置。</w:t>
                  </w:r>
                </w:p>
              </w:tc>
              <w:tc>
                <w:tcPr>
                  <w:tcW w:w="1850"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本项目危险废物设置危废暂存间进行收集暂存</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委托有资质单位定期清运处置</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危废暂存间设置严格按照GB18597-2001《危险废物贮存污染控制标准》进行建设</w:t>
                  </w:r>
                </w:p>
              </w:tc>
              <w:tc>
                <w:tcPr>
                  <w:tcW w:w="374" w:type="pct"/>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434" w:type="pct"/>
                  <w:vMerge w:val="continue"/>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tc>
              <w:tc>
                <w:tcPr>
                  <w:tcW w:w="2341"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大力推行循环经济和清洁生产</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从源头减少工业固体废物的产生量。把好工业园区的入园门槛</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避免生产工艺落后、高污染的排污大户进入园区。</w:t>
                  </w:r>
                </w:p>
              </w:tc>
              <w:tc>
                <w:tcPr>
                  <w:tcW w:w="1850" w:type="pct"/>
                  <w:vAlign w:val="center"/>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本项目生产工艺均不属于淘汰落后工艺</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也不属于高污染行业。</w:t>
                  </w:r>
                </w:p>
              </w:tc>
              <w:tc>
                <w:tcPr>
                  <w:tcW w:w="374" w:type="pct"/>
                </w:tcPr>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p>
                <w:p>
                  <w:pPr>
                    <w:pStyle w:val="49"/>
                    <w:spacing w:before="24" w:after="24"/>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bl>
          <w:p>
            <w:pPr>
              <w:spacing w:line="360" w:lineRule="auto"/>
              <w:ind w:firstLine="480" w:firstLineChars="200"/>
              <w:rPr>
                <w:rFonts w:hint="default" w:ascii="Times New Roman" w:hAnsi="Times New Roman" w:eastAsia="宋体" w:cs="Times New Roman"/>
                <w:color w:val="000000" w:themeColor="text1"/>
                <w:kern w:val="10"/>
                <w:sz w:val="24"/>
                <w:lang w:val="zh-CN"/>
                <w14:textFill>
                  <w14:solidFill>
                    <w14:schemeClr w14:val="tx1"/>
                  </w14:solidFill>
                </w14:textFill>
              </w:rPr>
            </w:pPr>
            <w:r>
              <w:rPr>
                <w:rFonts w:hint="default" w:ascii="Times New Roman" w:hAnsi="Times New Roman" w:eastAsia="宋体" w:cs="Times New Roman"/>
                <w:color w:val="000000" w:themeColor="text1"/>
                <w:kern w:val="10"/>
                <w:sz w:val="24"/>
                <w:lang w:val="zh-CN"/>
                <w14:textFill>
                  <w14:solidFill>
                    <w14:schemeClr w14:val="tx1"/>
                  </w14:solidFill>
                </w14:textFill>
              </w:rPr>
              <w:t>因此</w:t>
            </w:r>
            <w:r>
              <w:rPr>
                <w:rFonts w:hint="eastAsia" w:cs="Times New Roman"/>
                <w:color w:val="000000" w:themeColor="text1"/>
                <w:kern w:val="10"/>
                <w:sz w:val="24"/>
                <w:lang w:val="zh-CN"/>
                <w14:textFill>
                  <w14:solidFill>
                    <w14:schemeClr w14:val="tx1"/>
                  </w14:solidFill>
                </w14:textFill>
              </w:rPr>
              <w:t>，</w:t>
            </w:r>
            <w:r>
              <w:rPr>
                <w:rFonts w:hint="default" w:ascii="Times New Roman" w:hAnsi="Times New Roman" w:eastAsia="宋体" w:cs="Times New Roman"/>
                <w:color w:val="000000" w:themeColor="text1"/>
                <w:kern w:val="10"/>
                <w:sz w:val="24"/>
                <w:lang w:val="zh-CN"/>
                <w14:textFill>
                  <w14:solidFill>
                    <w14:schemeClr w14:val="tx1"/>
                  </w14:solidFill>
                </w14:textFill>
              </w:rPr>
              <w:t>本项目的实施与园区规划环评的审查意见中的要求不冲突。</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4、符合性分析</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10"/>
                <w:sz w:val="24"/>
                <w:lang w:val="zh-CN"/>
                <w14:textFill>
                  <w14:solidFill>
                    <w14:schemeClr w14:val="tx1"/>
                  </w14:solidFill>
                </w14:textFill>
              </w:rPr>
              <w:t>针对规划环评对规划的优化调整建议及规划环评审查意见及其函</w:t>
            </w:r>
            <w:r>
              <w:rPr>
                <w:rFonts w:hint="eastAsia" w:cs="Times New Roman"/>
                <w:color w:val="000000" w:themeColor="text1"/>
                <w:kern w:val="10"/>
                <w:sz w:val="24"/>
                <w:lang w:val="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且项目</w:t>
            </w:r>
            <w:r>
              <w:rPr>
                <w:rFonts w:hint="default" w:ascii="Times New Roman" w:hAnsi="Times New Roman" w:eastAsia="宋体" w:cs="Times New Roman"/>
                <w:color w:val="000000" w:themeColor="text1"/>
                <w:sz w:val="24"/>
                <w14:textFill>
                  <w14:solidFill>
                    <w14:schemeClr w14:val="tx1"/>
                  </w14:solidFill>
                </w14:textFill>
              </w:rPr>
              <w:t>已获得晋宁工业园区管理委员会关于同意</w:t>
            </w:r>
            <w:r>
              <w:rPr>
                <w:rFonts w:hint="default" w:ascii="Times New Roman" w:hAnsi="Times New Roman" w:eastAsia="宋体" w:cs="Times New Roman"/>
                <w:color w:val="000000" w:themeColor="text1"/>
                <w:sz w:val="24"/>
                <w:lang w:eastAsia="zh-CN"/>
                <w14:textFill>
                  <w14:solidFill>
                    <w14:schemeClr w14:val="tx1"/>
                  </w14:solidFill>
                </w14:textFill>
              </w:rPr>
              <w:t>云南爱瑞新材料科技有限公司年产1.5万吨造纸添加剂项目</w:t>
            </w:r>
            <w:r>
              <w:rPr>
                <w:rFonts w:hint="default" w:ascii="Times New Roman" w:hAnsi="Times New Roman" w:eastAsia="宋体" w:cs="Times New Roman"/>
                <w:color w:val="000000" w:themeColor="text1"/>
                <w:sz w:val="24"/>
                <w14:textFill>
                  <w14:solidFill>
                    <w14:schemeClr w14:val="tx1"/>
                  </w14:solidFill>
                </w14:textFill>
              </w:rPr>
              <w:t>的入园批复</w:t>
            </w:r>
            <w:r>
              <w:rPr>
                <w:rFonts w:hint="default" w:ascii="Times New Roman" w:hAnsi="Times New Roman" w:eastAsia="宋体" w:cs="Times New Roman"/>
                <w:bCs/>
                <w:color w:val="000000" w:themeColor="text1"/>
                <w:kern w:val="0"/>
                <w:sz w:val="24"/>
                <w14:textFill>
                  <w14:solidFill>
                    <w14:schemeClr w14:val="tx1"/>
                  </w14:solidFill>
                </w14:textFill>
              </w:rPr>
              <w:t>（园区管委会复【202</w:t>
            </w:r>
            <w:r>
              <w:rPr>
                <w:rFonts w:hint="default" w:ascii="Times New Roman" w:hAnsi="Times New Roman" w:eastAsia="宋体" w:cs="Times New Roman"/>
                <w:bCs/>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bCs/>
                <w:color w:val="000000" w:themeColor="text1"/>
                <w:kern w:val="0"/>
                <w:sz w:val="24"/>
                <w14:textFill>
                  <w14:solidFill>
                    <w14:schemeClr w14:val="tx1"/>
                  </w14:solidFill>
                </w14:textFill>
              </w:rPr>
              <w:t>】</w:t>
            </w:r>
            <w:r>
              <w:rPr>
                <w:rFonts w:hint="default" w:ascii="Times New Roman" w:hAnsi="Times New Roman" w:eastAsia="宋体" w:cs="Times New Roman"/>
                <w:bCs/>
                <w:color w:val="000000" w:themeColor="text1"/>
                <w:kern w:val="0"/>
                <w:sz w:val="24"/>
                <w:lang w:val="en-US" w:eastAsia="zh-CN"/>
                <w14:textFill>
                  <w14:solidFill>
                    <w14:schemeClr w14:val="tx1"/>
                  </w14:solidFill>
                </w14:textFill>
              </w:rPr>
              <w:t>107</w:t>
            </w:r>
            <w:r>
              <w:rPr>
                <w:rFonts w:hint="default" w:ascii="Times New Roman" w:hAnsi="Times New Roman" w:eastAsia="宋体" w:cs="Times New Roman"/>
                <w:bCs/>
                <w:color w:val="000000" w:themeColor="text1"/>
                <w:kern w:val="0"/>
                <w:sz w:val="24"/>
                <w14:textFill>
                  <w14:solidFill>
                    <w14:schemeClr w14:val="tx1"/>
                  </w14:solidFill>
                </w14:textFill>
              </w:rPr>
              <w:t>号）</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批复同意本项目入驻晋宁工业园二街基地。</w:t>
            </w:r>
          </w:p>
          <w:p>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项目建设符合《晋宁工业园区总体规划修编（2012-2030）环境影响报告书》及其审查意见和审查意见的函的要求。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91" w:type="dxa"/>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其他符合性分析</w:t>
            </w:r>
          </w:p>
        </w:tc>
        <w:tc>
          <w:tcPr>
            <w:tcW w:w="7255" w:type="dxa"/>
            <w:gridSpan w:val="3"/>
            <w:vAlign w:val="center"/>
          </w:tcPr>
          <w:p>
            <w:pPr>
              <w:pStyle w:val="45"/>
              <w:spacing w:before="1"/>
              <w:ind w:left="591"/>
              <w:jc w:val="left"/>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1、产业政策符合性分析</w:t>
            </w:r>
          </w:p>
          <w:p>
            <w:pPr>
              <w:pStyle w:val="45"/>
              <w:spacing w:before="160" w:line="360" w:lineRule="auto"/>
              <w:ind w:right="85" w:firstLine="480" w:firstLineChars="200"/>
              <w:jc w:val="both"/>
              <w:rPr>
                <w:rFonts w:hint="eastAsia" w:ascii="Times New Roman" w:hAnsi="Times New Roman" w:eastAsia="宋体" w:cs="Times New Roman"/>
                <w:bCs/>
                <w:color w:val="000000" w:themeColor="text1"/>
                <w:kern w:val="0"/>
                <w:sz w:val="24"/>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4"/>
                <w:lang w:val="en-US" w:bidi="ar-SA"/>
                <w14:textFill>
                  <w14:solidFill>
                    <w14:schemeClr w14:val="tx1"/>
                  </w14:solidFill>
                </w14:textFill>
              </w:rPr>
              <w:t>本项目属于</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年产1.5万吨造纸添加剂项目</w:t>
            </w:r>
            <w:r>
              <w:rPr>
                <w:rFonts w:hint="eastAsia" w:ascii="Times New Roman" w:hAnsi="Times New Roman" w:cs="Times New Roman"/>
                <w:bCs/>
                <w:color w:val="000000" w:themeColor="text1"/>
                <w:kern w:val="0"/>
                <w:sz w:val="24"/>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0"/>
                <w:sz w:val="24"/>
                <w:lang w:val="en-US" w:bidi="ar-SA"/>
                <w14:textFill>
                  <w14:solidFill>
                    <w14:schemeClr w14:val="tx1"/>
                  </w14:solidFill>
                </w14:textFill>
              </w:rPr>
              <w:t>根据《产业结构调整指导目录（2019 年本）》项目不属于限制类和淘汰类、鼓励类</w:t>
            </w:r>
            <w:r>
              <w:rPr>
                <w:rFonts w:hint="eastAsia" w:ascii="Times New Roman" w:hAnsi="Times New Roman" w:cs="Times New Roman"/>
                <w:bCs/>
                <w:color w:val="000000" w:themeColor="text1"/>
                <w:kern w:val="0"/>
                <w:sz w:val="24"/>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0"/>
                <w:sz w:val="24"/>
                <w:lang w:val="en-US" w:bidi="ar-SA"/>
                <w14:textFill>
                  <w14:solidFill>
                    <w14:schemeClr w14:val="tx1"/>
                  </w14:solidFill>
                </w14:textFill>
              </w:rPr>
              <w:t>属于允许类</w:t>
            </w:r>
            <w:bookmarkStart w:id="5" w:name="_Toc23211"/>
            <w:bookmarkStart w:id="6" w:name="_Toc8457"/>
            <w:r>
              <w:rPr>
                <w:rFonts w:hint="eastAsia" w:ascii="Times New Roman" w:hAnsi="Times New Roman" w:cs="Times New Roman"/>
                <w:bCs/>
                <w:color w:val="000000" w:themeColor="text1"/>
                <w:kern w:val="0"/>
                <w:sz w:val="24"/>
                <w:lang w:val="en-US" w:eastAsia="zh-CN" w:bidi="ar-SA"/>
                <w14:textFill>
                  <w14:solidFill>
                    <w14:schemeClr w14:val="tx1"/>
                  </w14:solidFill>
                </w14:textFill>
              </w:rPr>
              <w:t>，</w:t>
            </w:r>
            <w:r>
              <w:rPr>
                <w:rFonts w:ascii="Times New Roman" w:hAnsi="Times New Roman" w:cs="Times New Roman"/>
                <w:bCs/>
                <w:color w:val="000000" w:themeColor="text1"/>
                <w:kern w:val="0"/>
                <w:sz w:val="24"/>
                <w:lang w:val="en-US" w:bidi="ar-SA"/>
                <w14:textFill>
                  <w14:solidFill>
                    <w14:schemeClr w14:val="tx1"/>
                  </w14:solidFill>
                </w14:textFill>
              </w:rPr>
              <w:t>同时，项目已于202</w:t>
            </w:r>
            <w:r>
              <w:rPr>
                <w:rFonts w:hint="eastAsia" w:ascii="Times New Roman" w:hAnsi="Times New Roman" w:cs="Times New Roman"/>
                <w:bCs/>
                <w:color w:val="000000" w:themeColor="text1"/>
                <w:kern w:val="0"/>
                <w:sz w:val="24"/>
                <w:lang w:val="en-US" w:eastAsia="zh-CN" w:bidi="ar-SA"/>
                <w14:textFill>
                  <w14:solidFill>
                    <w14:schemeClr w14:val="tx1"/>
                  </w14:solidFill>
                </w14:textFill>
              </w:rPr>
              <w:t>2</w:t>
            </w:r>
            <w:r>
              <w:rPr>
                <w:rFonts w:ascii="Times New Roman" w:hAnsi="Times New Roman" w:cs="Times New Roman"/>
                <w:bCs/>
                <w:color w:val="000000" w:themeColor="text1"/>
                <w:kern w:val="0"/>
                <w:sz w:val="24"/>
                <w:lang w:val="en-US" w:bidi="ar-SA"/>
                <w14:textFill>
                  <w14:solidFill>
                    <w14:schemeClr w14:val="tx1"/>
                  </w14:solidFill>
                </w14:textFill>
              </w:rPr>
              <w:t>年</w:t>
            </w:r>
            <w:r>
              <w:rPr>
                <w:rFonts w:hint="eastAsia" w:ascii="Times New Roman" w:hAnsi="Times New Roman" w:cs="Times New Roman"/>
                <w:bCs/>
                <w:color w:val="000000" w:themeColor="text1"/>
                <w:kern w:val="0"/>
                <w:sz w:val="24"/>
                <w:lang w:val="en-US" w:eastAsia="zh-CN" w:bidi="ar-SA"/>
                <w14:textFill>
                  <w14:solidFill>
                    <w14:schemeClr w14:val="tx1"/>
                  </w14:solidFill>
                </w14:textFill>
              </w:rPr>
              <w:t>9</w:t>
            </w:r>
            <w:r>
              <w:rPr>
                <w:rFonts w:ascii="Times New Roman" w:hAnsi="Times New Roman" w:cs="Times New Roman"/>
                <w:bCs/>
                <w:color w:val="000000" w:themeColor="text1"/>
                <w:kern w:val="0"/>
                <w:sz w:val="24"/>
                <w:lang w:val="en-US" w:bidi="ar-SA"/>
                <w14:textFill>
                  <w14:solidFill>
                    <w14:schemeClr w14:val="tx1"/>
                  </w14:solidFill>
                </w14:textFill>
              </w:rPr>
              <w:t>月取得</w:t>
            </w:r>
            <w:r>
              <w:rPr>
                <w:rFonts w:hint="eastAsia"/>
                <w:color w:val="000000" w:themeColor="text1"/>
                <w:sz w:val="24"/>
                <w14:textFill>
                  <w14:solidFill>
                    <w14:schemeClr w14:val="tx1"/>
                  </w14:solidFill>
                </w14:textFill>
              </w:rPr>
              <w:t>昆明市晋宁区发展和改革局</w:t>
            </w:r>
            <w:r>
              <w:rPr>
                <w:rFonts w:hint="eastAsia" w:ascii="Times New Roman" w:hAnsi="Times New Roman" w:cs="Times New Roman"/>
                <w:bCs/>
                <w:color w:val="000000" w:themeColor="text1"/>
                <w:kern w:val="0"/>
                <w:sz w:val="24"/>
                <w:lang w:val="en-US" w:bidi="ar-SA"/>
                <w14:textFill>
                  <w14:solidFill>
                    <w14:schemeClr w14:val="tx1"/>
                  </w14:solidFill>
                </w14:textFill>
              </w:rPr>
              <w:t>的</w:t>
            </w:r>
            <w:r>
              <w:rPr>
                <w:rFonts w:ascii="Times New Roman" w:hAnsi="Times New Roman" w:cs="Times New Roman"/>
                <w:bCs/>
                <w:color w:val="000000" w:themeColor="text1"/>
                <w:kern w:val="0"/>
                <w:sz w:val="24"/>
                <w:lang w:val="en-US" w:bidi="ar-SA"/>
                <w14:textFill>
                  <w14:solidFill>
                    <w14:schemeClr w14:val="tx1"/>
                  </w14:solidFill>
                </w14:textFill>
              </w:rPr>
              <w:t>投资项目备案证（项目代码 ：</w:t>
            </w:r>
            <w:r>
              <w:rPr>
                <w:rFonts w:hint="default" w:ascii="Times New Roman" w:hAnsi="Times New Roman" w:eastAsia="宋体" w:cs="Times New Roman"/>
                <w:color w:val="000000" w:themeColor="text1"/>
                <w:kern w:val="0"/>
                <w:sz w:val="24"/>
                <w:lang w:eastAsia="zh-CN"/>
                <w14:textFill>
                  <w14:solidFill>
                    <w14:schemeClr w14:val="tx1"/>
                  </w14:solidFill>
                </w14:textFill>
              </w:rPr>
              <w:t>2209-530115-04-05-293070</w:t>
            </w:r>
            <w:r>
              <w:rPr>
                <w:rFonts w:ascii="Times New Roman" w:hAnsi="Times New Roman" w:cs="Times New Roman"/>
                <w:bCs/>
                <w:color w:val="000000" w:themeColor="text1"/>
                <w:kern w:val="0"/>
                <w:sz w:val="24"/>
                <w:lang w:val="en-US" w:bidi="ar-SA"/>
                <w14:textFill>
                  <w14:solidFill>
                    <w14:schemeClr w14:val="tx1"/>
                  </w14:solidFill>
                </w14:textFill>
              </w:rPr>
              <w:t>）。项目的建设符合国家现行产业政策。</w:t>
            </w:r>
          </w:p>
          <w:bookmarkEnd w:id="5"/>
          <w:bookmarkEnd w:id="6"/>
          <w:p>
            <w:pPr>
              <w:pStyle w:val="45"/>
              <w:spacing w:line="306" w:lineRule="exact"/>
              <w:ind w:left="591"/>
              <w:jc w:val="left"/>
              <w:rPr>
                <w:rFonts w:hint="default" w:ascii="Times New Roman" w:hAnsi="Times New Roman" w:eastAsia="宋体" w:cs="Times New Roman"/>
                <w:b/>
                <w:bCs/>
                <w:color w:val="000000" w:themeColor="text1"/>
                <w:sz w:val="24"/>
                <w:lang w:val="en-US"/>
                <w14:textFill>
                  <w14:solidFill>
                    <w14:schemeClr w14:val="tx1"/>
                  </w14:solidFill>
                </w14:textFill>
              </w:rPr>
            </w:pPr>
          </w:p>
          <w:p>
            <w:pPr>
              <w:pStyle w:val="45"/>
              <w:spacing w:line="306" w:lineRule="exact"/>
              <w:ind w:left="591"/>
              <w:jc w:val="left"/>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14:textFill>
                  <w14:solidFill>
                    <w14:schemeClr w14:val="tx1"/>
                  </w14:solidFill>
                </w14:textFill>
              </w:rPr>
              <w:t>2</w:t>
            </w:r>
            <w:r>
              <w:rPr>
                <w:rFonts w:hint="default" w:ascii="Times New Roman" w:hAnsi="Times New Roman" w:eastAsia="宋体" w:cs="Times New Roman"/>
                <w:b/>
                <w:bCs/>
                <w:color w:val="000000" w:themeColor="text1"/>
                <w:sz w:val="24"/>
                <w14:textFill>
                  <w14:solidFill>
                    <w14:schemeClr w14:val="tx1"/>
                  </w14:solidFill>
                </w14:textFill>
              </w:rPr>
              <w:t>、选址合理性分析</w:t>
            </w:r>
          </w:p>
          <w:p>
            <w:pPr>
              <w:pStyle w:val="45"/>
              <w:spacing w:before="160" w:line="364" w:lineRule="auto"/>
              <w:ind w:right="-44" w:firstLine="468"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pacing w:val="-3"/>
                <w:sz w:val="24"/>
                <w14:textFill>
                  <w14:solidFill>
                    <w14:schemeClr w14:val="tx1"/>
                  </w14:solidFill>
                </w14:textFill>
              </w:rPr>
              <w:t>项目为</w:t>
            </w:r>
            <w:r>
              <w:rPr>
                <w:rFonts w:hint="default" w:ascii="Times New Roman" w:hAnsi="Times New Roman" w:eastAsia="宋体" w:cs="Times New Roman"/>
                <w:color w:val="000000" w:themeColor="text1"/>
                <w:spacing w:val="-3"/>
                <w:sz w:val="24"/>
                <w:lang w:val="en-US" w:eastAsia="zh-CN"/>
                <w14:textFill>
                  <w14:solidFill>
                    <w14:schemeClr w14:val="tx1"/>
                  </w14:solidFill>
                </w14:textFill>
              </w:rPr>
              <w:t>年产1.5万吨造纸添加剂项目</w:t>
            </w:r>
            <w:r>
              <w:rPr>
                <w:rFonts w:hint="eastAsia" w:ascii="Times New Roman" w:hAnsi="Times New Roman" w:cs="Times New Roman"/>
                <w:color w:val="000000" w:themeColor="text1"/>
                <w:spacing w:val="-3"/>
                <w:sz w:val="24"/>
                <w:lang w:eastAsia="zh-CN"/>
                <w14:textFill>
                  <w14:solidFill>
                    <w14:schemeClr w14:val="tx1"/>
                  </w14:solidFill>
                </w14:textFill>
              </w:rPr>
              <w:t>，</w:t>
            </w:r>
            <w:r>
              <w:rPr>
                <w:rFonts w:hint="default" w:ascii="Times New Roman" w:hAnsi="Times New Roman" w:eastAsia="宋体" w:cs="Times New Roman"/>
                <w:color w:val="000000" w:themeColor="text1"/>
                <w:spacing w:val="-3"/>
                <w:sz w:val="24"/>
                <w14:textFill>
                  <w14:solidFill>
                    <w14:schemeClr w14:val="tx1"/>
                  </w14:solidFill>
                </w14:textFill>
              </w:rPr>
              <w:t>位于云南省昆明市晋宁工业园区二街基地</w:t>
            </w:r>
            <w:r>
              <w:rPr>
                <w:rFonts w:hint="eastAsia" w:ascii="Times New Roman" w:hAnsi="Times New Roman" w:cs="Times New Roman"/>
                <w:color w:val="000000" w:themeColor="text1"/>
                <w:spacing w:val="-3"/>
                <w:sz w:val="24"/>
                <w:lang w:eastAsia="zh-CN"/>
                <w14:textFill>
                  <w14:solidFill>
                    <w14:schemeClr w14:val="tx1"/>
                  </w14:solidFill>
                </w14:textFill>
              </w:rPr>
              <w:t>，</w:t>
            </w:r>
            <w:r>
              <w:rPr>
                <w:rFonts w:hint="default" w:ascii="Times New Roman" w:hAnsi="Times New Roman" w:eastAsia="宋体" w:cs="Times New Roman"/>
                <w:color w:val="000000" w:themeColor="text1"/>
                <w:spacing w:val="-3"/>
                <w:sz w:val="24"/>
                <w14:textFill>
                  <w14:solidFill>
                    <w14:schemeClr w14:val="tx1"/>
                  </w14:solidFill>
                </w14:textFill>
              </w:rPr>
              <w:t>属</w:t>
            </w:r>
            <w:r>
              <w:rPr>
                <w:rFonts w:hint="default" w:ascii="Times New Roman" w:hAnsi="Times New Roman" w:eastAsia="宋体" w:cs="Times New Roman"/>
                <w:color w:val="000000" w:themeColor="text1"/>
                <w:spacing w:val="-3"/>
                <w:sz w:val="24"/>
                <w:lang w:val="en-US"/>
                <w14:textFill>
                  <w14:solidFill>
                    <w14:schemeClr w14:val="tx1"/>
                  </w14:solidFill>
                </w14:textFill>
              </w:rPr>
              <w:t>于</w:t>
            </w:r>
            <w:r>
              <w:rPr>
                <w:rFonts w:hint="default" w:ascii="Times New Roman" w:hAnsi="Times New Roman" w:eastAsia="宋体" w:cs="Times New Roman"/>
                <w:color w:val="000000" w:themeColor="text1"/>
                <w:spacing w:val="-3"/>
                <w:sz w:val="24"/>
                <w14:textFill>
                  <w14:solidFill>
                    <w14:schemeClr w14:val="tx1"/>
                  </w14:solidFill>
                </w14:textFill>
              </w:rPr>
              <w:t>工业用地</w:t>
            </w:r>
            <w:r>
              <w:rPr>
                <w:rFonts w:hint="eastAsia" w:ascii="Times New Roman" w:hAnsi="Times New Roman" w:cs="Times New Roman"/>
                <w:color w:val="000000" w:themeColor="text1"/>
                <w:spacing w:val="-3"/>
                <w:sz w:val="24"/>
                <w:lang w:eastAsia="zh-CN"/>
                <w14:textFill>
                  <w14:solidFill>
                    <w14:schemeClr w14:val="tx1"/>
                  </w14:solidFill>
                </w14:textFill>
              </w:rPr>
              <w:t>，</w:t>
            </w:r>
            <w:r>
              <w:rPr>
                <w:rFonts w:hint="default" w:ascii="Times New Roman" w:hAnsi="Times New Roman" w:eastAsia="宋体" w:cs="Times New Roman"/>
                <w:color w:val="000000" w:themeColor="text1"/>
                <w:spacing w:val="-3"/>
                <w:sz w:val="24"/>
                <w14:textFill>
                  <w14:solidFill>
                    <w14:schemeClr w14:val="tx1"/>
                  </w14:solidFill>
                </w14:textFill>
              </w:rPr>
              <w:t>符合园区规划。由于园区基础设施的建设</w:t>
            </w:r>
            <w:r>
              <w:rPr>
                <w:rFonts w:hint="eastAsia" w:ascii="Times New Roman" w:hAnsi="Times New Roman" w:cs="Times New Roman"/>
                <w:color w:val="000000" w:themeColor="text1"/>
                <w:spacing w:val="-3"/>
                <w:sz w:val="24"/>
                <w:lang w:eastAsia="zh-CN"/>
                <w14:textFill>
                  <w14:solidFill>
                    <w14:schemeClr w14:val="tx1"/>
                  </w14:solidFill>
                </w14:textFill>
              </w:rPr>
              <w:t>，</w:t>
            </w:r>
            <w:r>
              <w:rPr>
                <w:rFonts w:hint="default" w:ascii="Times New Roman" w:hAnsi="Times New Roman" w:eastAsia="宋体" w:cs="Times New Roman"/>
                <w:color w:val="000000" w:themeColor="text1"/>
                <w:spacing w:val="-3"/>
                <w:sz w:val="24"/>
                <w14:textFill>
                  <w14:solidFill>
                    <w14:schemeClr w14:val="tx1"/>
                  </w14:solidFill>
                </w14:textFill>
              </w:rPr>
              <w:t>所选厂地在供电、</w:t>
            </w:r>
            <w:r>
              <w:rPr>
                <w:rFonts w:hint="default" w:ascii="Times New Roman" w:hAnsi="Times New Roman" w:eastAsia="宋体" w:cs="Times New Roman"/>
                <w:color w:val="000000" w:themeColor="text1"/>
                <w:spacing w:val="-6"/>
                <w:sz w:val="24"/>
                <w14:textFill>
                  <w14:solidFill>
                    <w14:schemeClr w14:val="tx1"/>
                  </w14:solidFill>
                </w14:textFill>
              </w:rPr>
              <w:t>供水、交通等基础条件十分便利</w:t>
            </w:r>
            <w:r>
              <w:rPr>
                <w:rFonts w:hint="default" w:ascii="Times New Roman" w:hAnsi="Times New Roman" w:eastAsia="宋体" w:cs="Times New Roman"/>
                <w:color w:val="000000" w:themeColor="text1"/>
                <w:spacing w:val="-8"/>
                <w:sz w:val="24"/>
                <w14:textFill>
                  <w14:solidFill>
                    <w14:schemeClr w14:val="tx1"/>
                  </w14:solidFill>
                </w14:textFill>
              </w:rPr>
              <w:t>。在采取相应</w:t>
            </w:r>
            <w:r>
              <w:rPr>
                <w:rFonts w:hint="default" w:ascii="Times New Roman" w:hAnsi="Times New Roman" w:eastAsia="宋体" w:cs="Times New Roman"/>
                <w:color w:val="000000" w:themeColor="text1"/>
                <w:spacing w:val="-15"/>
                <w:sz w:val="24"/>
                <w14:textFill>
                  <w14:solidFill>
                    <w14:schemeClr w14:val="tx1"/>
                  </w14:solidFill>
                </w14:textFill>
              </w:rPr>
              <w:t>环保措施后</w:t>
            </w:r>
            <w:r>
              <w:rPr>
                <w:rFonts w:hint="eastAsia" w:ascii="Times New Roman" w:hAnsi="Times New Roman" w:cs="Times New Roman"/>
                <w:color w:val="000000" w:themeColor="text1"/>
                <w:spacing w:val="-15"/>
                <w:sz w:val="24"/>
                <w:lang w:eastAsia="zh-CN"/>
                <w14:textFill>
                  <w14:solidFill>
                    <w14:schemeClr w14:val="tx1"/>
                  </w14:solidFill>
                </w14:textFill>
              </w:rPr>
              <w:t>，</w:t>
            </w:r>
            <w:r>
              <w:rPr>
                <w:rFonts w:hint="default" w:ascii="Times New Roman" w:hAnsi="Times New Roman" w:eastAsia="宋体" w:cs="Times New Roman"/>
                <w:color w:val="000000" w:themeColor="text1"/>
                <w:spacing w:val="-15"/>
                <w:sz w:val="24"/>
                <w14:textFill>
                  <w14:solidFill>
                    <w14:schemeClr w14:val="tx1"/>
                  </w14:solidFill>
                </w14:textFill>
              </w:rPr>
              <w:t>项目产生的废气对周围环境影响较小；</w:t>
            </w:r>
            <w:r>
              <w:rPr>
                <w:rFonts w:hint="default" w:ascii="Times New Roman" w:hAnsi="Times New Roman" w:eastAsia="宋体" w:cs="Times New Roman"/>
                <w:color w:val="000000" w:themeColor="text1"/>
                <w:spacing w:val="-13"/>
                <w:sz w:val="24"/>
                <w14:textFill>
                  <w14:solidFill>
                    <w14:schemeClr w14:val="tx1"/>
                  </w14:solidFill>
                </w14:textFill>
              </w:rPr>
              <w:t>噪声厂界可达标排放；固体废物均能得到合理处置</w:t>
            </w:r>
            <w:r>
              <w:rPr>
                <w:rFonts w:hint="eastAsia" w:ascii="Times New Roman" w:hAnsi="Times New Roman" w:cs="Times New Roman"/>
                <w:color w:val="000000" w:themeColor="text1"/>
                <w:spacing w:val="-13"/>
                <w:sz w:val="24"/>
                <w:lang w:eastAsia="zh-CN"/>
                <w14:textFill>
                  <w14:solidFill>
                    <w14:schemeClr w14:val="tx1"/>
                  </w14:solidFill>
                </w14:textFill>
              </w:rPr>
              <w:t>，</w:t>
            </w:r>
            <w:r>
              <w:rPr>
                <w:rFonts w:hint="default" w:ascii="Times New Roman" w:hAnsi="Times New Roman" w:eastAsia="宋体" w:cs="Times New Roman"/>
                <w:color w:val="000000" w:themeColor="text1"/>
                <w:spacing w:val="-13"/>
                <w:sz w:val="24"/>
                <w14:textFill>
                  <w14:solidFill>
                    <w14:schemeClr w14:val="tx1"/>
                  </w14:solidFill>
                </w14:textFill>
              </w:rPr>
              <w:t>项目与周围环境相</w:t>
            </w:r>
            <w:r>
              <w:rPr>
                <w:rFonts w:hint="default" w:ascii="Times New Roman" w:hAnsi="Times New Roman" w:eastAsia="宋体" w:cs="Times New Roman"/>
                <w:color w:val="000000" w:themeColor="text1"/>
                <w:spacing w:val="-8"/>
                <w:sz w:val="24"/>
                <w14:textFill>
                  <w14:solidFill>
                    <w14:schemeClr w14:val="tx1"/>
                  </w14:solidFill>
                </w14:textFill>
              </w:rPr>
              <w:t>容（</w:t>
            </w:r>
            <w:r>
              <w:rPr>
                <w:rFonts w:hint="default" w:ascii="Times New Roman" w:hAnsi="Times New Roman" w:eastAsia="宋体" w:cs="Times New Roman"/>
                <w:color w:val="000000" w:themeColor="text1"/>
                <w:spacing w:val="-8"/>
                <w:sz w:val="24"/>
                <w:lang w:val="en-US"/>
                <w14:textFill>
                  <w14:solidFill>
                    <w14:schemeClr w14:val="tx1"/>
                  </w14:solidFill>
                </w14:textFill>
              </w:rPr>
              <w:t>见下列第4条</w:t>
            </w:r>
            <w:r>
              <w:rPr>
                <w:rFonts w:hint="default" w:ascii="Times New Roman" w:hAnsi="Times New Roman" w:eastAsia="宋体" w:cs="Times New Roman"/>
                <w:color w:val="000000" w:themeColor="text1"/>
                <w:spacing w:val="-8"/>
                <w:sz w:val="24"/>
                <w14:textFill>
                  <w14:solidFill>
                    <w14:schemeClr w14:val="tx1"/>
                  </w14:solidFill>
                </w14:textFill>
              </w:rPr>
              <w:t>）。建设用地周围无需要特殊保护的文物、名胜、古迹和文化、自然遗产</w:t>
            </w:r>
            <w:r>
              <w:rPr>
                <w:rFonts w:hint="eastAsia" w:ascii="Times New Roman" w:hAnsi="Times New Roman" w:cs="Times New Roman"/>
                <w:color w:val="000000" w:themeColor="text1"/>
                <w:spacing w:val="-8"/>
                <w:sz w:val="24"/>
                <w:lang w:eastAsia="zh-CN"/>
                <w14:textFill>
                  <w14:solidFill>
                    <w14:schemeClr w14:val="tx1"/>
                  </w14:solidFill>
                </w14:textFill>
              </w:rPr>
              <w:t>，</w:t>
            </w:r>
            <w:r>
              <w:rPr>
                <w:rFonts w:hint="default" w:ascii="Times New Roman" w:hAnsi="Times New Roman" w:eastAsia="宋体" w:cs="Times New Roman"/>
                <w:color w:val="000000" w:themeColor="text1"/>
                <w:spacing w:val="-8"/>
                <w:sz w:val="24"/>
                <w14:textFill>
                  <w14:solidFill>
                    <w14:schemeClr w14:val="tx1"/>
                  </w14:solidFill>
                </w14:textFill>
              </w:rPr>
              <w:t>不属于自然保护区和风景名胜区的保护范围。</w:t>
            </w:r>
          </w:p>
          <w:p>
            <w:pPr>
              <w:pStyle w:val="45"/>
              <w:spacing w:line="364" w:lineRule="auto"/>
              <w:ind w:right="86" w:firstLine="452"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pacing w:val="-7"/>
                <w:sz w:val="24"/>
                <w14:textFill>
                  <w14:solidFill>
                    <w14:schemeClr w14:val="tx1"/>
                  </w14:solidFill>
                </w14:textFill>
              </w:rPr>
              <w:t>综上</w:t>
            </w:r>
            <w:r>
              <w:rPr>
                <w:rFonts w:hint="eastAsia" w:ascii="Times New Roman" w:hAnsi="Times New Roman" w:cs="Times New Roman"/>
                <w:color w:val="000000" w:themeColor="text1"/>
                <w:spacing w:val="-7"/>
                <w:sz w:val="24"/>
                <w:lang w:eastAsia="zh-CN"/>
                <w14:textFill>
                  <w14:solidFill>
                    <w14:schemeClr w14:val="tx1"/>
                  </w14:solidFill>
                </w14:textFill>
              </w:rPr>
              <w:t>，</w:t>
            </w:r>
            <w:r>
              <w:rPr>
                <w:rFonts w:hint="default" w:ascii="Times New Roman" w:hAnsi="Times New Roman" w:eastAsia="宋体" w:cs="Times New Roman"/>
                <w:color w:val="000000" w:themeColor="text1"/>
                <w:spacing w:val="-7"/>
                <w:sz w:val="24"/>
                <w14:textFill>
                  <w14:solidFill>
                    <w14:schemeClr w14:val="tx1"/>
                  </w14:solidFill>
                </w14:textFill>
              </w:rPr>
              <w:t>项目建设场地条件、交通运输、环境保护和水、电、通信等</w:t>
            </w:r>
            <w:r>
              <w:rPr>
                <w:rFonts w:hint="default" w:ascii="Times New Roman" w:hAnsi="Times New Roman" w:eastAsia="宋体" w:cs="Times New Roman"/>
                <w:color w:val="000000" w:themeColor="text1"/>
                <w:sz w:val="24"/>
                <w14:textFill>
                  <w14:solidFill>
                    <w14:schemeClr w14:val="tx1"/>
                  </w14:solidFill>
                </w14:textFill>
              </w:rPr>
              <w:t>条件好</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无重大的环境制约因素</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项目选址合理。</w:t>
            </w:r>
          </w:p>
          <w:p>
            <w:pPr>
              <w:pStyle w:val="45"/>
              <w:spacing w:line="364" w:lineRule="auto"/>
              <w:ind w:right="86" w:firstLine="482" w:firstLineChars="200"/>
              <w:jc w:val="left"/>
              <w:rPr>
                <w:rFonts w:hint="default" w:ascii="Times New Roman" w:hAnsi="Times New Roman" w:eastAsia="宋体" w:cs="Times New Roman"/>
                <w:b/>
                <w:bCs/>
                <w:color w:val="000000" w:themeColor="text1"/>
                <w:sz w:val="24"/>
                <w:lang w:val="en-US" w:bidi="ar-SA"/>
                <w14:textFill>
                  <w14:solidFill>
                    <w14:schemeClr w14:val="tx1"/>
                  </w14:solidFill>
                </w14:textFill>
              </w:rPr>
            </w:pPr>
            <w:r>
              <w:rPr>
                <w:rFonts w:hint="default" w:ascii="Times New Roman" w:hAnsi="Times New Roman" w:eastAsia="宋体" w:cs="Times New Roman"/>
                <w:b/>
                <w:bCs/>
                <w:color w:val="000000" w:themeColor="text1"/>
                <w:sz w:val="24"/>
                <w:lang w:val="en-US" w:bidi="ar-SA"/>
                <w14:textFill>
                  <w14:solidFill>
                    <w14:schemeClr w14:val="tx1"/>
                  </w14:solidFill>
                </w14:textFill>
              </w:rPr>
              <w:t>3、项目与周围环境相容性分析</w:t>
            </w:r>
          </w:p>
          <w:p>
            <w:pPr>
              <w:spacing w:line="360" w:lineRule="auto"/>
              <w:ind w:firstLine="480" w:firstLineChars="200"/>
              <w:rPr>
                <w:rFonts w:hint="default" w:ascii="Times New Roman" w:hAnsi="Times New Roman" w:eastAsia="宋体" w:cs="Times New Roman"/>
                <w:color w:val="000000" w:themeColor="text1"/>
                <w:spacing w:val="-6"/>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本项目位于晋宁工业园区二街基地</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根据实地调查</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本项目周边企业主要有机械生产企业。周边企业（企业分布情况见下表1-4</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见附图3）主要产生废气（颗粒物）、噪声及固体废弃物等污染物。距离项目最近的</w:t>
            </w:r>
            <w:r>
              <w:rPr>
                <w:rFonts w:hint="default" w:ascii="Times New Roman" w:hAnsi="Times New Roman" w:eastAsia="宋体" w:cs="Times New Roman"/>
                <w:color w:val="000000" w:themeColor="text1"/>
                <w:spacing w:val="-6"/>
                <w:sz w:val="24"/>
                <w14:textFill>
                  <w14:solidFill>
                    <w14:schemeClr w14:val="tx1"/>
                  </w14:solidFill>
                </w14:textFill>
              </w:rPr>
              <w:t>保护目标（甸头村）321米</w:t>
            </w:r>
            <w:r>
              <w:rPr>
                <w:rFonts w:hint="eastAsia" w:cs="Times New Roman"/>
                <w:color w:val="000000" w:themeColor="text1"/>
                <w:spacing w:val="-6"/>
                <w:sz w:val="24"/>
                <w:lang w:eastAsia="zh-CN"/>
                <w14:textFill>
                  <w14:solidFill>
                    <w14:schemeClr w14:val="tx1"/>
                  </w14:solidFill>
                </w14:textFill>
              </w:rPr>
              <w:t>，</w:t>
            </w:r>
            <w:r>
              <w:rPr>
                <w:rFonts w:hint="default" w:ascii="Times New Roman" w:hAnsi="Times New Roman" w:eastAsia="宋体" w:cs="Times New Roman"/>
                <w:color w:val="000000" w:themeColor="text1"/>
                <w:spacing w:val="-6"/>
                <w:sz w:val="24"/>
                <w14:textFill>
                  <w14:solidFill>
                    <w14:schemeClr w14:val="tx1"/>
                  </w14:solidFill>
                </w14:textFill>
              </w:rPr>
              <w:t>位于项目</w:t>
            </w:r>
            <w:r>
              <w:rPr>
                <w:rFonts w:hint="default" w:ascii="Times New Roman" w:hAnsi="Times New Roman" w:eastAsia="宋体" w:cs="Times New Roman"/>
                <w:color w:val="000000" w:themeColor="text1"/>
                <w:spacing w:val="-6"/>
                <w:sz w:val="24"/>
                <w:lang w:val="en-US" w:eastAsia="zh-CN"/>
                <w14:textFill>
                  <w14:solidFill>
                    <w14:schemeClr w14:val="tx1"/>
                  </w14:solidFill>
                </w14:textFill>
              </w:rPr>
              <w:t>西</w:t>
            </w:r>
            <w:r>
              <w:rPr>
                <w:rFonts w:hint="default" w:ascii="Times New Roman" w:hAnsi="Times New Roman" w:eastAsia="宋体" w:cs="Times New Roman"/>
                <w:color w:val="000000" w:themeColor="text1"/>
                <w:spacing w:val="-6"/>
                <w:sz w:val="24"/>
                <w14:textFill>
                  <w14:solidFill>
                    <w14:schemeClr w14:val="tx1"/>
                  </w14:solidFill>
                </w14:textFill>
              </w:rPr>
              <w:t>南侧。</w:t>
            </w:r>
            <w:r>
              <w:rPr>
                <w:rFonts w:hint="default" w:ascii="Times New Roman" w:hAnsi="Times New Roman" w:eastAsia="宋体" w:cs="Times New Roman"/>
                <w:color w:val="000000" w:themeColor="text1"/>
                <w:spacing w:val="-6"/>
                <w:sz w:val="24"/>
                <w:lang w:val="en-US" w:eastAsia="zh-CN"/>
                <w14:textFill>
                  <w14:solidFill>
                    <w14:schemeClr w14:val="tx1"/>
                  </w14:solidFill>
                </w14:textFill>
              </w:rPr>
              <w:t xml:space="preserve">  </w:t>
            </w:r>
          </w:p>
          <w:p>
            <w:pPr>
              <w:pStyle w:val="81"/>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本项目大气污染物主要为挥发性有机物（以非甲烷总烃计）经采取相应的对策措施能达标排放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主要设备也置于厂房内</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无组织排放的挥发性有机物（以非甲烷总烃计）对周边加工企业影响甚微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且周边加工企业主要生产均在厂房内</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因此</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总体分析后本项目对周边企业和环境影响有限</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与其环境相容性不矛盾。项目评价范围内无国家、省、县划定的自然保护区、风景名胜 区、饮用水源保护区以及区域生态保护红线</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项目与周边环境相容。因此</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可看出本项目所从事的生产活动能与周围环境功能相容</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项目的建设不会改变当地环境功能。</w:t>
            </w:r>
          </w:p>
          <w:p>
            <w:pPr>
              <w:pStyle w:val="8"/>
              <w:rPr>
                <w:rFonts w:hint="default" w:ascii="Times New Roman" w:hAnsi="Times New Roman" w:eastAsia="宋体" w:cs="Times New Roman"/>
                <w:color w:val="0000FF"/>
              </w:rPr>
            </w:pPr>
            <w:r>
              <w:rPr>
                <w:rFonts w:hint="default" w:ascii="Times New Roman" w:hAnsi="Times New Roman" w:eastAsia="宋体" w:cs="Times New Roman"/>
                <w:color w:val="000000" w:themeColor="text1"/>
                <w14:textFill>
                  <w14:solidFill>
                    <w14:schemeClr w14:val="tx1"/>
                  </w14:solidFill>
                </w14:textFill>
              </w:rPr>
              <w:t>表1-3项目周边企业情况</w:t>
            </w:r>
          </w:p>
          <w:tbl>
            <w:tblPr>
              <w:tblStyle w:val="27"/>
              <w:tblW w:w="4997"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364"/>
              <w:gridCol w:w="1867"/>
              <w:gridCol w:w="609"/>
              <w:gridCol w:w="699"/>
              <w:gridCol w:w="1140"/>
              <w:gridCol w:w="1677"/>
              <w:gridCol w:w="6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55" w:hRule="atLeast"/>
              </w:trPr>
              <w:tc>
                <w:tcPr>
                  <w:tcW w:w="364" w:type="dxa"/>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序</w:t>
                  </w:r>
                </w:p>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号</w:t>
                  </w:r>
                </w:p>
              </w:tc>
              <w:tc>
                <w:tcPr>
                  <w:tcW w:w="1867" w:type="dxa"/>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周围环境</w:t>
                  </w:r>
                </w:p>
              </w:tc>
              <w:tc>
                <w:tcPr>
                  <w:tcW w:w="609" w:type="dxa"/>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方位</w:t>
                  </w:r>
                </w:p>
              </w:tc>
              <w:tc>
                <w:tcPr>
                  <w:tcW w:w="699" w:type="dxa"/>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距离</w:t>
                  </w:r>
                </w:p>
              </w:tc>
              <w:tc>
                <w:tcPr>
                  <w:tcW w:w="1140" w:type="dxa"/>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产品方</w:t>
                  </w:r>
                </w:p>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案</w:t>
                  </w:r>
                </w:p>
              </w:tc>
              <w:tc>
                <w:tcPr>
                  <w:tcW w:w="1677" w:type="dxa"/>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污染物排放</w:t>
                  </w:r>
                </w:p>
              </w:tc>
              <w:tc>
                <w:tcPr>
                  <w:tcW w:w="659" w:type="dxa"/>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0" w:hRule="atLeast"/>
              </w:trPr>
              <w:tc>
                <w:tcPr>
                  <w:tcW w:w="364"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w:t>
                  </w:r>
                </w:p>
              </w:tc>
              <w:tc>
                <w:tcPr>
                  <w:tcW w:w="1867"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云南易无界建材有限公司</w:t>
                  </w:r>
                </w:p>
              </w:tc>
              <w:tc>
                <w:tcPr>
                  <w:tcW w:w="609"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北侧</w:t>
                  </w:r>
                </w:p>
              </w:tc>
              <w:tc>
                <w:tcPr>
                  <w:tcW w:w="699"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val="0"/>
                      <w:bCs/>
                      <w:color w:val="000000" w:themeColor="text1"/>
                      <w:sz w:val="21"/>
                      <w:szCs w:val="21"/>
                      <w14:textFill>
                        <w14:solidFill>
                          <w14:schemeClr w14:val="tx1"/>
                        </w14:solidFill>
                      </w14:textFill>
                    </w:rPr>
                    <w:t>m</w:t>
                  </w:r>
                </w:p>
              </w:tc>
              <w:tc>
                <w:tcPr>
                  <w:tcW w:w="1140" w:type="dxa"/>
                  <w:tcBorders>
                    <w:bottom w:val="single" w:color="000000" w:sz="8" w:space="0"/>
                  </w:tcBorders>
                  <w:tcMar>
                    <w:top w:w="15" w:type="dxa"/>
                    <w:left w:w="15" w:type="dxa"/>
                    <w:right w:w="15" w:type="dxa"/>
                  </w:tcMar>
                  <w:vAlign w:val="center"/>
                </w:tcPr>
                <w:p>
                  <w:pPr>
                    <w:pStyle w:val="47"/>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snapToGrid w:val="0"/>
                      <w:color w:val="000000" w:themeColor="text1"/>
                      <w:sz w:val="21"/>
                      <w:szCs w:val="21"/>
                      <w:lang w:val="en-US" w:eastAsia="zh-CN"/>
                      <w14:textFill>
                        <w14:solidFill>
                          <w14:schemeClr w14:val="tx1"/>
                        </w14:solidFill>
                      </w14:textFill>
                    </w:rPr>
                    <w:t>建筑材料，装饰材料的</w:t>
                  </w:r>
                  <w:r>
                    <w:rPr>
                      <w:rFonts w:hint="default" w:ascii="Times New Roman" w:hAnsi="Times New Roman" w:eastAsia="宋体" w:cs="Times New Roman"/>
                      <w:b w:val="0"/>
                      <w:bCs/>
                      <w:color w:val="000000" w:themeColor="text1"/>
                      <w:sz w:val="21"/>
                      <w:szCs w:val="21"/>
                      <w14:textFill>
                        <w14:solidFill>
                          <w14:schemeClr w14:val="tx1"/>
                        </w14:solidFill>
                      </w14:textFill>
                    </w:rPr>
                    <w:t>生产</w:t>
                  </w:r>
                  <w:r>
                    <w:rPr>
                      <w:rFonts w:hint="eastAsia" w:cs="Times New Roman"/>
                      <w:b w:val="0"/>
                      <w:bCs/>
                      <w:color w:val="000000" w:themeColor="text1"/>
                      <w:sz w:val="21"/>
                      <w:szCs w:val="21"/>
                      <w:lang w:val="en-US" w:eastAsia="zh-CN"/>
                      <w14:textFill>
                        <w14:solidFill>
                          <w14:schemeClr w14:val="tx1"/>
                        </w14:solidFill>
                      </w14:textFill>
                    </w:rPr>
                    <w:t>项目</w:t>
                  </w:r>
                </w:p>
              </w:tc>
              <w:tc>
                <w:tcPr>
                  <w:tcW w:w="1677"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颗粒物、挥发性有机物、噪声、固体废弃物、废水</w:t>
                  </w:r>
                </w:p>
              </w:tc>
              <w:tc>
                <w:tcPr>
                  <w:tcW w:w="659"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运行中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0" w:hRule="atLeast"/>
              </w:trPr>
              <w:tc>
                <w:tcPr>
                  <w:tcW w:w="364"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w:t>
                  </w:r>
                </w:p>
              </w:tc>
              <w:tc>
                <w:tcPr>
                  <w:tcW w:w="1867" w:type="dxa"/>
                  <w:tcBorders>
                    <w:bottom w:val="single" w:color="000000" w:sz="8" w:space="0"/>
                  </w:tcBorders>
                  <w:tcMar>
                    <w:top w:w="15" w:type="dxa"/>
                    <w:left w:w="15" w:type="dxa"/>
                    <w:right w:w="15" w:type="dxa"/>
                  </w:tcMar>
                  <w:vAlign w:val="center"/>
                </w:tcPr>
                <w:p>
                  <w:pPr>
                    <w:pStyle w:val="47"/>
                    <w:rPr>
                      <w:rFonts w:hint="eastAsia" w:ascii="Times New Roman" w:hAnsi="Times New Roman" w:eastAsia="宋体" w:cs="Times New Roman"/>
                      <w:b w:val="0"/>
                      <w:bCs/>
                      <w:color w:val="000000" w:themeColor="text1"/>
                      <w:sz w:val="21"/>
                      <w:szCs w:val="21"/>
                      <w:lang w:val="zh-CN"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空地</w:t>
                  </w:r>
                </w:p>
              </w:tc>
              <w:tc>
                <w:tcPr>
                  <w:tcW w:w="609"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南</w:t>
                  </w:r>
                  <w:r>
                    <w:rPr>
                      <w:rFonts w:hint="default" w:ascii="Times New Roman" w:hAnsi="Times New Roman" w:eastAsia="宋体" w:cs="Times New Roman"/>
                      <w:b w:val="0"/>
                      <w:bCs/>
                      <w:color w:val="000000" w:themeColor="text1"/>
                      <w:sz w:val="21"/>
                      <w:szCs w:val="21"/>
                      <w14:textFill>
                        <w14:solidFill>
                          <w14:schemeClr w14:val="tx1"/>
                        </w14:solidFill>
                      </w14:textFill>
                    </w:rPr>
                    <w:t>侧</w:t>
                  </w:r>
                </w:p>
              </w:tc>
              <w:tc>
                <w:tcPr>
                  <w:tcW w:w="699"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b w:val="0"/>
                      <w:bCs/>
                      <w:color w:val="000000" w:themeColor="text1"/>
                      <w:sz w:val="21"/>
                      <w:szCs w:val="21"/>
                      <w14:textFill>
                        <w14:solidFill>
                          <w14:schemeClr w14:val="tx1"/>
                        </w14:solidFill>
                      </w14:textFill>
                    </w:rPr>
                    <w:t>m</w:t>
                  </w:r>
                </w:p>
              </w:tc>
              <w:tc>
                <w:tcPr>
                  <w:tcW w:w="1140" w:type="dxa"/>
                  <w:tcBorders>
                    <w:bottom w:val="single" w:color="000000" w:sz="8" w:space="0"/>
                  </w:tcBorders>
                  <w:tcMar>
                    <w:top w:w="15" w:type="dxa"/>
                    <w:left w:w="15" w:type="dxa"/>
                    <w:right w:w="15" w:type="dxa"/>
                  </w:tcMar>
                  <w:vAlign w:val="center"/>
                </w:tcPr>
                <w:p>
                  <w:pPr>
                    <w:pStyle w:val="47"/>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w:t>
                  </w:r>
                </w:p>
              </w:tc>
              <w:tc>
                <w:tcPr>
                  <w:tcW w:w="1677" w:type="dxa"/>
                  <w:tcBorders>
                    <w:bottom w:val="single" w:color="000000" w:sz="8" w:space="0"/>
                  </w:tcBorders>
                  <w:tcMar>
                    <w:top w:w="15" w:type="dxa"/>
                    <w:left w:w="15" w:type="dxa"/>
                    <w:right w:w="15" w:type="dxa"/>
                  </w:tcMar>
                  <w:vAlign w:val="center"/>
                </w:tcPr>
                <w:p>
                  <w:pPr>
                    <w:pStyle w:val="47"/>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w:t>
                  </w:r>
                </w:p>
              </w:tc>
              <w:tc>
                <w:tcPr>
                  <w:tcW w:w="659" w:type="dxa"/>
                  <w:tcBorders>
                    <w:bottom w:val="single" w:color="000000" w:sz="8" w:space="0"/>
                  </w:tcBorders>
                  <w:tcMar>
                    <w:top w:w="15" w:type="dxa"/>
                    <w:left w:w="15" w:type="dxa"/>
                    <w:right w:w="15" w:type="dxa"/>
                  </w:tcMar>
                  <w:vAlign w:val="center"/>
                </w:tcPr>
                <w:p>
                  <w:pPr>
                    <w:pStyle w:val="47"/>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0" w:hRule="atLeast"/>
              </w:trPr>
              <w:tc>
                <w:tcPr>
                  <w:tcW w:w="364"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3</w:t>
                  </w:r>
                </w:p>
              </w:tc>
              <w:tc>
                <w:tcPr>
                  <w:tcW w:w="1867"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lang w:val="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14:textFill>
                        <w14:solidFill>
                          <w14:schemeClr w14:val="tx1"/>
                        </w14:solidFill>
                      </w14:textFill>
                    </w:rPr>
                    <w:t>云南立白日化工业有限公司</w:t>
                  </w:r>
                </w:p>
              </w:tc>
              <w:tc>
                <w:tcPr>
                  <w:tcW w:w="609"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西侧</w:t>
                  </w:r>
                </w:p>
              </w:tc>
              <w:tc>
                <w:tcPr>
                  <w:tcW w:w="699"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176</w:t>
                  </w:r>
                  <w:r>
                    <w:rPr>
                      <w:rFonts w:hint="default" w:ascii="Times New Roman" w:hAnsi="Times New Roman" w:eastAsia="宋体" w:cs="Times New Roman"/>
                      <w:b w:val="0"/>
                      <w:bCs/>
                      <w:color w:val="000000" w:themeColor="text1"/>
                      <w:sz w:val="21"/>
                      <w:szCs w:val="21"/>
                      <w14:textFill>
                        <w14:solidFill>
                          <w14:schemeClr w14:val="tx1"/>
                        </w14:solidFill>
                      </w14:textFill>
                    </w:rPr>
                    <w:t>m</w:t>
                  </w:r>
                </w:p>
              </w:tc>
              <w:tc>
                <w:tcPr>
                  <w:tcW w:w="1140"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lang w:val="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14:textFill>
                        <w14:solidFill>
                          <w14:schemeClr w14:val="tx1"/>
                        </w14:solidFill>
                      </w14:textFill>
                    </w:rPr>
                    <w:t>安特钢结构</w:t>
                  </w:r>
                  <w:r>
                    <w:rPr>
                      <w:rFonts w:hint="default" w:ascii="Times New Roman" w:hAnsi="Times New Roman" w:eastAsia="宋体" w:cs="Times New Roman"/>
                      <w:b w:val="0"/>
                      <w:bCs/>
                      <w:color w:val="000000" w:themeColor="text1"/>
                      <w:sz w:val="21"/>
                      <w:szCs w:val="21"/>
                      <w14:textFill>
                        <w14:solidFill>
                          <w14:schemeClr w14:val="tx1"/>
                        </w14:solidFill>
                      </w14:textFill>
                    </w:rPr>
                    <w:t>生产</w:t>
                  </w:r>
                </w:p>
              </w:tc>
              <w:tc>
                <w:tcPr>
                  <w:tcW w:w="1677"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颗粒物、挥发性有机物、噪声、固体废弃物、废水</w:t>
                  </w:r>
                </w:p>
              </w:tc>
              <w:tc>
                <w:tcPr>
                  <w:tcW w:w="659"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运行中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0" w:hRule="atLeast"/>
              </w:trPr>
              <w:tc>
                <w:tcPr>
                  <w:tcW w:w="364" w:type="dxa"/>
                  <w:tcBorders>
                    <w:bottom w:val="single" w:color="000000" w:sz="8" w:space="0"/>
                  </w:tcBorders>
                  <w:tcMar>
                    <w:top w:w="15" w:type="dxa"/>
                    <w:left w:w="15" w:type="dxa"/>
                    <w:right w:w="15" w:type="dxa"/>
                  </w:tcMar>
                  <w:vAlign w:val="center"/>
                </w:tcPr>
                <w:p>
                  <w:pPr>
                    <w:pStyle w:val="47"/>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4</w:t>
                  </w:r>
                </w:p>
              </w:tc>
              <w:tc>
                <w:tcPr>
                  <w:tcW w:w="1867"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14:textFill>
                        <w14:solidFill>
                          <w14:schemeClr w14:val="tx1"/>
                        </w14:solidFill>
                      </w14:textFill>
                    </w:rPr>
                    <w:t>云南克莱多新材料有限公司</w:t>
                  </w:r>
                </w:p>
              </w:tc>
              <w:tc>
                <w:tcPr>
                  <w:tcW w:w="609"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西侧</w:t>
                  </w:r>
                </w:p>
              </w:tc>
              <w:tc>
                <w:tcPr>
                  <w:tcW w:w="699"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val="0"/>
                      <w:bCs/>
                      <w:snapToGrid w:val="0"/>
                      <w:color w:val="000000" w:themeColor="text1"/>
                      <w:sz w:val="21"/>
                      <w:szCs w:val="21"/>
                      <w14:textFill>
                        <w14:solidFill>
                          <w14:schemeClr w14:val="tx1"/>
                        </w14:solidFill>
                      </w14:textFill>
                    </w:rPr>
                    <w:t>m</w:t>
                  </w:r>
                </w:p>
              </w:tc>
              <w:tc>
                <w:tcPr>
                  <w:tcW w:w="1140"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14:textFill>
                        <w14:solidFill>
                          <w14:schemeClr w14:val="tx1"/>
                        </w14:solidFill>
                      </w14:textFill>
                    </w:rPr>
                    <w:t>混凝土高性能外加剂生产</w:t>
                  </w:r>
                </w:p>
              </w:tc>
              <w:tc>
                <w:tcPr>
                  <w:tcW w:w="1677"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颗粒物、挥发性有机物、噪声、固体废弃物、废水</w:t>
                  </w:r>
                </w:p>
              </w:tc>
              <w:tc>
                <w:tcPr>
                  <w:tcW w:w="659"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运行中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0" w:hRule="atLeast"/>
              </w:trPr>
              <w:tc>
                <w:tcPr>
                  <w:tcW w:w="364" w:type="dxa"/>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4</w:t>
                  </w:r>
                </w:p>
              </w:tc>
              <w:tc>
                <w:tcPr>
                  <w:tcW w:w="1867" w:type="dxa"/>
                  <w:tcMar>
                    <w:top w:w="15" w:type="dxa"/>
                    <w:left w:w="15" w:type="dxa"/>
                    <w:right w:w="15" w:type="dxa"/>
                  </w:tcMar>
                  <w:vAlign w:val="center"/>
                </w:tcPr>
                <w:p>
                  <w:pPr>
                    <w:pStyle w:val="47"/>
                    <w:rPr>
                      <w:rFonts w:hint="default" w:ascii="Times New Roman" w:hAnsi="Times New Roman" w:eastAsia="宋体" w:cs="Times New Roman"/>
                      <w:b w:val="0"/>
                      <w:bCs/>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云南建投路桥机械事业部</w:t>
                  </w:r>
                </w:p>
              </w:tc>
              <w:tc>
                <w:tcPr>
                  <w:tcW w:w="609" w:type="dxa"/>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东侧</w:t>
                  </w:r>
                </w:p>
              </w:tc>
              <w:tc>
                <w:tcPr>
                  <w:tcW w:w="699" w:type="dxa"/>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50</w:t>
                  </w:r>
                  <w:r>
                    <w:rPr>
                      <w:rFonts w:hint="default" w:ascii="Times New Roman" w:hAnsi="Times New Roman" w:eastAsia="宋体" w:cs="Times New Roman"/>
                      <w:b w:val="0"/>
                      <w:bCs/>
                      <w:color w:val="000000" w:themeColor="text1"/>
                      <w:sz w:val="21"/>
                      <w:szCs w:val="21"/>
                      <w14:textFill>
                        <w14:solidFill>
                          <w14:schemeClr w14:val="tx1"/>
                        </w14:solidFill>
                      </w14:textFill>
                    </w:rPr>
                    <w:t>m</w:t>
                  </w:r>
                </w:p>
              </w:tc>
              <w:tc>
                <w:tcPr>
                  <w:tcW w:w="1140" w:type="dxa"/>
                  <w:tcMar>
                    <w:top w:w="15" w:type="dxa"/>
                    <w:left w:w="15" w:type="dxa"/>
                    <w:right w:w="15" w:type="dxa"/>
                  </w:tcMar>
                  <w:vAlign w:val="center"/>
                </w:tcPr>
                <w:p>
                  <w:pPr>
                    <w:pStyle w:val="47"/>
                    <w:rPr>
                      <w:rFonts w:hint="default" w:ascii="Times New Roman" w:hAnsi="Times New Roman" w:eastAsia="宋体" w:cs="Times New Roman"/>
                      <w:b w:val="0"/>
                      <w:bCs/>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路桥机械生产</w:t>
                  </w:r>
                </w:p>
              </w:tc>
              <w:tc>
                <w:tcPr>
                  <w:tcW w:w="1677" w:type="dxa"/>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颗粒物、噪声、固体废弃物、废水</w:t>
                  </w:r>
                </w:p>
              </w:tc>
              <w:tc>
                <w:tcPr>
                  <w:tcW w:w="659" w:type="dxa"/>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运行中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0" w:hRule="atLeast"/>
              </w:trPr>
              <w:tc>
                <w:tcPr>
                  <w:tcW w:w="364" w:type="dxa"/>
                  <w:tcBorders>
                    <w:bottom w:val="single" w:color="000000" w:sz="8" w:space="0"/>
                  </w:tcBorders>
                  <w:tcMar>
                    <w:top w:w="15" w:type="dxa"/>
                    <w:left w:w="15" w:type="dxa"/>
                    <w:right w:w="15" w:type="dxa"/>
                  </w:tcMar>
                  <w:vAlign w:val="center"/>
                </w:tcPr>
                <w:p>
                  <w:pPr>
                    <w:pStyle w:val="47"/>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5</w:t>
                  </w:r>
                </w:p>
              </w:tc>
              <w:tc>
                <w:tcPr>
                  <w:tcW w:w="1867"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晋宁徽铠人防工程防护设备有限公司</w:t>
                  </w:r>
                </w:p>
              </w:tc>
              <w:tc>
                <w:tcPr>
                  <w:tcW w:w="609"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东侧</w:t>
                  </w:r>
                </w:p>
              </w:tc>
              <w:tc>
                <w:tcPr>
                  <w:tcW w:w="699"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1"/>
                      <w:szCs w:val="21"/>
                      <w14:textFill>
                        <w14:solidFill>
                          <w14:schemeClr w14:val="tx1"/>
                        </w14:solidFill>
                      </w14:textFill>
                    </w:rPr>
                    <w:t>m</w:t>
                  </w:r>
                </w:p>
              </w:tc>
              <w:tc>
                <w:tcPr>
                  <w:tcW w:w="1140" w:type="dxa"/>
                  <w:tcBorders>
                    <w:bottom w:val="single" w:color="000000" w:sz="8" w:space="0"/>
                  </w:tcBorders>
                  <w:tcMar>
                    <w:top w:w="15" w:type="dxa"/>
                    <w:left w:w="15" w:type="dxa"/>
                    <w:right w:w="15" w:type="dxa"/>
                  </w:tcMar>
                  <w:vAlign w:val="center"/>
                </w:tcPr>
                <w:p>
                  <w:pPr>
                    <w:pStyle w:val="47"/>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防护设备</w:t>
                  </w:r>
                  <w:r>
                    <w:rPr>
                      <w:rFonts w:hint="default" w:ascii="Times New Roman" w:hAnsi="Times New Roman" w:eastAsia="宋体" w:cs="Times New Roman"/>
                      <w:b w:val="0"/>
                      <w:bCs/>
                      <w:color w:val="000000" w:themeColor="text1"/>
                      <w:sz w:val="21"/>
                      <w:szCs w:val="21"/>
                      <w14:textFill>
                        <w14:solidFill>
                          <w14:schemeClr w14:val="tx1"/>
                        </w14:solidFill>
                      </w14:textFill>
                    </w:rPr>
                    <w:t>生产</w:t>
                  </w:r>
                </w:p>
              </w:tc>
              <w:tc>
                <w:tcPr>
                  <w:tcW w:w="1677" w:type="dxa"/>
                  <w:tcBorders>
                    <w:bottom w:val="single" w:color="000000" w:sz="8" w:space="0"/>
                  </w:tcBorders>
                  <w:tcMar>
                    <w:top w:w="15" w:type="dxa"/>
                    <w:left w:w="15" w:type="dxa"/>
                    <w:right w:w="15" w:type="dxa"/>
                  </w:tcMar>
                  <w:vAlign w:val="center"/>
                </w:tcPr>
                <w:p>
                  <w:pPr>
                    <w:pStyle w:val="47"/>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颗粒物、噪声、固体废弃物、废水</w:t>
                  </w:r>
                </w:p>
              </w:tc>
              <w:tc>
                <w:tcPr>
                  <w:tcW w:w="659" w:type="dxa"/>
                  <w:tcBorders>
                    <w:bottom w:val="single" w:color="000000" w:sz="8" w:space="0"/>
                  </w:tcBorders>
                  <w:tcMar>
                    <w:top w:w="15" w:type="dxa"/>
                    <w:left w:w="15" w:type="dxa"/>
                    <w:right w:w="15" w:type="dxa"/>
                  </w:tcMar>
                  <w:vAlign w:val="center"/>
                </w:tcPr>
                <w:p>
                  <w:pPr>
                    <w:pStyle w:val="47"/>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运行中</w:t>
                  </w:r>
                </w:p>
              </w:tc>
            </w:tr>
          </w:tbl>
          <w:p>
            <w:pPr>
              <w:ind w:firstLine="48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4、与《“十三五”挥发性有机物污染防治工作方案》的符合性分析</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根据《“十三五”挥发性有机物污染防治工作方案》（环大气[2017]121 号）的要求：</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“严格建设项目环境准入”、“新建涉及VOCs排放的工业企业要入园区”、“新、改、扩建涉VOCs排放项目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应从源头加强控制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使用低（无）VOCs 含量的原辅材料</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加强废气收集、安装高效治理设施”。严格涉VOCs建设项目环境影响评价</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实行区域内VOCs排放等量或倍量削减替代</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并将替代方案落实到企业排污许可证中</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纳入环境执法管理。2018年11月19日</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生态环境部关于“无工业园区就不能新建涉VOCs工业企业的回复”中提到：“《‘十三五’挥发性有机物污染防治工作方案》中提到‘新建涉VOCs排放的工业企业要入园区’</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是指全国新建涉高VOCs 排放的建设项目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即石化、化工、包装印刷、工业涂装等重点行业及其他工业行业VOCs排放量大、排放强度高的新建项目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原则上要进入园区。各地应结合当地大气污染防治工作需求</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综合确定新建涉高VOCs 排放项目准入规模及要求”。</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本项目选址位于云南省昆明市晋宁工业园区</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不属于重点防治区域</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本项目已根据要求办理了入园手续</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同时本项目VOCs产生量较小</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项目加强了VOCs的收集和处理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能够实现达标排放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综上</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本项目符合《“十三五”挥发性有机物污染防治工作方案》要求。</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5、与云环通【2019】125号云南省生态环境厅关于印发《云南省重点行业挥发性有机物综合治理实施方案》的相符性分析</w:t>
            </w:r>
          </w:p>
          <w:p>
            <w:pPr>
              <w:pStyle w:val="4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表1-</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14:textFill>
                  <w14:solidFill>
                    <w14:schemeClr w14:val="tx1"/>
                  </w14:solidFill>
                </w14:textFill>
              </w:rPr>
              <w:t>与《云南省重点行业挥发性有机物综合治理实施方案》符合性分析</w:t>
            </w:r>
          </w:p>
          <w:tbl>
            <w:tblPr>
              <w:tblStyle w:val="2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4395"/>
              <w:gridCol w:w="1242"/>
              <w:gridCol w:w="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5" w:type="pct"/>
                  <w:gridSpan w:val="2"/>
                  <w:vAlign w:val="center"/>
                </w:tcPr>
                <w:p>
                  <w:pPr>
                    <w:pStyle w:val="47"/>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《云南省重点行业挥发性有机物综合治理实施方案》</w:t>
                  </w:r>
                </w:p>
              </w:tc>
              <w:tc>
                <w:tcPr>
                  <w:tcW w:w="884" w:type="pct"/>
                  <w:vAlign w:val="center"/>
                </w:tcPr>
                <w:p>
                  <w:pPr>
                    <w:pStyle w:val="47"/>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项目情况</w:t>
                  </w:r>
                </w:p>
              </w:tc>
              <w:tc>
                <w:tcPr>
                  <w:tcW w:w="450" w:type="pct"/>
                  <w:vAlign w:val="center"/>
                </w:tcPr>
                <w:p>
                  <w:pPr>
                    <w:pStyle w:val="47"/>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jc w:val="center"/>
              </w:trPr>
              <w:tc>
                <w:tcPr>
                  <w:tcW w:w="536" w:type="pct"/>
                  <w:vMerge w:val="restart"/>
                  <w:vAlign w:val="center"/>
                </w:tcPr>
                <w:p>
                  <w:pPr>
                    <w:pStyle w:val="47"/>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《云南省重点行业挥发性有机物综合治理实施方案》</w:t>
                  </w:r>
                </w:p>
              </w:tc>
              <w:tc>
                <w:tcPr>
                  <w:tcW w:w="3129" w:type="pct"/>
                  <w:vAlign w:val="center"/>
                </w:tcPr>
                <w:p>
                  <w:pPr>
                    <w:pStyle w:val="47"/>
                    <w:jc w:val="left"/>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（一）大力推进源头替代。通过使用水性、粉末、高固体分、无溶剂、辐射固化等低VOCs含量的涂料</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水性、辐射固化、植物基等低VOCs含量的油墨</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水基、热熔、无溶剂、辐射固化、改性、生物降解等低VOCs含量的胶粘剂</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以及低VOCs含量、低反应活性的清洗剂等</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替代溶剂型涂料、油墨、胶粘剂、清洗剂等</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从源头减少VOCs产生。工业涂装、包装印刷等行业要加大源头替代力度</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化工行业要推广使用(无)V0Cs含量、低反应活性的原辅材料</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加快对芳香烃、含卤素有机化合物的绿色替代。企业应大力推广使用低VOCs含量木器涂料、车辆涂料、机械设备涂料、集装箱涂料以及建筑物和构筑物防护涂料等</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在技术成熟的行业</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推广使用低VOCs含量油墨和胶粘剂。鼓励加快低VOCs含量涂料、油墨、胶粘剂等研发和生产。加强政策引导。企业采用符合国家有关低VOCs含量产品规定的涂料、油墨、胶粘剂等</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排放浓度稳定达标且排放速率、排放绩效等满足相关规定的</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相应生产工序可不要求建设末端治理设施。使用的原辅材料VOCs含量(质量比)低于10%的工序</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可不要求采取无组织排放收集措施。</w:t>
                  </w:r>
                </w:p>
              </w:tc>
              <w:tc>
                <w:tcPr>
                  <w:tcW w:w="884" w:type="pct"/>
                  <w:vAlign w:val="center"/>
                </w:tcPr>
                <w:p>
                  <w:pPr>
                    <w:pStyle w:val="47"/>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本项目在其生产过程中项目</w:t>
                  </w:r>
                  <w:r>
                    <w:rPr>
                      <w:rFonts w:hint="default" w:ascii="Times New Roman" w:hAnsi="Times New Roman" w:eastAsia="宋体" w:cs="Times New Roman"/>
                      <w:b w:val="0"/>
                      <w:color w:val="000000" w:themeColor="text1"/>
                      <w:lang w:val="en-US" w:eastAsia="zh-CN"/>
                      <w14:textFill>
                        <w14:solidFill>
                          <w14:schemeClr w14:val="tx1"/>
                        </w14:solidFill>
                      </w14:textFill>
                    </w:rPr>
                    <w:t>AKD蜡融化过程中</w:t>
                  </w:r>
                  <w:r>
                    <w:rPr>
                      <w:rFonts w:hint="default" w:ascii="Times New Roman" w:hAnsi="Times New Roman" w:eastAsia="宋体" w:cs="Times New Roman"/>
                      <w:b w:val="0"/>
                      <w:color w:val="000000" w:themeColor="text1"/>
                      <w14:textFill>
                        <w14:solidFill>
                          <w14:schemeClr w14:val="tx1"/>
                        </w14:solidFill>
                      </w14:textFill>
                    </w:rPr>
                    <w:t>产生的挥发性有机物（以非甲烷总烃计）通过</w:t>
                  </w:r>
                  <w:r>
                    <w:rPr>
                      <w:rFonts w:hint="eastAsia" w:cs="Times New Roman"/>
                      <w:b w:val="0"/>
                      <w:color w:val="000000" w:themeColor="text1"/>
                      <w:lang w:val="en-US" w:eastAsia="zh-CN"/>
                      <w14:textFill>
                        <w14:solidFill>
                          <w14:schemeClr w14:val="tx1"/>
                        </w14:solidFill>
                      </w14:textFill>
                    </w:rPr>
                    <w:t>二级</w:t>
                  </w:r>
                  <w:r>
                    <w:rPr>
                      <w:rFonts w:hint="default" w:ascii="Times New Roman" w:hAnsi="Times New Roman" w:eastAsia="宋体" w:cs="Times New Roman"/>
                      <w:b w:val="0"/>
                      <w:color w:val="000000" w:themeColor="text1"/>
                      <w14:textFill>
                        <w14:solidFill>
                          <w14:schemeClr w14:val="tx1"/>
                        </w14:solidFill>
                      </w14:textFill>
                    </w:rPr>
                    <w:t>活性炭吸附设备处理</w:t>
                  </w:r>
                  <w:r>
                    <w:rPr>
                      <w:rFonts w:hint="default" w:ascii="Times New Roman" w:hAnsi="Times New Roman" w:eastAsia="宋体" w:cs="Times New Roman"/>
                      <w:b w:val="0"/>
                      <w:color w:val="000000" w:themeColor="text1"/>
                      <w:lang w:val="en-US" w:eastAsia="zh-CN"/>
                      <w14:textFill>
                        <w14:solidFill>
                          <w14:schemeClr w14:val="tx1"/>
                        </w14:solidFill>
                      </w14:textFill>
                    </w:rPr>
                    <w:t>后通过15m高的排气筒达标排放</w:t>
                  </w:r>
                  <w:r>
                    <w:rPr>
                      <w:rFonts w:hint="default" w:ascii="Times New Roman" w:hAnsi="Times New Roman" w:eastAsia="宋体" w:cs="Times New Roman"/>
                      <w:b w:val="0"/>
                      <w:color w:val="000000" w:themeColor="text1"/>
                      <w14:textFill>
                        <w14:solidFill>
                          <w14:schemeClr w14:val="tx1"/>
                        </w14:solidFill>
                      </w14:textFill>
                    </w:rPr>
                    <w:t>；</w:t>
                  </w:r>
                </w:p>
              </w:tc>
              <w:tc>
                <w:tcPr>
                  <w:tcW w:w="450" w:type="pct"/>
                  <w:vAlign w:val="center"/>
                </w:tcPr>
                <w:p>
                  <w:pPr>
                    <w:pStyle w:val="47"/>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符合</w:t>
                  </w:r>
                </w:p>
                <w:p>
                  <w:pPr>
                    <w:pStyle w:val="47"/>
                    <w:rPr>
                      <w:rFonts w:hint="default" w:ascii="Times New Roman" w:hAnsi="Times New Roman" w:eastAsia="宋体" w:cs="Times New Roman"/>
                      <w:b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6" w:type="pct"/>
                  <w:vMerge w:val="continue"/>
                  <w:vAlign w:val="center"/>
                </w:tcPr>
                <w:p>
                  <w:pPr>
                    <w:pStyle w:val="47"/>
                    <w:rPr>
                      <w:rFonts w:hint="default" w:ascii="Times New Roman" w:hAnsi="Times New Roman" w:eastAsia="宋体" w:cs="Times New Roman"/>
                      <w:b w:val="0"/>
                      <w:color w:val="000000" w:themeColor="text1"/>
                      <w14:textFill>
                        <w14:solidFill>
                          <w14:schemeClr w14:val="tx1"/>
                        </w14:solidFill>
                      </w14:textFill>
                    </w:rPr>
                  </w:pPr>
                </w:p>
              </w:tc>
              <w:tc>
                <w:tcPr>
                  <w:tcW w:w="3129" w:type="pct"/>
                  <w:vAlign w:val="center"/>
                </w:tcPr>
                <w:p>
                  <w:pPr>
                    <w:pStyle w:val="47"/>
                    <w:jc w:val="both"/>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（二）全面加强无组织排放控制。重点对含VOCs物料(包括含VOCs原辅材料、含VOCs产品、含VOCs废料以及有机聚合物材料等)储存、转移和输送、设备与管线组件泄漏、敞开液面逸散以及工艺过程等五类排放源实施管控</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通过采取设备与场所密闭、工艺改进、废气有效收集等措施</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削减VOCs无组织排放。加强设备与场所密闭管理。含VOCs物料应储存于密闭容器、包装袋</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高效密封储罐</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封闭式储库、料仓等。含VOCs物料转移和输送</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应采用密闭管道或密闭容器、罐车等。高VOCs含量废水(废水液面上方100毫米处VOCs检测浓度超过200ppm</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其中</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重点区域超过100ppm</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以碳计)的集输、储存和处理过程</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应加盖密闭。含VOCs物料生产和使用过程</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应采取有效收集措施或在密闭空间中操作。推进使用先进生产工艺。通过采用全密闭、连续化、自动化等生产技术</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以及高效工艺与设备等</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减少工艺过程无组织排放。挥发性有机液体装载优先采用底部装载方式。石化、化工行业重点推进使用低(无)泄漏的泵、压缩机、过滤机、离心机、干燥设备等</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推广采用油品在线调和技术、密闭式循环水冷却系统等。工业涂装行业重点推进使用紧凑式涂装工艺</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推广采用辊涂、静电喷涂、高压无气喷涂、空气辅助无气喷涂、热喷涂等涂装技术</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鼓励企业采用自动化、智能化喷涂设备替代人工喷涂</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减少使用空气喷涂技术。包装印刷行业大力推广使用无溶剂复合、挤出复合、共挤出复合技术</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鼓励采用水性u印、醇水凹印、辐射固化凹印、柔版印刷、无水胶印等印刷工艺。提高废气收集率。遵循“应收尽收、分质收集”的原则</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科学设计废气收集系统</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将无组织排放转变为有组织排放进行控制。采用全密闭集气罩或密闭空间的</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除行业有特殊要求外</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应保持微负压状态</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并根据相关规范合理设置通风量。采用局部集气罩的</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距集气罩开口面最远处的VOCs无组织排放位置</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控制风速应不低于0.3米/秒</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有行业要求的按相关规定执行。加强设备与管线组件泄漏控制。企业中载有气态、液态V0Cs物料的设备与管线组件</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密封点数量大于等于2000个的</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应按要求开展LDAR工作。石化企业按行业排放标准规定执行。</w:t>
                  </w:r>
                </w:p>
              </w:tc>
              <w:tc>
                <w:tcPr>
                  <w:tcW w:w="884" w:type="pct"/>
                  <w:vAlign w:val="center"/>
                </w:tcPr>
                <w:p>
                  <w:pPr>
                    <w:pStyle w:val="47"/>
                    <w:jc w:val="both"/>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本项目使用</w:t>
                  </w:r>
                  <w:r>
                    <w:rPr>
                      <w:rFonts w:hint="default" w:ascii="Times New Roman" w:hAnsi="Times New Roman" w:eastAsia="宋体" w:cs="Times New Roman"/>
                      <w:b w:val="0"/>
                      <w:color w:val="000000" w:themeColor="text1"/>
                      <w:lang w:val="en-US" w:eastAsia="zh-CN"/>
                      <w14:textFill>
                        <w14:solidFill>
                          <w14:schemeClr w14:val="tx1"/>
                        </w14:solidFill>
                      </w14:textFill>
                    </w:rPr>
                    <w:t>的原料都采用密封桶或者包装袋存放于原料区</w:t>
                  </w:r>
                </w:p>
              </w:tc>
              <w:tc>
                <w:tcPr>
                  <w:tcW w:w="450" w:type="pct"/>
                  <w:vAlign w:val="center"/>
                </w:tcPr>
                <w:p>
                  <w:pPr>
                    <w:pStyle w:val="47"/>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6" w:hRule="atLeast"/>
                <w:jc w:val="center"/>
              </w:trPr>
              <w:tc>
                <w:tcPr>
                  <w:tcW w:w="536" w:type="pct"/>
                  <w:vMerge w:val="continue"/>
                  <w:vAlign w:val="center"/>
                </w:tcPr>
                <w:p>
                  <w:pPr>
                    <w:pStyle w:val="47"/>
                    <w:rPr>
                      <w:rFonts w:hint="default" w:ascii="Times New Roman" w:hAnsi="Times New Roman" w:eastAsia="宋体" w:cs="Times New Roman"/>
                      <w:b w:val="0"/>
                      <w:color w:val="000000" w:themeColor="text1"/>
                      <w14:textFill>
                        <w14:solidFill>
                          <w14:schemeClr w14:val="tx1"/>
                        </w14:solidFill>
                      </w14:textFill>
                    </w:rPr>
                  </w:pPr>
                </w:p>
              </w:tc>
              <w:tc>
                <w:tcPr>
                  <w:tcW w:w="3129" w:type="pct"/>
                  <w:vAlign w:val="center"/>
                </w:tcPr>
                <w:p>
                  <w:pPr>
                    <w:pStyle w:val="47"/>
                    <w:jc w:val="both"/>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（三）推进建设适宜高效的治污设施。企业新建治污设施或对现有治污设施实施改造</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应依据排放废气的浓度、组分、风量</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温度、湿度、压力</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以及生产工况等</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合理选择治理技术。鼓励企业采用多种技术的组合工艺</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提高VOCs治理效率。低浓度、大风量废气</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宜采用沸石转轮吸附、活性炭吸附、诚风增浓等浓缩技术</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提高VOCs浓度后净化处理</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高浓度废气</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优先进行溶剂回收</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难以回收的</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宜采用高温焚烧、催化燃烧等技术。油气(溶剂)回收宜采用冷凝+吸附、吸附+吸收、膜分离+吸附等技术。低温等离子、光催化、光氧化技术主要适用于恶臭异味等治理</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生物法主要适用于低浓度VOCs废气治理和恶臭异味治理。非水溶性的VOCs废气禁止采用水或水溶液喷淋吸收处理。采用一次性活性炭吸附技术的</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应定期更换活性炭</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废旧活性炭应再生或处理处置。有条件的工业园区和产业集群等</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推广集中喷涂、溶剂集中回收、活性炭集中再生等</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加强资源共享</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提高VOCs治理效率。规范工程设计。采用吸附处理工艺的</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应满足《吸附法工业有机废气治理工程技术规范》要求。采用催化燃烧工艺的</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应满足《催化燃烧法工业有机废气治理工程技术规范》要求。采用蓄热燃烧等其他处理工艺的</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应按相关技术规范要求设计。实行重点排放源排放浓度与去除效率双重控制。车间或生产设施收集排放的废气</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VOCs初始排放速率大于等于3千克/小时、重点区域大于等于2千克/小时的</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应加大控制力度</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除确保排放浓度稳定达标外</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还应实行去除效率控制</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去除效率不低干80%</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采用的原辅材料符合国家有关低V0Cs含量产品规定的除外</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有行业排放标准的按其相关规定执行。</w:t>
                  </w:r>
                </w:p>
              </w:tc>
              <w:tc>
                <w:tcPr>
                  <w:tcW w:w="884" w:type="pct"/>
                  <w:vAlign w:val="center"/>
                </w:tcPr>
                <w:p>
                  <w:pPr>
                    <w:pStyle w:val="46"/>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lang w:val="zh-CN"/>
                      <w14:textFill>
                        <w14:solidFill>
                          <w14:schemeClr w14:val="tx1"/>
                        </w14:solidFill>
                      </w14:textFill>
                    </w:rPr>
                    <w:t>本项目</w:t>
                  </w:r>
                  <w:r>
                    <w:rPr>
                      <w:rFonts w:hint="default" w:ascii="Times New Roman" w:hAnsi="Times New Roman" w:eastAsia="宋体" w:cs="Times New Roman"/>
                      <w:bCs/>
                      <w:color w:val="000000" w:themeColor="text1"/>
                      <w14:textFill>
                        <w14:solidFill>
                          <w14:schemeClr w14:val="tx1"/>
                        </w14:solidFill>
                      </w14:textFill>
                    </w:rPr>
                    <w:t>在</w:t>
                  </w:r>
                  <w:r>
                    <w:rPr>
                      <w:rFonts w:hint="default" w:ascii="Times New Roman" w:hAnsi="Times New Roman" w:eastAsia="宋体" w:cs="Times New Roman"/>
                      <w:color w:val="000000"/>
                      <w:kern w:val="0"/>
                      <w:sz w:val="20"/>
                      <w:szCs w:val="20"/>
                      <w:lang w:val="en-US" w:eastAsia="zh-CN" w:bidi="ar"/>
                    </w:rPr>
                    <w:t>AKD蜡</w:t>
                  </w:r>
                  <w:r>
                    <w:rPr>
                      <w:rFonts w:hint="default" w:ascii="Times New Roman" w:hAnsi="Times New Roman" w:eastAsia="宋体" w:cs="Times New Roman"/>
                      <w:color w:val="000000" w:themeColor="text1"/>
                      <w:lang w:val="en-US" w:eastAsia="zh-CN"/>
                      <w14:textFill>
                        <w14:solidFill>
                          <w14:schemeClr w14:val="tx1"/>
                        </w14:solidFill>
                      </w14:textFill>
                    </w:rPr>
                    <w:t>融化过程中</w:t>
                  </w:r>
                  <w:r>
                    <w:rPr>
                      <w:rFonts w:hint="default" w:ascii="Times New Roman" w:hAnsi="Times New Roman" w:eastAsia="宋体" w:cs="Times New Roman"/>
                      <w:color w:val="000000" w:themeColor="text1"/>
                      <w14:textFill>
                        <w14:solidFill>
                          <w14:schemeClr w14:val="tx1"/>
                        </w14:solidFill>
                      </w14:textFill>
                    </w:rPr>
                    <w:t>产生的挥发性有机物（以非甲烷总烃计）通过</w:t>
                  </w:r>
                  <w:r>
                    <w:rPr>
                      <w:rFonts w:hint="eastAsia" w:cs="Times New Roman"/>
                      <w:color w:val="000000" w:themeColor="text1"/>
                      <w:lang w:val="en-US" w:eastAsia="zh-CN"/>
                      <w14:textFill>
                        <w14:solidFill>
                          <w14:schemeClr w14:val="tx1"/>
                        </w14:solidFill>
                      </w14:textFill>
                    </w:rPr>
                    <w:t>二级</w:t>
                  </w:r>
                  <w:r>
                    <w:rPr>
                      <w:rFonts w:hint="default" w:ascii="Times New Roman" w:hAnsi="Times New Roman" w:eastAsia="宋体" w:cs="Times New Roman"/>
                      <w:color w:val="000000" w:themeColor="text1"/>
                      <w14:textFill>
                        <w14:solidFill>
                          <w14:schemeClr w14:val="tx1"/>
                        </w14:solidFill>
                      </w14:textFill>
                    </w:rPr>
                    <w:t>活性炭吸附设备处理</w:t>
                  </w:r>
                  <w:r>
                    <w:rPr>
                      <w:rFonts w:hint="default" w:ascii="Times New Roman" w:hAnsi="Times New Roman" w:eastAsia="宋体" w:cs="Times New Roman"/>
                      <w:color w:val="000000" w:themeColor="text1"/>
                      <w:lang w:val="en-US" w:eastAsia="zh-CN"/>
                      <w14:textFill>
                        <w14:solidFill>
                          <w14:schemeClr w14:val="tx1"/>
                        </w14:solidFill>
                      </w14:textFill>
                    </w:rPr>
                    <w:t>后通过15m高的排气筒达标排放</w:t>
                  </w:r>
                  <w:r>
                    <w:rPr>
                      <w:rFonts w:hint="default" w:ascii="Times New Roman" w:hAnsi="Times New Roman" w:eastAsia="宋体" w:cs="Times New Roman"/>
                      <w:color w:val="000000" w:themeColor="text1"/>
                      <w14:textFill>
                        <w14:solidFill>
                          <w14:schemeClr w14:val="tx1"/>
                        </w14:solidFill>
                      </w14:textFill>
                    </w:rPr>
                    <w:t>；</w:t>
                  </w:r>
                </w:p>
                <w:p>
                  <w:pPr>
                    <w:spacing w:line="240" w:lineRule="atLeast"/>
                    <w:rPr>
                      <w:rFonts w:hint="default" w:ascii="Times New Roman" w:hAnsi="Times New Roman" w:eastAsia="宋体" w:cs="Times New Roman"/>
                      <w:color w:val="000000" w:themeColor="text1"/>
                      <w14:textFill>
                        <w14:solidFill>
                          <w14:schemeClr w14:val="tx1"/>
                        </w14:solidFill>
                      </w14:textFill>
                    </w:rPr>
                  </w:pPr>
                </w:p>
              </w:tc>
              <w:tc>
                <w:tcPr>
                  <w:tcW w:w="450" w:type="pct"/>
                  <w:vAlign w:val="center"/>
                </w:tcPr>
                <w:p>
                  <w:pPr>
                    <w:pStyle w:val="47"/>
                    <w:rPr>
                      <w:rFonts w:hint="default" w:ascii="Times New Roman" w:hAnsi="Times New Roman" w:eastAsia="宋体" w:cs="Times New Roman"/>
                      <w:b w:val="0"/>
                      <w:color w:val="000000" w:themeColor="text1"/>
                      <w14:textFill>
                        <w14:solidFill>
                          <w14:schemeClr w14:val="tx1"/>
                        </w14:solidFill>
                      </w14:textFill>
                    </w:rPr>
                  </w:pPr>
                </w:p>
              </w:tc>
            </w:tr>
          </w:tbl>
          <w:p>
            <w:pPr>
              <w:widowControl/>
              <w:snapToGrid w:val="0"/>
              <w:spacing w:line="360" w:lineRule="auto"/>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6、昆明市人民政府关于昆明市“三线一单” 生态环境分区管控的实施意见符合性分析</w:t>
            </w:r>
          </w:p>
          <w:p>
            <w:pPr>
              <w:widowControl/>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建设符合昆明市人民政府关于昆明市“三线一单” 生态环境分区管控的实施意见相关要求</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符合性分析见表1-</w:t>
            </w:r>
            <w:r>
              <w:rPr>
                <w:rFonts w:hint="eastAsia"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w:t>
            </w:r>
          </w:p>
          <w:p>
            <w:pPr>
              <w:widowControl/>
              <w:snapToGrid w:val="0"/>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 xml:space="preserve"> 1-</w:t>
            </w:r>
            <w:r>
              <w:rPr>
                <w:rFonts w:hint="eastAsia" w:cs="Times New Roman"/>
                <w:b/>
                <w:bCs/>
                <w:color w:val="000000" w:themeColor="text1"/>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szCs w:val="21"/>
                <w14:textFill>
                  <w14:solidFill>
                    <w14:schemeClr w14:val="tx1"/>
                  </w14:solidFill>
                </w14:textFill>
              </w:rPr>
              <w:t>昆明市“三线一单”生态环境分区管控的实施意见符合性分析</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3441"/>
              <w:gridCol w:w="2410"/>
              <w:gridCol w:w="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widowControl/>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“三线一单”</w:t>
                  </w:r>
                </w:p>
              </w:tc>
              <w:tc>
                <w:tcPr>
                  <w:tcW w:w="3441" w:type="dxa"/>
                  <w:vAlign w:val="center"/>
                </w:tcPr>
                <w:p>
                  <w:pPr>
                    <w:widowControl/>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昆明市人民政府关于昆明市“三线一单” 生态环境分区管控的实施意见</w:t>
                  </w:r>
                </w:p>
              </w:tc>
              <w:tc>
                <w:tcPr>
                  <w:tcW w:w="2410" w:type="dxa"/>
                  <w:vAlign w:val="center"/>
                </w:tcPr>
                <w:p>
                  <w:pPr>
                    <w:widowControl/>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项目情况</w:t>
                  </w:r>
                </w:p>
              </w:tc>
              <w:tc>
                <w:tcPr>
                  <w:tcW w:w="493" w:type="dxa"/>
                  <w:vAlign w:val="center"/>
                </w:tcPr>
                <w:p>
                  <w:pPr>
                    <w:widowControl/>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widowControl/>
                    <w:snapToGrid w:val="0"/>
                    <w:spacing w:line="36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生态保护红线和一般生态空间</w:t>
                  </w:r>
                </w:p>
              </w:tc>
              <w:tc>
                <w:tcPr>
                  <w:tcW w:w="3441" w:type="dxa"/>
                  <w:vAlign w:val="center"/>
                </w:tcPr>
                <w:p>
                  <w:pPr>
                    <w:widowControl/>
                    <w:snapToGrid w:val="0"/>
                    <w:spacing w:line="36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生态保护红线区严格执行云南省人民政府发布的《云南省生态保护红线》</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全市生态保护红线总面积为4662.53平方公里</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占全市国土面积的22.19%。生态保护红线区按照国家和云南省颁布的生态保护红线有关管控政策办法执行</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原则上按禁止开发区域的要求进行管理</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严禁不符合主体功能定位的各类开发活动</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严禁任意改变用途</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确保生态保护红线生态功能不降低、面积不减少、性质不改变。</w:t>
                  </w:r>
                </w:p>
                <w:p>
                  <w:pPr>
                    <w:widowControl/>
                    <w:snapToGrid w:val="0"/>
                    <w:spacing w:line="36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立足已形成的生态保护红线划定工作成果</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遵循生态优先原则</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将未划入生态保护红线的自然保护地、饮用水水源保护区、重要湿地、基本草原、生态公益林、天然林等生态功能重要、生态环境敏感区域划为一般生态空间</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全市一般生态空间面积为4606.43平方公里</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占全市国土面积的21.92%。一般生态空间参照主体功能区中重点生态功能区的开发和管制原则进行管控</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以保护和修复生态环境、提供生态产品为首要任务</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依法限制大规模高强度的工业化和城镇化开发建设活动。加强资源环境承载力控制</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防止过度垦殖、放牧、采伐、取水、渔猎、旅游等对生态功能造成损害</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确保自然生态系统的稳定。划入一般生态空间的各类自然保护地原则上按照原管控要求进行管理</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其他一般生态空间根据用途分区</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依法依规进行生态环境管控。</w:t>
                  </w:r>
                </w:p>
              </w:tc>
              <w:tc>
                <w:tcPr>
                  <w:tcW w:w="2410" w:type="dxa"/>
                  <w:vAlign w:val="center"/>
                </w:tcPr>
                <w:p>
                  <w:pPr>
                    <w:widowControl/>
                    <w:snapToGrid w:val="0"/>
                    <w:spacing w:line="36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本项目位于云南省昆明市晋宁工业园区二街基地</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不在生态红线范围及一般生态空间内。因此</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项目符合相关政策的要求。</w:t>
                  </w:r>
                </w:p>
              </w:tc>
              <w:tc>
                <w:tcPr>
                  <w:tcW w:w="493" w:type="dxa"/>
                  <w:vAlign w:val="center"/>
                </w:tcPr>
                <w:p>
                  <w:pPr>
                    <w:widowControl/>
                    <w:snapToGrid w:val="0"/>
                    <w:spacing w:line="36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widowControl/>
                    <w:snapToGrid w:val="0"/>
                    <w:spacing w:line="36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环境质量底线</w:t>
                  </w:r>
                </w:p>
              </w:tc>
              <w:tc>
                <w:tcPr>
                  <w:tcW w:w="3441" w:type="dxa"/>
                  <w:vAlign w:val="center"/>
                </w:tcPr>
                <w:p>
                  <w:pPr>
                    <w:widowControl/>
                    <w:snapToGrid w:val="0"/>
                    <w:spacing w:line="36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到2025年</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全市生态环境质量持续改善</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生态空间得到优化和有效保护</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区域生态安全屏障更加牢固。全市环境空气质量总体保持优良</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主城建成区空气质量优良天数占比达99%以上</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二氧化硫（SO</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）和氮氧化物（NO</w:t>
                  </w:r>
                  <w:r>
                    <w:rPr>
                      <w:rFonts w:hint="default" w:ascii="Times New Roman" w:hAnsi="Times New Roman" w:eastAsia="宋体" w:cs="Times New Roman"/>
                      <w:color w:val="000000" w:themeColor="text1"/>
                      <w:szCs w:val="21"/>
                      <w:vertAlign w:val="subscript"/>
                      <w14:textFill>
                        <w14:solidFill>
                          <w14:schemeClr w14:val="tx1"/>
                        </w14:solidFill>
                      </w14:textFill>
                    </w:rPr>
                    <w:t>X</w:t>
                  </w:r>
                  <w:r>
                    <w:rPr>
                      <w:rFonts w:hint="default" w:ascii="Times New Roman" w:hAnsi="Times New Roman" w:eastAsia="宋体" w:cs="Times New Roman"/>
                      <w:color w:val="000000" w:themeColor="text1"/>
                      <w:szCs w:val="21"/>
                      <w14:textFill>
                        <w14:solidFill>
                          <w14:schemeClr w14:val="tx1"/>
                        </w14:solidFill>
                      </w14:textFill>
                    </w:rPr>
                    <w:t>）排放总量控制在省下达的目标以内</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主城区空气中颗粒物（PM</w:t>
                  </w:r>
                  <w:r>
                    <w:rPr>
                      <w:rFonts w:hint="default" w:ascii="Times New Roman" w:hAnsi="Times New Roman" w:eastAsia="宋体" w:cs="Times New Roman"/>
                      <w:color w:val="000000" w:themeColor="text1"/>
                      <w:szCs w:val="21"/>
                      <w:vertAlign w:val="subscript"/>
                      <w14:textFill>
                        <w14:solidFill>
                          <w14:schemeClr w14:val="tx1"/>
                        </w14:solidFill>
                      </w14:textFill>
                    </w:rPr>
                    <w:t>10</w:t>
                  </w:r>
                  <w:r>
                    <w:rPr>
                      <w:rFonts w:hint="default" w:ascii="Times New Roman" w:hAnsi="Times New Roman" w:eastAsia="宋体" w:cs="Times New Roman"/>
                      <w:color w:val="000000" w:themeColor="text1"/>
                      <w:szCs w:val="21"/>
                      <w14:textFill>
                        <w14:solidFill>
                          <w14:schemeClr w14:val="tx1"/>
                        </w14:solidFill>
                      </w14:textFill>
                    </w:rPr>
                    <w:t>、PM</w:t>
                  </w:r>
                  <w:r>
                    <w:rPr>
                      <w:rFonts w:hint="default" w:ascii="Times New Roman" w:hAnsi="Times New Roman" w:eastAsia="宋体" w:cs="Times New Roman"/>
                      <w:color w:val="000000" w:themeColor="text1"/>
                      <w:szCs w:val="21"/>
                      <w:vertAlign w:val="subscript"/>
                      <w14:textFill>
                        <w14:solidFill>
                          <w14:schemeClr w14:val="tx1"/>
                        </w14:solidFill>
                      </w14:textFill>
                    </w:rPr>
                    <w:t>2.5</w:t>
                  </w:r>
                  <w:r>
                    <w:rPr>
                      <w:rFonts w:hint="default" w:ascii="Times New Roman" w:hAnsi="Times New Roman" w:eastAsia="宋体" w:cs="Times New Roman"/>
                      <w:color w:val="000000" w:themeColor="text1"/>
                      <w:szCs w:val="21"/>
                      <w14:textFill>
                        <w14:solidFill>
                          <w14:schemeClr w14:val="tx1"/>
                        </w14:solidFill>
                      </w14:textFill>
                    </w:rPr>
                    <w:t>）稳定达《环境空气质量标准》二级标准以上。纳入国家和省级考核的地表水监测断面水质优良率稳步提升</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滇池流域、阳宗海流域水环境质量明显改善</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水生态系统功能逐步恢复</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滇池草海水质达Ⅳ类</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滇池外海水质达Ⅳ类（化学需氧量≤40毫克/升）</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阳宗海水质达Ⅲ类</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集中式饮用水源水质巩固改善。土壤环境风险防范体系进一步完善</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受污染耕地安全利用率和污染地块安全利用率进一步提高</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逐步改善全市土壤环境质量</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遏制土壤污染恶化趋势</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土壤环境风险得到基本管控。污染地块安全利用率、耕地土壤环境质量达到国家和云南省考核要求。</w:t>
                  </w:r>
                </w:p>
                <w:p>
                  <w:pPr>
                    <w:widowControl/>
                    <w:snapToGrid w:val="0"/>
                    <w:spacing w:line="36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到2035年</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全市生态环境质量实现根本好转</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生态功能显著提升</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区域生态安全得到全面保障。全市环境空气质量全面改善</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各县（市）区、开发（度假）区环境空气质量稳定达到国家二级标准。地表水体水质优良率全面提升</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各监测断面水质达到水环境功能要求</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消除劣Ⅴ类水体</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集中式饮用水水源水质稳定达标。土壤环境质量稳中向好</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农用地和建设用地土壤环境安全得到有效保障</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土壤环境风险得到全面管控。</w:t>
                  </w:r>
                </w:p>
              </w:tc>
              <w:tc>
                <w:tcPr>
                  <w:tcW w:w="2410" w:type="dxa"/>
                  <w:vAlign w:val="center"/>
                </w:tcPr>
                <w:p>
                  <w:pPr>
                    <w:pStyle w:val="10"/>
                    <w:spacing w:before="0" w:line="36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w:t>
                  </w:r>
                  <w:r>
                    <w:rPr>
                      <w:rFonts w:hint="eastAsia" w:ascii="Times New Roman" w:hAnsi="Times New Roman" w:cs="Times New Roman"/>
                      <w:color w:val="000000" w:themeColor="text1"/>
                      <w:sz w:val="21"/>
                      <w:szCs w:val="21"/>
                      <w:lang w:eastAsia="zh-CN"/>
                      <w14:textFill>
                        <w14:solidFill>
                          <w14:schemeClr w14:val="tx1"/>
                        </w14:solidFill>
                      </w14:textFill>
                    </w:rPr>
                    <w:t>2021年度昆明市生态环境状况公报</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年</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各县(市)区环境空气质量总体保持良好。与2020年相比，安宁市、禄劝县环境空气综合污染指数有所下降，东川区、石林县、嵩明县、富民县、宜良县、寻甸县和阳宗海风景名胜区环境空气综合污染指数有所上升。</w:t>
                  </w:r>
                </w:p>
                <w:p>
                  <w:pPr>
                    <w:pStyle w:val="46"/>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本项目排放的主要污染物为项目</w:t>
                  </w:r>
                  <w:r>
                    <w:rPr>
                      <w:rFonts w:hint="eastAsia" w:cs="Times New Roman"/>
                      <w:color w:val="000000" w:themeColor="text1"/>
                      <w:kern w:val="2"/>
                      <w:sz w:val="21"/>
                      <w:szCs w:val="21"/>
                      <w:lang w:val="en-US" w:eastAsia="zh-CN" w:bidi="ar-SA"/>
                      <w14:textFill>
                        <w14:solidFill>
                          <w14:schemeClr w14:val="tx1"/>
                        </w14:solidFill>
                      </w14:textFill>
                    </w:rPr>
                    <w:t>原料</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AKD蜡融化过程中产生的挥发性有机物（以非甲烷总烃计）通过</w:t>
                  </w:r>
                  <w:r>
                    <w:rPr>
                      <w:rFonts w:hint="eastAsia" w:cs="Times New Roman"/>
                      <w:color w:val="000000" w:themeColor="text1"/>
                      <w:kern w:val="2"/>
                      <w:sz w:val="21"/>
                      <w:szCs w:val="21"/>
                      <w:lang w:val="en-US" w:eastAsia="zh-CN" w:bidi="ar-SA"/>
                      <w14:textFill>
                        <w14:solidFill>
                          <w14:schemeClr w14:val="tx1"/>
                        </w14:solidFill>
                      </w14:textFill>
                    </w:rPr>
                    <w:t>二级</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活性炭吸附设备处理后通过15m高的排气筒达标排放；挥发性有机物（以非甲烷总烃计）排放能够满足《大气污染物综合排放标准》（GB16297—1996）表2中二级标准限值。</w:t>
                  </w:r>
                </w:p>
                <w:p>
                  <w:pPr>
                    <w:spacing w:line="360" w:lineRule="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zh-CN"/>
                      <w14:textFill>
                        <w14:solidFill>
                          <w14:schemeClr w14:val="tx1"/>
                        </w14:solidFill>
                      </w14:textFill>
                    </w:rPr>
                    <w:t>根据</w:t>
                  </w:r>
                  <w:r>
                    <w:rPr>
                      <w:rFonts w:hint="default" w:ascii="Times New Roman" w:hAnsi="Times New Roman" w:eastAsia="宋体"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2021年度昆明市生态环境状况公报</w:t>
                  </w:r>
                  <w:r>
                    <w:rPr>
                      <w:rFonts w:hint="default" w:ascii="Times New Roman" w:hAnsi="Times New Roman" w:eastAsia="宋体" w:cs="Times New Roman"/>
                      <w:color w:val="000000" w:themeColor="text1"/>
                      <w:szCs w:val="21"/>
                      <w14:textFill>
                        <w14:solidFill>
                          <w14:schemeClr w14:val="tx1"/>
                        </w14:solidFill>
                      </w14:textFill>
                    </w:rPr>
                    <w:t>》</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螳螂川一普渡河(滇池出湖河流)与2020年相比，普渡河桥断面(水质类别为Ⅲ类)、鸣矣河通仙桥断面(水质类别为V类)、富民大桥断面(水质类别为V类)和中滩闸门断面(水质类别为劣V类)水质类别均保持不变，温泉大桥断面水质类别由V类下降为劣V类。</w:t>
                  </w:r>
                </w:p>
                <w:p>
                  <w:pPr>
                    <w:widowControl/>
                    <w:snapToGrid w:val="0"/>
                    <w:spacing w:line="36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本项目实施过程中要求严格落实各项污染防治措施</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确保大气环境质量、水环境质量等达到环境功能区要求。</w:t>
                  </w:r>
                </w:p>
                <w:p>
                  <w:pPr>
                    <w:widowControl/>
                    <w:snapToGrid w:val="0"/>
                    <w:spacing w:line="36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因此</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项目满足环境质量底线要求。</w:t>
                  </w:r>
                </w:p>
              </w:tc>
              <w:tc>
                <w:tcPr>
                  <w:tcW w:w="493" w:type="dxa"/>
                  <w:vAlign w:val="center"/>
                </w:tcPr>
                <w:p>
                  <w:pPr>
                    <w:widowControl/>
                    <w:snapToGrid w:val="0"/>
                    <w:spacing w:line="36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widowControl/>
                    <w:snapToGrid w:val="0"/>
                    <w:spacing w:line="36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资源利用上线</w:t>
                  </w:r>
                </w:p>
              </w:tc>
              <w:tc>
                <w:tcPr>
                  <w:tcW w:w="3441" w:type="dxa"/>
                  <w:vAlign w:val="center"/>
                </w:tcPr>
                <w:p>
                  <w:pPr>
                    <w:widowControl/>
                    <w:snapToGrid w:val="0"/>
                    <w:spacing w:line="36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按照国家、省、市有关要求和规划</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tc>
              <w:tc>
                <w:tcPr>
                  <w:tcW w:w="2410" w:type="dxa"/>
                  <w:vAlign w:val="center"/>
                </w:tcPr>
                <w:p>
                  <w:pPr>
                    <w:widowControl/>
                    <w:snapToGrid w:val="0"/>
                    <w:spacing w:line="36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本项目属于轻工业项目</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设施建成以后需投入管理、维护成本</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仅消耗少量的水资源、电能源等</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不使用化石能源</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不会超过当地资源利用上线。</w:t>
                  </w:r>
                </w:p>
              </w:tc>
              <w:tc>
                <w:tcPr>
                  <w:tcW w:w="493" w:type="dxa"/>
                  <w:vAlign w:val="center"/>
                </w:tcPr>
                <w:p>
                  <w:pPr>
                    <w:widowControl/>
                    <w:snapToGrid w:val="0"/>
                    <w:spacing w:line="36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685" w:type="dxa"/>
                  <w:vMerge w:val="restart"/>
                  <w:vAlign w:val="center"/>
                </w:tcPr>
                <w:p>
                  <w:pPr>
                    <w:widowControl/>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云南晋宁工业园区重点管控单元生态环境准入清单</w:t>
                  </w:r>
                </w:p>
              </w:tc>
              <w:tc>
                <w:tcPr>
                  <w:tcW w:w="3441" w:type="dxa"/>
                  <w:vAlign w:val="center"/>
                </w:tcPr>
                <w:p>
                  <w:pPr>
                    <w:widowControl/>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空间布局约束：1.重点发展精密机械制造、生物资源加工、精细磷化工以及建材业。</w:t>
                  </w:r>
                </w:p>
                <w:p>
                  <w:pPr>
                    <w:widowControl/>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2.二街片区和晋城片区调整产业布局</w:t>
                  </w:r>
                  <w:r>
                    <w:rPr>
                      <w:rFonts w:hint="eastAsia" w:cs="Times New Roman"/>
                      <w:snapToGrid w:val="0"/>
                      <w:color w:val="000000" w:themeColor="text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Cs w:val="21"/>
                      <w14:textFill>
                        <w14:solidFill>
                          <w14:schemeClr w14:val="tx1"/>
                        </w14:solidFill>
                      </w14:textFill>
                    </w:rPr>
                    <w:t>引进大气污染小、噪声污染小的产业</w:t>
                  </w:r>
                  <w:r>
                    <w:rPr>
                      <w:rFonts w:hint="eastAsia" w:cs="Times New Roman"/>
                      <w:snapToGrid w:val="0"/>
                      <w:color w:val="000000" w:themeColor="text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Cs w:val="21"/>
                      <w14:textFill>
                        <w14:solidFill>
                          <w14:schemeClr w14:val="tx1"/>
                        </w14:solidFill>
                      </w14:textFill>
                    </w:rPr>
                    <w:t>增设绿化隔离带。</w:t>
                  </w:r>
                </w:p>
                <w:p>
                  <w:pPr>
                    <w:widowControl/>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3.晋城片区禁止发展有色冶金行业。</w:t>
                  </w:r>
                </w:p>
              </w:tc>
              <w:tc>
                <w:tcPr>
                  <w:tcW w:w="2410" w:type="dxa"/>
                  <w:vAlign w:val="center"/>
                </w:tcPr>
                <w:p>
                  <w:pPr>
                    <w:pStyle w:val="46"/>
                    <w:ind w:firstLine="420" w:firstLineChars="20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w:t>
                  </w:r>
                  <w:r>
                    <w:rPr>
                      <w:rFonts w:hint="eastAsia" w:cs="Times New Roman"/>
                      <w:color w:val="000000" w:themeColor="text1"/>
                      <w:lang w:val="en-US" w:eastAsia="zh-CN"/>
                      <w14:textFill>
                        <w14:solidFill>
                          <w14:schemeClr w14:val="tx1"/>
                        </w14:solidFill>
                      </w14:textFill>
                    </w:rPr>
                    <w:t>原料</w:t>
                  </w:r>
                  <w:r>
                    <w:rPr>
                      <w:rFonts w:hint="default" w:ascii="Times New Roman" w:hAnsi="Times New Roman" w:eastAsia="宋体" w:cs="Times New Roman"/>
                      <w:color w:val="000000"/>
                      <w:kern w:val="0"/>
                      <w:sz w:val="20"/>
                      <w:szCs w:val="20"/>
                      <w:lang w:val="en-US" w:eastAsia="zh-CN" w:bidi="ar"/>
                    </w:rPr>
                    <w:t>AKD蜡</w:t>
                  </w:r>
                  <w:r>
                    <w:rPr>
                      <w:rFonts w:hint="default" w:ascii="Times New Roman" w:hAnsi="Times New Roman" w:eastAsia="宋体" w:cs="Times New Roman"/>
                      <w:color w:val="000000" w:themeColor="text1"/>
                      <w:lang w:val="en-US" w:eastAsia="zh-CN"/>
                      <w14:textFill>
                        <w14:solidFill>
                          <w14:schemeClr w14:val="tx1"/>
                        </w14:solidFill>
                      </w14:textFill>
                    </w:rPr>
                    <w:t>融化过程中</w:t>
                  </w:r>
                  <w:r>
                    <w:rPr>
                      <w:rFonts w:hint="default" w:ascii="Times New Roman" w:hAnsi="Times New Roman" w:eastAsia="宋体" w:cs="Times New Roman"/>
                      <w:color w:val="000000" w:themeColor="text1"/>
                      <w14:textFill>
                        <w14:solidFill>
                          <w14:schemeClr w14:val="tx1"/>
                        </w14:solidFill>
                      </w14:textFill>
                    </w:rPr>
                    <w:t>产生的挥发性有机物</w:t>
                  </w:r>
                  <w:r>
                    <w:rPr>
                      <w:rFonts w:hint="eastAsia" w:cs="Times New Roman"/>
                      <w:color w:val="000000" w:themeColor="text1"/>
                      <w:lang w:val="en-US" w:eastAsia="zh-CN"/>
                      <w14:textFill>
                        <w14:solidFill>
                          <w14:schemeClr w14:val="tx1"/>
                        </w14:solidFill>
                      </w14:textFill>
                    </w:rPr>
                    <w:t>二级</w:t>
                  </w:r>
                  <w:r>
                    <w:rPr>
                      <w:rFonts w:hint="default" w:ascii="Times New Roman" w:hAnsi="Times New Roman" w:eastAsia="宋体" w:cs="Times New Roman"/>
                      <w:color w:val="000000" w:themeColor="text1"/>
                      <w14:textFill>
                        <w14:solidFill>
                          <w14:schemeClr w14:val="tx1"/>
                        </w14:solidFill>
                      </w14:textFill>
                    </w:rPr>
                    <w:t>活性炭吸附设备处理</w:t>
                  </w:r>
                  <w:r>
                    <w:rPr>
                      <w:rFonts w:hint="default" w:ascii="Times New Roman" w:hAnsi="Times New Roman" w:eastAsia="宋体" w:cs="Times New Roman"/>
                      <w:color w:val="000000" w:themeColor="text1"/>
                      <w:lang w:val="en-US" w:eastAsia="zh-CN"/>
                      <w14:textFill>
                        <w14:solidFill>
                          <w14:schemeClr w14:val="tx1"/>
                        </w14:solidFill>
                      </w14:textFill>
                    </w:rPr>
                    <w:t>后通过15m高的排气筒达标排放</w:t>
                  </w:r>
                  <w:r>
                    <w:rPr>
                      <w:rFonts w:hint="default" w:ascii="Times New Roman" w:hAnsi="Times New Roman" w:eastAsia="宋体" w:cs="Times New Roman"/>
                      <w:color w:val="000000" w:themeColor="text1"/>
                      <w14:textFill>
                        <w14:solidFill>
                          <w14:schemeClr w14:val="tx1"/>
                        </w14:solidFill>
                      </w14:textFill>
                    </w:rPr>
                    <w:t>；挥发性有机物（以非甲烷总烃计）排放能够</w:t>
                  </w:r>
                  <w:r>
                    <w:rPr>
                      <w:rFonts w:hint="default" w:ascii="Times New Roman" w:hAnsi="Times New Roman" w:eastAsia="宋体" w:cs="Times New Roman"/>
                      <w:color w:val="000000" w:themeColor="text1"/>
                      <w:lang w:val="en-US" w:eastAsia="zh-CN"/>
                      <w14:textFill>
                        <w14:solidFill>
                          <w14:schemeClr w14:val="tx1"/>
                        </w14:solidFill>
                      </w14:textFill>
                    </w:rPr>
                    <w:t>满足</w:t>
                  </w:r>
                  <w:r>
                    <w:rPr>
                      <w:rFonts w:hint="default" w:ascii="Times New Roman" w:hAnsi="Times New Roman" w:eastAsia="宋体" w:cs="Times New Roman"/>
                      <w:color w:val="000000" w:themeColor="text1"/>
                      <w14:textFill>
                        <w14:solidFill>
                          <w14:schemeClr w14:val="tx1"/>
                        </w14:solidFill>
                      </w14:textFill>
                    </w:rPr>
                    <w:t>《大气污染物综合排放标准》（GB16297—1996）表2中二级标准限值。</w:t>
                  </w:r>
                </w:p>
                <w:p>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对周边影响较小</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噪声污染防治经过选用低噪设备、厂房隔声、风机消声、安装减震垫等达标排放</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对周边影响较小。</w:t>
                  </w:r>
                </w:p>
                <w:p>
                  <w:pPr>
                    <w:pStyle w:val="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本项目位于二街基地</w:t>
                  </w:r>
                  <w:r>
                    <w:rPr>
                      <w:rFonts w:hint="eastAsia" w:ascii="Times New Roman" w:hAnsi="Times New Roman" w:cs="Times New Roman"/>
                      <w:color w:val="000000" w:themeColor="text1"/>
                      <w:sz w:val="21"/>
                      <w:lang w:eastAsia="zh-CN"/>
                      <w14:textFill>
                        <w14:solidFill>
                          <w14:schemeClr w14:val="tx1"/>
                        </w14:solidFill>
                      </w14:textFill>
                    </w:rPr>
                    <w:t>，</w:t>
                  </w:r>
                  <w:r>
                    <w:rPr>
                      <w:rFonts w:hint="default" w:ascii="Times New Roman" w:hAnsi="Times New Roman" w:eastAsia="宋体" w:cs="Times New Roman"/>
                      <w:color w:val="000000" w:themeColor="text1"/>
                      <w:sz w:val="21"/>
                      <w14:textFill>
                        <w14:solidFill>
                          <w14:schemeClr w14:val="tx1"/>
                        </w14:solidFill>
                      </w14:textFill>
                    </w:rPr>
                    <w:t>不属于</w:t>
                  </w:r>
                  <w:r>
                    <w:rPr>
                      <w:rFonts w:hint="default" w:ascii="Times New Roman" w:hAnsi="Times New Roman" w:eastAsia="宋体" w:cs="Times New Roman"/>
                      <w:snapToGrid w:val="0"/>
                      <w:color w:val="000000" w:themeColor="text1"/>
                      <w:sz w:val="21"/>
                      <w14:textFill>
                        <w14:solidFill>
                          <w14:schemeClr w14:val="tx1"/>
                        </w14:solidFill>
                      </w14:textFill>
                    </w:rPr>
                    <w:t>晋城片区禁止发展有色冶金行业</w:t>
                  </w:r>
                </w:p>
              </w:tc>
              <w:tc>
                <w:tcPr>
                  <w:tcW w:w="493" w:type="dxa"/>
                  <w:vAlign w:val="center"/>
                </w:tcPr>
                <w:p>
                  <w:pPr>
                    <w:widowControl/>
                    <w:snapToGrid w:val="0"/>
                    <w:spacing w:line="36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pPr>
                    <w:widowControl/>
                    <w:snapToGrid w:val="0"/>
                    <w:spacing w:line="360" w:lineRule="auto"/>
                    <w:jc w:val="center"/>
                    <w:rPr>
                      <w:rFonts w:hint="default" w:ascii="Times New Roman" w:hAnsi="Times New Roman" w:eastAsia="宋体" w:cs="Times New Roman"/>
                      <w:color w:val="000000" w:themeColor="text1"/>
                      <w:szCs w:val="21"/>
                      <w14:textFill>
                        <w14:solidFill>
                          <w14:schemeClr w14:val="tx1"/>
                        </w14:solidFill>
                      </w14:textFill>
                    </w:rPr>
                  </w:pPr>
                </w:p>
              </w:tc>
              <w:tc>
                <w:tcPr>
                  <w:tcW w:w="3441" w:type="dxa"/>
                  <w:vAlign w:val="center"/>
                </w:tcPr>
                <w:p>
                  <w:pPr>
                    <w:widowControl/>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污染物排放管控：执行二级空气质量标准</w:t>
                  </w:r>
                  <w:r>
                    <w:rPr>
                      <w:rFonts w:hint="eastAsia" w:cs="Times New Roman"/>
                      <w:snapToGrid w:val="0"/>
                      <w:color w:val="000000" w:themeColor="text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Cs w:val="21"/>
                      <w14:textFill>
                        <w14:solidFill>
                          <w14:schemeClr w14:val="tx1"/>
                        </w14:solidFill>
                      </w14:textFill>
                    </w:rPr>
                    <w:t>强化污染物排放总量控制</w:t>
                  </w:r>
                  <w:r>
                    <w:rPr>
                      <w:rFonts w:hint="eastAsia" w:cs="Times New Roman"/>
                      <w:snapToGrid w:val="0"/>
                      <w:color w:val="000000" w:themeColor="text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Cs w:val="21"/>
                      <w14:textFill>
                        <w14:solidFill>
                          <w14:schemeClr w14:val="tx1"/>
                        </w14:solidFill>
                      </w14:textFill>
                    </w:rPr>
                    <w:t>从行业的污染物排放情况分析</w:t>
                  </w:r>
                  <w:r>
                    <w:rPr>
                      <w:rFonts w:hint="eastAsia" w:cs="Times New Roman"/>
                      <w:snapToGrid w:val="0"/>
                      <w:color w:val="000000" w:themeColor="text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Cs w:val="21"/>
                      <w14:textFill>
                        <w14:solidFill>
                          <w14:schemeClr w14:val="tx1"/>
                        </w14:solidFill>
                      </w14:textFill>
                    </w:rPr>
                    <w:t>矿山将是未来影响区域环境空气质量的主要污染源。</w:t>
                  </w:r>
                </w:p>
              </w:tc>
              <w:tc>
                <w:tcPr>
                  <w:tcW w:w="2410" w:type="dxa"/>
                  <w:vAlign w:val="center"/>
                </w:tcPr>
                <w:p>
                  <w:pPr>
                    <w:pStyle w:val="46"/>
                    <w:jc w:val="both"/>
                    <w:rPr>
                      <w:rFonts w:hint="default" w:ascii="Times New Roman" w:hAnsi="Times New Roman" w:eastAsia="宋体" w:cs="Times New Roman"/>
                      <w:snapToGrid w:val="0"/>
                      <w:color w:val="000000" w:themeColor="text1"/>
                      <w:szCs w:val="21"/>
                      <w14:textFill>
                        <w14:solidFill>
                          <w14:schemeClr w14:val="tx1"/>
                        </w14:solidFill>
                      </w14:textFill>
                    </w:rPr>
                  </w:pPr>
                  <w:r>
                    <w:rPr>
                      <w:rFonts w:hint="eastAsia" w:cs="Times New Roman"/>
                      <w:snapToGrid w:val="0"/>
                      <w:color w:val="000000" w:themeColor="text1"/>
                      <w:szCs w:val="21"/>
                      <w:lang w:val="en-US" w:eastAsia="zh-CN"/>
                      <w14:textFill>
                        <w14:solidFill>
                          <w14:schemeClr w14:val="tx1"/>
                        </w14:solidFill>
                      </w14:textFill>
                    </w:rPr>
                    <w:t>本</w:t>
                  </w:r>
                  <w:r>
                    <w:rPr>
                      <w:rFonts w:hint="default" w:ascii="Times New Roman" w:hAnsi="Times New Roman" w:eastAsia="宋体" w:cs="Times New Roman"/>
                      <w:color w:val="000000" w:themeColor="text1"/>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原料</w:t>
                  </w:r>
                  <w:r>
                    <w:rPr>
                      <w:rFonts w:hint="default" w:ascii="Times New Roman" w:hAnsi="Times New Roman" w:eastAsia="宋体" w:cs="Times New Roman"/>
                      <w:color w:val="000000"/>
                      <w:kern w:val="0"/>
                      <w:sz w:val="20"/>
                      <w:szCs w:val="20"/>
                      <w:lang w:val="en-US" w:eastAsia="zh-CN" w:bidi="ar"/>
                    </w:rPr>
                    <w:t>AKD蜡</w:t>
                  </w:r>
                  <w:r>
                    <w:rPr>
                      <w:rFonts w:hint="default" w:ascii="Times New Roman" w:hAnsi="Times New Roman" w:eastAsia="宋体" w:cs="Times New Roman"/>
                      <w:color w:val="000000" w:themeColor="text1"/>
                      <w:lang w:val="en-US" w:eastAsia="zh-CN"/>
                      <w14:textFill>
                        <w14:solidFill>
                          <w14:schemeClr w14:val="tx1"/>
                        </w14:solidFill>
                      </w14:textFill>
                    </w:rPr>
                    <w:t>融化过程中</w:t>
                  </w:r>
                  <w:r>
                    <w:rPr>
                      <w:rFonts w:hint="default" w:ascii="Times New Roman" w:hAnsi="Times New Roman" w:eastAsia="宋体" w:cs="Times New Roman"/>
                      <w:color w:val="000000" w:themeColor="text1"/>
                      <w14:textFill>
                        <w14:solidFill>
                          <w14:schemeClr w14:val="tx1"/>
                        </w14:solidFill>
                      </w14:textFill>
                    </w:rPr>
                    <w:t>产生的挥发性有机物（以非甲烷总烃计）通过</w:t>
                  </w:r>
                  <w:r>
                    <w:rPr>
                      <w:rFonts w:hint="eastAsia" w:cs="Times New Roman"/>
                      <w:color w:val="000000" w:themeColor="text1"/>
                      <w:lang w:val="en-US" w:eastAsia="zh-CN"/>
                      <w14:textFill>
                        <w14:solidFill>
                          <w14:schemeClr w14:val="tx1"/>
                        </w14:solidFill>
                      </w14:textFill>
                    </w:rPr>
                    <w:t>二级</w:t>
                  </w:r>
                  <w:r>
                    <w:rPr>
                      <w:rFonts w:hint="default" w:ascii="Times New Roman" w:hAnsi="Times New Roman" w:eastAsia="宋体" w:cs="Times New Roman"/>
                      <w:color w:val="000000" w:themeColor="text1"/>
                      <w14:textFill>
                        <w14:solidFill>
                          <w14:schemeClr w14:val="tx1"/>
                        </w14:solidFill>
                      </w14:textFill>
                    </w:rPr>
                    <w:t>活性炭吸附设备处理</w:t>
                  </w:r>
                  <w:r>
                    <w:rPr>
                      <w:rFonts w:hint="default" w:ascii="Times New Roman" w:hAnsi="Times New Roman" w:eastAsia="宋体" w:cs="Times New Roman"/>
                      <w:color w:val="000000" w:themeColor="text1"/>
                      <w:lang w:val="en-US" w:eastAsia="zh-CN"/>
                      <w14:textFill>
                        <w14:solidFill>
                          <w14:schemeClr w14:val="tx1"/>
                        </w14:solidFill>
                      </w14:textFill>
                    </w:rPr>
                    <w:t>后通过15m高的排气筒达标排放</w:t>
                  </w:r>
                  <w:r>
                    <w:rPr>
                      <w:rFonts w:hint="default" w:ascii="Times New Roman" w:hAnsi="Times New Roman" w:eastAsia="宋体" w:cs="Times New Roman"/>
                      <w:color w:val="000000" w:themeColor="text1"/>
                      <w14:textFill>
                        <w14:solidFill>
                          <w14:schemeClr w14:val="tx1"/>
                        </w14:solidFill>
                      </w14:textFill>
                    </w:rPr>
                    <w:t>；挥发性有机物（以非甲烷总烃计）排放能够</w:t>
                  </w:r>
                  <w:r>
                    <w:rPr>
                      <w:rFonts w:hint="default" w:ascii="Times New Roman" w:hAnsi="Times New Roman" w:eastAsia="宋体" w:cs="Times New Roman"/>
                      <w:color w:val="000000" w:themeColor="text1"/>
                      <w:lang w:val="en-US" w:eastAsia="zh-CN"/>
                      <w14:textFill>
                        <w14:solidFill>
                          <w14:schemeClr w14:val="tx1"/>
                        </w14:solidFill>
                      </w14:textFill>
                    </w:rPr>
                    <w:t>满足</w:t>
                  </w:r>
                  <w:r>
                    <w:rPr>
                      <w:rFonts w:hint="default" w:ascii="Times New Roman" w:hAnsi="Times New Roman" w:eastAsia="宋体" w:cs="Times New Roman"/>
                      <w:color w:val="000000" w:themeColor="text1"/>
                      <w14:textFill>
                        <w14:solidFill>
                          <w14:schemeClr w14:val="tx1"/>
                        </w14:solidFill>
                      </w14:textFill>
                    </w:rPr>
                    <w:t>《大气污染物综合排放标准》（GB16297—1996）表2中二级标准限值。</w:t>
                  </w:r>
                </w:p>
              </w:tc>
              <w:tc>
                <w:tcPr>
                  <w:tcW w:w="493" w:type="dxa"/>
                  <w:vAlign w:val="center"/>
                </w:tcPr>
                <w:p>
                  <w:pPr>
                    <w:widowControl/>
                    <w:snapToGrid w:val="0"/>
                    <w:spacing w:line="360" w:lineRule="auto"/>
                    <w:jc w:val="center"/>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pPr>
                    <w:widowControl/>
                    <w:snapToGrid w:val="0"/>
                    <w:spacing w:line="360" w:lineRule="auto"/>
                    <w:jc w:val="center"/>
                    <w:rPr>
                      <w:rFonts w:hint="default" w:ascii="Times New Roman" w:hAnsi="Times New Roman" w:eastAsia="宋体" w:cs="Times New Roman"/>
                      <w:color w:val="000000" w:themeColor="text1"/>
                      <w:szCs w:val="21"/>
                      <w14:textFill>
                        <w14:solidFill>
                          <w14:schemeClr w14:val="tx1"/>
                        </w14:solidFill>
                      </w14:textFill>
                    </w:rPr>
                  </w:pPr>
                </w:p>
              </w:tc>
              <w:tc>
                <w:tcPr>
                  <w:tcW w:w="3441" w:type="dxa"/>
                  <w:vAlign w:val="center"/>
                </w:tcPr>
                <w:p>
                  <w:pPr>
                    <w:widowControl/>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b/>
                      <w:bCs/>
                      <w:snapToGrid w:val="0"/>
                      <w:color w:val="000000" w:themeColor="text1"/>
                      <w:szCs w:val="21"/>
                      <w14:textFill>
                        <w14:solidFill>
                          <w14:schemeClr w14:val="tx1"/>
                        </w14:solidFill>
                      </w14:textFill>
                    </w:rPr>
                    <w:t>环境风险防控：</w:t>
                  </w:r>
                  <w:r>
                    <w:rPr>
                      <w:rFonts w:hint="default" w:ascii="Times New Roman" w:hAnsi="Times New Roman" w:eastAsia="宋体" w:cs="Times New Roman"/>
                      <w:snapToGrid w:val="0"/>
                      <w:color w:val="000000" w:themeColor="text1"/>
                      <w:szCs w:val="21"/>
                      <w14:textFill>
                        <w14:solidFill>
                          <w14:schemeClr w14:val="tx1"/>
                        </w14:solidFill>
                      </w14:textFill>
                    </w:rPr>
                    <w:t>1.危险废物必须进行集中处置。收集、贮存危险废物</w:t>
                  </w:r>
                  <w:r>
                    <w:rPr>
                      <w:rFonts w:hint="eastAsia" w:cs="Times New Roman"/>
                      <w:snapToGrid w:val="0"/>
                      <w:color w:val="000000" w:themeColor="text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Cs w:val="21"/>
                      <w14:textFill>
                        <w14:solidFill>
                          <w14:schemeClr w14:val="tx1"/>
                        </w14:solidFill>
                      </w14:textFill>
                    </w:rPr>
                    <w:t>必须按照危险废物标准进行分类</w:t>
                  </w:r>
                  <w:r>
                    <w:rPr>
                      <w:rFonts w:hint="eastAsia" w:cs="Times New Roman"/>
                      <w:snapToGrid w:val="0"/>
                      <w:color w:val="000000" w:themeColor="text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Cs w:val="21"/>
                      <w14:textFill>
                        <w14:solidFill>
                          <w14:schemeClr w14:val="tx1"/>
                        </w14:solidFill>
                      </w14:textFill>
                    </w:rPr>
                    <w:t>禁止混合收集、贮存、运输、处置性质不相同而未经安全性处置的危险废物</w:t>
                  </w:r>
                  <w:r>
                    <w:rPr>
                      <w:rFonts w:hint="eastAsia" w:cs="Times New Roman"/>
                      <w:snapToGrid w:val="0"/>
                      <w:color w:val="000000" w:themeColor="text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Cs w:val="21"/>
                      <w14:textFill>
                        <w14:solidFill>
                          <w14:schemeClr w14:val="tx1"/>
                        </w14:solidFill>
                      </w14:textFill>
                    </w:rPr>
                    <w:t>禁止将危险废物混入非危险废物中贮存。</w:t>
                  </w:r>
                </w:p>
                <w:p>
                  <w:pPr>
                    <w:widowControl/>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2.运输危险废物</w:t>
                  </w:r>
                  <w:r>
                    <w:rPr>
                      <w:rFonts w:hint="eastAsia" w:cs="Times New Roman"/>
                      <w:snapToGrid w:val="0"/>
                      <w:color w:val="000000" w:themeColor="text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Cs w:val="21"/>
                      <w14:textFill>
                        <w14:solidFill>
                          <w14:schemeClr w14:val="tx1"/>
                        </w14:solidFill>
                      </w14:textFill>
                    </w:rPr>
                    <w:t>必须采取防止污染环境的措施</w:t>
                  </w:r>
                  <w:r>
                    <w:rPr>
                      <w:rFonts w:hint="eastAsia" w:cs="Times New Roman"/>
                      <w:snapToGrid w:val="0"/>
                      <w:color w:val="000000" w:themeColor="text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Cs w:val="21"/>
                      <w14:textFill>
                        <w14:solidFill>
                          <w14:schemeClr w14:val="tx1"/>
                        </w14:solidFill>
                      </w14:textFill>
                    </w:rPr>
                    <w:t>并遵守国家有关危险废物运输管理的规定。</w:t>
                  </w:r>
                </w:p>
              </w:tc>
              <w:tc>
                <w:tcPr>
                  <w:tcW w:w="2410" w:type="dxa"/>
                  <w:vAlign w:val="center"/>
                </w:tcPr>
                <w:p>
                  <w:pPr>
                    <w:widowControl/>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项目</w:t>
                  </w:r>
                  <w:r>
                    <w:rPr>
                      <w:rFonts w:hint="default" w:ascii="Times New Roman" w:hAnsi="Times New Roman" w:eastAsia="宋体" w:cs="Times New Roman"/>
                      <w:color w:val="000000" w:themeColor="text1"/>
                      <w:szCs w:val="21"/>
                      <w14:textFill>
                        <w14:solidFill>
                          <w14:schemeClr w14:val="tx1"/>
                        </w14:solidFill>
                      </w14:textFill>
                    </w:rPr>
                    <w:t>废活性炭、废</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润滑油</w:t>
                  </w:r>
                  <w:r>
                    <w:rPr>
                      <w:rFonts w:hint="default" w:ascii="Times New Roman" w:hAnsi="Times New Roman" w:eastAsia="宋体" w:cs="Times New Roman"/>
                      <w:snapToGrid w:val="0"/>
                      <w:color w:val="000000" w:themeColor="text1"/>
                      <w:sz w:val="21"/>
                      <w:szCs w:val="21"/>
                      <w14:textFill>
                        <w14:solidFill>
                          <w14:schemeClr w14:val="tx1"/>
                        </w14:solidFill>
                      </w14:textFill>
                    </w:rPr>
                    <w:t>等危险废物集中收集后放置于危险废物暂存点</w:t>
                  </w:r>
                  <w:r>
                    <w:rPr>
                      <w:rFonts w:hint="eastAsia"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 w:val="21"/>
                      <w:szCs w:val="21"/>
                      <w14:textFill>
                        <w14:solidFill>
                          <w14:schemeClr w14:val="tx1"/>
                        </w14:solidFill>
                      </w14:textFill>
                    </w:rPr>
                    <w:t>定期交有资质的单位处置；项目新建危废暂存间</w:t>
                  </w:r>
                  <w:r>
                    <w:rPr>
                      <w:rFonts w:hint="eastAsia"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 w:val="21"/>
                      <w:szCs w:val="21"/>
                      <w14:textFill>
                        <w14:solidFill>
                          <w14:schemeClr w14:val="tx1"/>
                        </w14:solidFill>
                      </w14:textFill>
                    </w:rPr>
                    <w:t>严格按照</w:t>
                  </w:r>
                  <w:r>
                    <w:rPr>
                      <w:rFonts w:hint="default" w:ascii="Times New Roman" w:hAnsi="Times New Roman" w:eastAsia="宋体" w:cs="Times New Roman"/>
                      <w:color w:val="000000" w:themeColor="text1"/>
                      <w:sz w:val="21"/>
                      <w:szCs w:val="21"/>
                      <w14:textFill>
                        <w14:solidFill>
                          <w14:schemeClr w14:val="tx1"/>
                        </w14:solidFill>
                      </w14:textFill>
                    </w:rPr>
                    <w:t>危险固废执行《危险废物贮存污染控制标准》（GB18597-2001）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以及环保部2013年第36号修改清单</w:t>
                  </w:r>
                  <w:r>
                    <w:rPr>
                      <w:rFonts w:hint="default" w:ascii="Times New Roman" w:hAnsi="Times New Roman" w:eastAsia="宋体" w:cs="Times New Roman"/>
                      <w:color w:val="000000" w:themeColor="text1"/>
                      <w:sz w:val="21"/>
                      <w:szCs w:val="21"/>
                      <w14:textFill>
                        <w14:solidFill>
                          <w14:schemeClr w14:val="tx1"/>
                        </w14:solidFill>
                      </w14:textFill>
                    </w:rPr>
                    <w:t>中相关要求进行暂存和管理；按照国家环保部第5号令《危险废物转移联单管理办法》进行转移</w:t>
                  </w:r>
                  <w:r>
                    <w:rPr>
                      <w:rFonts w:hint="eastAsia"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 w:val="21"/>
                      <w:szCs w:val="21"/>
                      <w14:textFill>
                        <w14:solidFill>
                          <w14:schemeClr w14:val="tx1"/>
                        </w14:solidFill>
                      </w14:textFill>
                    </w:rPr>
                    <w:t>并定期委托具有相关危废处置资质单位外运安全处置。</w:t>
                  </w:r>
                </w:p>
              </w:tc>
              <w:tc>
                <w:tcPr>
                  <w:tcW w:w="493" w:type="dxa"/>
                  <w:vAlign w:val="center"/>
                </w:tcPr>
                <w:p>
                  <w:pPr>
                    <w:widowControl/>
                    <w:snapToGrid w:val="0"/>
                    <w:spacing w:line="36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pPr>
                    <w:widowControl/>
                    <w:snapToGrid w:val="0"/>
                    <w:spacing w:line="360" w:lineRule="auto"/>
                    <w:jc w:val="center"/>
                    <w:rPr>
                      <w:rFonts w:hint="default" w:ascii="Times New Roman" w:hAnsi="Times New Roman" w:eastAsia="宋体" w:cs="Times New Roman"/>
                      <w:color w:val="000000" w:themeColor="text1"/>
                      <w:szCs w:val="21"/>
                      <w14:textFill>
                        <w14:solidFill>
                          <w14:schemeClr w14:val="tx1"/>
                        </w14:solidFill>
                      </w14:textFill>
                    </w:rPr>
                  </w:pPr>
                </w:p>
              </w:tc>
              <w:tc>
                <w:tcPr>
                  <w:tcW w:w="3441" w:type="dxa"/>
                  <w:vAlign w:val="center"/>
                </w:tcPr>
                <w:p>
                  <w:pPr>
                    <w:tabs>
                      <w:tab w:val="left" w:pos="252"/>
                    </w:tabs>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b/>
                      <w:bCs/>
                      <w:snapToGrid w:val="0"/>
                      <w:color w:val="000000" w:themeColor="text1"/>
                      <w:szCs w:val="21"/>
                      <w14:textFill>
                        <w14:solidFill>
                          <w14:schemeClr w14:val="tx1"/>
                        </w14:solidFill>
                      </w14:textFill>
                    </w:rPr>
                    <w:t>资源利用效率：</w:t>
                  </w:r>
                  <w:r>
                    <w:rPr>
                      <w:rFonts w:hint="default" w:ascii="Times New Roman" w:hAnsi="Times New Roman" w:eastAsia="宋体" w:cs="Times New Roman"/>
                      <w:color w:val="000000" w:themeColor="text1"/>
                      <w:szCs w:val="21"/>
                      <w14:textFill>
                        <w14:solidFill>
                          <w14:schemeClr w14:val="tx1"/>
                        </w14:solidFill>
                      </w14:textFill>
                    </w:rPr>
                    <w:t>禁止新建、扩建采用非清洁燃料的项目和设施。</w:t>
                  </w:r>
                </w:p>
              </w:tc>
              <w:tc>
                <w:tcPr>
                  <w:tcW w:w="2410" w:type="dxa"/>
                  <w:vAlign w:val="center"/>
                </w:tcPr>
                <w:p>
                  <w:pPr>
                    <w:tabs>
                      <w:tab w:val="left" w:pos="252"/>
                    </w:tabs>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项目所用能源大部分为电能</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为清洁能源</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不使用燃煤、燃油等。</w:t>
                  </w:r>
                </w:p>
              </w:tc>
              <w:tc>
                <w:tcPr>
                  <w:tcW w:w="493" w:type="dxa"/>
                  <w:vAlign w:val="center"/>
                </w:tcPr>
                <w:p>
                  <w:pPr>
                    <w:widowControl/>
                    <w:snapToGrid w:val="0"/>
                    <w:spacing w:line="36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符合</w:t>
                  </w:r>
                </w:p>
              </w:tc>
            </w:tr>
          </w:tbl>
          <w:p>
            <w:pPr>
              <w:pStyle w:val="45"/>
              <w:spacing w:before="160" w:line="360" w:lineRule="auto"/>
              <w:ind w:right="85"/>
              <w:jc w:val="both"/>
              <w:rPr>
                <w:rFonts w:hint="default" w:ascii="Times New Roman" w:hAnsi="Times New Roman" w:eastAsia="宋体" w:cs="Times New Roman"/>
                <w:color w:val="000000" w:themeColor="text1"/>
                <w:kern w:val="0"/>
                <w:sz w:val="24"/>
                <w:lang w:val="en-US"/>
                <w14:textFill>
                  <w14:solidFill>
                    <w14:schemeClr w14:val="tx1"/>
                  </w14:solidFill>
                </w14:textFill>
              </w:rPr>
            </w:pPr>
          </w:p>
        </w:tc>
      </w:tr>
    </w:tbl>
    <w:p>
      <w:pPr>
        <w:spacing w:line="360" w:lineRule="auto"/>
        <w:rPr>
          <w:rFonts w:hint="default" w:ascii="Times New Roman" w:hAnsi="Times New Roman" w:eastAsia="宋体" w:cs="Times New Roman"/>
          <w:color w:val="000000" w:themeColor="text1"/>
          <w:sz w:val="24"/>
          <w14:textFill>
            <w14:solidFill>
              <w14:schemeClr w14:val="tx1"/>
            </w14:solidFill>
          </w14:textFill>
        </w:rPr>
        <w:sectPr>
          <w:footerReference r:id="rId5" w:type="default"/>
          <w:pgSz w:w="11906" w:h="16838"/>
          <w:pgMar w:top="1701" w:right="1531" w:bottom="1701" w:left="1531" w:header="851" w:footer="1077" w:gutter="0"/>
          <w:pgNumType w:start="1"/>
          <w:cols w:space="720" w:num="1"/>
          <w:docGrid w:linePitch="312" w:charSpace="0"/>
        </w:sectPr>
      </w:pPr>
    </w:p>
    <w:p>
      <w:pPr>
        <w:pStyle w:val="23"/>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bookmarkStart w:id="7" w:name="_Toc5803"/>
      <w:bookmarkStart w:id="8" w:name="_Toc23529"/>
      <w:r>
        <w:rPr>
          <w:rFonts w:hint="default" w:ascii="Times New Roman" w:hAnsi="Times New Roman" w:eastAsia="宋体" w:cs="Times New Roman"/>
          <w:snapToGrid w:val="0"/>
          <w:color w:val="000000" w:themeColor="text1"/>
          <w:sz w:val="30"/>
          <w:szCs w:val="30"/>
          <w14:textFill>
            <w14:solidFill>
              <w14:schemeClr w14:val="tx1"/>
            </w14:solidFill>
          </w14:textFill>
        </w:rPr>
        <w:t>二、建设项目工程分析</w:t>
      </w:r>
      <w:bookmarkEnd w:id="7"/>
      <w:bookmarkEnd w:id="8"/>
    </w:p>
    <w:tbl>
      <w:tblPr>
        <w:tblStyle w:val="27"/>
        <w:tblW w:w="94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4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663" w:hRule="atLeast"/>
          <w:jc w:val="center"/>
        </w:trPr>
        <w:tc>
          <w:tcPr>
            <w:tcW w:w="456" w:type="dxa"/>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建设内容</w:t>
            </w:r>
          </w:p>
          <w:p>
            <w:pPr>
              <w:pStyle w:val="23"/>
              <w:adjustRightInd w:val="0"/>
              <w:snapToGrid w:val="0"/>
              <w:spacing w:before="0" w:beforeAutospacing="0" w:after="0" w:afterAutospacing="0"/>
              <w:jc w:val="center"/>
              <w:rPr>
                <w:rFonts w:hint="default" w:ascii="Times New Roman" w:hAnsi="Times New Roman" w:eastAsia="宋体" w:cs="Times New Roman"/>
                <w:color w:val="000000" w:themeColor="text1"/>
                <w:szCs w:val="24"/>
                <w14:textFill>
                  <w14:solidFill>
                    <w14:schemeClr w14:val="tx1"/>
                  </w14:solidFill>
                </w14:textFill>
              </w:rPr>
            </w:pPr>
          </w:p>
        </w:tc>
        <w:tc>
          <w:tcPr>
            <w:tcW w:w="9016" w:type="dxa"/>
            <w:vMerge w:val="restart"/>
          </w:tcPr>
          <w:p>
            <w:pPr>
              <w:autoSpaceDE w:val="0"/>
              <w:autoSpaceDN w:val="0"/>
              <w:adjustRightInd w:val="0"/>
              <w:snapToGrid w:val="0"/>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1、项目概况</w:t>
            </w:r>
          </w:p>
          <w:p>
            <w:pPr>
              <w:autoSpaceDE w:val="0"/>
              <w:autoSpaceDN w:val="0"/>
              <w:adjustRightInd w:val="0"/>
              <w:snapToGrid w:val="0"/>
              <w:spacing w:line="360" w:lineRule="auto"/>
              <w:ind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项目名称：</w:t>
            </w:r>
            <w:r>
              <w:rPr>
                <w:rFonts w:hint="default" w:ascii="Times New Roman" w:hAnsi="Times New Roman" w:eastAsia="宋体" w:cs="Times New Roman"/>
                <w:color w:val="000000" w:themeColor="text1"/>
                <w:kern w:val="0"/>
                <w:sz w:val="24"/>
                <w:lang w:eastAsia="zh-CN"/>
                <w14:textFill>
                  <w14:solidFill>
                    <w14:schemeClr w14:val="tx1"/>
                  </w14:solidFill>
                </w14:textFill>
              </w:rPr>
              <w:t>年产1.5万吨造纸添加剂项目</w:t>
            </w:r>
            <w:r>
              <w:rPr>
                <w:rFonts w:hint="default" w:ascii="Times New Roman" w:hAnsi="Times New Roman" w:eastAsia="宋体" w:cs="Times New Roman"/>
                <w:color w:val="000000" w:themeColor="text1"/>
                <w:sz w:val="24"/>
                <w14:textFill>
                  <w14:solidFill>
                    <w14:schemeClr w14:val="tx1"/>
                  </w14:solidFill>
                </w14:textFill>
              </w:rPr>
              <w:t>；</w:t>
            </w:r>
          </w:p>
          <w:p>
            <w:pPr>
              <w:autoSpaceDE w:val="0"/>
              <w:autoSpaceDN w:val="0"/>
              <w:adjustRightInd w:val="0"/>
              <w:snapToGrid w:val="0"/>
              <w:spacing w:line="360" w:lineRule="auto"/>
              <w:ind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建设性质：</w:t>
            </w:r>
            <w:r>
              <w:rPr>
                <w:rFonts w:hint="default" w:ascii="Times New Roman" w:hAnsi="Times New Roman" w:eastAsia="宋体" w:cs="Times New Roman"/>
                <w:color w:val="000000" w:themeColor="text1"/>
                <w:sz w:val="24"/>
                <w14:textFill>
                  <w14:solidFill>
                    <w14:schemeClr w14:val="tx1"/>
                  </w14:solidFill>
                </w14:textFill>
              </w:rPr>
              <w:t>新建；</w:t>
            </w:r>
          </w:p>
          <w:p>
            <w:pPr>
              <w:autoSpaceDE w:val="0"/>
              <w:autoSpaceDN w:val="0"/>
              <w:adjustRightInd w:val="0"/>
              <w:snapToGrid w:val="0"/>
              <w:spacing w:line="360" w:lineRule="auto"/>
              <w:ind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建设地点：</w:t>
            </w:r>
            <w:r>
              <w:rPr>
                <w:rFonts w:hint="default" w:ascii="Times New Roman" w:hAnsi="Times New Roman" w:eastAsia="宋体" w:cs="Times New Roman"/>
                <w:color w:val="000000" w:themeColor="text1"/>
                <w:sz w:val="24"/>
                <w14:textFill>
                  <w14:solidFill>
                    <w14:schemeClr w14:val="tx1"/>
                  </w14:solidFill>
                </w14:textFill>
              </w:rPr>
              <w:t>云南省昆明市晋宁工业园区二街基地</w:t>
            </w:r>
            <w:r>
              <w:rPr>
                <w:rFonts w:hint="default" w:ascii="Times New Roman" w:hAnsi="Times New Roman" w:eastAsia="宋体" w:cs="Times New Roman"/>
                <w:color w:val="000000" w:themeColor="text1"/>
                <w:sz w:val="24"/>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sz w:val="24"/>
                <w14:textFill>
                  <w14:solidFill>
                    <w14:schemeClr w14:val="tx1"/>
                  </w14:solidFill>
                </w14:textFill>
              </w:rPr>
              <w:t>的厂区内；</w:t>
            </w:r>
          </w:p>
          <w:p>
            <w:pPr>
              <w:widowControl/>
              <w:spacing w:line="360" w:lineRule="auto"/>
              <w:ind w:firstLine="482" w:firstLineChars="200"/>
              <w:jc w:val="left"/>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建设规模：</w:t>
            </w:r>
            <w:r>
              <w:rPr>
                <w:rFonts w:hint="default" w:ascii="Times New Roman" w:hAnsi="Times New Roman" w:eastAsia="宋体" w:cs="Times New Roman"/>
                <w:color w:val="000000" w:themeColor="text1"/>
                <w:sz w:val="24"/>
                <w:lang w:eastAsia="zh-CN"/>
                <w14:textFill>
                  <w14:solidFill>
                    <w14:schemeClr w14:val="tx1"/>
                  </w14:solidFill>
                </w14:textFill>
              </w:rPr>
              <w:t>年产1.5万吨造纸添加剂项目</w:t>
            </w:r>
          </w:p>
          <w:p>
            <w:pPr>
              <w:autoSpaceDE w:val="0"/>
              <w:autoSpaceDN w:val="0"/>
              <w:adjustRightInd w:val="0"/>
              <w:snapToGrid w:val="0"/>
              <w:spacing w:line="360" w:lineRule="auto"/>
              <w:ind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项目总投资：</w:t>
            </w:r>
            <w:r>
              <w:rPr>
                <w:rFonts w:hint="default" w:ascii="Times New Roman" w:hAnsi="Times New Roman" w:eastAsia="宋体" w:cs="Times New Roman"/>
                <w:color w:val="000000" w:themeColor="text1"/>
                <w:sz w:val="24"/>
                <w:lang w:val="en-US" w:eastAsia="zh-CN"/>
                <w14:textFill>
                  <w14:solidFill>
                    <w14:schemeClr w14:val="tx1"/>
                  </w14:solidFill>
                </w14:textFill>
              </w:rPr>
              <w:t>800</w:t>
            </w:r>
            <w:r>
              <w:rPr>
                <w:rFonts w:hint="default" w:ascii="Times New Roman" w:hAnsi="Times New Roman" w:eastAsia="宋体" w:cs="Times New Roman"/>
                <w:color w:val="000000" w:themeColor="text1"/>
                <w:sz w:val="24"/>
                <w14:textFill>
                  <w14:solidFill>
                    <w14:schemeClr w14:val="tx1"/>
                  </w14:solidFill>
                </w14:textFill>
              </w:rPr>
              <w:t>万元；</w:t>
            </w:r>
          </w:p>
          <w:p>
            <w:pPr>
              <w:autoSpaceDE w:val="0"/>
              <w:autoSpaceDN w:val="0"/>
              <w:adjustRightInd w:val="0"/>
              <w:snapToGrid w:val="0"/>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项目由来：</w:t>
            </w:r>
          </w:p>
          <w:p>
            <w:pPr>
              <w:pStyle w:val="2"/>
              <w:adjustRightInd w:val="0"/>
              <w:snapToGrid w:val="0"/>
              <w:spacing w:line="360" w:lineRule="auto"/>
              <w:ind w:firstLine="480" w:firstLineChars="200"/>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t>202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云南爱瑞新材料科技有限公司</w:t>
            </w:r>
            <w:r>
              <w:rPr>
                <w:rFonts w:hint="default" w:ascii="Times New Roman" w:hAnsi="Times New Roman" w:eastAsia="宋体" w:cs="Times New Roman"/>
                <w:color w:val="000000" w:themeColor="text1"/>
                <w:sz w:val="24"/>
                <w:szCs w:val="24"/>
                <w14:textFill>
                  <w14:solidFill>
                    <w14:schemeClr w14:val="tx1"/>
                  </w14:solidFill>
                </w14:textFill>
              </w:rPr>
              <w:t>取得了晋宁工业园区管理委员会关于同意</w:t>
            </w:r>
            <w:r>
              <w:rPr>
                <w:rFonts w:hint="default" w:ascii="Times New Roman" w:hAnsi="Times New Roman" w:eastAsia="宋体" w:cs="Times New Roman"/>
                <w:color w:val="000000" w:themeColor="text1"/>
                <w:sz w:val="24"/>
                <w:szCs w:val="24"/>
                <w:lang w:eastAsia="zh-CN"/>
                <w14:textFill>
                  <w14:solidFill>
                    <w14:schemeClr w14:val="tx1"/>
                  </w14:solidFill>
                </w14:textFill>
              </w:rPr>
              <w:t>云南爱瑞新材料科技有限公司</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年产1.5万吨造纸添加剂项目</w:t>
            </w:r>
            <w:r>
              <w:rPr>
                <w:rFonts w:hint="default" w:ascii="Times New Roman" w:hAnsi="Times New Roman" w:eastAsia="宋体" w:cs="Times New Roman"/>
                <w:color w:val="000000" w:themeColor="text1"/>
                <w:sz w:val="24"/>
                <w:szCs w:val="24"/>
                <w14:textFill>
                  <w14:solidFill>
                    <w14:schemeClr w14:val="tx1"/>
                  </w14:solidFill>
                </w14:textFill>
              </w:rPr>
              <w:t>的入园证明。</w:t>
            </w:r>
          </w:p>
          <w:p>
            <w:pPr>
              <w:widowControl/>
              <w:adjustRightInd w:val="0"/>
              <w:snapToGrid w:val="0"/>
              <w:spacing w:line="360" w:lineRule="auto"/>
              <w:ind w:firstLine="480"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根据《国民经济行业分类》（GB/T4754-2017）及</w:t>
            </w:r>
            <w:r>
              <w:rPr>
                <w:rStyle w:val="30"/>
                <w:rFonts w:hint="default" w:ascii="Times New Roman" w:hAnsi="Times New Roman" w:eastAsia="宋体" w:cs="Times New Roman"/>
                <w:b w:val="0"/>
                <w:color w:val="000000" w:themeColor="text1"/>
                <w:spacing w:val="8"/>
                <w:sz w:val="24"/>
                <w:shd w:val="clear" w:color="auto" w:fill="FFFFFF"/>
                <w14:textFill>
                  <w14:solidFill>
                    <w14:schemeClr w14:val="tx1"/>
                  </w14:solidFill>
                </w14:textFill>
              </w:rPr>
              <w:t>第1号修改单的通知（国</w:t>
            </w:r>
            <w:r>
              <w:rPr>
                <w:rFonts w:hint="default" w:ascii="Times New Roman" w:hAnsi="Times New Roman" w:eastAsia="宋体" w:cs="Times New Roman"/>
                <w:color w:val="000000" w:themeColor="text1"/>
                <w:spacing w:val="8"/>
                <w:sz w:val="24"/>
                <w:shd w:val="clear" w:color="auto" w:fill="FFFFFF"/>
                <w14:textFill>
                  <w14:solidFill>
                    <w14:schemeClr w14:val="tx1"/>
                  </w14:solidFill>
                </w14:textFill>
              </w:rPr>
              <w:t>统字〔2019〕66号</w:t>
            </w:r>
            <w:r>
              <w:rPr>
                <w:rStyle w:val="30"/>
                <w:rFonts w:hint="default" w:ascii="Times New Roman" w:hAnsi="Times New Roman" w:eastAsia="宋体" w:cs="Times New Roman"/>
                <w:b w:val="0"/>
                <w:color w:val="000000" w:themeColor="text1"/>
                <w:spacing w:val="8"/>
                <w:sz w:val="24"/>
                <w:shd w:val="clear" w:color="auto" w:fill="FFFFFF"/>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本项目属于</w:t>
            </w:r>
            <w:r>
              <w:rPr>
                <w:rFonts w:hint="default" w:ascii="Times New Roman" w:hAnsi="Times New Roman" w:eastAsia="宋体" w:cs="Times New Roman"/>
                <w:color w:val="000000"/>
                <w:kern w:val="0"/>
                <w:sz w:val="24"/>
                <w:szCs w:val="24"/>
                <w:lang w:val="en-US" w:eastAsia="zh-CN" w:bidi="ar"/>
              </w:rPr>
              <w:t>（C2661）化学试剂和助剂制造</w:t>
            </w:r>
            <w:r>
              <w:rPr>
                <w:rFonts w:hint="default" w:ascii="Times New Roman" w:hAnsi="Times New Roman" w:eastAsia="宋体" w:cs="Times New Roman"/>
                <w:color w:val="000000" w:themeColor="text1"/>
                <w:kern w:val="0"/>
                <w:sz w:val="24"/>
                <w14:textFill>
                  <w14:solidFill>
                    <w14:schemeClr w14:val="tx1"/>
                  </w14:solidFill>
                </w14:textFill>
              </w:rPr>
              <w:t>。</w:t>
            </w:r>
            <w:r>
              <w:rPr>
                <w:rStyle w:val="34"/>
                <w:rFonts w:hint="default" w:ascii="Times New Roman" w:hAnsi="Times New Roman" w:eastAsia="宋体" w:cs="Times New Roman"/>
                <w:color w:val="000000" w:themeColor="text1"/>
                <w:kern w:val="0"/>
                <w:sz w:val="24"/>
                <w14:textFill>
                  <w14:solidFill>
                    <w14:schemeClr w14:val="tx1"/>
                  </w14:solidFill>
                </w14:textFill>
              </w:rPr>
              <w:t>本项目</w:t>
            </w:r>
            <w:r>
              <w:rPr>
                <w:rStyle w:val="34"/>
                <w:rFonts w:hint="eastAsia" w:cs="Times New Roman"/>
                <w:color w:val="000000" w:themeColor="text1"/>
                <w:kern w:val="0"/>
                <w:sz w:val="24"/>
                <w:lang w:val="en-US" w:eastAsia="zh-CN"/>
                <w14:textFill>
                  <w14:solidFill>
                    <w14:schemeClr w14:val="tx1"/>
                  </w14:solidFill>
                </w14:textFill>
              </w:rPr>
              <w:t>原料</w:t>
            </w:r>
            <w:r>
              <w:rPr>
                <w:rStyle w:val="34"/>
                <w:rFonts w:hint="default" w:ascii="Times New Roman" w:hAnsi="Times New Roman" w:eastAsia="宋体" w:cs="Times New Roman"/>
                <w:color w:val="000000" w:themeColor="text1"/>
                <w:kern w:val="0"/>
                <w:sz w:val="24"/>
                <w:lang w:val="en-US" w:eastAsia="zh-CN"/>
                <w14:textFill>
                  <w14:solidFill>
                    <w14:schemeClr w14:val="tx1"/>
                  </w14:solidFill>
                </w14:textFill>
              </w:rPr>
              <w:t>AKD蜡融化过程中产生的挥发性有机物（以非甲烷总烃计）</w:t>
            </w:r>
            <w:r>
              <w:rPr>
                <w:rStyle w:val="34"/>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满足编制报告表的条件。</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w:t>
            </w:r>
          </w:p>
          <w:p>
            <w:pPr>
              <w:widowControl/>
              <w:adjustRightInd w:val="0"/>
              <w:snapToGrid w:val="0"/>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w:t>
            </w:r>
            <w:r>
              <w:rPr>
                <w:rFonts w:hint="default" w:ascii="Times New Roman" w:hAnsi="Times New Roman" w:eastAsia="宋体" w:cs="Times New Roman"/>
                <w:color w:val="000000" w:themeColor="text1"/>
                <w:kern w:val="0"/>
                <w:sz w:val="24"/>
                <w14:textFill>
                  <w14:solidFill>
                    <w14:schemeClr w14:val="tx1"/>
                  </w14:solidFill>
                </w14:textFill>
              </w:rPr>
              <w:t>《建设项目环境影响评价分类管理名录》（2021年1月1日）</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第</w:t>
            </w:r>
            <w:r>
              <w:rPr>
                <w:rFonts w:hint="default" w:ascii="Times New Roman" w:hAnsi="Times New Roman" w:eastAsia="宋体" w:cs="Times New Roman"/>
                <w:color w:val="000000" w:themeColor="text1"/>
                <w:sz w:val="24"/>
                <w:lang w:val="en-US" w:eastAsia="zh-CN"/>
                <w14:textFill>
                  <w14:solidFill>
                    <w14:schemeClr w14:val="tx1"/>
                  </w14:solidFill>
                </w14:textFill>
              </w:rPr>
              <w:t>二十三</w:t>
            </w:r>
            <w:r>
              <w:rPr>
                <w:rFonts w:hint="default" w:ascii="Times New Roman" w:hAnsi="Times New Roman" w:eastAsia="宋体" w:cs="Times New Roman"/>
                <w:color w:val="000000" w:themeColor="text1"/>
                <w:sz w:val="24"/>
                <w14:textFill>
                  <w14:solidFill>
                    <w14:schemeClr w14:val="tx1"/>
                  </w14:solidFill>
                </w14:textFill>
              </w:rPr>
              <w:t>项“</w:t>
            </w:r>
            <w:r>
              <w:rPr>
                <w:rFonts w:hint="default" w:ascii="Times New Roman" w:hAnsi="Times New Roman" w:eastAsia="宋体" w:cs="Times New Roman"/>
                <w:color w:val="000000" w:themeColor="text1"/>
                <w:sz w:val="24"/>
                <w:lang w:val="en-US" w:eastAsia="zh-CN"/>
                <w14:textFill>
                  <w14:solidFill>
                    <w14:schemeClr w14:val="tx1"/>
                  </w14:solidFill>
                </w14:textFill>
              </w:rPr>
              <w:t>化学原料和化学制品制造26</w:t>
            </w:r>
            <w:r>
              <w:rPr>
                <w:rFonts w:hint="default" w:ascii="Times New Roman" w:hAnsi="Times New Roman" w:eastAsia="宋体" w:cs="Times New Roman"/>
                <w:color w:val="000000" w:themeColor="text1"/>
                <w:sz w:val="24"/>
                <w14:textFill>
                  <w14:solidFill>
                    <w14:schemeClr w14:val="tx1"/>
                  </w14:solidFill>
                </w14:textFill>
              </w:rPr>
              <w:t>”第</w:t>
            </w:r>
            <w:r>
              <w:rPr>
                <w:rFonts w:hint="default" w:ascii="Times New Roman" w:hAnsi="Times New Roman" w:eastAsia="宋体" w:cs="Times New Roman"/>
                <w:color w:val="000000" w:themeColor="text1"/>
                <w:sz w:val="24"/>
                <w:lang w:val="en-US" w:eastAsia="zh-CN"/>
                <w14:textFill>
                  <w14:solidFill>
                    <w14:schemeClr w14:val="tx1"/>
                  </w14:solidFill>
                </w14:textFill>
              </w:rPr>
              <w:t>44</w:t>
            </w:r>
            <w:r>
              <w:rPr>
                <w:rFonts w:hint="default" w:ascii="Times New Roman" w:hAnsi="Times New Roman" w:eastAsia="宋体" w:cs="Times New Roman"/>
                <w:color w:val="000000" w:themeColor="text1"/>
                <w:sz w:val="24"/>
                <w14:textFill>
                  <w14:solidFill>
                    <w14:schemeClr w14:val="tx1"/>
                  </w14:solidFill>
                </w14:textFill>
              </w:rPr>
              <w:t>条“</w:t>
            </w:r>
            <w:r>
              <w:rPr>
                <w:rFonts w:hint="default" w:ascii="Times New Roman" w:hAnsi="Times New Roman" w:eastAsia="宋体" w:cs="Times New Roman"/>
                <w:color w:val="000000" w:themeColor="text1"/>
                <w:sz w:val="24"/>
                <w:lang w:val="en-US" w:eastAsia="zh-CN"/>
                <w14:textFill>
                  <w14:solidFill>
                    <w14:schemeClr w14:val="tx1"/>
                  </w14:solidFill>
                </w14:textFill>
              </w:rPr>
              <w:t>专用化学产品制造266</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单纯物理分离、物理提纯、混合、分装的(不产生废水或挥发性有机物的除外)确定本项目需编制环境影响报告表。</w:t>
            </w:r>
          </w:p>
          <w:p>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受</w:t>
            </w:r>
            <w:r>
              <w:rPr>
                <w:rFonts w:hint="default" w:ascii="Times New Roman" w:hAnsi="Times New Roman" w:eastAsia="宋体" w:cs="Times New Roman"/>
                <w:color w:val="000000" w:themeColor="text1"/>
                <w:sz w:val="24"/>
                <w:lang w:eastAsia="zh-CN"/>
                <w14:textFill>
                  <w14:solidFill>
                    <w14:schemeClr w14:val="tx1"/>
                  </w14:solidFill>
                </w14:textFill>
              </w:rPr>
              <w:t>云南爱瑞新材料科技有限公司</w:t>
            </w:r>
            <w:r>
              <w:rPr>
                <w:rFonts w:hint="default" w:ascii="Times New Roman" w:hAnsi="Times New Roman" w:eastAsia="宋体" w:cs="Times New Roman"/>
                <w:color w:val="000000" w:themeColor="text1"/>
                <w:sz w:val="24"/>
                <w14:textFill>
                  <w14:solidFill>
                    <w14:schemeClr w14:val="tx1"/>
                  </w14:solidFill>
                </w14:textFill>
              </w:rPr>
              <w:t>委托</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我单位承担该项目环境影响评价工作。我单位接受委托后</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收集调查核实了相关材料</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并组织专业人员对项目区域进行现场踏勘</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按照环保法及有关技术导则要求</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编制了《</w:t>
            </w:r>
            <w:r>
              <w:rPr>
                <w:rFonts w:hint="default" w:ascii="Times New Roman" w:hAnsi="Times New Roman" w:eastAsia="宋体" w:cs="Times New Roman"/>
                <w:color w:val="000000" w:themeColor="text1"/>
                <w:sz w:val="24"/>
                <w:lang w:eastAsia="zh-CN"/>
                <w14:textFill>
                  <w14:solidFill>
                    <w14:schemeClr w14:val="tx1"/>
                  </w14:solidFill>
                </w14:textFill>
              </w:rPr>
              <w:t>云南爱瑞新材料科技有限公司</w:t>
            </w:r>
            <w:r>
              <w:rPr>
                <w:rFonts w:hint="default" w:ascii="Times New Roman" w:hAnsi="Times New Roman" w:eastAsia="宋体" w:cs="Times New Roman"/>
                <w:color w:val="000000" w:themeColor="text1"/>
                <w:kern w:val="0"/>
                <w:sz w:val="24"/>
                <w:lang w:eastAsia="zh-CN"/>
                <w14:textFill>
                  <w14:solidFill>
                    <w14:schemeClr w14:val="tx1"/>
                  </w14:solidFill>
                </w14:textFill>
              </w:rPr>
              <w:t>年产1.5万吨造纸添加剂项目</w:t>
            </w:r>
            <w:r>
              <w:rPr>
                <w:rFonts w:hint="default" w:ascii="Times New Roman" w:hAnsi="Times New Roman" w:eastAsia="宋体" w:cs="Times New Roman"/>
                <w:color w:val="000000" w:themeColor="text1"/>
                <w:sz w:val="24"/>
                <w14:textFill>
                  <w14:solidFill>
                    <w14:schemeClr w14:val="tx1"/>
                  </w14:solidFill>
                </w14:textFill>
              </w:rPr>
              <w:t>环境影响报告表》</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上报审批。</w:t>
            </w:r>
          </w:p>
          <w:p>
            <w:pPr>
              <w:autoSpaceDE w:val="0"/>
              <w:autoSpaceDN w:val="0"/>
              <w:adjustRightInd w:val="0"/>
              <w:snapToGrid w:val="0"/>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2、项目建设内容</w:t>
            </w:r>
          </w:p>
          <w:p>
            <w:pPr>
              <w:widowControl/>
              <w:spacing w:line="360" w:lineRule="auto"/>
              <w:ind w:firstLine="480"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项目位于云南省昆明市晋宁工业园区二街基地</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租用</w:t>
            </w:r>
            <w:r>
              <w:rPr>
                <w:rFonts w:hint="default" w:ascii="Times New Roman" w:hAnsi="Times New Roman" w:eastAsia="宋体" w:cs="Times New Roman"/>
                <w:color w:val="000000" w:themeColor="text1"/>
                <w:sz w:val="24"/>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sz w:val="24"/>
                <w14:textFill>
                  <w14:solidFill>
                    <w14:schemeClr w14:val="tx1"/>
                  </w14:solidFill>
                </w14:textFill>
              </w:rPr>
              <w:t>的闲置厂房、办公楼、宿舍等进行建设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w:t>
            </w:r>
          </w:p>
          <w:p>
            <w:pPr>
              <w:widowControl/>
              <w:spacing w:line="360" w:lineRule="auto"/>
              <w:ind w:firstLine="480"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项目占地面积约为</w:t>
            </w:r>
            <w:r>
              <w:rPr>
                <w:rFonts w:hint="default"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亩</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建筑面积约为</w:t>
            </w:r>
            <w:r>
              <w:rPr>
                <w:rFonts w:hint="default" w:ascii="Times New Roman" w:hAnsi="Times New Roman" w:eastAsia="宋体" w:cs="Times New Roman"/>
                <w:color w:val="000000" w:themeColor="text1"/>
                <w:sz w:val="24"/>
                <w:lang w:val="en-US" w:eastAsia="zh-CN"/>
                <w14:textFill>
                  <w14:solidFill>
                    <w14:schemeClr w14:val="tx1"/>
                  </w14:solidFill>
                </w14:textFill>
              </w:rPr>
              <w:t>2000</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生产厂房为</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层框架结构</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高13米。本项目共设置</w:t>
            </w:r>
            <w:r>
              <w:rPr>
                <w:rFonts w:hint="eastAsia" w:cs="Times New Roman"/>
                <w:color w:val="000000" w:themeColor="text1"/>
                <w:sz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14:textFill>
                  <w14:solidFill>
                    <w14:schemeClr w14:val="tx1"/>
                  </w14:solidFill>
                </w14:textFill>
              </w:rPr>
              <w:t>条生产线</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即</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条AKD乳液生产线、</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条纸用增强剂生产线</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lang w:val="en-US" w:eastAsia="zh-CN"/>
                <w14:textFill>
                  <w14:solidFill>
                    <w14:schemeClr w14:val="tx1"/>
                  </w14:solidFill>
                </w14:textFill>
              </w:rPr>
              <w:t>条其他复配型造纸助剂（</w:t>
            </w:r>
            <w:r>
              <w:rPr>
                <w:rFonts w:hint="eastAsia" w:cs="Times New Roman"/>
                <w:color w:val="000000" w:themeColor="text1"/>
                <w:sz w:val="24"/>
                <w:lang w:val="en-US" w:eastAsia="zh-CN"/>
                <w14:textFill>
                  <w14:solidFill>
                    <w14:schemeClr w14:val="tx1"/>
                  </w14:solidFill>
                </w14:textFill>
              </w:rPr>
              <w:t>其中2条</w:t>
            </w:r>
            <w:r>
              <w:rPr>
                <w:rFonts w:hint="default" w:ascii="Times New Roman" w:hAnsi="Times New Roman" w:eastAsia="宋体" w:cs="Times New Roman"/>
                <w:color w:val="000000" w:themeColor="text1"/>
                <w:sz w:val="24"/>
                <w:lang w:val="en-US" w:eastAsia="zh-CN"/>
                <w14:textFill>
                  <w14:solidFill>
                    <w14:schemeClr w14:val="tx1"/>
                  </w14:solidFill>
                </w14:textFill>
              </w:rPr>
              <w:t>施胶剂</w:t>
            </w:r>
            <w:r>
              <w:rPr>
                <w:rFonts w:hint="eastAsia" w:cs="Times New Roman"/>
                <w:color w:val="000000" w:themeColor="text1"/>
                <w:sz w:val="24"/>
                <w:lang w:val="en-US" w:eastAsia="zh-CN"/>
                <w14:textFill>
                  <w14:solidFill>
                    <w14:schemeClr w14:val="tx1"/>
                  </w14:solidFill>
                </w14:textFill>
              </w:rPr>
              <w:t>生产线</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2条</w:t>
            </w:r>
            <w:r>
              <w:rPr>
                <w:rFonts w:hint="default" w:ascii="Times New Roman" w:hAnsi="Times New Roman" w:eastAsia="宋体" w:cs="Times New Roman"/>
                <w:color w:val="000000" w:themeColor="text1"/>
                <w:sz w:val="24"/>
                <w:lang w:val="en-US" w:eastAsia="zh-CN"/>
                <w14:textFill>
                  <w14:solidFill>
                    <w14:schemeClr w14:val="tx1"/>
                  </w14:solidFill>
                </w14:textFill>
              </w:rPr>
              <w:t>消泡剂</w:t>
            </w:r>
            <w:r>
              <w:rPr>
                <w:rFonts w:hint="eastAsia" w:cs="Times New Roman"/>
                <w:color w:val="000000" w:themeColor="text1"/>
                <w:sz w:val="24"/>
                <w:lang w:val="en-US" w:eastAsia="zh-CN"/>
                <w14:textFill>
                  <w14:solidFill>
                    <w14:schemeClr w14:val="tx1"/>
                  </w14:solidFill>
                </w14:textFill>
              </w:rPr>
              <w:t>生产线</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2条</w:t>
            </w:r>
            <w:r>
              <w:rPr>
                <w:rFonts w:hint="default" w:ascii="Times New Roman" w:hAnsi="Times New Roman" w:eastAsia="宋体" w:cs="Times New Roman"/>
                <w:color w:val="000000" w:themeColor="text1"/>
                <w:sz w:val="24"/>
                <w:lang w:val="en-US" w:eastAsia="zh-CN"/>
                <w14:textFill>
                  <w14:solidFill>
                    <w14:schemeClr w14:val="tx1"/>
                  </w14:solidFill>
                </w14:textFill>
              </w:rPr>
              <w:t>防水剂</w:t>
            </w:r>
            <w:r>
              <w:rPr>
                <w:rFonts w:hint="eastAsia" w:cs="Times New Roman"/>
                <w:color w:val="000000" w:themeColor="text1"/>
                <w:sz w:val="24"/>
                <w:lang w:val="en-US" w:eastAsia="zh-CN"/>
                <w14:textFill>
                  <w14:solidFill>
                    <w14:schemeClr w14:val="tx1"/>
                  </w14:solidFill>
                </w14:textFill>
              </w:rPr>
              <w:t>生产线</w:t>
            </w:r>
            <w:r>
              <w:rPr>
                <w:rFonts w:hint="default" w:ascii="Times New Roman" w:hAnsi="Times New Roman" w:eastAsia="宋体" w:cs="Times New Roman"/>
                <w:color w:val="000000" w:themeColor="text1"/>
                <w:sz w:val="24"/>
                <w:lang w:val="en-US" w:eastAsia="zh-CN"/>
                <w14:textFill>
                  <w14:solidFill>
                    <w14:schemeClr w14:val="tx1"/>
                  </w14:solidFill>
                </w14:textFill>
              </w:rPr>
              <w:t>等）</w:t>
            </w:r>
            <w:r>
              <w:rPr>
                <w:rFonts w:hint="default" w:ascii="Times New Roman" w:hAnsi="Times New Roman" w:eastAsia="宋体" w:cs="Times New Roman"/>
                <w:color w:val="000000" w:themeColor="text1"/>
                <w:sz w:val="24"/>
                <w14:textFill>
                  <w14:solidFill>
                    <w14:schemeClr w14:val="tx1"/>
                  </w14:solidFill>
                </w14:textFill>
              </w:rPr>
              <w:t>。此外</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新建隔油池、危废暂存间等环保工程。</w:t>
            </w:r>
          </w:p>
          <w:p>
            <w:pPr>
              <w:pStyle w:val="45"/>
              <w:spacing w:line="360" w:lineRule="auto"/>
              <w:ind w:firstLine="480"/>
              <w:jc w:val="both"/>
              <w:rPr>
                <w:rFonts w:hint="default" w:ascii="Times New Roman" w:hAnsi="Times New Roman" w:eastAsia="宋体" w:cs="Times New Roman"/>
                <w:color w:val="000000" w:themeColor="text1"/>
                <w:sz w:val="24"/>
                <w:lang w:val="en-US"/>
                <w14:textFill>
                  <w14:solidFill>
                    <w14:schemeClr w14:val="tx1"/>
                  </w14:solidFill>
                </w14:textFill>
              </w:rPr>
            </w:pPr>
            <w:r>
              <w:rPr>
                <w:rFonts w:hint="default" w:ascii="Times New Roman" w:hAnsi="Times New Roman" w:eastAsia="宋体" w:cs="Times New Roman"/>
                <w:color w:val="000000" w:themeColor="text1"/>
                <w:sz w:val="24"/>
                <w:lang w:val="en-US"/>
                <w14:textFill>
                  <w14:solidFill>
                    <w14:schemeClr w14:val="tx1"/>
                  </w14:solidFill>
                </w14:textFill>
              </w:rPr>
              <w:t>项目工程组成见表2-1</w:t>
            </w:r>
            <w:r>
              <w:rPr>
                <w:rFonts w:hint="default" w:ascii="Times New Roman" w:hAnsi="Times New Roman" w:eastAsia="宋体" w:cs="Times New Roman"/>
                <w:color w:val="000000" w:themeColor="text1"/>
                <w:sz w:val="24"/>
                <w14:textFill>
                  <w14:solidFill>
                    <w14:schemeClr w14:val="tx1"/>
                  </w14:solidFill>
                </w14:textFill>
              </w:rPr>
              <w:t>。</w:t>
            </w:r>
          </w:p>
          <w:p>
            <w:pPr>
              <w:pStyle w:val="45"/>
              <w:ind w:firstLine="2530" w:firstLineChars="1200"/>
              <w:jc w:val="both"/>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 2-1</w:t>
            </w:r>
            <w:r>
              <w:rPr>
                <w:rFonts w:hint="default" w:ascii="Times New Roman" w:hAnsi="Times New Roman" w:eastAsia="宋体" w:cs="Times New Roman"/>
                <w:b/>
                <w:bCs/>
                <w:color w:val="000000" w:themeColor="text1"/>
                <w:szCs w:val="21"/>
                <w14:textFill>
                  <w14:solidFill>
                    <w14:schemeClr w14:val="tx1"/>
                  </w14:solidFill>
                </w14:textFill>
              </w:rPr>
              <w:tab/>
            </w:r>
            <w:r>
              <w:rPr>
                <w:rFonts w:hint="default" w:ascii="Times New Roman" w:hAnsi="Times New Roman" w:eastAsia="宋体" w:cs="Times New Roman"/>
                <w:b/>
                <w:bCs/>
                <w:color w:val="000000" w:themeColor="text1"/>
                <w:szCs w:val="21"/>
                <w14:textFill>
                  <w14:solidFill>
                    <w14:schemeClr w14:val="tx1"/>
                  </w14:solidFill>
                </w14:textFill>
              </w:rPr>
              <w:t>本项目工程组成一览表</w:t>
            </w:r>
          </w:p>
          <w:tbl>
            <w:tblPr>
              <w:tblStyle w:val="27"/>
              <w:tblW w:w="879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52"/>
              <w:gridCol w:w="671"/>
              <w:gridCol w:w="527"/>
              <w:gridCol w:w="289"/>
              <w:gridCol w:w="550"/>
              <w:gridCol w:w="5476"/>
              <w:gridCol w:w="83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52" w:type="dxa"/>
                  <w:tcBorders>
                    <w:top w:val="single" w:color="auto" w:sz="4" w:space="0"/>
                    <w:left w:val="single" w:color="auto" w:sz="4" w:space="0"/>
                    <w:bottom w:val="single" w:color="auto" w:sz="4" w:space="0"/>
                    <w:right w:val="single" w:color="auto" w:sz="4" w:space="0"/>
                  </w:tcBorders>
                  <w:vAlign w:val="center"/>
                </w:tcPr>
                <w:p>
                  <w:pPr>
                    <w:pStyle w:val="47"/>
                    <w:adjustRightInd/>
                    <w:snapToGrid/>
                    <w:spacing w:line="240" w:lineRule="auto"/>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工程</w:t>
                  </w:r>
                </w:p>
                <w:p>
                  <w:pPr>
                    <w:pStyle w:val="47"/>
                    <w:adjustRightInd/>
                    <w:snapToGrid/>
                    <w:spacing w:line="240" w:lineRule="auto"/>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类别</w:t>
                  </w:r>
                </w:p>
              </w:tc>
              <w:tc>
                <w:tcPr>
                  <w:tcW w:w="2037" w:type="dxa"/>
                  <w:gridSpan w:val="4"/>
                  <w:tcBorders>
                    <w:top w:val="single" w:color="auto" w:sz="4" w:space="0"/>
                    <w:left w:val="single" w:color="auto" w:sz="4" w:space="0"/>
                    <w:bottom w:val="single" w:color="auto" w:sz="4" w:space="0"/>
                    <w:right w:val="single" w:color="auto" w:sz="4" w:space="0"/>
                  </w:tcBorders>
                  <w:vAlign w:val="center"/>
                </w:tcPr>
                <w:p>
                  <w:pPr>
                    <w:pStyle w:val="47"/>
                    <w:adjustRightInd/>
                    <w:snapToGrid/>
                    <w:spacing w:line="240" w:lineRule="auto"/>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工程名称</w:t>
                  </w:r>
                </w:p>
              </w:tc>
              <w:tc>
                <w:tcPr>
                  <w:tcW w:w="5476" w:type="dxa"/>
                  <w:tcBorders>
                    <w:top w:val="single" w:color="auto" w:sz="4" w:space="0"/>
                    <w:left w:val="single" w:color="auto" w:sz="4" w:space="0"/>
                    <w:bottom w:val="single" w:color="auto" w:sz="4" w:space="0"/>
                    <w:right w:val="single" w:color="auto" w:sz="4" w:space="0"/>
                  </w:tcBorders>
                  <w:vAlign w:val="center"/>
                </w:tcPr>
                <w:p>
                  <w:pPr>
                    <w:pStyle w:val="47"/>
                    <w:adjustRightInd/>
                    <w:snapToGrid/>
                    <w:spacing w:line="240" w:lineRule="auto"/>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建设内容及规模</w:t>
                  </w:r>
                </w:p>
              </w:tc>
              <w:tc>
                <w:tcPr>
                  <w:tcW w:w="830" w:type="dxa"/>
                  <w:tcBorders>
                    <w:top w:val="single" w:color="auto" w:sz="4" w:space="0"/>
                    <w:left w:val="single" w:color="auto" w:sz="4" w:space="0"/>
                    <w:bottom w:val="single" w:color="auto" w:sz="4" w:space="0"/>
                    <w:right w:val="single" w:color="auto" w:sz="4" w:space="0"/>
                  </w:tcBorders>
                  <w:vAlign w:val="center"/>
                </w:tcPr>
                <w:p>
                  <w:pPr>
                    <w:pStyle w:val="47"/>
                    <w:adjustRightInd/>
                    <w:snapToGrid/>
                    <w:spacing w:line="240" w:lineRule="auto"/>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52" w:type="dxa"/>
                  <w:vMerge w:val="restart"/>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主体</w:t>
                  </w:r>
                </w:p>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工程</w:t>
                  </w:r>
                </w:p>
              </w:tc>
              <w:tc>
                <w:tcPr>
                  <w:tcW w:w="2037" w:type="dxa"/>
                  <w:gridSpan w:val="4"/>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生产厂房</w:t>
                  </w:r>
                </w:p>
              </w:tc>
              <w:tc>
                <w:tcPr>
                  <w:tcW w:w="5476" w:type="dxa"/>
                  <w:tcBorders>
                    <w:top w:val="single" w:color="auto" w:sz="4" w:space="0"/>
                    <w:left w:val="single" w:color="auto" w:sz="4" w:space="0"/>
                    <w:bottom w:val="single" w:color="auto" w:sz="4" w:space="0"/>
                    <w:right w:val="single" w:color="auto" w:sz="4" w:space="0"/>
                  </w:tcBorders>
                  <w:vAlign w:val="center"/>
                </w:tcPr>
                <w:p>
                  <w:pPr>
                    <w:pStyle w:val="47"/>
                    <w:adjustRightInd/>
                    <w:snapToGrid/>
                    <w:jc w:val="both"/>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1"/>
                      <w:szCs w:val="21"/>
                      <w14:textFill>
                        <w14:solidFill>
                          <w14:schemeClr w14:val="tx1"/>
                        </w14:solidFill>
                      </w14:textFill>
                    </w:rPr>
                    <w:t>层框架结构</w:t>
                  </w:r>
                  <w:r>
                    <w:rPr>
                      <w:rFonts w:hint="eastAsia"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层高13m</w:t>
                  </w:r>
                  <w:r>
                    <w:rPr>
                      <w:rFonts w:hint="eastAsia"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建筑面积为</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2000</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default" w:ascii="Times New Roman" w:hAnsi="Times New Roman" w:eastAsia="宋体" w:cs="Times New Roman"/>
                      <w:b w:val="0"/>
                      <w:bCs/>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b w:val="0"/>
                      <w:bCs/>
                      <w:color w:val="000000" w:themeColor="text1"/>
                      <w:sz w:val="21"/>
                      <w:szCs w:val="21"/>
                      <w14:textFill>
                        <w14:solidFill>
                          <w14:schemeClr w14:val="tx1"/>
                        </w14:solidFill>
                      </w14:textFill>
                    </w:rPr>
                    <w:t>。拟建设</w:t>
                  </w:r>
                  <w:r>
                    <w:rPr>
                      <w:rFonts w:hint="eastAsia" w:cs="Times New Roman"/>
                      <w:b w:val="0"/>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14:textFill>
                        <w14:solidFill>
                          <w14:schemeClr w14:val="tx1"/>
                        </w14:solidFill>
                      </w14:textFill>
                    </w:rPr>
                    <w:t>条AKD乳液生产线、</w:t>
                  </w:r>
                  <w:r>
                    <w:rPr>
                      <w:rFonts w:hint="eastAsia" w:cs="Times New Roman"/>
                      <w:b w:val="0"/>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14:textFill>
                        <w14:solidFill>
                          <w14:schemeClr w14:val="tx1"/>
                        </w14:solidFill>
                      </w14:textFill>
                    </w:rPr>
                    <w:t>条纸用增强剂生产线</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条其他复配型造纸助剂（</w:t>
                  </w:r>
                  <w:r>
                    <w:rPr>
                      <w:rFonts w:hint="eastAsia" w:cs="Times New Roman"/>
                      <w:b w:val="0"/>
                      <w:bCs/>
                      <w:color w:val="000000" w:themeColor="text1"/>
                      <w:sz w:val="21"/>
                      <w:szCs w:val="21"/>
                      <w:lang w:val="en-US" w:eastAsia="zh-CN"/>
                      <w14:textFill>
                        <w14:solidFill>
                          <w14:schemeClr w14:val="tx1"/>
                        </w14:solidFill>
                      </w14:textFill>
                    </w:rPr>
                    <w:t>其中2条</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施胶剂</w:t>
                  </w:r>
                  <w:r>
                    <w:rPr>
                      <w:rFonts w:hint="eastAsia" w:cs="Times New Roman"/>
                      <w:b w:val="0"/>
                      <w:bCs/>
                      <w:color w:val="000000" w:themeColor="text1"/>
                      <w:sz w:val="21"/>
                      <w:szCs w:val="21"/>
                      <w:lang w:val="en-US" w:eastAsia="zh-CN"/>
                      <w14:textFill>
                        <w14:solidFill>
                          <w14:schemeClr w14:val="tx1"/>
                        </w14:solidFill>
                      </w14:textFill>
                    </w:rPr>
                    <w:t>生产线</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2条</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消泡剂</w:t>
                  </w:r>
                  <w:r>
                    <w:rPr>
                      <w:rFonts w:hint="eastAsia" w:cs="Times New Roman"/>
                      <w:b w:val="0"/>
                      <w:bCs/>
                      <w:color w:val="000000" w:themeColor="text1"/>
                      <w:sz w:val="21"/>
                      <w:szCs w:val="21"/>
                      <w:lang w:val="en-US" w:eastAsia="zh-CN"/>
                      <w14:textFill>
                        <w14:solidFill>
                          <w14:schemeClr w14:val="tx1"/>
                        </w14:solidFill>
                      </w14:textFill>
                    </w:rPr>
                    <w:t>生产线</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2条</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防水剂</w:t>
                  </w:r>
                  <w:r>
                    <w:rPr>
                      <w:rFonts w:hint="eastAsia" w:cs="Times New Roman"/>
                      <w:b w:val="0"/>
                      <w:bCs/>
                      <w:color w:val="000000" w:themeColor="text1"/>
                      <w:sz w:val="21"/>
                      <w:szCs w:val="21"/>
                      <w:lang w:val="en-US" w:eastAsia="zh-CN"/>
                      <w14:textFill>
                        <w14:solidFill>
                          <w14:schemeClr w14:val="tx1"/>
                        </w14:solidFill>
                      </w14:textFill>
                    </w:rPr>
                    <w:t>生产线</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等）。</w:t>
                  </w:r>
                  <w:r>
                    <w:rPr>
                      <w:rFonts w:hint="eastAsia" w:cs="Times New Roman"/>
                      <w:b w:val="0"/>
                      <w:bCs/>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条生产线位于同一厂房内。</w:t>
                  </w:r>
                </w:p>
              </w:tc>
              <w:tc>
                <w:tcPr>
                  <w:tcW w:w="830" w:type="dxa"/>
                  <w:vMerge w:val="restart"/>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eastAsia="zh-CN"/>
                      <w14:textFill>
                        <w14:solidFill>
                          <w14:schemeClr w14:val="tx1"/>
                        </w14:solidFill>
                      </w14:textFill>
                    </w:rPr>
                    <w:t>新建</w:t>
                  </w:r>
                  <w:r>
                    <w:rPr>
                      <w:rFonts w:hint="eastAsia"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lang w:eastAsia="zh-CN"/>
                      <w14:textFill>
                        <w14:solidFill>
                          <w14:schemeClr w14:val="tx1"/>
                        </w14:solidFill>
                      </w14:textFill>
                    </w:rPr>
                    <w:t>仅租用厂房</w:t>
                  </w:r>
                  <w:r>
                    <w:rPr>
                      <w:rFonts w:hint="default" w:ascii="Times New Roman" w:hAnsi="Times New Roman" w:eastAsia="宋体" w:cs="Times New Roman"/>
                      <w:b w:val="0"/>
                      <w:bCs w:val="0"/>
                      <w:color w:val="000000" w:themeColor="text1"/>
                      <w:lang w:val="zh-CN"/>
                      <w14:textFill>
                        <w14:solidFill>
                          <w14:schemeClr w14:val="tx1"/>
                        </w14:solidFill>
                      </w14:textFill>
                    </w:rPr>
                    <w:t>（</w:t>
                  </w:r>
                  <w:r>
                    <w:rPr>
                      <w:rFonts w:hint="default" w:ascii="Times New Roman" w:hAnsi="Times New Roman" w:eastAsia="宋体" w:cs="Times New Roman"/>
                      <w:b w:val="0"/>
                      <w:bCs w:val="0"/>
                      <w:color w:val="000000" w:themeColor="text1"/>
                      <w14:textFill>
                        <w14:solidFill>
                          <w14:schemeClr w14:val="tx1"/>
                        </w14:solidFill>
                      </w14:textFill>
                    </w:rPr>
                    <w:t>利用</w:t>
                  </w:r>
                  <w:r>
                    <w:rPr>
                      <w:rFonts w:hint="default" w:ascii="Times New Roman" w:hAnsi="Times New Roman" w:eastAsia="宋体" w:cs="Times New Roman"/>
                      <w:b w:val="0"/>
                      <w:bCs w:val="0"/>
                      <w:color w:val="000000" w:themeColor="text1"/>
                      <w:lang w:val="en-US" w:eastAsia="zh-CN"/>
                      <w14:textFill>
                        <w14:solidFill>
                          <w14:schemeClr w14:val="tx1"/>
                        </w14:solidFill>
                      </w14:textFill>
                    </w:rPr>
                    <w:t>租用</w:t>
                  </w:r>
                  <w:r>
                    <w:rPr>
                      <w:rFonts w:hint="default" w:ascii="Times New Roman" w:hAnsi="Times New Roman" w:eastAsia="宋体" w:cs="Times New Roman"/>
                      <w:b w:val="0"/>
                      <w:bCs w:val="0"/>
                      <w:color w:val="000000" w:themeColor="text1"/>
                      <w14:textFill>
                        <w14:solidFill>
                          <w14:schemeClr w14:val="tx1"/>
                        </w14:solidFill>
                      </w14:textFill>
                    </w:rPr>
                    <w:t>厂房场地安装生产线设备</w:t>
                  </w:r>
                  <w:r>
                    <w:rPr>
                      <w:rFonts w:hint="default" w:ascii="Times New Roman" w:hAnsi="Times New Roman" w:eastAsia="宋体" w:cs="Times New Roman"/>
                      <w:b w:val="0"/>
                      <w:bCs w:val="0"/>
                      <w:color w:val="000000" w:themeColor="text1"/>
                      <w:lang w:val="zh-CN"/>
                      <w14:textFill>
                        <w14:solidFill>
                          <w14:schemeClr w14:val="tx1"/>
                        </w14:solidFill>
                      </w14:textFill>
                    </w:rPr>
                    <w:t>）</w:t>
                  </w:r>
                </w:p>
                <w:p>
                  <w:pPr>
                    <w:pStyle w:val="47"/>
                    <w:adjustRightInd/>
                    <w:snapToGrid/>
                    <w:rPr>
                      <w:rFonts w:hint="default" w:ascii="Times New Roman" w:hAnsi="Times New Roman" w:eastAsia="宋体" w:cs="Times New Roman"/>
                      <w:b w:val="0"/>
                      <w:bCs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82" w:hRule="atLeast"/>
                <w:jc w:val="center"/>
              </w:trPr>
              <w:tc>
                <w:tcPr>
                  <w:tcW w:w="452"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c>
                <w:tcPr>
                  <w:tcW w:w="671" w:type="dxa"/>
                  <w:vMerge w:val="restart"/>
                  <w:tcBorders>
                    <w:left w:val="single" w:color="auto" w:sz="4" w:space="0"/>
                    <w:right w:val="single" w:color="auto" w:sz="4" w:space="0"/>
                  </w:tcBorders>
                  <w:vAlign w:val="center"/>
                </w:tcPr>
                <w:p>
                  <w:pPr>
                    <w:pStyle w:val="49"/>
                    <w:spacing w:before="24" w:after="24"/>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b w:val="0"/>
                      <w:color w:val="000000" w:themeColor="text1"/>
                      <w:lang w:val="en-US" w:eastAsia="zh-CN"/>
                      <w14:textFill>
                        <w14:solidFill>
                          <w14:schemeClr w14:val="tx1"/>
                        </w14:solidFill>
                      </w14:textFill>
                    </w:rPr>
                    <w:t>其他</w:t>
                  </w:r>
                </w:p>
              </w:tc>
              <w:tc>
                <w:tcPr>
                  <w:tcW w:w="1366" w:type="dxa"/>
                  <w:gridSpan w:val="3"/>
                  <w:tcBorders>
                    <w:top w:val="single" w:color="auto" w:sz="4" w:space="0"/>
                    <w:left w:val="single" w:color="auto" w:sz="4" w:space="0"/>
                    <w:right w:val="single" w:color="auto" w:sz="4" w:space="0"/>
                  </w:tcBorders>
                  <w:vAlign w:val="center"/>
                </w:tcPr>
                <w:p>
                  <w:pPr>
                    <w:pStyle w:val="47"/>
                    <w:adjustRightInd/>
                    <w:snapToGrid/>
                    <w:ind w:firstLine="0" w:firstLineChars="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AKD乳液生产线</w:t>
                  </w:r>
                </w:p>
              </w:tc>
              <w:tc>
                <w:tcPr>
                  <w:tcW w:w="5476" w:type="dxa"/>
                  <w:tcBorders>
                    <w:top w:val="single" w:color="auto" w:sz="4" w:space="0"/>
                    <w:left w:val="single" w:color="auto" w:sz="4" w:space="0"/>
                    <w:bottom w:val="single" w:color="auto" w:sz="4" w:space="0"/>
                    <w:right w:val="single" w:color="auto" w:sz="4" w:space="0"/>
                  </w:tcBorders>
                  <w:vAlign w:val="center"/>
                </w:tcPr>
                <w:p>
                  <w:pPr>
                    <w:pStyle w:val="47"/>
                    <w:adjustRightInd/>
                    <w:snapToGrid/>
                    <w:jc w:val="both"/>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auto"/>
                      <w:lang w:val="en-US" w:eastAsia="zh-CN"/>
                    </w:rPr>
                    <w:t>位于厂房</w:t>
                  </w:r>
                  <w:r>
                    <w:rPr>
                      <w:rFonts w:hint="default" w:ascii="Times New Roman" w:hAnsi="Times New Roman" w:eastAsia="宋体" w:cs="Times New Roman"/>
                      <w:b w:val="0"/>
                      <w:color w:val="000000" w:themeColor="text1"/>
                      <w:lang w:val="en-US" w:eastAsia="zh-CN"/>
                      <w14:textFill>
                        <w14:solidFill>
                          <w14:schemeClr w14:val="tx1"/>
                        </w14:solidFill>
                      </w14:textFill>
                    </w:rPr>
                    <w:t>中部</w:t>
                  </w:r>
                  <w:r>
                    <w:rPr>
                      <w:rFonts w:hint="eastAsia" w:cs="Times New Roman"/>
                      <w:b w:val="0"/>
                      <w:color w:val="000000" w:themeColor="text1"/>
                      <w:lang w:val="en-US"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占地面积约</w:t>
                  </w:r>
                  <w:r>
                    <w:rPr>
                      <w:rFonts w:hint="eastAsia" w:cs="Times New Roman"/>
                      <w:b w:val="0"/>
                      <w:color w:val="000000" w:themeColor="text1"/>
                      <w:lang w:val="en-US" w:eastAsia="zh-CN"/>
                      <w14:textFill>
                        <w14:solidFill>
                          <w14:schemeClr w14:val="tx1"/>
                        </w14:solidFill>
                      </w14:textFill>
                    </w:rPr>
                    <w:t>400</w:t>
                  </w:r>
                  <w:r>
                    <w:rPr>
                      <w:rFonts w:hint="default" w:ascii="Times New Roman" w:hAnsi="Times New Roman" w:eastAsia="宋体" w:cs="Times New Roman"/>
                      <w:b w:val="0"/>
                      <w:color w:val="000000" w:themeColor="text1"/>
                      <w14:textFill>
                        <w14:solidFill>
                          <w14:schemeClr w14:val="tx1"/>
                        </w14:solidFill>
                      </w14:textFill>
                    </w:rPr>
                    <w:t>m</w:t>
                  </w:r>
                  <w:r>
                    <w:rPr>
                      <w:rFonts w:hint="default" w:ascii="Times New Roman" w:hAnsi="Times New Roman" w:eastAsia="宋体" w:cs="Times New Roman"/>
                      <w:b w:val="0"/>
                      <w:color w:val="000000" w:themeColor="text1"/>
                      <w:vertAlign w:val="superscript"/>
                      <w14:textFill>
                        <w14:solidFill>
                          <w14:schemeClr w14:val="tx1"/>
                        </w14:solidFill>
                      </w14:textFill>
                    </w:rPr>
                    <w:t>2</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lang w:val="en-US" w:eastAsia="zh-CN"/>
                      <w14:textFill>
                        <w14:solidFill>
                          <w14:schemeClr w14:val="tx1"/>
                        </w14:solidFill>
                      </w14:textFill>
                    </w:rPr>
                    <w:t>建设</w:t>
                  </w:r>
                  <w:r>
                    <w:rPr>
                      <w:rFonts w:hint="eastAsia" w:cs="Times New Roman"/>
                      <w:b w:val="0"/>
                      <w:color w:val="000000" w:themeColor="text1"/>
                      <w:lang w:val="en-US" w:eastAsia="zh-CN"/>
                      <w14:textFill>
                        <w14:solidFill>
                          <w14:schemeClr w14:val="tx1"/>
                        </w14:solidFill>
                      </w14:textFill>
                    </w:rPr>
                    <w:t>2</w:t>
                  </w:r>
                  <w:r>
                    <w:rPr>
                      <w:rFonts w:hint="default" w:ascii="Times New Roman" w:hAnsi="Times New Roman" w:eastAsia="宋体" w:cs="Times New Roman"/>
                      <w:b w:val="0"/>
                      <w:color w:val="000000" w:themeColor="text1"/>
                      <w:lang w:eastAsia="zh-CN"/>
                      <w14:textFill>
                        <w14:solidFill>
                          <w14:schemeClr w14:val="tx1"/>
                        </w14:solidFill>
                      </w14:textFill>
                    </w:rPr>
                    <w:t>条</w:t>
                  </w:r>
                  <w:r>
                    <w:rPr>
                      <w:rFonts w:hint="default" w:ascii="Times New Roman" w:hAnsi="Times New Roman" w:eastAsia="宋体" w:cs="Times New Roman"/>
                      <w:b w:val="0"/>
                      <w:color w:val="000000" w:themeColor="text1"/>
                      <w14:textFill>
                        <w14:solidFill>
                          <w14:schemeClr w14:val="tx1"/>
                        </w14:solidFill>
                      </w14:textFill>
                    </w:rPr>
                    <w:t>AKD乳液生产线</w:t>
                  </w:r>
                  <w:r>
                    <w:rPr>
                      <w:rFonts w:hint="default" w:ascii="Times New Roman" w:hAnsi="Times New Roman" w:eastAsia="宋体" w:cs="Times New Roman"/>
                      <w:b w:val="0"/>
                      <w:color w:val="000000" w:themeColor="text1"/>
                      <w:lang w:val="en-US" w:eastAsia="zh-CN"/>
                      <w14:textFill>
                        <w14:solidFill>
                          <w14:schemeClr w14:val="tx1"/>
                        </w14:solidFill>
                      </w14:textFill>
                    </w:rPr>
                    <w:t>生产线。</w:t>
                  </w:r>
                </w:p>
                <w:p>
                  <w:pPr>
                    <w:pStyle w:val="47"/>
                    <w:adjustRightInd/>
                    <w:snapToGrid/>
                    <w:jc w:val="both"/>
                    <w:rPr>
                      <w:rFonts w:hint="eastAsia" w:ascii="Times New Roman" w:hAnsi="Times New Roman" w:eastAsia="宋体" w:cs="Times New Roman"/>
                      <w:b w:val="0"/>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lang w:val="en-US" w:eastAsia="zh-CN"/>
                      <w14:textFill>
                        <w14:solidFill>
                          <w14:schemeClr w14:val="tx1"/>
                        </w14:solidFill>
                      </w14:textFill>
                    </w:rPr>
                    <w:t>主要工艺为：</w:t>
                  </w:r>
                  <w:r>
                    <w:rPr>
                      <w:rFonts w:hint="default" w:ascii="Times New Roman" w:hAnsi="Times New Roman" w:eastAsia="宋体" w:cs="Times New Roman"/>
                      <w:b w:val="0"/>
                      <w:color w:val="000000" w:themeColor="text1"/>
                      <w14:textFill>
                        <w14:solidFill>
                          <w14:schemeClr w14:val="tx1"/>
                        </w14:solidFill>
                      </w14:textFill>
                    </w:rPr>
                    <w:t>AKD原料融化→AKD原料乳化→AKD乳液剪切→AKD乳液均质→复配搅拌罐→</w:t>
                  </w:r>
                  <w:r>
                    <w:rPr>
                      <w:rFonts w:hint="eastAsia" w:ascii="Times New Roman" w:hAnsi="Times New Roman" w:eastAsia="宋体" w:cs="Times New Roman"/>
                      <w:b w:val="0"/>
                      <w:color w:val="000000" w:themeColor="text1"/>
                      <w:lang w:val="en-US" w:eastAsia="zh-CN"/>
                      <w14:textFill>
                        <w14:solidFill>
                          <w14:schemeClr w14:val="tx1"/>
                        </w14:solidFill>
                      </w14:textFill>
                    </w:rPr>
                    <w:t>成品</w:t>
                  </w:r>
                </w:p>
                <w:p>
                  <w:pPr>
                    <w:keepNext w:val="0"/>
                    <w:keepLines w:val="0"/>
                    <w:widowControl/>
                    <w:suppressLineNumbers w:val="0"/>
                    <w:jc w:val="left"/>
                    <w:rPr>
                      <w:rFonts w:hint="default" w:ascii="Times New Roman" w:hAnsi="Times New Roman" w:eastAsia="宋体" w:cs="Times New Roman"/>
                      <w:b w:val="0"/>
                      <w:color w:val="000000" w:themeColor="text1"/>
                      <w:lang w:eastAsia="zh-CN"/>
                      <w14:textFill>
                        <w14:solidFill>
                          <w14:schemeClr w14:val="tx1"/>
                        </w14:solidFill>
                      </w14:textFill>
                    </w:rPr>
                  </w:pPr>
                  <w:r>
                    <w:rPr>
                      <w:rFonts w:hint="default" w:ascii="Times New Roman" w:hAnsi="Times New Roman" w:eastAsia="宋体" w:cs="Times New Roman"/>
                      <w:b/>
                      <w:bCs w:val="0"/>
                      <w:color w:val="000000" w:themeColor="text1"/>
                      <w:lang w:val="en-US" w:eastAsia="zh-CN"/>
                      <w14:textFill>
                        <w14:solidFill>
                          <w14:schemeClr w14:val="tx1"/>
                        </w14:solidFill>
                      </w14:textFill>
                    </w:rPr>
                    <w:t>配套设备为：</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AKD融化罐、高速乳化搅拌罐、剪切机、高压均质机、板式换热器。</w:t>
                  </w:r>
                </w:p>
              </w:tc>
              <w:tc>
                <w:tcPr>
                  <w:tcW w:w="830"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bCs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90" w:hRule="atLeast"/>
                <w:jc w:val="center"/>
              </w:trPr>
              <w:tc>
                <w:tcPr>
                  <w:tcW w:w="452"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c>
                <w:tcPr>
                  <w:tcW w:w="671" w:type="dxa"/>
                  <w:vMerge w:val="continue"/>
                  <w:tcBorders>
                    <w:left w:val="single" w:color="auto" w:sz="4" w:space="0"/>
                    <w:right w:val="single" w:color="auto" w:sz="4" w:space="0"/>
                  </w:tcBorders>
                  <w:vAlign w:val="center"/>
                </w:tcPr>
                <w:p>
                  <w:pPr>
                    <w:pStyle w:val="49"/>
                    <w:spacing w:before="24" w:after="24"/>
                    <w:rPr>
                      <w:rFonts w:hint="default" w:ascii="Times New Roman" w:hAnsi="Times New Roman" w:eastAsia="宋体" w:cs="Times New Roman"/>
                      <w:color w:val="000000" w:themeColor="text1"/>
                      <w:szCs w:val="21"/>
                      <w14:textFill>
                        <w14:solidFill>
                          <w14:schemeClr w14:val="tx1"/>
                        </w14:solidFill>
                      </w14:textFill>
                    </w:rPr>
                  </w:pPr>
                </w:p>
              </w:tc>
              <w:tc>
                <w:tcPr>
                  <w:tcW w:w="1366" w:type="dxa"/>
                  <w:gridSpan w:val="3"/>
                  <w:tcBorders>
                    <w:top w:val="single" w:color="auto" w:sz="4" w:space="0"/>
                    <w:left w:val="single" w:color="auto" w:sz="4" w:space="0"/>
                    <w:right w:val="single" w:color="auto" w:sz="4" w:space="0"/>
                  </w:tcBorders>
                  <w:vAlign w:val="center"/>
                </w:tcPr>
                <w:p>
                  <w:pPr>
                    <w:pStyle w:val="49"/>
                    <w:spacing w:before="24" w:after="2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纸用增强剂生产线</w:t>
                  </w:r>
                </w:p>
              </w:tc>
              <w:tc>
                <w:tcPr>
                  <w:tcW w:w="5476" w:type="dxa"/>
                  <w:tcBorders>
                    <w:top w:val="single" w:color="auto" w:sz="4" w:space="0"/>
                    <w:left w:val="single" w:color="auto" w:sz="4" w:space="0"/>
                    <w:bottom w:val="single" w:color="auto" w:sz="4" w:space="0"/>
                    <w:right w:val="single" w:color="auto" w:sz="4" w:space="0"/>
                  </w:tcBorders>
                  <w:vAlign w:val="center"/>
                </w:tcPr>
                <w:p>
                  <w:pPr>
                    <w:pStyle w:val="47"/>
                    <w:keepNext w:val="0"/>
                    <w:keepLines w:val="0"/>
                    <w:pageBreakBefore w:val="0"/>
                    <w:widowControl w:val="0"/>
                    <w:kinsoku/>
                    <w:wordWrap/>
                    <w:overflowPunct/>
                    <w:topLinePunct w:val="0"/>
                    <w:bidi w:val="0"/>
                    <w:spacing w:line="240" w:lineRule="atLeast"/>
                    <w:jc w:val="both"/>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auto"/>
                      <w:lang w:val="en-US" w:eastAsia="zh-CN"/>
                    </w:rPr>
                    <w:t>位于厂房中部</w:t>
                  </w:r>
                  <w:r>
                    <w:rPr>
                      <w:rFonts w:hint="eastAsia" w:cs="Times New Roman"/>
                      <w:b w:val="0"/>
                      <w:bCs w:val="0"/>
                      <w:color w:val="auto"/>
                      <w:lang w:val="en-US" w:eastAsia="zh-CN"/>
                    </w:rPr>
                    <w:t>，</w:t>
                  </w:r>
                  <w:r>
                    <w:rPr>
                      <w:rFonts w:hint="default" w:ascii="Times New Roman" w:hAnsi="Times New Roman" w:eastAsia="宋体" w:cs="Times New Roman"/>
                      <w:b w:val="0"/>
                      <w:bCs w:val="0"/>
                      <w:color w:val="auto"/>
                    </w:rPr>
                    <w:t>占地面积约</w:t>
                  </w:r>
                  <w:r>
                    <w:rPr>
                      <w:rFonts w:hint="eastAsia" w:cs="Times New Roman"/>
                      <w:b w:val="0"/>
                      <w:bCs w:val="0"/>
                      <w:color w:val="auto"/>
                      <w:lang w:val="en-US" w:eastAsia="zh-CN"/>
                    </w:rPr>
                    <w:t>400</w:t>
                  </w:r>
                  <w:r>
                    <w:rPr>
                      <w:rFonts w:hint="default" w:ascii="Times New Roman" w:hAnsi="Times New Roman" w:eastAsia="宋体" w:cs="Times New Roman"/>
                      <w:b w:val="0"/>
                      <w:bCs w:val="0"/>
                    </w:rPr>
                    <w:t>m</w:t>
                  </w:r>
                  <w:r>
                    <w:rPr>
                      <w:rFonts w:hint="default" w:ascii="Times New Roman" w:hAnsi="Times New Roman" w:eastAsia="宋体" w:cs="Times New Roman"/>
                      <w:b w:val="0"/>
                      <w:bCs w:val="0"/>
                      <w:vertAlign w:val="superscript"/>
                    </w:rPr>
                    <w:t>2</w:t>
                  </w:r>
                  <w:r>
                    <w:rPr>
                      <w:rFonts w:hint="eastAsia" w:cs="Times New Roman"/>
                      <w:b w:val="0"/>
                      <w:bCs w:val="0"/>
                      <w:lang w:eastAsia="zh-CN"/>
                    </w:rPr>
                    <w:t>，</w:t>
                  </w:r>
                  <w:r>
                    <w:rPr>
                      <w:rFonts w:hint="default" w:ascii="Times New Roman" w:hAnsi="Times New Roman" w:eastAsia="宋体" w:cs="Times New Roman"/>
                      <w:b w:val="0"/>
                      <w:bCs w:val="0"/>
                      <w:color w:val="auto"/>
                      <w:lang w:val="en-US" w:eastAsia="zh-CN"/>
                    </w:rPr>
                    <w:t>建</w:t>
                  </w:r>
                  <w:r>
                    <w:rPr>
                      <w:rFonts w:hint="default" w:ascii="Times New Roman" w:hAnsi="Times New Roman" w:eastAsia="宋体" w:cs="Times New Roman"/>
                      <w:b w:val="0"/>
                      <w:bCs w:val="0"/>
                      <w:color w:val="000000" w:themeColor="text1"/>
                      <w:lang w:val="en-US" w:eastAsia="zh-CN"/>
                      <w14:textFill>
                        <w14:solidFill>
                          <w14:schemeClr w14:val="tx1"/>
                        </w14:solidFill>
                      </w14:textFill>
                    </w:rPr>
                    <w:t>设</w:t>
                  </w:r>
                  <w:r>
                    <w:rPr>
                      <w:rFonts w:hint="eastAsia" w:cs="Times New Roman"/>
                      <w:b w:val="0"/>
                      <w:bCs w:val="0"/>
                      <w:color w:val="000000" w:themeColor="text1"/>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lang w:val="en-US" w:eastAsia="zh-CN"/>
                      <w14:textFill>
                        <w14:solidFill>
                          <w14:schemeClr w14:val="tx1"/>
                        </w14:solidFill>
                      </w14:textFill>
                    </w:rPr>
                    <w:t>条纸用增强剂生产线生产线。</w:t>
                  </w:r>
                </w:p>
                <w:p>
                  <w:pPr>
                    <w:keepNext w:val="0"/>
                    <w:keepLines w:val="0"/>
                    <w:pageBreakBefore w:val="0"/>
                    <w:widowControl w:val="0"/>
                    <w:kinsoku/>
                    <w:wordWrap/>
                    <w:overflowPunct/>
                    <w:topLinePunct w:val="0"/>
                    <w:bidi w:val="0"/>
                    <w:spacing w:line="240" w:lineRule="atLeast"/>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主要工艺为：</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聚丙烯酰胺+尿素→加水复配搅拌→纸用增强剂</w:t>
                  </w:r>
                </w:p>
                <w:p>
                  <w:pPr>
                    <w:pStyle w:val="47"/>
                    <w:keepNext w:val="0"/>
                    <w:keepLines w:val="0"/>
                    <w:pageBreakBefore w:val="0"/>
                    <w:widowControl w:val="0"/>
                    <w:kinsoku/>
                    <w:wordWrap/>
                    <w:overflowPunct/>
                    <w:topLinePunct w:val="0"/>
                    <w:bidi w:val="0"/>
                    <w:adjustRightInd/>
                    <w:snapToGrid/>
                    <w:spacing w:line="240" w:lineRule="atLeast"/>
                    <w:jc w:val="both"/>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配套设备为：</w:t>
                  </w:r>
                  <w:r>
                    <w:rPr>
                      <w:rFonts w:hint="default" w:ascii="Times New Roman" w:hAnsi="Times New Roman" w:eastAsia="宋体" w:cs="Times New Roman"/>
                      <w:b w:val="0"/>
                      <w:bCs w:val="0"/>
                      <w:szCs w:val="22"/>
                    </w:rPr>
                    <w:t>复配搅拌罐</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p>
              </w:tc>
              <w:tc>
                <w:tcPr>
                  <w:tcW w:w="830"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bCs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52"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c>
                <w:tcPr>
                  <w:tcW w:w="671" w:type="dxa"/>
                  <w:vMerge w:val="continue"/>
                  <w:tcBorders>
                    <w:left w:val="single" w:color="auto" w:sz="4" w:space="0"/>
                    <w:right w:val="single" w:color="auto" w:sz="4" w:space="0"/>
                  </w:tcBorders>
                  <w:vAlign w:val="center"/>
                </w:tcPr>
                <w:p>
                  <w:pPr>
                    <w:pStyle w:val="49"/>
                    <w:spacing w:before="24" w:after="24"/>
                    <w:rPr>
                      <w:rFonts w:hint="default" w:ascii="Times New Roman" w:hAnsi="Times New Roman" w:eastAsia="宋体" w:cs="Times New Roman"/>
                      <w:color w:val="000000" w:themeColor="text1"/>
                      <w:szCs w:val="21"/>
                      <w14:textFill>
                        <w14:solidFill>
                          <w14:schemeClr w14:val="tx1"/>
                        </w14:solidFill>
                      </w14:textFill>
                    </w:rPr>
                  </w:pPr>
                </w:p>
              </w:tc>
              <w:tc>
                <w:tcPr>
                  <w:tcW w:w="1366" w:type="dxa"/>
                  <w:gridSpan w:val="3"/>
                  <w:tcBorders>
                    <w:left w:val="single" w:color="auto" w:sz="4" w:space="0"/>
                    <w:right w:val="single" w:color="auto" w:sz="4" w:space="0"/>
                  </w:tcBorders>
                  <w:vAlign w:val="center"/>
                </w:tcPr>
                <w:p>
                  <w:pPr>
                    <w:pStyle w:val="49"/>
                    <w:spacing w:before="24" w:after="2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其他复配型造纸助剂</w:t>
                  </w:r>
                </w:p>
              </w:tc>
              <w:tc>
                <w:tcPr>
                  <w:tcW w:w="5476" w:type="dxa"/>
                  <w:tcBorders>
                    <w:top w:val="single" w:color="auto" w:sz="4" w:space="0"/>
                    <w:left w:val="single" w:color="auto" w:sz="4" w:space="0"/>
                    <w:right w:val="single" w:color="auto" w:sz="4" w:space="0"/>
                  </w:tcBorders>
                  <w:vAlign w:val="center"/>
                </w:tcPr>
                <w:p>
                  <w:pPr>
                    <w:pStyle w:val="47"/>
                    <w:jc w:val="both"/>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auto"/>
                      <w:lang w:val="en-US" w:eastAsia="zh-CN"/>
                    </w:rPr>
                    <w:t>位于厂房中部</w:t>
                  </w:r>
                  <w:r>
                    <w:rPr>
                      <w:rFonts w:hint="eastAsia" w:cs="Times New Roman"/>
                      <w:b w:val="0"/>
                      <w:bCs w:val="0"/>
                      <w:color w:val="auto"/>
                      <w:lang w:val="en-US" w:eastAsia="zh-CN"/>
                    </w:rPr>
                    <w:t>，</w:t>
                  </w:r>
                  <w:r>
                    <w:rPr>
                      <w:rFonts w:hint="default" w:ascii="Times New Roman" w:hAnsi="Times New Roman" w:eastAsia="宋体" w:cs="Times New Roman"/>
                      <w:b w:val="0"/>
                      <w:bCs w:val="0"/>
                      <w:color w:val="auto"/>
                    </w:rPr>
                    <w:t>占地面积约</w:t>
                  </w:r>
                  <w:r>
                    <w:rPr>
                      <w:rFonts w:hint="eastAsia" w:cs="Times New Roman"/>
                      <w:b w:val="0"/>
                      <w:bCs w:val="0"/>
                      <w:color w:val="auto"/>
                      <w:lang w:val="en-US" w:eastAsia="zh-CN"/>
                    </w:rPr>
                    <w:t>500</w:t>
                  </w:r>
                  <w:r>
                    <w:rPr>
                      <w:rFonts w:hint="default" w:ascii="Times New Roman" w:hAnsi="Times New Roman" w:eastAsia="宋体" w:cs="Times New Roman"/>
                      <w:b w:val="0"/>
                      <w:bCs w:val="0"/>
                    </w:rPr>
                    <w:t>m</w:t>
                  </w:r>
                  <w:r>
                    <w:rPr>
                      <w:rFonts w:hint="default" w:ascii="Times New Roman" w:hAnsi="Times New Roman" w:eastAsia="宋体" w:cs="Times New Roman"/>
                      <w:b w:val="0"/>
                      <w:bCs w:val="0"/>
                      <w:vertAlign w:val="superscript"/>
                    </w:rPr>
                    <w:t>2</w:t>
                  </w:r>
                  <w:r>
                    <w:rPr>
                      <w:rFonts w:hint="eastAsia" w:cs="Times New Roman"/>
                      <w:b w:val="0"/>
                      <w:bCs w:val="0"/>
                      <w:lang w:eastAsia="zh-CN"/>
                    </w:rPr>
                    <w:t>，</w:t>
                  </w:r>
                  <w:r>
                    <w:rPr>
                      <w:rFonts w:hint="default" w:ascii="Times New Roman" w:hAnsi="Times New Roman" w:eastAsia="宋体" w:cs="Times New Roman"/>
                      <w:b w:val="0"/>
                      <w:bCs w:val="0"/>
                      <w:color w:val="auto"/>
                      <w:lang w:val="en-US" w:eastAsia="zh-CN"/>
                    </w:rPr>
                    <w:t>建设</w:t>
                  </w:r>
                  <w:r>
                    <w:rPr>
                      <w:rFonts w:hint="eastAsia" w:cs="Times New Roman"/>
                      <w:b w:val="0"/>
                      <w:bCs w:val="0"/>
                      <w:color w:val="000000" w:themeColor="text1"/>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lang w:val="en-US" w:eastAsia="zh-CN"/>
                      <w14:textFill>
                        <w14:solidFill>
                          <w14:schemeClr w14:val="tx1"/>
                        </w14:solidFill>
                      </w14:textFill>
                    </w:rPr>
                    <w:t>条其他复配型造纸助剂生产线</w:t>
                  </w:r>
                  <w:r>
                    <w:rPr>
                      <w:rFonts w:hint="eastAsia" w:cs="Times New Roman"/>
                      <w:b w:val="0"/>
                      <w:bCs w:val="0"/>
                      <w:color w:val="000000" w:themeColor="text1"/>
                      <w:lang w:val="en-US"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其中2条</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施胶剂</w:t>
                  </w:r>
                  <w:r>
                    <w:rPr>
                      <w:rFonts w:hint="eastAsia" w:cs="Times New Roman"/>
                      <w:b w:val="0"/>
                      <w:bCs/>
                      <w:color w:val="000000" w:themeColor="text1"/>
                      <w:sz w:val="21"/>
                      <w:szCs w:val="21"/>
                      <w:lang w:val="en-US" w:eastAsia="zh-CN"/>
                      <w14:textFill>
                        <w14:solidFill>
                          <w14:schemeClr w14:val="tx1"/>
                        </w14:solidFill>
                      </w14:textFill>
                    </w:rPr>
                    <w:t>生产线</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2条</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消泡剂</w:t>
                  </w:r>
                  <w:r>
                    <w:rPr>
                      <w:rFonts w:hint="eastAsia" w:cs="Times New Roman"/>
                      <w:b w:val="0"/>
                      <w:bCs/>
                      <w:color w:val="000000" w:themeColor="text1"/>
                      <w:sz w:val="21"/>
                      <w:szCs w:val="21"/>
                      <w:lang w:val="en-US" w:eastAsia="zh-CN"/>
                      <w14:textFill>
                        <w14:solidFill>
                          <w14:schemeClr w14:val="tx1"/>
                        </w14:solidFill>
                      </w14:textFill>
                    </w:rPr>
                    <w:t>生产线</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2条</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防水剂</w:t>
                  </w:r>
                  <w:r>
                    <w:rPr>
                      <w:rFonts w:hint="eastAsia" w:cs="Times New Roman"/>
                      <w:b w:val="0"/>
                      <w:bCs/>
                      <w:color w:val="000000" w:themeColor="text1"/>
                      <w:sz w:val="21"/>
                      <w:szCs w:val="21"/>
                      <w:lang w:val="en-US" w:eastAsia="zh-CN"/>
                      <w14:textFill>
                        <w14:solidFill>
                          <w14:schemeClr w14:val="tx1"/>
                        </w14:solidFill>
                      </w14:textFill>
                    </w:rPr>
                    <w:t>生产线</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等</w:t>
                  </w:r>
                  <w:r>
                    <w:rPr>
                      <w:rFonts w:hint="eastAsia" w:cs="Times New Roman"/>
                      <w:b w:val="0"/>
                      <w:bCs w:val="0"/>
                      <w:color w:val="000000" w:themeColor="text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p>
                <w:p>
                  <w:pPr>
                    <w:pStyle w:val="47"/>
                    <w:adjustRightInd/>
                    <w:snapToGrid/>
                    <w:jc w:val="both"/>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主要工艺为：</w:t>
                  </w:r>
                  <w:r>
                    <w:rPr>
                      <w:rFonts w:hint="default" w:ascii="Times New Roman" w:hAnsi="Times New Roman" w:eastAsia="宋体" w:cs="Times New Roman"/>
                      <w:b w:val="0"/>
                      <w:bCs w:val="0"/>
                      <w:color w:val="000000" w:themeColor="text1"/>
                      <w:lang w:val="en-US" w:eastAsia="zh-CN"/>
                      <w14:textFill>
                        <w14:solidFill>
                          <w14:schemeClr w14:val="tx1"/>
                        </w14:solidFill>
                      </w14:textFill>
                    </w:rPr>
                    <w:t>拖胶剂+消泡机+防水剂→复配搅拌→其他</w:t>
                  </w:r>
                </w:p>
                <w:p>
                  <w:pPr>
                    <w:pStyle w:val="47"/>
                    <w:adjustRightInd/>
                    <w:snapToGrid/>
                    <w:jc w:val="both"/>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复合型造纸助剂</w:t>
                  </w:r>
                </w:p>
                <w:p>
                  <w:pPr>
                    <w:pStyle w:val="47"/>
                    <w:adjustRightInd/>
                    <w:snapToGrid/>
                    <w:jc w:val="both"/>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配套设备为：</w:t>
                  </w:r>
                  <w:r>
                    <w:rPr>
                      <w:rFonts w:hint="default" w:ascii="Times New Roman" w:hAnsi="Times New Roman" w:eastAsia="宋体" w:cs="Times New Roman"/>
                      <w:b w:val="0"/>
                      <w:bCs w:val="0"/>
                      <w:szCs w:val="22"/>
                    </w:rPr>
                    <w:t>复配搅拌罐</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p>
              </w:tc>
              <w:tc>
                <w:tcPr>
                  <w:tcW w:w="830"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24" w:hRule="atLeast"/>
                <w:jc w:val="center"/>
              </w:trPr>
              <w:tc>
                <w:tcPr>
                  <w:tcW w:w="452" w:type="dxa"/>
                  <w:vMerge w:val="restart"/>
                  <w:tcBorders>
                    <w:top w:val="single" w:color="auto" w:sz="4" w:space="0"/>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辅助工程</w:t>
                  </w:r>
                </w:p>
              </w:tc>
              <w:tc>
                <w:tcPr>
                  <w:tcW w:w="671" w:type="dxa"/>
                  <w:vMerge w:val="restart"/>
                  <w:tcBorders>
                    <w:top w:val="single" w:color="auto" w:sz="4" w:space="0"/>
                    <w:left w:val="single" w:color="auto" w:sz="4" w:space="0"/>
                    <w:right w:val="single" w:color="auto" w:sz="4" w:space="0"/>
                  </w:tcBorders>
                  <w:vAlign w:val="center"/>
                </w:tcPr>
                <w:p>
                  <w:pPr>
                    <w:pStyle w:val="49"/>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baseline"/>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szCs w:val="21"/>
                      <w:lang w:val="en-US" w:eastAsia="zh-CN"/>
                    </w:rPr>
                    <w:t>综合楼共</w:t>
                  </w:r>
                  <w:r>
                    <w:rPr>
                      <w:rFonts w:hint="eastAsia" w:ascii="Times New Roman" w:cs="Times New Roman"/>
                      <w:szCs w:val="21"/>
                      <w:lang w:val="en-US" w:eastAsia="zh-CN"/>
                    </w:rPr>
                    <w:t>6</w:t>
                  </w:r>
                  <w:r>
                    <w:rPr>
                      <w:rFonts w:hint="default" w:ascii="Times New Roman" w:hAnsi="Times New Roman" w:eastAsia="宋体" w:cs="Times New Roman"/>
                      <w:szCs w:val="21"/>
                      <w:lang w:val="en-US" w:eastAsia="zh-CN"/>
                    </w:rPr>
                    <w:t>层</w:t>
                  </w:r>
                </w:p>
              </w:tc>
              <w:tc>
                <w:tcPr>
                  <w:tcW w:w="816" w:type="dxa"/>
                  <w:gridSpan w:val="2"/>
                  <w:tcBorders>
                    <w:top w:val="single" w:color="auto" w:sz="4" w:space="0"/>
                    <w:left w:val="single" w:color="auto" w:sz="4" w:space="0"/>
                    <w:bottom w:val="single" w:color="auto" w:sz="4" w:space="0"/>
                    <w:right w:val="single" w:color="auto" w:sz="4" w:space="0"/>
                  </w:tcBorders>
                  <w:vAlign w:val="center"/>
                </w:tcPr>
                <w:p>
                  <w:pPr>
                    <w:pStyle w:val="49"/>
                    <w:ind w:firstLine="0" w:firstLineChars="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第</w:t>
                  </w:r>
                  <w:r>
                    <w:rPr>
                      <w:rFonts w:hint="eastAsia" w:ascii="Times New Roman" w:cs="Times New Roman"/>
                      <w:szCs w:val="21"/>
                      <w:lang w:val="en-US" w:eastAsia="zh-CN"/>
                    </w:rPr>
                    <w:t>4</w:t>
                  </w:r>
                  <w:r>
                    <w:rPr>
                      <w:rFonts w:hint="default" w:ascii="Times New Roman" w:hAnsi="Times New Roman" w:eastAsia="宋体" w:cs="Times New Roman"/>
                      <w:szCs w:val="21"/>
                      <w:lang w:val="en-US" w:eastAsia="zh-CN"/>
                    </w:rPr>
                    <w:t>层</w:t>
                  </w:r>
                </w:p>
                <w:p>
                  <w:pPr>
                    <w:pStyle w:val="49"/>
                    <w:ind w:firstLine="0" w:firstLineChars="0"/>
                    <w:jc w:val="center"/>
                    <w:rPr>
                      <w:rFonts w:hint="default" w:ascii="Times New Roman" w:hAnsi="Times New Roman" w:eastAsia="宋体" w:cs="Times New Roman"/>
                      <w:b w:val="0"/>
                      <w:color w:val="000000" w:themeColor="text1"/>
                      <w14:textFill>
                        <w14:solidFill>
                          <w14:schemeClr w14:val="tx1"/>
                        </w14:solidFill>
                      </w14:textFill>
                    </w:rPr>
                  </w:pPr>
                </w:p>
              </w:tc>
              <w:tc>
                <w:tcPr>
                  <w:tcW w:w="550" w:type="dxa"/>
                  <w:tcBorders>
                    <w:top w:val="single" w:color="auto" w:sz="4" w:space="0"/>
                    <w:left w:val="single" w:color="auto" w:sz="4" w:space="0"/>
                    <w:bottom w:val="single" w:color="auto" w:sz="4" w:space="0"/>
                    <w:right w:val="single" w:color="auto" w:sz="4" w:space="0"/>
                  </w:tcBorders>
                  <w:vAlign w:val="center"/>
                </w:tcPr>
                <w:p>
                  <w:pPr>
                    <w:pStyle w:val="49"/>
                    <w:ind w:firstLine="0" w:firstLineChars="0"/>
                    <w:jc w:val="center"/>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default" w:ascii="Times New Roman" w:hAnsi="Times New Roman" w:eastAsia="宋体" w:cs="Times New Roman"/>
                      <w:b w:val="0"/>
                      <w:color w:val="000000" w:themeColor="text1"/>
                      <w:lang w:val="en-US" w:eastAsia="zh-CN"/>
                      <w14:textFill>
                        <w14:solidFill>
                          <w14:schemeClr w14:val="tx1"/>
                        </w14:solidFill>
                      </w14:textFill>
                    </w:rPr>
                    <w:t>宿舍</w:t>
                  </w:r>
                </w:p>
              </w:tc>
              <w:tc>
                <w:tcPr>
                  <w:tcW w:w="5476" w:type="dxa"/>
                  <w:tcBorders>
                    <w:top w:val="single" w:color="auto" w:sz="4" w:space="0"/>
                    <w:left w:val="single" w:color="auto" w:sz="4" w:space="0"/>
                    <w:bottom w:val="single" w:color="auto" w:sz="4" w:space="0"/>
                    <w:right w:val="single" w:color="auto" w:sz="4" w:space="0"/>
                  </w:tcBorders>
                  <w:vAlign w:val="center"/>
                </w:tcPr>
                <w:p>
                  <w:pPr>
                    <w:jc w:val="both"/>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bCs w:val="0"/>
                      <w:color w:val="auto"/>
                      <w:sz w:val="21"/>
                      <w:szCs w:val="21"/>
                      <w:lang w:val="en-US" w:eastAsia="zh-CN"/>
                    </w:rPr>
                    <w:t>宿舍位于综合楼第</w:t>
                  </w:r>
                  <w:r>
                    <w:rPr>
                      <w:rFonts w:hint="eastAsia"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lang w:val="en-US" w:eastAsia="zh-CN"/>
                    </w:rPr>
                    <w:t>层。</w:t>
                  </w:r>
                  <w:r>
                    <w:rPr>
                      <w:rFonts w:hint="default" w:ascii="Times New Roman" w:hAnsi="Times New Roman" w:eastAsia="宋体" w:cs="Times New Roman"/>
                      <w:b w:val="0"/>
                      <w:bCs w:val="0"/>
                      <w:color w:val="auto"/>
                      <w:sz w:val="21"/>
                      <w:szCs w:val="21"/>
                    </w:rPr>
                    <w:t>建筑面积约</w:t>
                  </w:r>
                  <w:r>
                    <w:rPr>
                      <w:rFonts w:hint="default" w:ascii="Times New Roman" w:hAnsi="Times New Roman" w:eastAsia="宋体" w:cs="Times New Roman"/>
                      <w:b w:val="0"/>
                      <w:bCs w:val="0"/>
                      <w:color w:val="auto"/>
                      <w:sz w:val="21"/>
                      <w:szCs w:val="21"/>
                      <w:lang w:val="en-US" w:eastAsia="zh-CN"/>
                    </w:rPr>
                    <w:t>为</w:t>
                  </w:r>
                  <w:r>
                    <w:rPr>
                      <w:rFonts w:hint="eastAsia" w:cs="Times New Roman"/>
                      <w:b w:val="0"/>
                      <w:bCs w:val="0"/>
                      <w:color w:val="auto"/>
                      <w:sz w:val="21"/>
                      <w:szCs w:val="21"/>
                      <w:lang w:val="en-US" w:eastAsia="zh-CN"/>
                    </w:rPr>
                    <w:t>200</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2</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主要为</w:t>
                  </w:r>
                  <w:r>
                    <w:rPr>
                      <w:rFonts w:hint="default" w:ascii="Times New Roman" w:hAnsi="Times New Roman" w:eastAsia="宋体" w:cs="Times New Roman"/>
                      <w:b w:val="0"/>
                      <w:color w:val="000000" w:themeColor="text1"/>
                      <w:sz w:val="21"/>
                      <w:szCs w:val="21"/>
                      <w14:textFill>
                        <w14:solidFill>
                          <w14:schemeClr w14:val="tx1"/>
                        </w14:solidFill>
                      </w14:textFill>
                    </w:rPr>
                    <w:t>员工提供住宿</w:t>
                  </w:r>
                  <w:r>
                    <w:rPr>
                      <w:rFonts w:hint="eastAsia" w:cs="Times New Roman"/>
                      <w:b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t>本项目共有工人30名</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均在厂区内住宿</w:t>
                  </w:r>
                  <w:r>
                    <w:rPr>
                      <w:rFonts w:hint="default" w:ascii="Times New Roman" w:hAnsi="Times New Roman" w:eastAsia="宋体" w:cs="Times New Roman"/>
                      <w:b w:val="0"/>
                      <w:color w:val="000000" w:themeColor="text1"/>
                      <w:sz w:val="21"/>
                      <w:szCs w:val="21"/>
                      <w:lang w:eastAsia="zh-CN"/>
                      <w14:textFill>
                        <w14:solidFill>
                          <w14:schemeClr w14:val="tx1"/>
                        </w14:solidFill>
                      </w14:textFill>
                    </w:rPr>
                    <w:t>。</w:t>
                  </w:r>
                </w:p>
              </w:tc>
              <w:tc>
                <w:tcPr>
                  <w:tcW w:w="830" w:type="dxa"/>
                  <w:vMerge w:val="restart"/>
                  <w:tcBorders>
                    <w:left w:val="single" w:color="auto" w:sz="4" w:space="0"/>
                    <w:right w:val="single" w:color="auto" w:sz="4" w:space="0"/>
                  </w:tcBorders>
                  <w:vAlign w:val="center"/>
                </w:tcPr>
                <w:p>
                  <w:pPr>
                    <w:pStyle w:val="47"/>
                    <w:adjustRightInd/>
                    <w:snapToGrid/>
                    <w:ind w:firstLine="0" w:firstLineChars="0"/>
                    <w:rPr>
                      <w:rFonts w:hint="default" w:ascii="Times New Roman" w:hAnsi="Times New Roman" w:eastAsia="宋体" w:cs="Times New Roman"/>
                      <w:b w:val="0"/>
                      <w:bCs w:val="0"/>
                      <w:color w:val="000000" w:themeColor="text1"/>
                      <w:lang w:eastAsia="zh-CN"/>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租用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5" w:hRule="atLeast"/>
                <w:jc w:val="center"/>
              </w:trPr>
              <w:tc>
                <w:tcPr>
                  <w:tcW w:w="452"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c>
                <w:tcPr>
                  <w:tcW w:w="671" w:type="dxa"/>
                  <w:vMerge w:val="continue"/>
                  <w:tcBorders>
                    <w:left w:val="single" w:color="auto" w:sz="4" w:space="0"/>
                    <w:bottom w:val="single" w:color="auto" w:sz="4" w:space="0"/>
                    <w:right w:val="single" w:color="auto" w:sz="4" w:space="0"/>
                  </w:tcBorders>
                  <w:vAlign w:val="center"/>
                </w:tcPr>
                <w:p>
                  <w:pPr>
                    <w:pStyle w:val="49"/>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baseline"/>
                    <w:rPr>
                      <w:rFonts w:hint="default" w:ascii="Times New Roman" w:hAnsi="Times New Roman" w:eastAsia="宋体" w:cs="Times New Roman"/>
                      <w:b w:val="0"/>
                      <w:color w:val="000000" w:themeColor="text1"/>
                      <w14:textFill>
                        <w14:solidFill>
                          <w14:schemeClr w14:val="tx1"/>
                        </w14:solidFill>
                      </w14:textFill>
                    </w:rPr>
                  </w:pPr>
                </w:p>
              </w:tc>
              <w:tc>
                <w:tcPr>
                  <w:tcW w:w="816" w:type="dxa"/>
                  <w:gridSpan w:val="2"/>
                  <w:tcBorders>
                    <w:top w:val="single" w:color="auto" w:sz="4" w:space="0"/>
                    <w:left w:val="single" w:color="auto" w:sz="4" w:space="0"/>
                    <w:bottom w:val="single" w:color="auto" w:sz="4" w:space="0"/>
                    <w:right w:val="single" w:color="auto" w:sz="4" w:space="0"/>
                  </w:tcBorders>
                  <w:vAlign w:val="center"/>
                </w:tcPr>
                <w:p>
                  <w:pPr>
                    <w:pStyle w:val="49"/>
                    <w:ind w:firstLine="0" w:firstLineChars="0"/>
                    <w:jc w:val="center"/>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default" w:ascii="Times New Roman" w:hAnsi="Times New Roman" w:eastAsia="宋体" w:cs="Times New Roman"/>
                      <w:b w:val="0"/>
                      <w:color w:val="000000" w:themeColor="text1"/>
                      <w:lang w:val="en-US" w:eastAsia="zh-CN"/>
                      <w14:textFill>
                        <w14:solidFill>
                          <w14:schemeClr w14:val="tx1"/>
                        </w14:solidFill>
                      </w14:textFill>
                    </w:rPr>
                    <w:t>第1层</w:t>
                  </w:r>
                </w:p>
              </w:tc>
              <w:tc>
                <w:tcPr>
                  <w:tcW w:w="550" w:type="dxa"/>
                  <w:tcBorders>
                    <w:top w:val="single" w:color="auto" w:sz="4" w:space="0"/>
                    <w:left w:val="single" w:color="auto" w:sz="4" w:space="0"/>
                    <w:bottom w:val="single" w:color="auto" w:sz="4" w:space="0"/>
                    <w:right w:val="single" w:color="auto" w:sz="4" w:space="0"/>
                  </w:tcBorders>
                  <w:vAlign w:val="center"/>
                </w:tcPr>
                <w:p>
                  <w:pPr>
                    <w:pStyle w:val="49"/>
                    <w:ind w:firstLine="0" w:firstLineChars="0"/>
                    <w:jc w:val="center"/>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default" w:ascii="Times New Roman" w:hAnsi="Times New Roman" w:eastAsia="宋体" w:cs="Times New Roman"/>
                      <w:b w:val="0"/>
                      <w:color w:val="000000" w:themeColor="text1"/>
                      <w:lang w:val="en-US" w:eastAsia="zh-CN"/>
                      <w14:textFill>
                        <w14:solidFill>
                          <w14:schemeClr w14:val="tx1"/>
                        </w14:solidFill>
                      </w14:textFill>
                    </w:rPr>
                    <w:t>食堂</w:t>
                  </w:r>
                </w:p>
              </w:tc>
              <w:tc>
                <w:tcPr>
                  <w:tcW w:w="5476" w:type="dxa"/>
                  <w:tcBorders>
                    <w:top w:val="single" w:color="auto" w:sz="4" w:space="0"/>
                    <w:left w:val="single" w:color="auto" w:sz="4" w:space="0"/>
                    <w:bottom w:val="single" w:color="auto" w:sz="4" w:space="0"/>
                    <w:right w:val="single" w:color="auto" w:sz="4" w:space="0"/>
                  </w:tcBorders>
                  <w:vAlign w:val="center"/>
                </w:tcPr>
                <w:p>
                  <w:pPr>
                    <w:pStyle w:val="47"/>
                    <w:ind w:firstLine="0" w:firstLineChars="0"/>
                    <w:rPr>
                      <w:rFonts w:hint="default" w:ascii="Times New Roman" w:hAnsi="Times New Roman" w:eastAsia="宋体" w:cs="Times New Roman"/>
                      <w:b w:val="0"/>
                      <w:bCs w:val="0"/>
                      <w:color w:val="000000" w:themeColor="text1"/>
                      <w:lang w:eastAsia="zh-CN"/>
                      <w14:textFill>
                        <w14:solidFill>
                          <w14:schemeClr w14:val="tx1"/>
                        </w14:solidFill>
                      </w14:textFill>
                    </w:rPr>
                  </w:pPr>
                  <w:r>
                    <w:rPr>
                      <w:rFonts w:hint="default" w:ascii="Times New Roman" w:hAnsi="Times New Roman" w:eastAsia="宋体" w:cs="Times New Roman"/>
                      <w:b w:val="0"/>
                      <w:bCs w:val="0"/>
                      <w:color w:val="auto"/>
                      <w:sz w:val="21"/>
                      <w:szCs w:val="21"/>
                      <w:lang w:val="en-US" w:eastAsia="zh-CN"/>
                    </w:rPr>
                    <w:t>项目食堂位于综合楼第1层其中的1间房屋。总建筑面积约为50m</w:t>
                  </w:r>
                  <w:r>
                    <w:rPr>
                      <w:rFonts w:hint="default" w:ascii="Times New Roman" w:hAnsi="Times New Roman" w:eastAsia="宋体" w:cs="Times New Roman"/>
                      <w:b w:val="0"/>
                      <w:bCs w:val="0"/>
                      <w:color w:val="auto"/>
                      <w:sz w:val="21"/>
                      <w:szCs w:val="21"/>
                      <w:vertAlign w:val="superscript"/>
                      <w:lang w:val="en-US" w:eastAsia="zh-CN"/>
                    </w:rPr>
                    <w:t>2</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主要为员工提供三餐</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本项目共有工人30名</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均在厂区内食宿。</w:t>
                  </w:r>
                </w:p>
              </w:tc>
              <w:tc>
                <w:tcPr>
                  <w:tcW w:w="830" w:type="dxa"/>
                  <w:vMerge w:val="continue"/>
                  <w:tcBorders>
                    <w:left w:val="single" w:color="auto" w:sz="4" w:space="0"/>
                    <w:right w:val="single" w:color="auto" w:sz="4" w:space="0"/>
                  </w:tcBorders>
                  <w:vAlign w:val="center"/>
                </w:tcPr>
                <w:p>
                  <w:pPr>
                    <w:pStyle w:val="47"/>
                    <w:adjustRightInd/>
                    <w:snapToGrid/>
                    <w:ind w:firstLine="0" w:firstLineChars="0"/>
                    <w:rPr>
                      <w:rFonts w:hint="default" w:ascii="Times New Roman" w:hAnsi="Times New Roman" w:eastAsia="宋体" w:cs="Times New Roman"/>
                      <w:b w:val="0"/>
                      <w:bCs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6" w:hRule="atLeast"/>
                <w:jc w:val="center"/>
              </w:trPr>
              <w:tc>
                <w:tcPr>
                  <w:tcW w:w="452" w:type="dxa"/>
                  <w:vMerge w:val="restart"/>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储运工程</w:t>
                  </w:r>
                </w:p>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c>
                <w:tcPr>
                  <w:tcW w:w="2037" w:type="dxa"/>
                  <w:gridSpan w:val="4"/>
                  <w:tcBorders>
                    <w:top w:val="single" w:color="auto" w:sz="4" w:space="0"/>
                    <w:left w:val="single" w:color="auto" w:sz="4" w:space="0"/>
                    <w:bottom w:val="single" w:color="auto" w:sz="4" w:space="0"/>
                    <w:right w:val="single" w:color="auto" w:sz="4" w:space="0"/>
                  </w:tcBorders>
                  <w:vAlign w:val="center"/>
                </w:tcPr>
                <w:p>
                  <w:pPr>
                    <w:pStyle w:val="47"/>
                    <w:adjustRightInd/>
                    <w:snapToGrid/>
                    <w:ind w:firstLine="0" w:firstLineChars="0"/>
                    <w:jc w:val="center"/>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bCs/>
                      <w:lang w:val="en-US" w:eastAsia="zh-CN"/>
                    </w:rPr>
                    <w:t>原料堆场</w:t>
                  </w:r>
                </w:p>
              </w:tc>
              <w:tc>
                <w:tcPr>
                  <w:tcW w:w="5476" w:type="dxa"/>
                  <w:tcBorders>
                    <w:top w:val="single" w:color="auto" w:sz="4" w:space="0"/>
                    <w:left w:val="single" w:color="auto" w:sz="4" w:space="0"/>
                    <w:bottom w:val="single" w:color="auto" w:sz="4" w:space="0"/>
                    <w:right w:val="single" w:color="auto" w:sz="4" w:space="0"/>
                  </w:tcBorders>
                  <w:vAlign w:val="center"/>
                </w:tcPr>
                <w:p>
                  <w:pPr>
                    <w:pStyle w:val="47"/>
                    <w:adjustRightInd/>
                    <w:snapToGrid/>
                    <w:ind w:firstLine="0" w:firstLineChars="0"/>
                    <w:jc w:val="center"/>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lang w:val="en-US" w:eastAsia="zh-CN"/>
                    </w:rPr>
                    <w:t>位于车间内敞开堆放的</w:t>
                  </w:r>
                  <w:r>
                    <w:rPr>
                      <w:rFonts w:hint="eastAsia" w:cs="Times New Roman"/>
                      <w:b w:val="0"/>
                      <w:lang w:eastAsia="zh-CN"/>
                    </w:rPr>
                    <w:t>，</w:t>
                  </w:r>
                  <w:r>
                    <w:rPr>
                      <w:rFonts w:hint="default" w:ascii="Times New Roman" w:hAnsi="Times New Roman" w:eastAsia="宋体" w:cs="Times New Roman"/>
                      <w:b w:val="0"/>
                    </w:rPr>
                    <w:t>占地面积约</w:t>
                  </w:r>
                  <w:r>
                    <w:rPr>
                      <w:rFonts w:hint="default" w:ascii="Times New Roman" w:hAnsi="Times New Roman" w:eastAsia="宋体" w:cs="Times New Roman"/>
                      <w:b w:val="0"/>
                      <w:lang w:val="en-US" w:eastAsia="zh-CN"/>
                    </w:rPr>
                    <w:t>150</w:t>
                  </w:r>
                  <w:r>
                    <w:rPr>
                      <w:rFonts w:hint="default" w:ascii="Times New Roman" w:hAnsi="Times New Roman" w:eastAsia="宋体" w:cs="Times New Roman"/>
                      <w:b w:val="0"/>
                    </w:rPr>
                    <w:t>m</w:t>
                  </w:r>
                  <w:r>
                    <w:rPr>
                      <w:rFonts w:hint="default" w:ascii="Times New Roman" w:hAnsi="Times New Roman" w:eastAsia="宋体" w:cs="Times New Roman"/>
                      <w:b w:val="0"/>
                      <w:vertAlign w:val="superscript"/>
                    </w:rPr>
                    <w:t>2</w:t>
                  </w:r>
                  <w:r>
                    <w:rPr>
                      <w:rFonts w:hint="default" w:ascii="Times New Roman" w:hAnsi="Times New Roman" w:eastAsia="宋体" w:cs="Times New Roman"/>
                      <w:b w:val="0"/>
                    </w:rPr>
                    <w:t>。</w:t>
                  </w:r>
                </w:p>
              </w:tc>
              <w:tc>
                <w:tcPr>
                  <w:tcW w:w="830" w:type="dxa"/>
                  <w:vMerge w:val="restart"/>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新建</w:t>
                  </w:r>
                  <w:r>
                    <w:rPr>
                      <w:rFonts w:hint="eastAsia"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14:textFill>
                        <w14:solidFill>
                          <w14:schemeClr w14:val="tx1"/>
                        </w14:solidFill>
                      </w14:textFill>
                    </w:rPr>
                    <w:t>仅租用厂房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5" w:hRule="atLeast"/>
                <w:jc w:val="center"/>
              </w:trPr>
              <w:tc>
                <w:tcPr>
                  <w:tcW w:w="452"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c>
                <w:tcPr>
                  <w:tcW w:w="2037" w:type="dxa"/>
                  <w:gridSpan w:val="4"/>
                  <w:tcBorders>
                    <w:top w:val="single" w:color="auto" w:sz="4" w:space="0"/>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成品堆放区</w:t>
                  </w:r>
                </w:p>
              </w:tc>
              <w:tc>
                <w:tcPr>
                  <w:tcW w:w="5476" w:type="dxa"/>
                  <w:tcBorders>
                    <w:top w:val="single" w:color="auto" w:sz="4" w:space="0"/>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位于厂房</w:t>
                  </w:r>
                  <w:r>
                    <w:rPr>
                      <w:rFonts w:hint="default" w:ascii="Times New Roman" w:hAnsi="Times New Roman" w:eastAsia="宋体" w:cs="Times New Roman"/>
                      <w:b w:val="0"/>
                      <w:color w:val="000000" w:themeColor="text1"/>
                      <w:lang w:val="en-US" w:eastAsia="zh-CN"/>
                      <w14:textFill>
                        <w14:solidFill>
                          <w14:schemeClr w14:val="tx1"/>
                        </w14:solidFill>
                      </w14:textFill>
                    </w:rPr>
                    <w:t>西南</w:t>
                  </w:r>
                  <w:r>
                    <w:rPr>
                      <w:rFonts w:hint="default" w:ascii="Times New Roman" w:hAnsi="Times New Roman" w:eastAsia="宋体" w:cs="Times New Roman"/>
                      <w:b w:val="0"/>
                      <w:color w:val="000000" w:themeColor="text1"/>
                      <w14:textFill>
                        <w14:solidFill>
                          <w14:schemeClr w14:val="tx1"/>
                        </w14:solidFill>
                      </w14:textFill>
                    </w:rPr>
                    <w:t>侧</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占地面积约</w:t>
                  </w:r>
                  <w:r>
                    <w:rPr>
                      <w:rFonts w:hint="eastAsia" w:cs="Times New Roman"/>
                      <w:b w:val="0"/>
                      <w:color w:val="000000" w:themeColor="text1"/>
                      <w:lang w:val="en-US" w:eastAsia="zh-CN"/>
                      <w14:textFill>
                        <w14:solidFill>
                          <w14:schemeClr w14:val="tx1"/>
                        </w14:solidFill>
                      </w14:textFill>
                    </w:rPr>
                    <w:t>300</w:t>
                  </w:r>
                  <w:r>
                    <w:rPr>
                      <w:rFonts w:hint="default" w:ascii="Times New Roman" w:hAnsi="Times New Roman" w:eastAsia="宋体" w:cs="Times New Roman"/>
                      <w:b w:val="0"/>
                      <w:color w:val="000000" w:themeColor="text1"/>
                      <w14:textFill>
                        <w14:solidFill>
                          <w14:schemeClr w14:val="tx1"/>
                        </w14:solidFill>
                      </w14:textFill>
                    </w:rPr>
                    <w:t>m</w:t>
                  </w:r>
                  <w:r>
                    <w:rPr>
                      <w:rFonts w:hint="default" w:ascii="Times New Roman" w:hAnsi="Times New Roman" w:eastAsia="宋体" w:cs="Times New Roman"/>
                      <w:b w:val="0"/>
                      <w:color w:val="000000" w:themeColor="text1"/>
                      <w:vertAlign w:val="superscript"/>
                      <w14:textFill>
                        <w14:solidFill>
                          <w14:schemeClr w14:val="tx1"/>
                        </w14:solidFill>
                      </w14:textFill>
                    </w:rPr>
                    <w:t>2</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用于</w:t>
                  </w:r>
                  <w:r>
                    <w:rPr>
                      <w:rFonts w:hint="default" w:ascii="Times New Roman" w:hAnsi="Times New Roman" w:eastAsia="宋体" w:cs="Times New Roman"/>
                      <w:b w:val="0"/>
                      <w:color w:val="000000" w:themeColor="text1"/>
                      <w:lang w:val="en-US" w:eastAsia="zh-CN"/>
                      <w14:textFill>
                        <w14:solidFill>
                          <w14:schemeClr w14:val="tx1"/>
                        </w14:solidFill>
                      </w14:textFill>
                    </w:rPr>
                    <w:t>成品</w:t>
                  </w:r>
                  <w:r>
                    <w:rPr>
                      <w:rFonts w:hint="default" w:ascii="Times New Roman" w:hAnsi="Times New Roman" w:eastAsia="宋体" w:cs="Times New Roman"/>
                      <w:b w:val="0"/>
                      <w:color w:val="000000" w:themeColor="text1"/>
                      <w14:textFill>
                        <w14:solidFill>
                          <w14:schemeClr w14:val="tx1"/>
                        </w14:solidFill>
                      </w14:textFill>
                    </w:rPr>
                    <w:t>。</w:t>
                  </w:r>
                </w:p>
              </w:tc>
              <w:tc>
                <w:tcPr>
                  <w:tcW w:w="830"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2" w:hRule="atLeast"/>
                <w:jc w:val="center"/>
              </w:trPr>
              <w:tc>
                <w:tcPr>
                  <w:tcW w:w="452" w:type="dxa"/>
                  <w:vMerge w:val="restart"/>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公</w:t>
                  </w:r>
                </w:p>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用</w:t>
                  </w:r>
                </w:p>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工</w:t>
                  </w:r>
                </w:p>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程</w:t>
                  </w:r>
                </w:p>
              </w:tc>
              <w:tc>
                <w:tcPr>
                  <w:tcW w:w="2037" w:type="dxa"/>
                  <w:gridSpan w:val="4"/>
                  <w:tcBorders>
                    <w:top w:val="single" w:color="auto" w:sz="4" w:space="0"/>
                    <w:left w:val="single" w:color="auto" w:sz="4" w:space="0"/>
                    <w:bottom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供水系统</w:t>
                  </w:r>
                </w:p>
              </w:tc>
              <w:tc>
                <w:tcPr>
                  <w:tcW w:w="5476" w:type="dxa"/>
                  <w:tcBorders>
                    <w:top w:val="single" w:color="auto" w:sz="4" w:space="0"/>
                    <w:left w:val="single" w:color="auto" w:sz="4" w:space="0"/>
                    <w:bottom w:val="single" w:color="auto" w:sz="4" w:space="0"/>
                    <w:right w:val="single" w:color="auto" w:sz="4" w:space="0"/>
                  </w:tcBorders>
                  <w:vAlign w:val="center"/>
                </w:tcPr>
                <w:p>
                  <w:pPr>
                    <w:pStyle w:val="47"/>
                    <w:autoSpaceDE/>
                    <w:autoSpaceDN/>
                    <w:adjustRightInd/>
                    <w:snapToGrid/>
                    <w:ind w:firstLine="1470" w:firstLineChars="700"/>
                    <w:jc w:val="both"/>
                    <w:textAlignment w:val="auto"/>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由园区自来水管网供给。</w:t>
                  </w:r>
                </w:p>
              </w:tc>
              <w:tc>
                <w:tcPr>
                  <w:tcW w:w="830" w:type="dxa"/>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依托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2" w:hRule="atLeast"/>
                <w:jc w:val="center"/>
              </w:trPr>
              <w:tc>
                <w:tcPr>
                  <w:tcW w:w="452"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c>
                <w:tcPr>
                  <w:tcW w:w="2037" w:type="dxa"/>
                  <w:gridSpan w:val="4"/>
                  <w:tcBorders>
                    <w:top w:val="single" w:color="auto" w:sz="4" w:space="0"/>
                    <w:left w:val="single" w:color="auto" w:sz="4" w:space="0"/>
                    <w:bottom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供电系统</w:t>
                  </w:r>
                </w:p>
              </w:tc>
              <w:tc>
                <w:tcPr>
                  <w:tcW w:w="5476" w:type="dxa"/>
                  <w:tcBorders>
                    <w:top w:val="single" w:color="auto" w:sz="4" w:space="0"/>
                    <w:left w:val="single" w:color="auto" w:sz="4" w:space="0"/>
                    <w:bottom w:val="single" w:color="auto" w:sz="4" w:space="0"/>
                    <w:right w:val="single" w:color="auto" w:sz="4" w:space="0"/>
                  </w:tcBorders>
                  <w:vAlign w:val="center"/>
                </w:tcPr>
                <w:p>
                  <w:pPr>
                    <w:pStyle w:val="47"/>
                    <w:autoSpaceDE/>
                    <w:autoSpaceDN/>
                    <w:adjustRightInd/>
                    <w:snapToGrid/>
                    <w:ind w:firstLine="420" w:firstLineChars="200"/>
                    <w:textAlignment w:val="auto"/>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由园区供电管网接入。</w:t>
                  </w:r>
                </w:p>
              </w:tc>
              <w:tc>
                <w:tcPr>
                  <w:tcW w:w="830" w:type="dxa"/>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依托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0" w:hRule="atLeast"/>
                <w:jc w:val="center"/>
              </w:trPr>
              <w:tc>
                <w:tcPr>
                  <w:tcW w:w="452"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c>
                <w:tcPr>
                  <w:tcW w:w="2037" w:type="dxa"/>
                  <w:gridSpan w:val="4"/>
                  <w:tcBorders>
                    <w:top w:val="single" w:color="auto" w:sz="4" w:space="0"/>
                    <w:left w:val="single" w:color="auto" w:sz="4" w:space="0"/>
                    <w:bottom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排水系统</w:t>
                  </w:r>
                </w:p>
              </w:tc>
              <w:tc>
                <w:tcPr>
                  <w:tcW w:w="5476" w:type="dxa"/>
                  <w:tcBorders>
                    <w:top w:val="single" w:color="auto" w:sz="4" w:space="0"/>
                    <w:left w:val="single" w:color="auto" w:sz="4" w:space="0"/>
                    <w:bottom w:val="single" w:color="auto" w:sz="4" w:space="0"/>
                    <w:right w:val="single" w:color="auto" w:sz="4" w:space="0"/>
                  </w:tcBorders>
                  <w:vAlign w:val="center"/>
                </w:tcPr>
                <w:p>
                  <w:pPr>
                    <w:pStyle w:val="47"/>
                    <w:autoSpaceDE/>
                    <w:autoSpaceDN/>
                    <w:adjustRightInd/>
                    <w:snapToGrid/>
                    <w:ind w:firstLine="420" w:firstLineChars="200"/>
                    <w:jc w:val="both"/>
                    <w:textAlignment w:val="auto"/>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本项目生产过程中需要AKD蜡热熔后的冷却用水</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属于间接接触</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只需定期补充</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不外排。食堂废水经隔油池处理后与其他生活污水一起经过依托</w:t>
                  </w:r>
                  <w:r>
                    <w:rPr>
                      <w:rFonts w:hint="default" w:ascii="Times New Roman" w:hAnsi="Times New Roman" w:eastAsia="宋体" w:cs="Times New Roman"/>
                      <w:b w:val="0"/>
                      <w:color w:val="000000" w:themeColor="text1"/>
                      <w:lang w:eastAsia="zh-CN"/>
                      <w14:textFill>
                        <w14:solidFill>
                          <w14:schemeClr w14:val="tx1"/>
                        </w14:solidFill>
                      </w14:textFill>
                    </w:rPr>
                    <w:t>云南晋宁宏奥电梯有限公司</w:t>
                  </w:r>
                  <w:r>
                    <w:rPr>
                      <w:rFonts w:hint="default" w:ascii="Times New Roman" w:hAnsi="Times New Roman" w:eastAsia="宋体" w:cs="Times New Roman"/>
                      <w:b w:val="0"/>
                      <w:color w:val="000000" w:themeColor="text1"/>
                      <w14:textFill>
                        <w14:solidFill>
                          <w14:schemeClr w14:val="tx1"/>
                        </w14:solidFill>
                      </w14:textFill>
                    </w:rPr>
                    <w:t>的化粪池处理后排入园区污水管网</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最终进入晋宁县工业园区二街片区生活污水处理厂处理。</w:t>
                  </w:r>
                </w:p>
              </w:tc>
              <w:tc>
                <w:tcPr>
                  <w:tcW w:w="830" w:type="dxa"/>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依托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41" w:hRule="atLeast"/>
                <w:jc w:val="center"/>
              </w:trPr>
              <w:tc>
                <w:tcPr>
                  <w:tcW w:w="452" w:type="dxa"/>
                  <w:vMerge w:val="restart"/>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环保工程</w:t>
                  </w:r>
                </w:p>
              </w:tc>
              <w:tc>
                <w:tcPr>
                  <w:tcW w:w="671" w:type="dxa"/>
                  <w:vMerge w:val="restart"/>
                  <w:tcBorders>
                    <w:top w:val="single" w:color="auto" w:sz="4" w:space="0"/>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废气</w:t>
                  </w:r>
                </w:p>
              </w:tc>
              <w:tc>
                <w:tcPr>
                  <w:tcW w:w="1366" w:type="dxa"/>
                  <w:gridSpan w:val="3"/>
                  <w:tcBorders>
                    <w:top w:val="single" w:color="auto" w:sz="4" w:space="0"/>
                    <w:left w:val="single" w:color="auto" w:sz="4" w:space="0"/>
                    <w:bottom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厨房油烟净化</w:t>
                  </w:r>
                </w:p>
              </w:tc>
              <w:tc>
                <w:tcPr>
                  <w:tcW w:w="5476" w:type="dxa"/>
                  <w:tcBorders>
                    <w:top w:val="single" w:color="auto" w:sz="4" w:space="0"/>
                    <w:left w:val="single" w:color="auto" w:sz="4" w:space="0"/>
                    <w:bottom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在食堂内设置油烟净化器和油烟排气筒</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食堂烹饪产生的油烟经油烟净化器处理后</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通过油烟排气筒引至高于屋顶1.5m排放。</w:t>
                  </w:r>
                </w:p>
              </w:tc>
              <w:tc>
                <w:tcPr>
                  <w:tcW w:w="830" w:type="dxa"/>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新建</w:t>
                  </w:r>
                </w:p>
                <w:p>
                  <w:pPr>
                    <w:rPr>
                      <w:rFonts w:hint="default" w:ascii="Times New Roman" w:hAnsi="Times New Roman" w:eastAsia="宋体" w:cs="Times New Roman"/>
                      <w:bCs/>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0" w:hRule="atLeast"/>
                <w:jc w:val="center"/>
              </w:trPr>
              <w:tc>
                <w:tcPr>
                  <w:tcW w:w="452" w:type="dxa"/>
                  <w:vMerge w:val="continue"/>
                  <w:tcBorders>
                    <w:left w:val="single" w:color="auto" w:sz="4" w:space="0"/>
                    <w:right w:val="single" w:color="auto" w:sz="4" w:space="0"/>
                  </w:tcBorders>
                  <w:vAlign w:val="center"/>
                </w:tcPr>
                <w:p>
                  <w:pPr>
                    <w:rPr>
                      <w:rFonts w:hint="default" w:ascii="Times New Roman" w:hAnsi="Times New Roman" w:eastAsia="宋体" w:cs="Times New Roman"/>
                      <w:bCs/>
                      <w:color w:val="000000" w:themeColor="text1"/>
                      <w:szCs w:val="21"/>
                      <w14:textFill>
                        <w14:solidFill>
                          <w14:schemeClr w14:val="tx1"/>
                        </w14:solidFill>
                      </w14:textFill>
                    </w:rPr>
                  </w:pPr>
                </w:p>
              </w:tc>
              <w:tc>
                <w:tcPr>
                  <w:tcW w:w="671"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c>
                <w:tcPr>
                  <w:tcW w:w="1366" w:type="dxa"/>
                  <w:gridSpan w:val="3"/>
                  <w:tcBorders>
                    <w:top w:val="single" w:color="auto" w:sz="4" w:space="0"/>
                    <w:left w:val="single" w:color="auto" w:sz="4" w:space="0"/>
                    <w:bottom w:val="single" w:color="auto" w:sz="4" w:space="0"/>
                    <w:right w:val="single" w:color="auto" w:sz="4" w:space="0"/>
                  </w:tcBorders>
                  <w:vAlign w:val="center"/>
                </w:tcPr>
                <w:p>
                  <w:pPr>
                    <w:pStyle w:val="47"/>
                    <w:adjustRightInd/>
                    <w:snapToGrid/>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color w:val="000000" w:themeColor="text1"/>
                      <w:lang w:val="en-US" w:eastAsia="zh-CN"/>
                      <w14:textFill>
                        <w14:solidFill>
                          <w14:schemeClr w14:val="tx1"/>
                        </w14:solidFill>
                      </w14:textFill>
                    </w:rPr>
                    <w:t>生产废气</w:t>
                  </w:r>
                  <w:r>
                    <w:rPr>
                      <w:rFonts w:hint="default" w:ascii="Times New Roman" w:hAnsi="Times New Roman" w:eastAsia="宋体" w:cs="Times New Roman"/>
                      <w:b w:val="0"/>
                      <w:color w:val="000000" w:themeColor="text1"/>
                      <w14:textFill>
                        <w14:solidFill>
                          <w14:schemeClr w14:val="tx1"/>
                        </w14:solidFill>
                      </w14:textFill>
                    </w:rPr>
                    <w:t>治理</w:t>
                  </w:r>
                </w:p>
              </w:tc>
              <w:tc>
                <w:tcPr>
                  <w:tcW w:w="5476" w:type="dxa"/>
                  <w:tcBorders>
                    <w:top w:val="single" w:color="auto" w:sz="4" w:space="0"/>
                    <w:left w:val="single" w:color="auto" w:sz="4" w:space="0"/>
                    <w:right w:val="single" w:color="auto" w:sz="4" w:space="0"/>
                  </w:tcBorders>
                  <w:vAlign w:val="center"/>
                </w:tcPr>
                <w:p>
                  <w:pPr>
                    <w:pStyle w:val="47"/>
                    <w:adjustRightInd/>
                    <w:snapToGrid/>
                    <w:rPr>
                      <w:rFonts w:hint="default" w:ascii="Times New Roman" w:hAnsi="Times New Roman" w:eastAsia="宋体" w:cs="Times New Roman"/>
                      <w:color w:val="000000" w:themeColor="text1"/>
                      <w14:textFill>
                        <w14:solidFill>
                          <w14:schemeClr w14:val="tx1"/>
                        </w14:solidFill>
                      </w14:textFill>
                    </w:rPr>
                  </w:pPr>
                  <w:r>
                    <w:rPr>
                      <w:rFonts w:hint="eastAsia" w:cs="Times New Roman"/>
                      <w:b w:val="0"/>
                      <w:color w:val="000000" w:themeColor="text1"/>
                      <w:lang w:eastAsia="zh-CN"/>
                      <w14:textFill>
                        <w14:solidFill>
                          <w14:schemeClr w14:val="tx1"/>
                        </w14:solidFill>
                      </w14:textFill>
                    </w:rPr>
                    <w:t>本</w:t>
                  </w:r>
                  <w:r>
                    <w:rPr>
                      <w:rFonts w:hint="default" w:ascii="Times New Roman" w:hAnsi="Times New Roman" w:eastAsia="宋体" w:cs="Times New Roman"/>
                      <w:b w:val="0"/>
                      <w:color w:val="000000" w:themeColor="text1"/>
                      <w14:textFill>
                        <w14:solidFill>
                          <w14:schemeClr w14:val="tx1"/>
                        </w14:solidFill>
                      </w14:textFill>
                    </w:rPr>
                    <w:t>项目</w:t>
                  </w:r>
                  <w:r>
                    <w:rPr>
                      <w:rFonts w:hint="eastAsia" w:cs="Times New Roman"/>
                      <w:b w:val="0"/>
                      <w:color w:val="000000" w:themeColor="text1"/>
                      <w:lang w:val="en-US" w:eastAsia="zh-CN"/>
                      <w14:textFill>
                        <w14:solidFill>
                          <w14:schemeClr w14:val="tx1"/>
                        </w14:solidFill>
                      </w14:textFill>
                    </w:rPr>
                    <w:t>原料</w:t>
                  </w:r>
                  <w:r>
                    <w:rPr>
                      <w:rFonts w:hint="default" w:ascii="Times New Roman" w:hAnsi="Times New Roman" w:eastAsia="宋体" w:cs="Times New Roman"/>
                      <w:b w:val="0"/>
                      <w:color w:val="000000" w:themeColor="text1"/>
                      <w14:textFill>
                        <w14:solidFill>
                          <w14:schemeClr w14:val="tx1"/>
                        </w14:solidFill>
                      </w14:textFill>
                    </w:rPr>
                    <w:t>AKD蜡融化过程中产生的挥发性有机物（以非甲烷总烃计）通过</w:t>
                  </w:r>
                  <w:r>
                    <w:rPr>
                      <w:rFonts w:hint="eastAsia" w:cs="Times New Roman"/>
                      <w:b w:val="0"/>
                      <w:color w:val="000000" w:themeColor="text1"/>
                      <w:lang w:val="en-US" w:eastAsia="zh-CN"/>
                      <w14:textFill>
                        <w14:solidFill>
                          <w14:schemeClr w14:val="tx1"/>
                        </w14:solidFill>
                      </w14:textFill>
                    </w:rPr>
                    <w:t>二级活性炭</w:t>
                  </w:r>
                  <w:r>
                    <w:rPr>
                      <w:rFonts w:hint="default" w:ascii="Times New Roman" w:hAnsi="Times New Roman" w:eastAsia="宋体" w:cs="Times New Roman"/>
                      <w:b w:val="0"/>
                      <w:color w:val="000000" w:themeColor="text1"/>
                      <w14:textFill>
                        <w14:solidFill>
                          <w14:schemeClr w14:val="tx1"/>
                        </w14:solidFill>
                      </w14:textFill>
                    </w:rPr>
                    <w:t>活性炭吸附设备处理后通过15m高的排气筒达标排放。</w:t>
                  </w:r>
                </w:p>
              </w:tc>
              <w:tc>
                <w:tcPr>
                  <w:tcW w:w="830" w:type="dxa"/>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8" w:hRule="atLeast"/>
                <w:jc w:val="center"/>
              </w:trPr>
              <w:tc>
                <w:tcPr>
                  <w:tcW w:w="452"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c>
                <w:tcPr>
                  <w:tcW w:w="671" w:type="dxa"/>
                  <w:vMerge w:val="restart"/>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固废</w:t>
                  </w:r>
                </w:p>
              </w:tc>
              <w:tc>
                <w:tcPr>
                  <w:tcW w:w="1366" w:type="dxa"/>
                  <w:gridSpan w:val="3"/>
                  <w:tcBorders>
                    <w:top w:val="single" w:color="auto" w:sz="4" w:space="0"/>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lang w:eastAsia="zh-CN"/>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一般固废暂存</w:t>
                  </w:r>
                  <w:r>
                    <w:rPr>
                      <w:rFonts w:hint="default" w:ascii="Times New Roman" w:hAnsi="Times New Roman" w:eastAsia="宋体" w:cs="Times New Roman"/>
                      <w:b w:val="0"/>
                      <w:color w:val="000000" w:themeColor="text1"/>
                      <w:lang w:val="en-US" w:eastAsia="zh-CN"/>
                      <w14:textFill>
                        <w14:solidFill>
                          <w14:schemeClr w14:val="tx1"/>
                        </w14:solidFill>
                      </w14:textFill>
                    </w:rPr>
                    <w:t>区</w:t>
                  </w:r>
                </w:p>
              </w:tc>
              <w:tc>
                <w:tcPr>
                  <w:tcW w:w="5476" w:type="dxa"/>
                  <w:tcBorders>
                    <w:top w:val="single" w:color="auto" w:sz="4" w:space="0"/>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拟位于厂房东北角</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面积10m</w:t>
                  </w:r>
                  <w:r>
                    <w:rPr>
                      <w:rFonts w:hint="default" w:ascii="Times New Roman" w:hAnsi="Times New Roman" w:eastAsia="宋体" w:cs="Times New Roman"/>
                      <w:b w:val="0"/>
                      <w:color w:val="000000" w:themeColor="text1"/>
                      <w:vertAlign w:val="superscript"/>
                      <w14:textFill>
                        <w14:solidFill>
                          <w14:schemeClr w14:val="tx1"/>
                        </w14:solidFill>
                      </w14:textFill>
                    </w:rPr>
                    <w:t>2</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用于收集废弃包装等。</w:t>
                  </w:r>
                </w:p>
              </w:tc>
              <w:tc>
                <w:tcPr>
                  <w:tcW w:w="830" w:type="dxa"/>
                  <w:vMerge w:val="restart"/>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7" w:hRule="atLeast"/>
                <w:jc w:val="center"/>
              </w:trPr>
              <w:tc>
                <w:tcPr>
                  <w:tcW w:w="452"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c>
                <w:tcPr>
                  <w:tcW w:w="671"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c>
                <w:tcPr>
                  <w:tcW w:w="1366" w:type="dxa"/>
                  <w:gridSpan w:val="3"/>
                  <w:tcBorders>
                    <w:top w:val="single" w:color="auto" w:sz="4" w:space="0"/>
                    <w:left w:val="single" w:color="auto" w:sz="4" w:space="0"/>
                    <w:bottom w:val="single" w:color="auto" w:sz="4" w:space="0"/>
                    <w:right w:val="single" w:color="auto" w:sz="4" w:space="0"/>
                  </w:tcBorders>
                  <w:vAlign w:val="center"/>
                </w:tcPr>
                <w:p>
                  <w:pPr>
                    <w:pStyle w:val="47"/>
                    <w:keepNext w:val="0"/>
                    <w:keepLines w:val="0"/>
                    <w:pageBreakBefore w:val="0"/>
                    <w:widowControl w:val="0"/>
                    <w:kinsoku/>
                    <w:wordWrap/>
                    <w:overflowPunct/>
                    <w:topLinePunct w:val="0"/>
                    <w:bidi w:val="0"/>
                    <w:adjustRightInd/>
                    <w:snapToGrid/>
                    <w:spacing w:line="240" w:lineRule="atLeast"/>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危废暂存间</w:t>
                  </w:r>
                </w:p>
              </w:tc>
              <w:tc>
                <w:tcPr>
                  <w:tcW w:w="5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tLeas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sz w:val="21"/>
                      <w:szCs w:val="21"/>
                      <w:lang w:val="en-US" w:eastAsia="zh-CN" w:bidi="zh-CN"/>
                    </w:rPr>
                    <w:t>设置于厂区</w:t>
                  </w:r>
                  <w:r>
                    <w:rPr>
                      <w:rFonts w:hint="default" w:ascii="Times New Roman" w:hAnsi="Times New Roman" w:eastAsia="宋体" w:cs="Times New Roman"/>
                      <w:b w:val="0"/>
                      <w:bCs w:val="0"/>
                      <w:color w:val="auto"/>
                      <w:sz w:val="21"/>
                      <w:szCs w:val="21"/>
                      <w:lang w:val="en-US" w:eastAsia="zh-CN" w:bidi="ar-SA"/>
                    </w:rPr>
                    <w:t>东北角</w:t>
                  </w:r>
                  <w:r>
                    <w:rPr>
                      <w:rFonts w:hint="eastAsia" w:cs="Times New Roman"/>
                      <w:b w:val="0"/>
                      <w:bCs w:val="0"/>
                      <w:color w:val="auto"/>
                      <w:sz w:val="21"/>
                      <w:szCs w:val="21"/>
                      <w:lang w:val="en-US" w:eastAsia="zh-CN" w:bidi="ar-SA"/>
                    </w:rPr>
                    <w:t>，</w:t>
                  </w:r>
                  <w:r>
                    <w:rPr>
                      <w:rFonts w:hint="default" w:ascii="Times New Roman" w:hAnsi="Times New Roman" w:eastAsia="宋体" w:cs="Times New Roman"/>
                      <w:b w:val="0"/>
                      <w:bCs w:val="0"/>
                      <w:color w:val="auto"/>
                      <w:sz w:val="21"/>
                      <w:szCs w:val="21"/>
                      <w:lang w:val="en-US" w:eastAsia="zh-CN" w:bidi="ar-SA"/>
                    </w:rPr>
                    <w:t>建筑面积5m</w:t>
                  </w:r>
                  <w:r>
                    <w:rPr>
                      <w:rFonts w:hint="default" w:ascii="Times New Roman" w:hAnsi="Times New Roman" w:eastAsia="宋体" w:cs="Times New Roman"/>
                      <w:b w:val="0"/>
                      <w:bCs w:val="0"/>
                      <w:color w:val="auto"/>
                      <w:sz w:val="21"/>
                      <w:szCs w:val="21"/>
                      <w:vertAlign w:val="superscript"/>
                      <w:lang w:val="en-US" w:eastAsia="zh-CN" w:bidi="ar-SA"/>
                    </w:rPr>
                    <w:t>2</w:t>
                  </w:r>
                  <w:r>
                    <w:rPr>
                      <w:rFonts w:hint="eastAsia" w:cs="Times New Roman"/>
                      <w:b w:val="0"/>
                      <w:bCs w:val="0"/>
                      <w:color w:val="auto"/>
                      <w:sz w:val="21"/>
                      <w:szCs w:val="21"/>
                      <w:lang w:val="en-US" w:eastAsia="zh-CN" w:bidi="ar-SA"/>
                    </w:rPr>
                    <w:t>，</w:t>
                  </w:r>
                  <w:r>
                    <w:rPr>
                      <w:rFonts w:hint="default" w:ascii="Times New Roman" w:hAnsi="Times New Roman" w:eastAsia="宋体" w:cs="Times New Roman"/>
                      <w:b w:val="0"/>
                      <w:bCs w:val="0"/>
                      <w:color w:val="auto"/>
                      <w:sz w:val="21"/>
                      <w:szCs w:val="21"/>
                      <w:lang w:val="en-US" w:eastAsia="zh-CN" w:bidi="ar-SA"/>
                    </w:rPr>
                    <w:t>不相容的危险废物必须分开存放</w:t>
                  </w:r>
                  <w:r>
                    <w:rPr>
                      <w:rFonts w:hint="eastAsia" w:cs="Times New Roman"/>
                      <w:b w:val="0"/>
                      <w:bCs w:val="0"/>
                      <w:color w:val="auto"/>
                      <w:sz w:val="21"/>
                      <w:szCs w:val="21"/>
                      <w:lang w:val="en-US" w:eastAsia="zh-CN" w:bidi="ar-SA"/>
                    </w:rPr>
                    <w:t>，</w:t>
                  </w:r>
                  <w:r>
                    <w:rPr>
                      <w:rFonts w:hint="default" w:ascii="Times New Roman" w:hAnsi="Times New Roman" w:eastAsia="宋体" w:cs="Times New Roman"/>
                      <w:b w:val="0"/>
                      <w:bCs w:val="0"/>
                      <w:color w:val="auto"/>
                      <w:sz w:val="21"/>
                      <w:szCs w:val="21"/>
                      <w:lang w:val="en-US" w:eastAsia="zh-CN" w:bidi="ar-SA"/>
                    </w:rPr>
                    <w:t>并设有隔离间隔断</w:t>
                  </w:r>
                  <w:r>
                    <w:rPr>
                      <w:rFonts w:hint="default" w:ascii="Times New Roman" w:hAnsi="Times New Roman" w:eastAsia="宋体" w:cs="Times New Roman"/>
                      <w:b w:val="0"/>
                      <w:sz w:val="21"/>
                      <w:szCs w:val="21"/>
                      <w:lang w:val="en-US" w:eastAsia="zh-CN" w:bidi="zh-CN"/>
                    </w:rPr>
                    <w:t>。（贮存危险废物</w:t>
                  </w:r>
                  <w:r>
                    <w:rPr>
                      <w:rFonts w:hint="eastAsia" w:cs="Times New Roman"/>
                      <w:b w:val="0"/>
                      <w:sz w:val="21"/>
                      <w:szCs w:val="21"/>
                      <w:lang w:val="en-US" w:eastAsia="zh-CN" w:bidi="zh-CN"/>
                    </w:rPr>
                    <w:t>，</w:t>
                  </w:r>
                  <w:r>
                    <w:rPr>
                      <w:rFonts w:hint="default" w:ascii="Times New Roman" w:hAnsi="Times New Roman" w:eastAsia="宋体" w:cs="Times New Roman"/>
                      <w:b w:val="0"/>
                      <w:sz w:val="21"/>
                      <w:szCs w:val="21"/>
                      <w:lang w:val="en-US" w:eastAsia="zh-CN" w:bidi="zh-CN"/>
                    </w:rPr>
                    <w:t>必须按照危险废物特性分类进行。禁止混合收集、贮存、运输、处置性质不相容而未经安全性处置的危险废物）。</w:t>
                  </w:r>
                  <w:r>
                    <w:rPr>
                      <w:rFonts w:hint="default" w:ascii="Times New Roman" w:hAnsi="Times New Roman" w:eastAsia="宋体" w:cs="Times New Roman"/>
                      <w:b w:val="0"/>
                      <w:bCs w:val="0"/>
                      <w:sz w:val="21"/>
                      <w:szCs w:val="21"/>
                    </w:rPr>
                    <w:t>设计满足“防风、防雨、防晒、防渗漏”要求</w:t>
                  </w:r>
                  <w:r>
                    <w:rPr>
                      <w:rFonts w:hint="eastAsia" w:cs="Times New Roman"/>
                      <w:b w:val="0"/>
                      <w:bCs w:val="0"/>
                      <w:sz w:val="21"/>
                      <w:szCs w:val="21"/>
                      <w:lang w:eastAsia="zh-CN"/>
                    </w:rPr>
                    <w:t>，</w:t>
                  </w:r>
                  <w:r>
                    <w:rPr>
                      <w:rFonts w:hint="default" w:ascii="Times New Roman" w:hAnsi="Times New Roman" w:eastAsia="宋体" w:cs="Times New Roman"/>
                      <w:b w:val="0"/>
                      <w:bCs w:val="0"/>
                      <w:sz w:val="21"/>
                      <w:szCs w:val="21"/>
                      <w:lang w:val="en-US" w:eastAsia="zh-CN"/>
                    </w:rPr>
                    <w:t>采用</w:t>
                  </w:r>
                  <w:r>
                    <w:rPr>
                      <w:rFonts w:hint="default" w:ascii="Times New Roman" w:hAnsi="Times New Roman" w:eastAsia="宋体" w:cs="Times New Roman"/>
                      <w:b w:val="0"/>
                      <w:bCs w:val="0"/>
                      <w:color w:val="000000" w:themeColor="text1"/>
                      <w:sz w:val="21"/>
                      <w:szCs w:val="21"/>
                      <w14:textFill>
                        <w14:solidFill>
                          <w14:schemeClr w14:val="tx1"/>
                        </w14:solidFill>
                      </w14:textFill>
                    </w:rPr>
                    <w:t>2cm厚高密度聚乙烯</w:t>
                  </w:r>
                  <w:r>
                    <w:rPr>
                      <w:rFonts w:hint="eastAsia"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或至少2mm厚的其他人工材料。</w:t>
                  </w:r>
                </w:p>
              </w:tc>
              <w:tc>
                <w:tcPr>
                  <w:tcW w:w="830" w:type="dxa"/>
                  <w:vMerge w:val="continue"/>
                  <w:tcBorders>
                    <w:left w:val="single" w:color="auto" w:sz="4" w:space="0"/>
                    <w:bottom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52"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c>
                <w:tcPr>
                  <w:tcW w:w="671"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c>
                <w:tcPr>
                  <w:tcW w:w="1366" w:type="dxa"/>
                  <w:gridSpan w:val="3"/>
                  <w:tcBorders>
                    <w:top w:val="single" w:color="auto" w:sz="4" w:space="0"/>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生活垃圾</w:t>
                  </w:r>
                </w:p>
              </w:tc>
              <w:tc>
                <w:tcPr>
                  <w:tcW w:w="5476" w:type="dxa"/>
                  <w:tcBorders>
                    <w:top w:val="single" w:color="auto" w:sz="4" w:space="0"/>
                    <w:left w:val="single" w:color="auto" w:sz="4" w:space="0"/>
                    <w:bottom w:val="single" w:color="auto" w:sz="4" w:space="0"/>
                    <w:right w:val="single" w:color="auto" w:sz="4" w:space="0"/>
                  </w:tcBorders>
                  <w:vAlign w:val="center"/>
                </w:tcPr>
                <w:p>
                  <w:pPr>
                    <w:pStyle w:val="47"/>
                    <w:adjustRightInd/>
                    <w:snapToGrid/>
                    <w:ind w:firstLine="420" w:firstLineChars="20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厂区内设置5个垃圾收集桶</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用于收集员工生活垃圾。</w:t>
                  </w:r>
                </w:p>
              </w:tc>
              <w:tc>
                <w:tcPr>
                  <w:tcW w:w="830" w:type="dxa"/>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52"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c>
                <w:tcPr>
                  <w:tcW w:w="671" w:type="dxa"/>
                  <w:tcBorders>
                    <w:top w:val="single" w:color="auto" w:sz="4" w:space="0"/>
                    <w:left w:val="single" w:color="auto" w:sz="4" w:space="0"/>
                    <w:bottom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噪声</w:t>
                  </w:r>
                </w:p>
              </w:tc>
              <w:tc>
                <w:tcPr>
                  <w:tcW w:w="7672" w:type="dxa"/>
                  <w:gridSpan w:val="5"/>
                  <w:tcBorders>
                    <w:top w:val="single" w:color="auto" w:sz="4" w:space="0"/>
                    <w:left w:val="single" w:color="auto" w:sz="4" w:space="0"/>
                    <w:bottom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选用低噪设备、厂房隔声、风机消声、安装减震垫。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52"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c>
                <w:tcPr>
                  <w:tcW w:w="671" w:type="dxa"/>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废水</w:t>
                  </w:r>
                </w:p>
              </w:tc>
              <w:tc>
                <w:tcPr>
                  <w:tcW w:w="527" w:type="dxa"/>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生活污水处理措施</w:t>
                  </w:r>
                </w:p>
              </w:tc>
              <w:tc>
                <w:tcPr>
                  <w:tcW w:w="839" w:type="dxa"/>
                  <w:gridSpan w:val="2"/>
                  <w:tcBorders>
                    <w:top w:val="single" w:color="auto" w:sz="4" w:space="0"/>
                    <w:left w:val="single" w:color="auto" w:sz="4" w:space="0"/>
                    <w:bottom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隔油池</w:t>
                  </w:r>
                </w:p>
              </w:tc>
              <w:tc>
                <w:tcPr>
                  <w:tcW w:w="5476" w:type="dxa"/>
                  <w:tcBorders>
                    <w:top w:val="single" w:color="auto" w:sz="4" w:space="0"/>
                    <w:left w:val="single" w:color="auto" w:sz="4" w:space="0"/>
                    <w:bottom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设置1个容积为</w:t>
                  </w:r>
                  <w:r>
                    <w:rPr>
                      <w:rFonts w:hint="default" w:ascii="Times New Roman" w:hAnsi="Times New Roman" w:eastAsia="宋体" w:cs="Times New Roman"/>
                      <w:b w:val="0"/>
                      <w:color w:val="000000" w:themeColor="text1"/>
                      <w:lang w:val="en-US" w:eastAsia="zh-CN"/>
                      <w14:textFill>
                        <w14:solidFill>
                          <w14:schemeClr w14:val="tx1"/>
                        </w14:solidFill>
                      </w14:textFill>
                    </w:rPr>
                    <w:t>0.5</w:t>
                  </w:r>
                  <w:r>
                    <w:rPr>
                      <w:rFonts w:hint="default" w:ascii="Times New Roman" w:hAnsi="Times New Roman" w:eastAsia="宋体" w:cs="Times New Roman"/>
                      <w:b w:val="0"/>
                      <w:color w:val="000000" w:themeColor="text1"/>
                      <w14:textFill>
                        <w14:solidFill>
                          <w14:schemeClr w14:val="tx1"/>
                        </w14:solidFill>
                      </w14:textFill>
                    </w:rPr>
                    <w:t>m</w:t>
                  </w:r>
                  <w:r>
                    <w:rPr>
                      <w:rFonts w:hint="default" w:ascii="Times New Roman" w:hAnsi="Times New Roman" w:eastAsia="宋体" w:cs="Times New Roman"/>
                      <w:b w:val="0"/>
                      <w:color w:val="000000" w:themeColor="text1"/>
                      <w:vertAlign w:val="superscript"/>
                      <w14:textFill>
                        <w14:solidFill>
                          <w14:schemeClr w14:val="tx1"/>
                        </w14:solidFill>
                      </w14:textFill>
                    </w:rPr>
                    <w:t>3</w:t>
                  </w:r>
                  <w:r>
                    <w:rPr>
                      <w:rFonts w:hint="default" w:ascii="Times New Roman" w:hAnsi="Times New Roman" w:eastAsia="宋体" w:cs="Times New Roman"/>
                      <w:b w:val="0"/>
                      <w:color w:val="000000" w:themeColor="text1"/>
                      <w14:textFill>
                        <w14:solidFill>
                          <w14:schemeClr w14:val="tx1"/>
                        </w14:solidFill>
                      </w14:textFill>
                    </w:rPr>
                    <w:t>的隔油池</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用于对食堂废水进行预处理。</w:t>
                  </w:r>
                </w:p>
              </w:tc>
              <w:tc>
                <w:tcPr>
                  <w:tcW w:w="830" w:type="dxa"/>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52" w:type="dxa"/>
                  <w:vMerge w:val="restart"/>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其他</w:t>
                  </w:r>
                </w:p>
              </w:tc>
              <w:tc>
                <w:tcPr>
                  <w:tcW w:w="671" w:type="dxa"/>
                  <w:vMerge w:val="restart"/>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依托设施</w:t>
                  </w:r>
                </w:p>
              </w:tc>
              <w:tc>
                <w:tcPr>
                  <w:tcW w:w="527" w:type="dxa"/>
                  <w:vMerge w:val="restart"/>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生活污水</w:t>
                  </w:r>
                </w:p>
              </w:tc>
              <w:tc>
                <w:tcPr>
                  <w:tcW w:w="839" w:type="dxa"/>
                  <w:gridSpan w:val="2"/>
                  <w:tcBorders>
                    <w:top w:val="single" w:color="auto" w:sz="4" w:space="0"/>
                    <w:left w:val="single" w:color="auto" w:sz="4" w:space="0"/>
                    <w:bottom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化粪池</w:t>
                  </w:r>
                </w:p>
              </w:tc>
              <w:tc>
                <w:tcPr>
                  <w:tcW w:w="5476" w:type="dxa"/>
                  <w:tcBorders>
                    <w:top w:val="single" w:color="auto" w:sz="4" w:space="0"/>
                    <w:left w:val="single" w:color="auto" w:sz="4" w:space="0"/>
                    <w:bottom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本项目厂区提供食宿</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lang w:val="en-US" w:eastAsia="zh-CN"/>
                      <w14:textFill>
                        <w14:solidFill>
                          <w14:schemeClr w14:val="tx1"/>
                        </w14:solidFill>
                      </w14:textFill>
                    </w:rPr>
                    <w:t>主要</w:t>
                  </w:r>
                  <w:r>
                    <w:rPr>
                      <w:rFonts w:hint="default" w:ascii="Times New Roman" w:hAnsi="Times New Roman" w:eastAsia="宋体" w:cs="Times New Roman"/>
                      <w:b w:val="0"/>
                      <w:color w:val="000000" w:themeColor="text1"/>
                      <w14:textFill>
                        <w14:solidFill>
                          <w14:schemeClr w14:val="tx1"/>
                        </w14:solidFill>
                      </w14:textFill>
                    </w:rPr>
                    <w:t>污水为食堂废水和生活污水</w:t>
                  </w:r>
                  <w:r>
                    <w:rPr>
                      <w:rFonts w:hint="eastAsia" w:cs="Times New Roman"/>
                      <w:b w:val="0"/>
                      <w:color w:val="000000" w:themeColor="text1"/>
                      <w:lang w:eastAsia="zh-CN"/>
                      <w14:textFill>
                        <w14:solidFill>
                          <w14:schemeClr w14:val="tx1"/>
                        </w14:solidFill>
                      </w14:textFill>
                    </w:rPr>
                    <w:t>，</w:t>
                  </w:r>
                  <w:r>
                    <w:rPr>
                      <w:rFonts w:hint="eastAsia" w:cs="Times New Roman"/>
                      <w:b w:val="0"/>
                      <w:color w:val="000000" w:themeColor="text1"/>
                      <w:lang w:val="en-US" w:eastAsia="zh-CN"/>
                      <w14:textFill>
                        <w14:solidFill>
                          <w14:schemeClr w14:val="tx1"/>
                        </w14:solidFill>
                      </w14:textFill>
                    </w:rPr>
                    <w:t>本</w:t>
                  </w:r>
                  <w:r>
                    <w:rPr>
                      <w:rFonts w:hint="default" w:ascii="Times New Roman" w:hAnsi="Times New Roman" w:eastAsia="宋体" w:cs="Times New Roman"/>
                      <w:b w:val="0"/>
                      <w:color w:val="000000" w:themeColor="text1"/>
                      <w14:textFill>
                        <w14:solidFill>
                          <w14:schemeClr w14:val="tx1"/>
                        </w14:solidFill>
                      </w14:textFill>
                    </w:rPr>
                    <w:t>项目</w:t>
                  </w:r>
                  <w:r>
                    <w:rPr>
                      <w:rFonts w:hint="eastAsia" w:cs="Times New Roman"/>
                      <w:b w:val="0"/>
                      <w:color w:val="000000" w:themeColor="text1"/>
                      <w:lang w:val="en-US" w:eastAsia="zh-CN"/>
                      <w14:textFill>
                        <w14:solidFill>
                          <w14:schemeClr w14:val="tx1"/>
                        </w14:solidFill>
                      </w14:textFill>
                    </w:rPr>
                    <w:t>原料</w:t>
                  </w:r>
                  <w:r>
                    <w:rPr>
                      <w:rFonts w:hint="default" w:ascii="Times New Roman" w:hAnsi="Times New Roman" w:eastAsia="宋体" w:cs="Times New Roman"/>
                      <w:b w:val="0"/>
                      <w:color w:val="000000" w:themeColor="text1"/>
                      <w14:textFill>
                        <w14:solidFill>
                          <w14:schemeClr w14:val="tx1"/>
                        </w14:solidFill>
                      </w14:textFill>
                    </w:rPr>
                    <w:t>AKD蜡融化过程中产生的挥发性有机物（以非甲烷总烃计）通过</w:t>
                  </w:r>
                  <w:r>
                    <w:rPr>
                      <w:rFonts w:hint="eastAsia" w:cs="Times New Roman"/>
                      <w:b w:val="0"/>
                      <w:color w:val="000000" w:themeColor="text1"/>
                      <w:lang w:val="en-US" w:eastAsia="zh-CN"/>
                      <w14:textFill>
                        <w14:solidFill>
                          <w14:schemeClr w14:val="tx1"/>
                        </w14:solidFill>
                      </w14:textFill>
                    </w:rPr>
                    <w:t>二级</w:t>
                  </w:r>
                  <w:r>
                    <w:rPr>
                      <w:rFonts w:hint="default" w:ascii="Times New Roman" w:hAnsi="Times New Roman" w:eastAsia="宋体" w:cs="Times New Roman"/>
                      <w:b w:val="0"/>
                      <w:color w:val="000000" w:themeColor="text1"/>
                      <w14:textFill>
                        <w14:solidFill>
                          <w14:schemeClr w14:val="tx1"/>
                        </w14:solidFill>
                      </w14:textFill>
                    </w:rPr>
                    <w:t>活性炭吸附设备处理后通过15m高的排气筒达标排放；挥发性有机物（以非甲烷总烃计）排放能够满足《大气污染物综合排放标准》（GB16297—1996）表2中二级标准限值。化粪池位于办公楼</w:t>
                  </w:r>
                  <w:r>
                    <w:rPr>
                      <w:rFonts w:hint="default" w:ascii="Times New Roman" w:hAnsi="Times New Roman" w:eastAsia="宋体" w:cs="Times New Roman"/>
                      <w:b w:val="0"/>
                      <w:color w:val="000000" w:themeColor="text1"/>
                      <w:lang w:val="en-US" w:eastAsia="zh-CN"/>
                      <w14:textFill>
                        <w14:solidFill>
                          <w14:schemeClr w14:val="tx1"/>
                        </w14:solidFill>
                      </w14:textFill>
                    </w:rPr>
                    <w:t>东</w:t>
                  </w:r>
                  <w:r>
                    <w:rPr>
                      <w:rFonts w:hint="default" w:ascii="Times New Roman" w:hAnsi="Times New Roman" w:eastAsia="宋体" w:cs="Times New Roman"/>
                      <w:b w:val="0"/>
                      <w:color w:val="000000" w:themeColor="text1"/>
                      <w14:textFill>
                        <w14:solidFill>
                          <w14:schemeClr w14:val="tx1"/>
                        </w14:solidFill>
                      </w14:textFill>
                    </w:rPr>
                    <w:t>侧</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化粪池容积为</w:t>
                  </w:r>
                  <w:r>
                    <w:rPr>
                      <w:rFonts w:hint="default" w:ascii="Times New Roman" w:hAnsi="Times New Roman" w:eastAsia="宋体" w:cs="Times New Roman"/>
                      <w:b w:val="0"/>
                      <w:color w:val="000000" w:themeColor="text1"/>
                      <w:lang w:val="en-US" w:eastAsia="zh-CN"/>
                      <w14:textFill>
                        <w14:solidFill>
                          <w14:schemeClr w14:val="tx1"/>
                        </w14:solidFill>
                      </w14:textFill>
                    </w:rPr>
                    <w:t>15</w:t>
                  </w:r>
                  <w:r>
                    <w:rPr>
                      <w:rFonts w:hint="default" w:ascii="Times New Roman" w:hAnsi="Times New Roman" w:eastAsia="宋体" w:cs="Times New Roman"/>
                      <w:b w:val="0"/>
                      <w:color w:val="000000" w:themeColor="text1"/>
                      <w14:textFill>
                        <w14:solidFill>
                          <w14:schemeClr w14:val="tx1"/>
                        </w14:solidFill>
                      </w14:textFill>
                    </w:rPr>
                    <w:t>m</w:t>
                  </w:r>
                  <w:r>
                    <w:rPr>
                      <w:rFonts w:hint="default" w:ascii="Times New Roman" w:hAnsi="Times New Roman" w:eastAsia="宋体" w:cs="Times New Roman"/>
                      <w:b w:val="0"/>
                      <w:color w:val="000000" w:themeColor="text1"/>
                      <w:vertAlign w:val="superscript"/>
                      <w14:textFill>
                        <w14:solidFill>
                          <w14:schemeClr w14:val="tx1"/>
                        </w14:solidFill>
                      </w14:textFill>
                    </w:rPr>
                    <w:t>3</w:t>
                  </w:r>
                </w:p>
              </w:tc>
              <w:tc>
                <w:tcPr>
                  <w:tcW w:w="830" w:type="dxa"/>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依托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52"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c>
                <w:tcPr>
                  <w:tcW w:w="671"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c>
                <w:tcPr>
                  <w:tcW w:w="527" w:type="dxa"/>
                  <w:vMerge w:val="continue"/>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p>
              </w:tc>
              <w:tc>
                <w:tcPr>
                  <w:tcW w:w="839" w:type="dxa"/>
                  <w:gridSpan w:val="2"/>
                  <w:tcBorders>
                    <w:top w:val="single" w:color="auto" w:sz="4" w:space="0"/>
                    <w:left w:val="single" w:color="auto" w:sz="4" w:space="0"/>
                    <w:bottom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雨污分流</w:t>
                  </w:r>
                </w:p>
              </w:tc>
              <w:tc>
                <w:tcPr>
                  <w:tcW w:w="5476" w:type="dxa"/>
                  <w:tcBorders>
                    <w:top w:val="single" w:color="auto" w:sz="4" w:space="0"/>
                    <w:left w:val="single" w:color="auto" w:sz="4" w:space="0"/>
                    <w:bottom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依托</w:t>
                  </w:r>
                  <w:r>
                    <w:rPr>
                      <w:rFonts w:hint="default" w:ascii="Times New Roman" w:hAnsi="Times New Roman" w:eastAsia="宋体" w:cs="Times New Roman"/>
                      <w:b w:val="0"/>
                      <w:color w:val="000000" w:themeColor="text1"/>
                      <w:lang w:eastAsia="zh-CN"/>
                      <w14:textFill>
                        <w14:solidFill>
                          <w14:schemeClr w14:val="tx1"/>
                        </w14:solidFill>
                      </w14:textFill>
                    </w:rPr>
                    <w:t>云南晋宁宏奥电梯有限公司</w:t>
                  </w:r>
                  <w:r>
                    <w:rPr>
                      <w:rFonts w:hint="default" w:ascii="Times New Roman" w:hAnsi="Times New Roman" w:eastAsia="宋体" w:cs="Times New Roman"/>
                      <w:b w:val="0"/>
                      <w:color w:val="000000" w:themeColor="text1"/>
                      <w14:textFill>
                        <w14:solidFill>
                          <w14:schemeClr w14:val="tx1"/>
                        </w14:solidFill>
                      </w14:textFill>
                    </w:rPr>
                    <w:t>内已建成了雨污分流系统</w:t>
                  </w:r>
                </w:p>
              </w:tc>
              <w:tc>
                <w:tcPr>
                  <w:tcW w:w="830" w:type="dxa"/>
                  <w:tcBorders>
                    <w:left w:val="single" w:color="auto" w:sz="4" w:space="0"/>
                    <w:right w:val="single" w:color="auto" w:sz="4" w:space="0"/>
                  </w:tcBorders>
                  <w:vAlign w:val="center"/>
                </w:tcPr>
                <w:p>
                  <w:pPr>
                    <w:pStyle w:val="47"/>
                    <w:adjustRightInd/>
                    <w:snapToGrid/>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依托</w:t>
                  </w:r>
                </w:p>
              </w:tc>
            </w:tr>
          </w:tbl>
          <w:p>
            <w:pPr>
              <w:pStyle w:val="11"/>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3、</w:t>
            </w:r>
            <w:r>
              <w:rPr>
                <w:rFonts w:hint="default" w:ascii="Times New Roman" w:hAnsi="Times New Roman" w:eastAsia="宋体" w:cs="Times New Roman"/>
                <w:b/>
                <w:color w:val="000000" w:themeColor="text1"/>
                <w14:textFill>
                  <w14:solidFill>
                    <w14:schemeClr w14:val="tx1"/>
                  </w14:solidFill>
                </w14:textFill>
              </w:rPr>
              <w:t>依托设施可行性分析：</w:t>
            </w:r>
          </w:p>
          <w:p>
            <w:pPr>
              <w:spacing w:line="360" w:lineRule="auto"/>
              <w:ind w:firstLine="482" w:firstLineChars="200"/>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themeColor="text1"/>
                <w:sz w:val="24"/>
                <w14:textFill>
                  <w14:solidFill>
                    <w14:schemeClr w14:val="tx1"/>
                  </w14:solidFill>
                </w14:textFill>
              </w:rPr>
              <w:t>①</w:t>
            </w:r>
            <w:r>
              <w:rPr>
                <w:rFonts w:hint="default" w:ascii="Times New Roman" w:hAnsi="Times New Roman" w:eastAsia="宋体" w:cs="Times New Roman"/>
                <w:b/>
                <w:bCs/>
                <w:color w:val="000000"/>
                <w:sz w:val="24"/>
                <w:highlight w:val="none"/>
              </w:rPr>
              <w:t>依托</w:t>
            </w:r>
            <w:r>
              <w:rPr>
                <w:rFonts w:hint="default" w:ascii="Times New Roman" w:hAnsi="Times New Roman" w:eastAsia="宋体" w:cs="Times New Roman"/>
                <w:b/>
                <w:bCs/>
                <w:color w:val="000000"/>
                <w:sz w:val="24"/>
                <w:highlight w:val="none"/>
                <w:lang w:bidi="zh-CN"/>
              </w:rPr>
              <w:t>云南晋宁宏奥电梯有限公司</w:t>
            </w:r>
            <w:r>
              <w:rPr>
                <w:rFonts w:hint="default" w:ascii="Times New Roman" w:hAnsi="Times New Roman" w:eastAsia="宋体" w:cs="Times New Roman"/>
                <w:b/>
                <w:bCs/>
                <w:color w:val="000000"/>
                <w:sz w:val="24"/>
                <w:highlight w:val="none"/>
              </w:rPr>
              <w:t>厂区内化粪池的可行性</w:t>
            </w:r>
          </w:p>
          <w:p>
            <w:pPr>
              <w:pStyle w:val="45"/>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依托</w:t>
            </w:r>
            <w:r>
              <w:rPr>
                <w:rFonts w:hint="default" w:ascii="Times New Roman" w:hAnsi="Times New Roman" w:eastAsia="宋体" w:cs="Times New Roman"/>
                <w:color w:val="000000" w:themeColor="text1"/>
                <w:sz w:val="24"/>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sz w:val="24"/>
                <w14:textFill>
                  <w14:solidFill>
                    <w14:schemeClr w14:val="tx1"/>
                  </w14:solidFill>
                </w14:textFill>
              </w:rPr>
              <w:t>已建成的化粪池</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分别位于办公楼</w:t>
            </w:r>
            <w:r>
              <w:rPr>
                <w:rFonts w:hint="default" w:ascii="Times New Roman" w:hAnsi="Times New Roman" w:eastAsia="宋体" w:cs="Times New Roman"/>
                <w:color w:val="000000" w:themeColor="text1"/>
                <w:sz w:val="24"/>
                <w:lang w:val="en-US" w:eastAsia="zh-CN"/>
                <w14:textFill>
                  <w14:solidFill>
                    <w14:schemeClr w14:val="tx1"/>
                  </w14:solidFill>
                </w14:textFill>
              </w:rPr>
              <w:t>东</w:t>
            </w:r>
            <w:r>
              <w:rPr>
                <w:rFonts w:hint="default" w:ascii="Times New Roman" w:hAnsi="Times New Roman" w:eastAsia="宋体" w:cs="Times New Roman"/>
                <w:color w:val="000000" w:themeColor="text1"/>
                <w:sz w:val="24"/>
                <w14:textFill>
                  <w14:solidFill>
                    <w14:schemeClr w14:val="tx1"/>
                  </w14:solidFill>
                </w14:textFill>
              </w:rPr>
              <w:t>侧</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化粪池容积为</w:t>
            </w:r>
            <w:r>
              <w:rPr>
                <w:rFonts w:hint="default" w:ascii="Times New Roman" w:hAnsi="Times New Roman" w:eastAsia="宋体" w:cs="Times New Roman"/>
                <w:color w:val="000000" w:themeColor="text1"/>
                <w:sz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p>
          <w:p>
            <w:pPr>
              <w:pStyle w:val="81"/>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szCs w:val="24"/>
                <w:highlight w:val="none"/>
                <w:lang w:val="en-US" w:eastAsia="zh-CN" w:bidi="zh-CN"/>
              </w:rPr>
            </w:pPr>
            <w:r>
              <w:rPr>
                <w:rFonts w:hint="default" w:ascii="Times New Roman" w:hAnsi="Times New Roman" w:eastAsia="宋体" w:cs="Times New Roman"/>
                <w:color w:val="000000"/>
                <w:sz w:val="24"/>
                <w:highlight w:val="none"/>
                <w:lang w:bidi="zh-CN"/>
              </w:rPr>
              <w:t>云南晋宁宏奥电梯有限公司</w:t>
            </w:r>
            <w:r>
              <w:rPr>
                <w:rFonts w:hint="default" w:ascii="Times New Roman" w:hAnsi="Times New Roman" w:eastAsia="宋体" w:cs="Times New Roman"/>
                <w:color w:val="000000"/>
                <w:sz w:val="24"/>
                <w:highlight w:val="none"/>
              </w:rPr>
              <w:t>厂区内共有1个化粪池</w:t>
            </w:r>
            <w:r>
              <w:rPr>
                <w:rFonts w:hint="eastAsia" w:cs="Times New Roman"/>
                <w:color w:val="000000"/>
                <w:sz w:val="24"/>
                <w:highlight w:val="none"/>
                <w:lang w:eastAsia="zh-CN"/>
              </w:rPr>
              <w:t>，</w:t>
            </w:r>
            <w:r>
              <w:rPr>
                <w:rFonts w:hint="default" w:ascii="Times New Roman" w:hAnsi="Times New Roman" w:eastAsia="宋体" w:cs="Times New Roman"/>
                <w:color w:val="000000"/>
                <w:sz w:val="24"/>
                <w:highlight w:val="none"/>
              </w:rPr>
              <w:t>化粪池</w:t>
            </w:r>
            <w:r>
              <w:rPr>
                <w:rFonts w:hint="default" w:ascii="Times New Roman" w:hAnsi="Times New Roman" w:eastAsia="宋体" w:cs="Times New Roman"/>
                <w:color w:val="000000"/>
                <w:sz w:val="24"/>
                <w:highlight w:val="none"/>
                <w:lang w:val="en-US" w:eastAsia="zh-CN"/>
              </w:rPr>
              <w:t>面积为15</w:t>
            </w:r>
            <w:r>
              <w:rPr>
                <w:rFonts w:hint="default" w:ascii="Times New Roman" w:hAnsi="Times New Roman" w:eastAsia="宋体" w:cs="Times New Roman"/>
                <w:sz w:val="21"/>
                <w:highlight w:val="none"/>
              </w:rPr>
              <w:t>m</w:t>
            </w:r>
            <w:r>
              <w:rPr>
                <w:rFonts w:hint="default" w:ascii="Times New Roman" w:hAnsi="Times New Roman" w:eastAsia="宋体" w:cs="Times New Roman"/>
                <w:sz w:val="21"/>
                <w:highlight w:val="none"/>
                <w:vertAlign w:val="superscript"/>
                <w:lang w:val="en-US" w:eastAsia="zh-CN"/>
              </w:rPr>
              <w:t>3</w:t>
            </w:r>
            <w:r>
              <w:rPr>
                <w:rFonts w:hint="default" w:ascii="Times New Roman" w:hAnsi="Times New Roman" w:eastAsia="宋体" w:cs="Times New Roman"/>
                <w:color w:val="000000"/>
                <w:sz w:val="24"/>
                <w:highlight w:val="none"/>
              </w:rPr>
              <w:t>。</w:t>
            </w:r>
            <w:r>
              <w:rPr>
                <w:rFonts w:hint="default" w:ascii="Times New Roman" w:hAnsi="Times New Roman" w:eastAsia="宋体" w:cs="Times New Roman"/>
                <w:color w:val="000000"/>
                <w:sz w:val="24"/>
                <w:highlight w:val="none"/>
                <w:lang w:bidi="zh-CN"/>
              </w:rPr>
              <w:t>根据调查</w:t>
            </w:r>
            <w:r>
              <w:rPr>
                <w:rFonts w:hint="default" w:ascii="Times New Roman" w:hAnsi="Times New Roman" w:eastAsia="宋体" w:cs="Times New Roman"/>
                <w:b w:val="0"/>
                <w:bCs w:val="0"/>
                <w:color w:val="000000"/>
                <w:sz w:val="24"/>
                <w:szCs w:val="24"/>
                <w:highlight w:val="none"/>
                <w:lang w:val="en-US" w:eastAsia="zh-CN" w:bidi="zh-CN"/>
              </w:rPr>
              <w:t>云南晋宁宏奥电梯有限公司</w:t>
            </w:r>
            <w:r>
              <w:rPr>
                <w:rFonts w:hint="default" w:ascii="Times New Roman" w:hAnsi="Times New Roman" w:eastAsia="宋体" w:cs="Times New Roman"/>
                <w:color w:val="000000"/>
                <w:sz w:val="24"/>
                <w:szCs w:val="24"/>
                <w:highlight w:val="none"/>
                <w:lang w:val="en-US" w:eastAsia="zh-CN" w:bidi="zh-CN"/>
              </w:rPr>
              <w:t>共建设有3栋生产厂房和3栋办公楼。</w:t>
            </w:r>
          </w:p>
          <w:p>
            <w:pPr>
              <w:pStyle w:val="81"/>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color w:val="000000"/>
                <w:sz w:val="24"/>
                <w:szCs w:val="24"/>
                <w:highlight w:val="none"/>
                <w:lang w:val="en-US" w:eastAsia="zh-CN" w:bidi="zh-CN"/>
              </w:rPr>
            </w:pPr>
            <w:r>
              <w:rPr>
                <w:rFonts w:hint="default" w:ascii="Times New Roman" w:hAnsi="Times New Roman" w:eastAsia="宋体" w:cs="Times New Roman"/>
                <w:b/>
                <w:bCs/>
                <w:color w:val="000000"/>
                <w:sz w:val="24"/>
                <w:szCs w:val="24"/>
                <w:highlight w:val="none"/>
                <w:lang w:val="en-US" w:eastAsia="zh-CN" w:bidi="zh-CN"/>
              </w:rPr>
              <w:t>1#生产厂房：</w:t>
            </w:r>
            <w:r>
              <w:rPr>
                <w:rFonts w:hint="default" w:ascii="Times New Roman" w:hAnsi="Times New Roman" w:eastAsia="宋体" w:cs="Times New Roman"/>
                <w:color w:val="000000"/>
                <w:sz w:val="24"/>
                <w:szCs w:val="24"/>
                <w:highlight w:val="none"/>
                <w:lang w:val="en-US" w:eastAsia="zh-CN" w:bidi="zh-CN"/>
              </w:rPr>
              <w:t>全部出租给云南建投路桥机械事业部。</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color w:val="000000"/>
                <w:sz w:val="24"/>
                <w:szCs w:val="24"/>
                <w:highlight w:val="none"/>
                <w:lang w:val="en-US" w:eastAsia="zh-CN" w:bidi="zh-CN"/>
              </w:rPr>
            </w:pPr>
            <w:r>
              <w:rPr>
                <w:rFonts w:hint="default" w:ascii="Times New Roman" w:hAnsi="Times New Roman" w:eastAsia="宋体" w:cs="Times New Roman"/>
                <w:b/>
                <w:bCs/>
                <w:color w:val="000000"/>
                <w:sz w:val="24"/>
                <w:szCs w:val="24"/>
                <w:highlight w:val="none"/>
                <w:lang w:val="en-US" w:eastAsia="zh-CN" w:bidi="zh-CN"/>
              </w:rPr>
              <w:t>2#生产厂房：</w:t>
            </w:r>
            <w:r>
              <w:rPr>
                <w:rFonts w:hint="default" w:ascii="Times New Roman" w:hAnsi="Times New Roman" w:eastAsia="宋体" w:cs="Times New Roman"/>
                <w:b w:val="0"/>
                <w:bCs w:val="0"/>
                <w:color w:val="000000"/>
                <w:sz w:val="24"/>
                <w:szCs w:val="24"/>
                <w:highlight w:val="none"/>
                <w:lang w:val="en-US" w:eastAsia="zh-CN" w:bidi="zh-CN"/>
              </w:rPr>
              <w:t>出租给</w:t>
            </w:r>
            <w:r>
              <w:rPr>
                <w:rFonts w:hint="default" w:ascii="Times New Roman" w:hAnsi="Times New Roman" w:eastAsia="宋体" w:cs="Times New Roman"/>
                <w:color w:val="000000"/>
                <w:sz w:val="24"/>
                <w:szCs w:val="24"/>
                <w:highlight w:val="none"/>
                <w:lang w:val="en-US" w:eastAsia="zh-CN" w:bidi="zh-CN"/>
              </w:rPr>
              <w:t>晋宁徽铠人防工程防护设备有限公司</w:t>
            </w:r>
            <w:r>
              <w:rPr>
                <w:rFonts w:hint="eastAsia" w:ascii="Times New Roman" w:hAnsi="Times New Roman" w:eastAsia="宋体" w:cs="Times New Roman"/>
                <w:color w:val="000000"/>
                <w:sz w:val="24"/>
                <w:szCs w:val="24"/>
                <w:highlight w:val="none"/>
                <w:lang w:val="en-US" w:eastAsia="zh-CN" w:bidi="zh-CN"/>
              </w:rPr>
              <w:t>、</w:t>
            </w:r>
            <w:r>
              <w:rPr>
                <w:rFonts w:hint="default" w:ascii="Times New Roman" w:hAnsi="Times New Roman" w:eastAsia="宋体" w:cs="Times New Roman"/>
                <w:sz w:val="24"/>
                <w:szCs w:val="24"/>
              </w:rPr>
              <w:t>云南易无界建材有限公司</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color w:val="000000"/>
                <w:sz w:val="24"/>
                <w:szCs w:val="24"/>
                <w:highlight w:val="none"/>
                <w:lang w:val="en-US" w:eastAsia="zh-CN" w:bidi="zh-CN"/>
              </w:rPr>
              <w:t>云南克莱多新材料有限公司使用以及本项</w:t>
            </w:r>
            <w:r>
              <w:rPr>
                <w:rFonts w:hint="default" w:ascii="Times New Roman" w:hAnsi="Times New Roman" w:eastAsia="宋体" w:cs="Times New Roman"/>
                <w:b w:val="0"/>
                <w:bCs w:val="0"/>
                <w:color w:val="000000"/>
                <w:sz w:val="24"/>
                <w:szCs w:val="24"/>
                <w:highlight w:val="none"/>
                <w:lang w:val="en-US" w:eastAsia="zh-CN" w:bidi="zh-CN"/>
              </w:rPr>
              <w:t>目云南爱瑞新型材料科技有限公司</w:t>
            </w:r>
            <w:r>
              <w:rPr>
                <w:rFonts w:hint="default" w:ascii="Times New Roman" w:hAnsi="Times New Roman" w:eastAsia="宋体" w:cs="Times New Roman"/>
                <w:color w:val="000000"/>
                <w:sz w:val="24"/>
                <w:szCs w:val="24"/>
                <w:highlight w:val="none"/>
                <w:lang w:val="en-US" w:eastAsia="zh-CN" w:bidi="zh-CN"/>
              </w:rPr>
              <w:t>使用。</w:t>
            </w:r>
          </w:p>
          <w:p>
            <w:pPr>
              <w:pStyle w:val="81"/>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color w:val="000000"/>
                <w:sz w:val="24"/>
                <w:szCs w:val="24"/>
                <w:highlight w:val="none"/>
                <w:lang w:val="en-US" w:eastAsia="zh-CN" w:bidi="zh-CN"/>
              </w:rPr>
            </w:pPr>
            <w:r>
              <w:rPr>
                <w:rFonts w:hint="default" w:ascii="Times New Roman" w:hAnsi="Times New Roman" w:eastAsia="宋体" w:cs="Times New Roman"/>
                <w:b/>
                <w:bCs/>
                <w:color w:val="000000"/>
                <w:sz w:val="24"/>
                <w:szCs w:val="24"/>
                <w:highlight w:val="none"/>
                <w:lang w:val="en-US" w:eastAsia="zh-CN" w:bidi="zh-CN"/>
              </w:rPr>
              <w:t>3#生产厂房：</w:t>
            </w:r>
            <w:r>
              <w:rPr>
                <w:rFonts w:hint="default" w:ascii="Times New Roman" w:hAnsi="Times New Roman" w:eastAsia="宋体" w:cs="Times New Roman"/>
                <w:color w:val="000000"/>
                <w:sz w:val="24"/>
                <w:szCs w:val="24"/>
                <w:highlight w:val="none"/>
                <w:lang w:val="en-US" w:eastAsia="zh-CN" w:bidi="zh-CN"/>
              </w:rPr>
              <w:t>3#生产厂房</w:t>
            </w:r>
            <w:r>
              <w:rPr>
                <w:rFonts w:hint="eastAsia" w:cs="Times New Roman"/>
                <w:color w:val="000000"/>
                <w:sz w:val="24"/>
                <w:szCs w:val="24"/>
                <w:highlight w:val="none"/>
                <w:lang w:val="en-US" w:eastAsia="zh-CN" w:bidi="zh-CN"/>
              </w:rPr>
              <w:t>全部</w:t>
            </w:r>
            <w:r>
              <w:rPr>
                <w:rFonts w:hint="default" w:ascii="Times New Roman" w:hAnsi="Times New Roman" w:eastAsia="宋体" w:cs="Times New Roman"/>
                <w:color w:val="000000"/>
                <w:sz w:val="24"/>
                <w:szCs w:val="24"/>
                <w:highlight w:val="none"/>
                <w:lang w:val="en-US" w:eastAsia="zh-CN" w:bidi="zh-CN"/>
              </w:rPr>
              <w:t>出租给</w:t>
            </w:r>
            <w:r>
              <w:rPr>
                <w:rFonts w:hint="default" w:ascii="Times New Roman" w:hAnsi="Times New Roman" w:eastAsia="宋体" w:cs="Times New Roman"/>
                <w:sz w:val="24"/>
                <w:szCs w:val="24"/>
              </w:rPr>
              <w:t>云南建投路桥机械事业部</w:t>
            </w:r>
            <w:r>
              <w:rPr>
                <w:rFonts w:hint="default" w:ascii="Times New Roman" w:hAnsi="Times New Roman" w:eastAsia="宋体" w:cs="Times New Roman"/>
                <w:sz w:val="24"/>
                <w:szCs w:val="24"/>
                <w:lang w:eastAsia="zh-CN"/>
              </w:rPr>
              <w:t>。</w:t>
            </w:r>
          </w:p>
          <w:p>
            <w:pPr>
              <w:pStyle w:val="8"/>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bCs/>
                <w:color w:val="000000"/>
                <w:sz w:val="21"/>
                <w:szCs w:val="21"/>
                <w:highlight w:val="none"/>
              </w:rPr>
              <w:t>表</w:t>
            </w:r>
            <w:r>
              <w:rPr>
                <w:rFonts w:hint="eastAsia" w:cs="Times New Roman"/>
                <w:b/>
                <w:bCs/>
                <w:color w:val="000000"/>
                <w:sz w:val="21"/>
                <w:szCs w:val="21"/>
                <w:highlight w:val="none"/>
                <w:lang w:val="en-US" w:eastAsia="zh-CN"/>
              </w:rPr>
              <w:t>2-2</w:t>
            </w:r>
            <w:r>
              <w:rPr>
                <w:rFonts w:hint="default" w:ascii="Times New Roman" w:hAnsi="Times New Roman" w:eastAsia="宋体" w:cs="Times New Roman"/>
                <w:bCs/>
                <w:color w:val="000000"/>
                <w:sz w:val="21"/>
                <w:szCs w:val="21"/>
                <w:highlight w:val="none"/>
              </w:rPr>
              <w:t>厂区内</w:t>
            </w:r>
            <w:r>
              <w:rPr>
                <w:rFonts w:hint="default" w:ascii="Times New Roman" w:hAnsi="Times New Roman" w:eastAsia="宋体" w:cs="Times New Roman"/>
                <w:bCs/>
                <w:color w:val="000000"/>
                <w:kern w:val="2"/>
                <w:sz w:val="21"/>
                <w:szCs w:val="21"/>
                <w:highlight w:val="none"/>
                <w:lang w:bidi="zh-CN"/>
              </w:rPr>
              <w:t>化</w:t>
            </w:r>
            <w:r>
              <w:rPr>
                <w:rFonts w:hint="default" w:ascii="Times New Roman" w:hAnsi="Times New Roman" w:eastAsia="宋体" w:cs="Times New Roman"/>
                <w:color w:val="000000"/>
                <w:kern w:val="2"/>
                <w:sz w:val="21"/>
                <w:szCs w:val="21"/>
                <w:highlight w:val="none"/>
                <w:lang w:bidi="zh-CN"/>
              </w:rPr>
              <w:t>粪池</w:t>
            </w:r>
            <w:r>
              <w:rPr>
                <w:rFonts w:hint="default" w:ascii="Times New Roman" w:hAnsi="Times New Roman" w:eastAsia="宋体" w:cs="Times New Roman"/>
                <w:color w:val="000000"/>
                <w:sz w:val="21"/>
                <w:szCs w:val="21"/>
                <w:highlight w:val="none"/>
              </w:rPr>
              <w:t>废水排放情况</w:t>
            </w:r>
          </w:p>
          <w:tbl>
            <w:tblPr>
              <w:tblStyle w:val="27"/>
              <w:tblW w:w="48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3431"/>
              <w:gridCol w:w="680"/>
              <w:gridCol w:w="944"/>
              <w:gridCol w:w="1036"/>
              <w:gridCol w:w="1115"/>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5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rPr>
                    <w:t>编号</w:t>
                  </w:r>
                </w:p>
              </w:tc>
              <w:tc>
                <w:tcPr>
                  <w:tcW w:w="1909"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rPr>
                    <w:t>企业名称</w:t>
                  </w:r>
                </w:p>
              </w:tc>
              <w:tc>
                <w:tcPr>
                  <w:tcW w:w="37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rPr>
                    <w:t>人数</w:t>
                  </w:r>
                </w:p>
              </w:tc>
              <w:tc>
                <w:tcPr>
                  <w:tcW w:w="525"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rPr>
                    <w:t>用水定额</w:t>
                  </w:r>
                </w:p>
              </w:tc>
              <w:tc>
                <w:tcPr>
                  <w:tcW w:w="576"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rPr>
                    <w:t>产污系数</w:t>
                  </w:r>
                </w:p>
              </w:tc>
              <w:tc>
                <w:tcPr>
                  <w:tcW w:w="61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rPr>
                    <w:t>用水量（m</w:t>
                  </w:r>
                  <w:r>
                    <w:rPr>
                      <w:rFonts w:hint="default" w:ascii="Times New Roman" w:hAnsi="Times New Roman" w:eastAsia="宋体" w:cs="Times New Roman"/>
                      <w:color w:val="000000"/>
                      <w:kern w:val="2"/>
                      <w:sz w:val="21"/>
                      <w:szCs w:val="21"/>
                      <w:highlight w:val="none"/>
                      <w:vertAlign w:val="superscript"/>
                      <w:lang w:val="en-US" w:eastAsia="zh-CN"/>
                    </w:rPr>
                    <w:t>3</w:t>
                  </w:r>
                  <w:r>
                    <w:rPr>
                      <w:rFonts w:hint="default" w:ascii="Times New Roman" w:hAnsi="Times New Roman" w:eastAsia="宋体" w:cs="Times New Roman"/>
                      <w:color w:val="000000"/>
                      <w:kern w:val="2"/>
                      <w:sz w:val="21"/>
                      <w:szCs w:val="21"/>
                      <w:highlight w:val="none"/>
                    </w:rPr>
                    <w:t>/d）</w:t>
                  </w:r>
                </w:p>
              </w:tc>
              <w:tc>
                <w:tcPr>
                  <w:tcW w:w="733"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rPr>
                    <w:t>废水产生量（m</w:t>
                  </w:r>
                  <w:r>
                    <w:rPr>
                      <w:rFonts w:hint="default" w:ascii="Times New Roman" w:hAnsi="Times New Roman" w:eastAsia="宋体" w:cs="Times New Roman"/>
                      <w:color w:val="000000"/>
                      <w:kern w:val="2"/>
                      <w:sz w:val="21"/>
                      <w:szCs w:val="21"/>
                      <w:highlight w:val="none"/>
                      <w:vertAlign w:val="superscript"/>
                      <w:lang w:val="en-US" w:eastAsia="zh-CN"/>
                    </w:rPr>
                    <w:t>3</w:t>
                  </w:r>
                  <w:r>
                    <w:rPr>
                      <w:rFonts w:hint="default" w:ascii="Times New Roman" w:hAnsi="Times New Roman" w:eastAsia="宋体" w:cs="Times New Roman"/>
                      <w:color w:val="000000"/>
                      <w:kern w:val="2"/>
                      <w:sz w:val="21"/>
                      <w:szCs w:val="21"/>
                      <w:highlight w:val="none"/>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5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rPr>
                    <w:t>1</w:t>
                  </w:r>
                </w:p>
              </w:tc>
              <w:tc>
                <w:tcPr>
                  <w:tcW w:w="1909"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eastAsia="zh-CN"/>
                    </w:rPr>
                  </w:pPr>
                  <w:r>
                    <w:rPr>
                      <w:rFonts w:hint="default" w:ascii="Times New Roman" w:hAnsi="Times New Roman" w:eastAsia="宋体" w:cs="Times New Roman"/>
                      <w:color w:val="000000"/>
                      <w:kern w:val="2"/>
                      <w:sz w:val="21"/>
                      <w:szCs w:val="21"/>
                      <w:highlight w:val="none"/>
                    </w:rPr>
                    <w:t>云南建投集团有限公司</w:t>
                  </w:r>
                  <w:r>
                    <w:rPr>
                      <w:rFonts w:hint="default" w:ascii="Times New Roman" w:hAnsi="Times New Roman" w:eastAsia="宋体" w:cs="Times New Roman"/>
                      <w:color w:val="000000"/>
                      <w:kern w:val="2"/>
                      <w:sz w:val="21"/>
                      <w:szCs w:val="21"/>
                      <w:highlight w:val="none"/>
                      <w:lang w:eastAsia="zh-CN"/>
                    </w:rPr>
                    <w:t>（</w:t>
                  </w:r>
                  <w:r>
                    <w:rPr>
                      <w:rFonts w:hint="default" w:ascii="Times New Roman" w:hAnsi="Times New Roman" w:eastAsia="宋体" w:cs="Times New Roman"/>
                      <w:color w:val="000000"/>
                      <w:kern w:val="2"/>
                      <w:sz w:val="21"/>
                      <w:szCs w:val="21"/>
                      <w:highlight w:val="none"/>
                    </w:rPr>
                    <w:t>活动板房事业部</w:t>
                  </w:r>
                  <w:r>
                    <w:rPr>
                      <w:rFonts w:hint="default" w:ascii="Times New Roman" w:hAnsi="Times New Roman" w:eastAsia="宋体" w:cs="Times New Roman"/>
                      <w:color w:val="000000"/>
                      <w:kern w:val="2"/>
                      <w:sz w:val="21"/>
                      <w:szCs w:val="21"/>
                      <w:highlight w:val="none"/>
                      <w:lang w:eastAsia="zh-CN"/>
                    </w:rPr>
                    <w:t>、</w:t>
                  </w:r>
                  <w:r>
                    <w:rPr>
                      <w:rFonts w:hint="default" w:ascii="Times New Roman" w:hAnsi="Times New Roman" w:eastAsia="宋体" w:cs="Times New Roman"/>
                      <w:color w:val="000000"/>
                      <w:kern w:val="2"/>
                      <w:sz w:val="21"/>
                      <w:szCs w:val="21"/>
                      <w:highlight w:val="none"/>
                    </w:rPr>
                    <w:t>路桥机械事业部</w:t>
                  </w:r>
                  <w:r>
                    <w:rPr>
                      <w:rFonts w:hint="default" w:ascii="Times New Roman" w:hAnsi="Times New Roman" w:eastAsia="宋体" w:cs="Times New Roman"/>
                      <w:color w:val="000000"/>
                      <w:kern w:val="2"/>
                      <w:sz w:val="21"/>
                      <w:szCs w:val="21"/>
                      <w:highlight w:val="none"/>
                      <w:lang w:eastAsia="zh-CN"/>
                    </w:rPr>
                    <w:t>）</w:t>
                  </w:r>
                </w:p>
              </w:tc>
              <w:tc>
                <w:tcPr>
                  <w:tcW w:w="37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cs="Times New Roman"/>
                      <w:color w:val="000000"/>
                      <w:kern w:val="2"/>
                      <w:sz w:val="21"/>
                      <w:szCs w:val="21"/>
                      <w:highlight w:val="none"/>
                      <w:lang w:val="en-US" w:eastAsia="zh-CN"/>
                    </w:rPr>
                    <w:t>45</w:t>
                  </w:r>
                </w:p>
              </w:tc>
              <w:tc>
                <w:tcPr>
                  <w:tcW w:w="525" w:type="pct"/>
                  <w:vMerge w:val="restar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rPr>
                    <w:t>按照100L/人.d计</w:t>
                  </w:r>
                </w:p>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p>
              </w:tc>
              <w:tc>
                <w:tcPr>
                  <w:tcW w:w="576" w:type="pct"/>
                  <w:vMerge w:val="restar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rPr>
                    <w:t>按0.8计</w:t>
                  </w:r>
                </w:p>
              </w:tc>
              <w:tc>
                <w:tcPr>
                  <w:tcW w:w="61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4.5</w:t>
                  </w:r>
                </w:p>
              </w:tc>
              <w:tc>
                <w:tcPr>
                  <w:tcW w:w="733"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cs="Times New Roman"/>
                      <w:color w:val="000000"/>
                      <w:kern w:val="2"/>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5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2</w:t>
                  </w:r>
                </w:p>
              </w:tc>
              <w:tc>
                <w:tcPr>
                  <w:tcW w:w="1909"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rPr>
                    <w:t>晋宁徽铠人防工程防护设备有限公司</w:t>
                  </w:r>
                </w:p>
              </w:tc>
              <w:tc>
                <w:tcPr>
                  <w:tcW w:w="37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cs="Times New Roman"/>
                      <w:color w:val="000000"/>
                      <w:kern w:val="2"/>
                      <w:sz w:val="21"/>
                      <w:szCs w:val="21"/>
                      <w:highlight w:val="none"/>
                      <w:lang w:val="en-US" w:eastAsia="zh-CN"/>
                    </w:rPr>
                    <w:t>20</w:t>
                  </w:r>
                </w:p>
              </w:tc>
              <w:tc>
                <w:tcPr>
                  <w:tcW w:w="525" w:type="pct"/>
                  <w:vMerge w:val="continue"/>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p>
              </w:tc>
              <w:tc>
                <w:tcPr>
                  <w:tcW w:w="576" w:type="pct"/>
                  <w:vMerge w:val="continue"/>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p>
              </w:tc>
              <w:tc>
                <w:tcPr>
                  <w:tcW w:w="61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w:t>
                  </w:r>
                </w:p>
              </w:tc>
              <w:tc>
                <w:tcPr>
                  <w:tcW w:w="733"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cs="Times New Roman"/>
                      <w:color w:val="000000"/>
                      <w:kern w:val="2"/>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5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3</w:t>
                  </w:r>
                </w:p>
              </w:tc>
              <w:tc>
                <w:tcPr>
                  <w:tcW w:w="1909"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rPr>
                    <w:t>云南易无界建材有限公司</w:t>
                  </w:r>
                </w:p>
              </w:tc>
              <w:tc>
                <w:tcPr>
                  <w:tcW w:w="37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20</w:t>
                  </w:r>
                </w:p>
              </w:tc>
              <w:tc>
                <w:tcPr>
                  <w:tcW w:w="525" w:type="pct"/>
                  <w:vMerge w:val="continue"/>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p>
              </w:tc>
              <w:tc>
                <w:tcPr>
                  <w:tcW w:w="576" w:type="pct"/>
                  <w:vMerge w:val="continue"/>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p>
              </w:tc>
              <w:tc>
                <w:tcPr>
                  <w:tcW w:w="61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2</w:t>
                  </w:r>
                </w:p>
              </w:tc>
              <w:tc>
                <w:tcPr>
                  <w:tcW w:w="733"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5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w:t>
                  </w:r>
                </w:p>
              </w:tc>
              <w:tc>
                <w:tcPr>
                  <w:tcW w:w="1909"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lang w:eastAsia="zh-CN"/>
                    </w:rPr>
                    <w:t>云南爱瑞新型材料科技有限公司（</w:t>
                  </w:r>
                  <w:r>
                    <w:rPr>
                      <w:rFonts w:hint="default" w:ascii="Times New Roman" w:hAnsi="Times New Roman" w:eastAsia="宋体" w:cs="Times New Roman"/>
                      <w:color w:val="000000"/>
                      <w:kern w:val="2"/>
                      <w:sz w:val="21"/>
                      <w:szCs w:val="21"/>
                      <w:highlight w:val="none"/>
                      <w:lang w:val="en-US" w:eastAsia="zh-CN"/>
                    </w:rPr>
                    <w:t>本项目</w:t>
                  </w:r>
                  <w:r>
                    <w:rPr>
                      <w:rFonts w:hint="default" w:ascii="Times New Roman" w:hAnsi="Times New Roman" w:eastAsia="宋体" w:cs="Times New Roman"/>
                      <w:color w:val="000000"/>
                      <w:kern w:val="2"/>
                      <w:sz w:val="21"/>
                      <w:szCs w:val="21"/>
                      <w:highlight w:val="none"/>
                      <w:lang w:eastAsia="zh-CN"/>
                    </w:rPr>
                    <w:t>）</w:t>
                  </w:r>
                </w:p>
              </w:tc>
              <w:tc>
                <w:tcPr>
                  <w:tcW w:w="37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30</w:t>
                  </w:r>
                </w:p>
              </w:tc>
              <w:tc>
                <w:tcPr>
                  <w:tcW w:w="525" w:type="pct"/>
                  <w:vMerge w:val="continue"/>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p>
              </w:tc>
              <w:tc>
                <w:tcPr>
                  <w:tcW w:w="576" w:type="pct"/>
                  <w:vMerge w:val="continue"/>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p>
              </w:tc>
              <w:tc>
                <w:tcPr>
                  <w:tcW w:w="61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3</w:t>
                  </w:r>
                </w:p>
              </w:tc>
              <w:tc>
                <w:tcPr>
                  <w:tcW w:w="733"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5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lang w:val="en-US" w:eastAsia="zh-CN"/>
                    </w:rPr>
                  </w:pPr>
                  <w:r>
                    <w:rPr>
                      <w:rFonts w:hint="eastAsia" w:ascii="Times New Roman" w:cs="Times New Roman"/>
                      <w:lang w:val="en-US" w:eastAsia="zh-CN"/>
                    </w:rPr>
                    <w:t>5</w:t>
                  </w:r>
                </w:p>
              </w:tc>
              <w:tc>
                <w:tcPr>
                  <w:tcW w:w="1909"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eastAsia="zh-CN"/>
                    </w:rPr>
                  </w:pPr>
                  <w:r>
                    <w:rPr>
                      <w:rFonts w:hint="default" w:ascii="Times New Roman" w:hAnsi="Times New Roman" w:eastAsia="宋体" w:cs="Times New Roman"/>
                      <w:color w:val="000000"/>
                      <w:kern w:val="2"/>
                      <w:sz w:val="21"/>
                      <w:szCs w:val="21"/>
                      <w:highlight w:val="none"/>
                      <w:lang w:val="en-US" w:eastAsia="zh-CN"/>
                    </w:rPr>
                    <w:t>云南克莱多新材料有限公司</w:t>
                  </w:r>
                </w:p>
              </w:tc>
              <w:tc>
                <w:tcPr>
                  <w:tcW w:w="37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cs="Times New Roman"/>
                      <w:color w:val="000000"/>
                      <w:kern w:val="2"/>
                      <w:sz w:val="21"/>
                      <w:szCs w:val="21"/>
                      <w:highlight w:val="none"/>
                      <w:lang w:val="en-US" w:eastAsia="zh-CN"/>
                    </w:rPr>
                    <w:t>40</w:t>
                  </w:r>
                </w:p>
              </w:tc>
              <w:tc>
                <w:tcPr>
                  <w:tcW w:w="525" w:type="pct"/>
                  <w:vMerge w:val="continue"/>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p>
              </w:tc>
              <w:tc>
                <w:tcPr>
                  <w:tcW w:w="576" w:type="pct"/>
                  <w:vMerge w:val="continue"/>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p>
              </w:tc>
              <w:tc>
                <w:tcPr>
                  <w:tcW w:w="61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cs="Times New Roman"/>
                      <w:color w:val="000000"/>
                      <w:kern w:val="2"/>
                      <w:sz w:val="21"/>
                      <w:szCs w:val="21"/>
                      <w:highlight w:val="none"/>
                      <w:lang w:val="en-US" w:eastAsia="zh-CN"/>
                    </w:rPr>
                    <w:t>4</w:t>
                  </w:r>
                </w:p>
              </w:tc>
              <w:tc>
                <w:tcPr>
                  <w:tcW w:w="733"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cs="Times New Roman"/>
                      <w:color w:val="000000"/>
                      <w:kern w:val="2"/>
                      <w:sz w:val="21"/>
                      <w:szCs w:val="21"/>
                      <w:highlight w:val="no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266" w:type="pct"/>
                  <w:gridSpan w:val="6"/>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 xml:space="preserve">                                           共计</w:t>
                  </w:r>
                </w:p>
              </w:tc>
              <w:tc>
                <w:tcPr>
                  <w:tcW w:w="733"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12.4</w:t>
                  </w:r>
                </w:p>
              </w:tc>
            </w:tr>
          </w:tbl>
          <w:p>
            <w:pPr>
              <w:pStyle w:val="5"/>
              <w:spacing w:before="0" w:after="0" w:line="360" w:lineRule="auto"/>
              <w:ind w:left="0" w:leftChars="0" w:firstLine="480" w:firstLineChars="200"/>
              <w:jc w:val="both"/>
              <w:rPr>
                <w:rFonts w:hint="default" w:ascii="Times New Roman" w:hAnsi="Times New Roman" w:eastAsia="宋体" w:cs="Times New Roman"/>
                <w:b w:val="0"/>
                <w:bCs w:val="0"/>
                <w:color w:val="000000"/>
                <w:sz w:val="24"/>
                <w:szCs w:val="24"/>
                <w:highlight w:val="none"/>
              </w:rPr>
            </w:pPr>
            <w:r>
              <w:rPr>
                <w:rFonts w:hint="default" w:ascii="Times New Roman" w:hAnsi="Times New Roman" w:eastAsia="宋体" w:cs="Times New Roman"/>
                <w:b w:val="0"/>
                <w:bCs w:val="0"/>
                <w:color w:val="000000"/>
                <w:sz w:val="24"/>
                <w:szCs w:val="24"/>
                <w:highlight w:val="none"/>
              </w:rPr>
              <w:t>通过表4-1</w:t>
            </w:r>
            <w:r>
              <w:rPr>
                <w:rFonts w:hint="default" w:ascii="Times New Roman" w:hAnsi="Times New Roman" w:eastAsia="宋体" w:cs="Times New Roman"/>
                <w:b w:val="0"/>
                <w:bCs w:val="0"/>
                <w:color w:val="000000"/>
                <w:sz w:val="24"/>
                <w:szCs w:val="24"/>
                <w:highlight w:val="none"/>
                <w:lang w:val="en-US" w:eastAsia="zh-CN"/>
              </w:rPr>
              <w:t>8</w:t>
            </w:r>
            <w:r>
              <w:rPr>
                <w:rFonts w:hint="default" w:ascii="Times New Roman" w:hAnsi="Times New Roman" w:eastAsia="宋体" w:cs="Times New Roman"/>
                <w:b w:val="0"/>
                <w:bCs w:val="0"/>
                <w:color w:val="000000"/>
                <w:sz w:val="24"/>
                <w:szCs w:val="24"/>
                <w:highlight w:val="none"/>
              </w:rPr>
              <w:t>中对产生的废水量按员工人数进行核算后</w:t>
            </w:r>
            <w:r>
              <w:rPr>
                <w:rFonts w:hint="eastAsia" w:cs="Times New Roman"/>
                <w:b w:val="0"/>
                <w:bCs w:val="0"/>
                <w:color w:val="000000"/>
                <w:sz w:val="24"/>
                <w:szCs w:val="24"/>
                <w:highlight w:val="none"/>
                <w:lang w:eastAsia="zh-CN"/>
              </w:rPr>
              <w:t>，</w:t>
            </w:r>
            <w:r>
              <w:rPr>
                <w:rFonts w:hint="default" w:ascii="Times New Roman" w:hAnsi="Times New Roman" w:eastAsia="宋体" w:cs="Times New Roman"/>
                <w:b w:val="0"/>
                <w:bCs w:val="0"/>
                <w:color w:val="000000"/>
                <w:sz w:val="24"/>
                <w:szCs w:val="24"/>
                <w:highlight w:val="none"/>
                <w:lang w:val="en-US" w:eastAsia="zh-CN"/>
              </w:rPr>
              <w:t>厂区内</w:t>
            </w:r>
            <w:r>
              <w:rPr>
                <w:rFonts w:hint="default" w:ascii="Times New Roman" w:hAnsi="Times New Roman" w:eastAsia="宋体" w:cs="Times New Roman"/>
                <w:b w:val="0"/>
                <w:bCs w:val="0"/>
                <w:color w:val="000000"/>
                <w:sz w:val="24"/>
                <w:szCs w:val="24"/>
                <w:highlight w:val="none"/>
              </w:rPr>
              <w:t>产生的</w:t>
            </w:r>
            <w:r>
              <w:rPr>
                <w:rFonts w:hint="default" w:ascii="Times New Roman" w:hAnsi="Times New Roman" w:eastAsia="宋体" w:cs="Times New Roman"/>
                <w:b w:val="0"/>
                <w:bCs w:val="0"/>
                <w:color w:val="000000"/>
                <w:sz w:val="24"/>
                <w:szCs w:val="24"/>
                <w:highlight w:val="none"/>
                <w:lang w:val="en-US" w:eastAsia="zh-CN"/>
              </w:rPr>
              <w:t>总</w:t>
            </w:r>
            <w:r>
              <w:rPr>
                <w:rFonts w:hint="default" w:ascii="Times New Roman" w:hAnsi="Times New Roman" w:eastAsia="宋体" w:cs="Times New Roman"/>
                <w:b w:val="0"/>
                <w:bCs w:val="0"/>
                <w:color w:val="000000"/>
                <w:sz w:val="24"/>
                <w:szCs w:val="24"/>
                <w:highlight w:val="none"/>
              </w:rPr>
              <w:t>废水</w:t>
            </w:r>
            <w:r>
              <w:rPr>
                <w:rFonts w:hint="default" w:ascii="Times New Roman" w:hAnsi="Times New Roman" w:eastAsia="宋体" w:cs="Times New Roman"/>
                <w:b w:val="0"/>
                <w:bCs w:val="0"/>
                <w:color w:val="000000"/>
                <w:sz w:val="24"/>
                <w:szCs w:val="24"/>
                <w:highlight w:val="none"/>
                <w:lang w:val="en-US" w:eastAsia="zh-CN"/>
              </w:rPr>
              <w:t>最大排放</w:t>
            </w:r>
            <w:r>
              <w:rPr>
                <w:rFonts w:hint="default" w:ascii="Times New Roman" w:hAnsi="Times New Roman" w:eastAsia="宋体" w:cs="Times New Roman"/>
                <w:b w:val="0"/>
                <w:bCs w:val="0"/>
                <w:color w:val="000000"/>
                <w:sz w:val="24"/>
                <w:szCs w:val="24"/>
                <w:highlight w:val="none"/>
              </w:rPr>
              <w:t>量约为</w:t>
            </w:r>
            <w:r>
              <w:rPr>
                <w:rFonts w:hint="default" w:ascii="Times New Roman" w:hAnsi="Times New Roman" w:eastAsia="宋体" w:cs="Times New Roman"/>
                <w:b w:val="0"/>
                <w:bCs w:val="0"/>
                <w:color w:val="000000"/>
                <w:sz w:val="24"/>
                <w:szCs w:val="24"/>
                <w:highlight w:val="none"/>
                <w:lang w:val="en-US" w:eastAsia="zh-CN"/>
              </w:rPr>
              <w:t>12.4</w:t>
            </w:r>
            <w:r>
              <w:rPr>
                <w:rFonts w:hint="default" w:ascii="Times New Roman" w:hAnsi="Times New Roman" w:eastAsia="宋体" w:cs="Times New Roman"/>
                <w:b w:val="0"/>
                <w:bCs w:val="0"/>
                <w:color w:val="000000"/>
                <w:sz w:val="24"/>
                <w:szCs w:val="24"/>
                <w:highlight w:val="none"/>
              </w:rPr>
              <w:t>m³/d</w:t>
            </w:r>
            <w:r>
              <w:rPr>
                <w:rFonts w:hint="eastAsia" w:cs="Times New Roman"/>
                <w:b w:val="0"/>
                <w:bCs w:val="0"/>
                <w:color w:val="000000"/>
                <w:sz w:val="24"/>
                <w:szCs w:val="24"/>
                <w:highlight w:val="none"/>
                <w:lang w:eastAsia="zh-CN"/>
              </w:rPr>
              <w:t>，</w:t>
            </w:r>
            <w:r>
              <w:rPr>
                <w:rFonts w:hint="default" w:ascii="Times New Roman" w:hAnsi="Times New Roman" w:eastAsia="宋体" w:cs="Times New Roman"/>
                <w:b w:val="0"/>
                <w:bCs w:val="0"/>
                <w:color w:val="000000"/>
                <w:sz w:val="24"/>
                <w:szCs w:val="24"/>
                <w:highlight w:val="none"/>
              </w:rPr>
              <w:t>占现有化粪池能力的</w:t>
            </w:r>
            <w:r>
              <w:rPr>
                <w:rFonts w:hint="default" w:ascii="Times New Roman" w:hAnsi="Times New Roman" w:eastAsia="宋体" w:cs="Times New Roman"/>
                <w:b w:val="0"/>
                <w:bCs w:val="0"/>
                <w:color w:val="000000"/>
                <w:sz w:val="24"/>
                <w:szCs w:val="24"/>
                <w:highlight w:val="none"/>
                <w:lang w:val="en-US" w:eastAsia="zh-CN"/>
              </w:rPr>
              <w:t>82</w:t>
            </w:r>
            <w:r>
              <w:rPr>
                <w:rFonts w:hint="default" w:ascii="Times New Roman" w:hAnsi="Times New Roman" w:eastAsia="宋体" w:cs="Times New Roman"/>
                <w:b w:val="0"/>
                <w:bCs w:val="0"/>
                <w:color w:val="000000"/>
                <w:sz w:val="24"/>
                <w:szCs w:val="24"/>
                <w:highlight w:val="none"/>
              </w:rPr>
              <w:t>%</w:t>
            </w:r>
            <w:r>
              <w:rPr>
                <w:rFonts w:hint="eastAsia" w:cs="Times New Roman"/>
                <w:b w:val="0"/>
                <w:bCs w:val="0"/>
                <w:color w:val="000000"/>
                <w:sz w:val="24"/>
                <w:szCs w:val="24"/>
                <w:highlight w:val="none"/>
                <w:lang w:eastAsia="zh-CN"/>
              </w:rPr>
              <w:t>，</w:t>
            </w:r>
            <w:r>
              <w:rPr>
                <w:rFonts w:hint="default" w:ascii="Times New Roman" w:hAnsi="Times New Roman" w:eastAsia="宋体" w:cs="Times New Roman"/>
                <w:b w:val="0"/>
                <w:bCs w:val="0"/>
                <w:color w:val="000000"/>
                <w:sz w:val="24"/>
                <w:szCs w:val="24"/>
                <w:highlight w:val="none"/>
              </w:rPr>
              <w:t>化粪池目前剩余</w:t>
            </w:r>
            <w:r>
              <w:rPr>
                <w:rFonts w:hint="default" w:ascii="Times New Roman" w:hAnsi="Times New Roman" w:eastAsia="宋体" w:cs="Times New Roman"/>
                <w:b w:val="0"/>
                <w:bCs w:val="0"/>
                <w:color w:val="000000"/>
                <w:sz w:val="24"/>
                <w:szCs w:val="24"/>
                <w:highlight w:val="none"/>
                <w:lang w:val="en-US" w:eastAsia="zh-CN"/>
              </w:rPr>
              <w:t>2.6</w:t>
            </w:r>
            <w:r>
              <w:rPr>
                <w:rFonts w:hint="default" w:ascii="Times New Roman" w:hAnsi="Times New Roman" w:eastAsia="宋体" w:cs="Times New Roman"/>
                <w:b w:val="0"/>
                <w:bCs w:val="0"/>
                <w:color w:val="000000"/>
                <w:sz w:val="24"/>
                <w:szCs w:val="24"/>
                <w:highlight w:val="none"/>
              </w:rPr>
              <w:t>m³/d的处理量</w:t>
            </w:r>
            <w:r>
              <w:rPr>
                <w:rFonts w:hint="eastAsia" w:cs="Times New Roman"/>
                <w:b w:val="0"/>
                <w:bCs w:val="0"/>
                <w:color w:val="000000"/>
                <w:sz w:val="24"/>
                <w:szCs w:val="24"/>
                <w:highlight w:val="none"/>
                <w:lang w:eastAsia="zh-CN"/>
              </w:rPr>
              <w:t>，</w:t>
            </w:r>
            <w:r>
              <w:rPr>
                <w:rFonts w:hint="default" w:ascii="Times New Roman" w:hAnsi="Times New Roman" w:eastAsia="宋体" w:cs="Times New Roman"/>
                <w:b w:val="0"/>
                <w:bCs w:val="0"/>
                <w:color w:val="000000"/>
                <w:sz w:val="24"/>
                <w:szCs w:val="24"/>
                <w:highlight w:val="none"/>
              </w:rPr>
              <w:t>化粪池能够接纳本项目污水。</w:t>
            </w:r>
          </w:p>
          <w:p>
            <w:pPr>
              <w:pStyle w:val="45"/>
              <w:spacing w:line="360" w:lineRule="auto"/>
              <w:ind w:firstLine="482" w:firstLineChars="200"/>
              <w:jc w:val="left"/>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14:textFill>
                  <w14:solidFill>
                    <w14:schemeClr w14:val="tx1"/>
                  </w14:solidFill>
                </w14:textFill>
              </w:rPr>
              <w:t>、产品方案</w:t>
            </w:r>
          </w:p>
          <w:p>
            <w:pPr>
              <w:pStyle w:val="45"/>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本项目主要产品是</w:t>
            </w:r>
            <w:r>
              <w:rPr>
                <w:rFonts w:hint="default" w:ascii="Times New Roman" w:hAnsi="Times New Roman" w:eastAsia="宋体" w:cs="Times New Roman"/>
                <w:sz w:val="24"/>
              </w:rPr>
              <w:t>造纸添加剂</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14:textFill>
                  <w14:solidFill>
                    <w14:schemeClr w14:val="tx1"/>
                  </w14:solidFill>
                </w14:textFill>
              </w:rPr>
              <w:t>项目建成后</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14:textFill>
                  <w14:solidFill>
                    <w14:schemeClr w14:val="tx1"/>
                  </w14:solidFill>
                </w14:textFill>
              </w:rPr>
              <w:t>预计</w:t>
            </w:r>
            <w:r>
              <w:rPr>
                <w:rFonts w:hint="default" w:ascii="Times New Roman" w:hAnsi="Times New Roman" w:eastAsia="宋体" w:cs="Times New Roman"/>
                <w:sz w:val="24"/>
                <w:lang w:eastAsia="zh-CN"/>
              </w:rPr>
              <w:t>年产1.5万吨造纸添加剂项目</w:t>
            </w:r>
            <w:r>
              <w:rPr>
                <w:rFonts w:hint="default" w:ascii="Times New Roman" w:hAnsi="Times New Roman" w:eastAsia="宋体" w:cs="Times New Roman"/>
                <w:color w:val="000000" w:themeColor="text1"/>
                <w:sz w:val="24"/>
                <w:lang w:val="en-US"/>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本项目产品方案见表</w:t>
            </w:r>
            <w:r>
              <w:rPr>
                <w:rFonts w:hint="default" w:ascii="Times New Roman" w:hAnsi="Times New Roman" w:eastAsia="宋体" w:cs="Times New Roman"/>
                <w:color w:val="000000" w:themeColor="text1"/>
                <w:sz w:val="24"/>
                <w:lang w:val="en-US"/>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p>
          <w:p>
            <w:pPr>
              <w:pStyle w:val="45"/>
              <w:tabs>
                <w:tab w:val="left" w:pos="809"/>
              </w:tabs>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 2-</w:t>
            </w:r>
            <w:r>
              <w:rPr>
                <w:rFonts w:hint="eastAsia" w:ascii="Times New Roman" w:hAnsi="Times New Roman" w:cs="Times New Roman"/>
                <w:b/>
                <w:bCs/>
                <w:color w:val="000000" w:themeColor="text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Cs w:val="21"/>
                <w14:textFill>
                  <w14:solidFill>
                    <w14:schemeClr w14:val="tx1"/>
                  </w14:solidFill>
                </w14:textFill>
              </w:rPr>
              <w:tab/>
            </w:r>
            <w:r>
              <w:rPr>
                <w:rFonts w:hint="default" w:ascii="Times New Roman" w:hAnsi="Times New Roman" w:eastAsia="宋体" w:cs="Times New Roman"/>
                <w:b/>
                <w:bCs/>
                <w:color w:val="000000" w:themeColor="text1"/>
                <w:szCs w:val="21"/>
                <w14:textFill>
                  <w14:solidFill>
                    <w14:schemeClr w14:val="tx1"/>
                  </w14:solidFill>
                </w14:textFill>
              </w:rPr>
              <w:t>项目产品方案表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5"/>
              <w:gridCol w:w="1618"/>
              <w:gridCol w:w="2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825" w:type="dxa"/>
                  <w:tcBorders>
                    <w:top w:val="single" w:color="auto" w:sz="4" w:space="0"/>
                    <w:left w:val="single" w:color="auto" w:sz="4" w:space="0"/>
                    <w:bottom w:val="single" w:color="auto" w:sz="4" w:space="0"/>
                    <w:right w:val="single" w:color="auto" w:sz="4" w:space="0"/>
                  </w:tcBorders>
                  <w:vAlign w:val="center"/>
                </w:tcPr>
                <w:p>
                  <w:pPr>
                    <w:pStyle w:val="47"/>
                    <w:adjustRightInd/>
                    <w:snapToGrid/>
                    <w:spacing w:line="240" w:lineRule="auto"/>
                    <w:jc w:val="center"/>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名称</w:t>
                  </w:r>
                </w:p>
              </w:tc>
              <w:tc>
                <w:tcPr>
                  <w:tcW w:w="1550" w:type="dxa"/>
                  <w:tcBorders>
                    <w:top w:val="single" w:color="auto" w:sz="4" w:space="0"/>
                    <w:left w:val="single" w:color="auto" w:sz="4" w:space="0"/>
                    <w:bottom w:val="single" w:color="auto" w:sz="4" w:space="0"/>
                    <w:right w:val="single" w:color="auto" w:sz="4" w:space="0"/>
                  </w:tcBorders>
                  <w:vAlign w:val="center"/>
                </w:tcPr>
                <w:p>
                  <w:pPr>
                    <w:pStyle w:val="47"/>
                    <w:adjustRightInd/>
                    <w:snapToGrid/>
                    <w:spacing w:line="240" w:lineRule="auto"/>
                    <w:jc w:val="center"/>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产量</w:t>
                  </w:r>
                </w:p>
              </w:tc>
              <w:tc>
                <w:tcPr>
                  <w:tcW w:w="2410" w:type="dxa"/>
                  <w:tcBorders>
                    <w:top w:val="single" w:color="auto" w:sz="4" w:space="0"/>
                    <w:left w:val="single" w:color="auto" w:sz="4" w:space="0"/>
                    <w:bottom w:val="single" w:color="auto" w:sz="4" w:space="0"/>
                    <w:right w:val="single" w:color="auto" w:sz="4" w:space="0"/>
                  </w:tcBorders>
                  <w:vAlign w:val="center"/>
                </w:tcPr>
                <w:p>
                  <w:pPr>
                    <w:pStyle w:val="47"/>
                    <w:adjustRightInd/>
                    <w:snapToGrid/>
                    <w:spacing w:line="240" w:lineRule="auto"/>
                    <w:jc w:val="center"/>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4825" w:type="dxa"/>
                  <w:tcBorders>
                    <w:top w:val="single" w:color="auto" w:sz="4" w:space="0"/>
                    <w:left w:val="single" w:color="auto" w:sz="4" w:space="0"/>
                    <w:bottom w:val="single" w:color="auto" w:sz="4" w:space="0"/>
                    <w:right w:val="single" w:color="auto" w:sz="4" w:space="0"/>
                  </w:tcBorders>
                  <w:vAlign w:val="center"/>
                </w:tcPr>
                <w:p>
                  <w:pPr>
                    <w:pStyle w:val="47"/>
                    <w:adjustRightInd/>
                    <w:snapToGrid/>
                    <w:jc w:val="center"/>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AKD乳液</w:t>
                  </w:r>
                </w:p>
              </w:tc>
              <w:tc>
                <w:tcPr>
                  <w:tcW w:w="1550" w:type="dxa"/>
                  <w:vMerge w:val="restart"/>
                  <w:tcBorders>
                    <w:top w:val="single" w:color="auto" w:sz="4" w:space="0"/>
                    <w:left w:val="single" w:color="auto" w:sz="4" w:space="0"/>
                    <w:right w:val="single" w:color="auto" w:sz="4" w:space="0"/>
                  </w:tcBorders>
                  <w:vAlign w:val="center"/>
                </w:tcPr>
                <w:p>
                  <w:pPr>
                    <w:pStyle w:val="47"/>
                    <w:adjustRightInd/>
                    <w:snapToGrid/>
                    <w:jc w:val="center"/>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1.5万</w:t>
                  </w:r>
                  <w:r>
                    <w:rPr>
                      <w:rFonts w:hint="default" w:ascii="Times New Roman" w:hAnsi="Times New Roman" w:eastAsia="宋体" w:cs="Times New Roman"/>
                      <w:color w:val="000000" w:themeColor="text1"/>
                      <w:szCs w:val="21"/>
                      <w:lang w:val="en-US"/>
                      <w14:textFill>
                        <w14:solidFill>
                          <w14:schemeClr w14:val="tx1"/>
                        </w14:solidFill>
                      </w14:textFill>
                    </w:rPr>
                    <w:t>t</w:t>
                  </w:r>
                  <w:r>
                    <w:rPr>
                      <w:rFonts w:hint="default" w:ascii="Times New Roman" w:hAnsi="Times New Roman" w:eastAsia="宋体" w:cs="Times New Roman"/>
                      <w:b w:val="0"/>
                      <w:color w:val="000000" w:themeColor="text1"/>
                      <w14:textFill>
                        <w14:solidFill>
                          <w14:schemeClr w14:val="tx1"/>
                        </w14:solidFill>
                      </w14:textFill>
                    </w:rPr>
                    <w:t>/a</w:t>
                  </w:r>
                </w:p>
              </w:tc>
              <w:tc>
                <w:tcPr>
                  <w:tcW w:w="2410" w:type="dxa"/>
                  <w:tcBorders>
                    <w:top w:val="single" w:color="auto" w:sz="4" w:space="0"/>
                    <w:left w:val="single" w:color="auto" w:sz="4" w:space="0"/>
                    <w:bottom w:val="single" w:color="auto" w:sz="4" w:space="0"/>
                    <w:right w:val="single" w:color="auto" w:sz="4" w:space="0"/>
                  </w:tcBorders>
                  <w:vAlign w:val="center"/>
                </w:tcPr>
                <w:p>
                  <w:pPr>
                    <w:pStyle w:val="47"/>
                    <w:adjustRightInd/>
                    <w:snapToGrid/>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5" w:type="dxa"/>
                  <w:tcBorders>
                    <w:top w:val="single" w:color="auto" w:sz="4" w:space="0"/>
                    <w:left w:val="single" w:color="auto" w:sz="4" w:space="0"/>
                    <w:bottom w:val="single" w:color="auto" w:sz="4" w:space="0"/>
                    <w:right w:val="single" w:color="auto" w:sz="4" w:space="0"/>
                  </w:tcBorders>
                  <w:vAlign w:val="center"/>
                </w:tcPr>
                <w:p>
                  <w:pPr>
                    <w:pStyle w:val="47"/>
                    <w:adjustRightInd/>
                    <w:snapToGrid/>
                    <w:jc w:val="center"/>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纸用增强剂</w:t>
                  </w:r>
                </w:p>
              </w:tc>
              <w:tc>
                <w:tcPr>
                  <w:tcW w:w="1550" w:type="dxa"/>
                  <w:vMerge w:val="continue"/>
                  <w:tcBorders>
                    <w:left w:val="single" w:color="auto" w:sz="4" w:space="0"/>
                    <w:right w:val="single" w:color="auto" w:sz="4" w:space="0"/>
                  </w:tcBorders>
                  <w:vAlign w:val="center"/>
                </w:tcPr>
                <w:p>
                  <w:pPr>
                    <w:pStyle w:val="47"/>
                    <w:adjustRightInd/>
                    <w:snapToGrid/>
                    <w:jc w:val="center"/>
                    <w:rPr>
                      <w:rFonts w:hint="default" w:ascii="Times New Roman" w:hAnsi="Times New Roman" w:eastAsia="宋体" w:cs="Times New Roman"/>
                      <w:b w:val="0"/>
                      <w:color w:val="000000" w:themeColor="text1"/>
                      <w14:textFill>
                        <w14:solidFill>
                          <w14:schemeClr w14:val="tx1"/>
                        </w14:solidFill>
                      </w14:textFill>
                    </w:rPr>
                  </w:pPr>
                </w:p>
              </w:tc>
              <w:tc>
                <w:tcPr>
                  <w:tcW w:w="2410" w:type="dxa"/>
                  <w:tcBorders>
                    <w:top w:val="single" w:color="auto" w:sz="4" w:space="0"/>
                    <w:left w:val="single" w:color="auto" w:sz="4" w:space="0"/>
                    <w:bottom w:val="single" w:color="auto" w:sz="4" w:space="0"/>
                    <w:right w:val="single" w:color="auto" w:sz="4" w:space="0"/>
                  </w:tcBorders>
                  <w:vAlign w:val="center"/>
                </w:tcPr>
                <w:p>
                  <w:pPr>
                    <w:pStyle w:val="47"/>
                    <w:adjustRightInd/>
                    <w:snapToGrid/>
                    <w:jc w:val="center"/>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default" w:ascii="Times New Roman" w:hAnsi="Times New Roman" w:eastAsia="宋体" w:cs="Times New Roman"/>
                      <w:b w:val="0"/>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5" w:type="dxa"/>
                  <w:tcBorders>
                    <w:top w:val="single" w:color="auto" w:sz="4" w:space="0"/>
                    <w:left w:val="single" w:color="auto" w:sz="4" w:space="0"/>
                    <w:bottom w:val="single" w:color="auto" w:sz="4" w:space="0"/>
                    <w:right w:val="single" w:color="auto" w:sz="4" w:space="0"/>
                  </w:tcBorders>
                  <w:vAlign w:val="center"/>
                </w:tcPr>
                <w:p>
                  <w:pPr>
                    <w:pStyle w:val="47"/>
                    <w:adjustRightInd/>
                    <w:snapToGrid/>
                    <w:jc w:val="center"/>
                    <w:rPr>
                      <w:rFonts w:hint="default" w:ascii="Times New Roman" w:hAnsi="Times New Roman" w:eastAsia="宋体" w:cs="Times New Roman"/>
                      <w:b w:val="0"/>
                      <w:color w:val="000000" w:themeColor="text1"/>
                      <w:lang w:eastAsia="zh-CN"/>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其他复配型造纸助剂</w:t>
                  </w:r>
                  <w:r>
                    <w:rPr>
                      <w:rFonts w:hint="default" w:ascii="Times New Roman" w:hAnsi="Times New Roman" w:eastAsia="宋体"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施胶剂、消泡剂、防水剂等</w:t>
                  </w:r>
                  <w:r>
                    <w:rPr>
                      <w:rFonts w:hint="default" w:ascii="Times New Roman" w:hAnsi="Times New Roman" w:eastAsia="宋体" w:cs="Times New Roman"/>
                      <w:b w:val="0"/>
                      <w:color w:val="000000" w:themeColor="text1"/>
                      <w:lang w:eastAsia="zh-CN"/>
                      <w14:textFill>
                        <w14:solidFill>
                          <w14:schemeClr w14:val="tx1"/>
                        </w14:solidFill>
                      </w14:textFill>
                    </w:rPr>
                    <w:t>）</w:t>
                  </w:r>
                </w:p>
              </w:tc>
              <w:tc>
                <w:tcPr>
                  <w:tcW w:w="1550" w:type="dxa"/>
                  <w:vMerge w:val="continue"/>
                  <w:tcBorders>
                    <w:left w:val="single" w:color="auto" w:sz="4" w:space="0"/>
                    <w:bottom w:val="single" w:color="auto" w:sz="4" w:space="0"/>
                    <w:right w:val="single" w:color="auto" w:sz="4" w:space="0"/>
                  </w:tcBorders>
                  <w:vAlign w:val="center"/>
                </w:tcPr>
                <w:p>
                  <w:pPr>
                    <w:pStyle w:val="47"/>
                    <w:adjustRightInd/>
                    <w:snapToGrid/>
                    <w:jc w:val="center"/>
                    <w:rPr>
                      <w:rFonts w:hint="default" w:ascii="Times New Roman" w:hAnsi="Times New Roman" w:eastAsia="宋体" w:cs="Times New Roman"/>
                      <w:b w:val="0"/>
                      <w:color w:val="000000" w:themeColor="text1"/>
                      <w14:textFill>
                        <w14:solidFill>
                          <w14:schemeClr w14:val="tx1"/>
                        </w14:solidFill>
                      </w14:textFill>
                    </w:rPr>
                  </w:pPr>
                </w:p>
              </w:tc>
              <w:tc>
                <w:tcPr>
                  <w:tcW w:w="2410" w:type="dxa"/>
                  <w:tcBorders>
                    <w:top w:val="single" w:color="auto" w:sz="4" w:space="0"/>
                    <w:left w:val="single" w:color="auto" w:sz="4" w:space="0"/>
                    <w:bottom w:val="single" w:color="auto" w:sz="4" w:space="0"/>
                    <w:right w:val="single" w:color="auto" w:sz="4" w:space="0"/>
                  </w:tcBorders>
                  <w:vAlign w:val="center"/>
                </w:tcPr>
                <w:p>
                  <w:pPr>
                    <w:pStyle w:val="47"/>
                    <w:adjustRightInd/>
                    <w:snapToGrid/>
                    <w:jc w:val="center"/>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default" w:ascii="Times New Roman" w:hAnsi="Times New Roman" w:eastAsia="宋体" w:cs="Times New Roman"/>
                      <w:b w:val="0"/>
                      <w:color w:val="000000" w:themeColor="text1"/>
                      <w:lang w:val="en-US" w:eastAsia="zh-CN"/>
                      <w14:textFill>
                        <w14:solidFill>
                          <w14:schemeClr w14:val="tx1"/>
                        </w14:solidFill>
                      </w14:textFill>
                    </w:rPr>
                    <w:t>/</w:t>
                  </w:r>
                </w:p>
              </w:tc>
            </w:tr>
          </w:tbl>
          <w:p>
            <w:pPr>
              <w:pStyle w:val="45"/>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14:textFill>
                  <w14:solidFill>
                    <w14:schemeClr w14:val="tx1"/>
                  </w14:solidFill>
                </w14:textFill>
              </w:rPr>
              <w:t>、产品</w:t>
            </w:r>
            <w:r>
              <w:rPr>
                <w:rFonts w:hint="default" w:ascii="Times New Roman" w:hAnsi="Times New Roman" w:eastAsia="宋体" w:cs="Times New Roman"/>
                <w:b/>
                <w:bCs/>
                <w:color w:val="000000" w:themeColor="text1"/>
                <w:sz w:val="24"/>
                <w:lang w:val="en-US" w:eastAsia="zh-CN"/>
                <w14:textFill>
                  <w14:solidFill>
                    <w14:schemeClr w14:val="tx1"/>
                  </w14:solidFill>
                </w14:textFill>
              </w:rPr>
              <w:t>介绍</w:t>
            </w:r>
          </w:p>
          <w:p>
            <w:pPr>
              <w:numPr>
                <w:ilvl w:val="0"/>
                <w:numId w:val="0"/>
              </w:numPr>
              <w:spacing w:line="360" w:lineRule="auto"/>
              <w:ind w:firstLine="482"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①</w:t>
            </w:r>
            <w:r>
              <w:rPr>
                <w:rFonts w:hint="default" w:ascii="Times New Roman" w:hAnsi="Times New Roman" w:eastAsia="宋体" w:cs="Times New Roman"/>
                <w:b/>
                <w:bCs/>
                <w:color w:val="000000" w:themeColor="text1"/>
                <w:sz w:val="24"/>
                <w:szCs w:val="24"/>
                <w14:textFill>
                  <w14:solidFill>
                    <w14:schemeClr w14:val="tx1"/>
                  </w14:solidFill>
                </w14:textFill>
              </w:rPr>
              <w:t>AKD</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乳液：</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表面施胶剂主要用于生产复印纸、包装纸、高强度瓦楞纸、箱板纸等，通过加入造纸机的烘干部末端，使纸页在未完全干燥却具有一定的强度时喷涂一层胶液，经后续的干燥在纸和纸板表面形成一层胶膜，从而达到改变纸或纸板表面性能的目的。粉留着于纤维表面，经压榨和初干燥阶段，AKD蜡熔融，并在纤维表面均匀扩散和重新分布，形成高度取向的单分子层，在干燥和贮存阶段与纤维分子上的羟基发生酯化反应而牢固地键合在纤维上，具有憎水性的长链脂肪基团转向纸面，从而达到优良的抗水效果。</w:t>
            </w:r>
          </w:p>
          <w:p>
            <w:pPr>
              <w:numPr>
                <w:ilvl w:val="0"/>
                <w:numId w:val="0"/>
              </w:numPr>
              <w:spacing w:line="360" w:lineRule="auto"/>
              <w:ind w:firstLine="241" w:firstLineChars="1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②纸用增强剂：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广泛用于各种中高档文化纸、照相原纸、果袋纸、包装纸及纸板等施胶纸的生产。使用时加入纸浆配浆池中。</w:t>
            </w:r>
          </w:p>
          <w:p>
            <w:pPr>
              <w:numPr>
                <w:ilvl w:val="0"/>
                <w:numId w:val="0"/>
              </w:numPr>
              <w:spacing w:line="360" w:lineRule="auto"/>
              <w:ind w:firstLine="482"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③消泡剂：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去除和抑制纸厂纸浆泡沫，杀菌剂对纸浆消毒杀菌。</w:t>
            </w:r>
          </w:p>
          <w:p>
            <w:pPr>
              <w:spacing w:line="360" w:lineRule="auto"/>
              <w:ind w:firstLine="482"/>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instrText xml:space="preserve"> = 4 \* GB3 \* MERGEFORMAT </w:instrTex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b/>
                <w:bCs/>
                <w:sz w:val="24"/>
                <w:szCs w:val="24"/>
              </w:rPr>
              <w:t>④</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施胶剂：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主要用于生产复印纸、包装纸、高强度瓦楞纸、箱板纸等，通过加入造纸机的烘干部末端，使纸页在未完全干燥却具有一定的强度时喷涂一层胶液，经后续的干燥在纸和纸板表面形成一层胶膜，从而达到改变纸或纸板表面性能的目的。</w:t>
            </w:r>
          </w:p>
          <w:p>
            <w:pPr>
              <w:spacing w:line="360" w:lineRule="auto"/>
              <w:ind w:firstLine="482"/>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instrText xml:space="preserve"> = 5 \* GB3 \* MERGEFORMAT </w:instrTex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b/>
                <w:bCs/>
                <w:sz w:val="24"/>
                <w:szCs w:val="24"/>
              </w:rPr>
              <w:t>⑤</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防水剂：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是一种造纸添加剂，能赋予纸和纸板抗墨、抗水、抗乳液、抗腐蚀等性能，以提高平滑度、强度和使用期。</w:t>
            </w:r>
          </w:p>
          <w:p>
            <w:pPr>
              <w:spacing w:line="360" w:lineRule="auto"/>
              <w:ind w:firstLine="482"/>
              <w:rPr>
                <w:rFonts w:hint="default" w:ascii="Times New Roman" w:hAnsi="Times New Roman" w:eastAsia="宋体" w:cs="Times New Roman"/>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14:textFill>
                  <w14:solidFill>
                    <w14:schemeClr w14:val="tx1"/>
                  </w14:solidFill>
                </w14:textFill>
              </w:rPr>
              <w:t>、原辅材料</w:t>
            </w:r>
          </w:p>
          <w:p>
            <w:pPr>
              <w:pStyle w:val="45"/>
              <w:spacing w:line="364" w:lineRule="auto"/>
              <w:ind w:right="83"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根据建设单位提供的资料</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项目运营期主要原辅材料及用量见表 2-</w:t>
            </w:r>
            <w:r>
              <w:rPr>
                <w:rFonts w:hint="eastAsia" w:ascii="Times New Roman" w:hAnsi="Times New Roman" w:cs="Times New Roman"/>
                <w:color w:val="000000" w:themeColor="text1"/>
                <w:sz w:val="24"/>
                <w:lang w:val="en-US" w:eastAsia="zh-CN"/>
                <w14:textFill>
                  <w14:solidFill>
                    <w14:schemeClr w14:val="tx1"/>
                  </w14:solidFill>
                </w14:textFill>
              </w:rPr>
              <w:t>4</w:t>
            </w:r>
            <w:r>
              <w:rPr>
                <w:rFonts w:hint="eastAsia" w:ascii="Times New Roman" w:hAnsi="Times New Roman" w:cs="Times New Roman"/>
                <w:color w:val="000000" w:themeColor="text1"/>
                <w:sz w:val="24"/>
                <w:lang w:eastAsia="zh-CN"/>
                <w14:textFill>
                  <w14:solidFill>
                    <w14:schemeClr w14:val="tx1"/>
                  </w14:solidFill>
                </w14:textFill>
              </w:rPr>
              <w:t>，</w:t>
            </w:r>
          </w:p>
          <w:p>
            <w:pPr>
              <w:pStyle w:val="45"/>
              <w:tabs>
                <w:tab w:val="left" w:pos="809"/>
              </w:tabs>
              <w:spacing w:line="240" w:lineRule="atLeast"/>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 2-</w:t>
            </w:r>
            <w:r>
              <w:rPr>
                <w:rFonts w:hint="eastAsia" w:ascii="Times New Roman" w:hAnsi="Times New Roman" w:cs="Times New Roman"/>
                <w:b/>
                <w:bCs/>
                <w:color w:val="000000" w:themeColor="text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Cs w:val="21"/>
                <w14:textFill>
                  <w14:solidFill>
                    <w14:schemeClr w14:val="tx1"/>
                  </w14:solidFill>
                </w14:textFill>
              </w:rPr>
              <w:tab/>
            </w:r>
            <w:r>
              <w:rPr>
                <w:rFonts w:hint="default" w:ascii="Times New Roman" w:hAnsi="Times New Roman" w:eastAsia="宋体" w:cs="Times New Roman"/>
                <w:b/>
                <w:bCs/>
                <w:color w:val="000000" w:themeColor="text1"/>
                <w:szCs w:val="21"/>
                <w14:textFill>
                  <w14:solidFill>
                    <w14:schemeClr w14:val="tx1"/>
                  </w14:solidFill>
                </w14:textFill>
              </w:rPr>
              <w:t>项目主要原辅材料用量</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2070"/>
              <w:gridCol w:w="1254"/>
              <w:gridCol w:w="5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序号</w:t>
                  </w:r>
                </w:p>
              </w:tc>
              <w:tc>
                <w:tcPr>
                  <w:tcW w:w="1129"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名称</w:t>
                  </w:r>
                </w:p>
              </w:tc>
              <w:tc>
                <w:tcPr>
                  <w:tcW w:w="684"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年消耗量</w:t>
                  </w:r>
                </w:p>
              </w:tc>
              <w:tc>
                <w:tcPr>
                  <w:tcW w:w="2809"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5000" w:type="pct"/>
                  <w:gridSpan w:val="4"/>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bCs w:val="0"/>
                      <w:sz w:val="21"/>
                      <w:szCs w:val="21"/>
                      <w:lang w:val="en-US" w:eastAsia="zh-CN"/>
                    </w:rPr>
                    <w:t>一、</w:t>
                  </w:r>
                  <w:r>
                    <w:rPr>
                      <w:rFonts w:hint="default" w:ascii="Times New Roman" w:hAnsi="Times New Roman" w:eastAsia="宋体" w:cs="Times New Roman"/>
                      <w:b/>
                      <w:bCs w:val="0"/>
                      <w:color w:val="000000" w:themeColor="text1"/>
                      <w14:textFill>
                        <w14:solidFill>
                          <w14:schemeClr w14:val="tx1"/>
                        </w14:solidFill>
                      </w14:textFill>
                    </w:rPr>
                    <w:t>AKD乳液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377"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1129" w:type="pct"/>
                  <w:vAlign w:val="center"/>
                </w:tcPr>
                <w:p>
                  <w:pPr>
                    <w:keepNext w:val="0"/>
                    <w:keepLines w:val="0"/>
                    <w:pageBreakBefore w:val="0"/>
                    <w:kinsoku/>
                    <w:wordWrap/>
                    <w:overflowPunct/>
                    <w:topLinePunct w:val="0"/>
                    <w:autoSpaceDE/>
                    <w:autoSpaceDN/>
                    <w:bidi w:val="0"/>
                    <w:adjustRightInd/>
                    <w:snapToGrid w:val="0"/>
                    <w:spacing w:line="240" w:lineRule="atLeast"/>
                    <w:ind w:right="0" w:firstLine="0" w:firstLineChars="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Cs w:val="22"/>
                    </w:rPr>
                    <w:t>AKD蜡</w:t>
                  </w:r>
                </w:p>
              </w:tc>
              <w:tc>
                <w:tcPr>
                  <w:tcW w:w="684" w:type="pct"/>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rPr>
                    <w:t>900t/</w:t>
                  </w:r>
                  <w:r>
                    <w:rPr>
                      <w:rFonts w:hint="default" w:ascii="Times New Roman" w:hAnsi="Times New Roman" w:eastAsia="宋体" w:cs="Times New Roman"/>
                      <w:kern w:val="2"/>
                      <w:sz w:val="21"/>
                      <w:szCs w:val="21"/>
                      <w:lang w:val="en-US" w:eastAsia="zh-CN" w:bidi="ar-SA"/>
                    </w:rPr>
                    <w:t>a</w:t>
                  </w:r>
                </w:p>
              </w:tc>
              <w:tc>
                <w:tcPr>
                  <w:tcW w:w="2809" w:type="pct"/>
                  <w:vAlign w:val="center"/>
                </w:tcPr>
                <w:p>
                  <w:pPr>
                    <w:keepNext w:val="0"/>
                    <w:keepLines w:val="0"/>
                    <w:widowControl/>
                    <w:suppressLineNumbers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外购</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塑料袋装</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淡黄色</w:t>
                  </w:r>
                  <w:r>
                    <w:rPr>
                      <w:rFonts w:hint="default" w:ascii="Times New Roman" w:hAnsi="Times New Roman" w:eastAsia="宋体" w:cs="Times New Roman"/>
                      <w:color w:val="000000"/>
                      <w:kern w:val="0"/>
                      <w:sz w:val="20"/>
                      <w:szCs w:val="20"/>
                      <w:lang w:val="en-US" w:eastAsia="zh-CN" w:bidi="ar"/>
                    </w:rPr>
                    <w:t>蜡状固体</w:t>
                  </w:r>
                  <w:r>
                    <w:rPr>
                      <w:rFonts w:hint="default" w:ascii="Times New Roman" w:hAnsi="Times New Roman" w:eastAsia="宋体" w:cs="Times New Roman"/>
                      <w:sz w:val="21"/>
                      <w:szCs w:val="21"/>
                      <w:vertAlign w:val="baseline"/>
                      <w:lang w:val="en-US" w:eastAsia="zh-CN"/>
                    </w:rPr>
                    <w:t>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1129" w:type="pct"/>
                  <w:vAlign w:val="center"/>
                </w:tcPr>
                <w:p>
                  <w:pPr>
                    <w:keepNext w:val="0"/>
                    <w:keepLines w:val="0"/>
                    <w:pageBreakBefore w:val="0"/>
                    <w:kinsoku/>
                    <w:wordWrap/>
                    <w:overflowPunct/>
                    <w:topLinePunct w:val="0"/>
                    <w:autoSpaceDE/>
                    <w:autoSpaceDN/>
                    <w:bidi w:val="0"/>
                    <w:adjustRightInd/>
                    <w:snapToGrid w:val="0"/>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Cs w:val="22"/>
                    </w:rPr>
                    <w:t>高分子乳化剂</w:t>
                  </w:r>
                </w:p>
              </w:tc>
              <w:tc>
                <w:tcPr>
                  <w:tcW w:w="684" w:type="pct"/>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2"/>
                    </w:rPr>
                    <w:t>50</w:t>
                  </w:r>
                  <w:r>
                    <w:rPr>
                      <w:rFonts w:hint="default" w:ascii="Times New Roman" w:hAnsi="Times New Roman" w:eastAsia="宋体" w:cs="Times New Roman"/>
                      <w:kern w:val="0"/>
                      <w:sz w:val="21"/>
                      <w:szCs w:val="21"/>
                      <w:lang w:val="en-US" w:eastAsia="zh-CN"/>
                    </w:rPr>
                    <w:t>t/</w:t>
                  </w:r>
                  <w:r>
                    <w:rPr>
                      <w:rFonts w:hint="default" w:ascii="Times New Roman" w:hAnsi="Times New Roman" w:eastAsia="宋体" w:cs="Times New Roman"/>
                      <w:kern w:val="2"/>
                      <w:sz w:val="21"/>
                      <w:szCs w:val="21"/>
                      <w:lang w:val="en-US" w:eastAsia="zh-CN" w:bidi="ar-SA"/>
                    </w:rPr>
                    <w:t>a</w:t>
                  </w:r>
                </w:p>
              </w:tc>
              <w:tc>
                <w:tcPr>
                  <w:tcW w:w="2809"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外购</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塑料桶装</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液体状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p>
              </w:tc>
              <w:tc>
                <w:tcPr>
                  <w:tcW w:w="1129" w:type="pct"/>
                  <w:vAlign w:val="center"/>
                </w:tcPr>
                <w:p>
                  <w:pPr>
                    <w:keepNext w:val="0"/>
                    <w:keepLines w:val="0"/>
                    <w:pageBreakBefore w:val="0"/>
                    <w:kinsoku/>
                    <w:wordWrap/>
                    <w:overflowPunct/>
                    <w:topLinePunct w:val="0"/>
                    <w:autoSpaceDE/>
                    <w:autoSpaceDN/>
                    <w:bidi w:val="0"/>
                    <w:adjustRightInd/>
                    <w:snapToGrid w:val="0"/>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Cs w:val="22"/>
                    </w:rPr>
                    <w:t>硫酸铝</w:t>
                  </w:r>
                </w:p>
              </w:tc>
              <w:tc>
                <w:tcPr>
                  <w:tcW w:w="684" w:type="pct"/>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2"/>
                    </w:rPr>
                    <w:t>50</w:t>
                  </w:r>
                  <w:r>
                    <w:rPr>
                      <w:rFonts w:hint="default" w:ascii="Times New Roman" w:hAnsi="Times New Roman" w:eastAsia="宋体" w:cs="Times New Roman"/>
                      <w:kern w:val="0"/>
                      <w:sz w:val="21"/>
                      <w:szCs w:val="21"/>
                      <w:lang w:val="en-US" w:eastAsia="zh-CN"/>
                    </w:rPr>
                    <w:t>t/</w:t>
                  </w:r>
                  <w:r>
                    <w:rPr>
                      <w:rFonts w:hint="default" w:ascii="Times New Roman" w:hAnsi="Times New Roman" w:eastAsia="宋体" w:cs="Times New Roman"/>
                      <w:kern w:val="2"/>
                      <w:sz w:val="21"/>
                      <w:szCs w:val="21"/>
                      <w:lang w:val="en-US" w:eastAsia="zh-CN" w:bidi="ar-SA"/>
                    </w:rPr>
                    <w:t>a</w:t>
                  </w:r>
                </w:p>
              </w:tc>
              <w:tc>
                <w:tcPr>
                  <w:tcW w:w="2809"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外购</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塑料袋装</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白色粒状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w:t>
                  </w:r>
                </w:p>
              </w:tc>
              <w:tc>
                <w:tcPr>
                  <w:tcW w:w="1129" w:type="pct"/>
                  <w:vAlign w:val="center"/>
                </w:tcPr>
                <w:p>
                  <w:pPr>
                    <w:keepNext w:val="0"/>
                    <w:keepLines w:val="0"/>
                    <w:pageBreakBefore w:val="0"/>
                    <w:kinsoku/>
                    <w:wordWrap/>
                    <w:overflowPunct/>
                    <w:topLinePunct w:val="0"/>
                    <w:autoSpaceDE/>
                    <w:autoSpaceDN/>
                    <w:bidi w:val="0"/>
                    <w:adjustRightInd/>
                    <w:snapToGrid w:val="0"/>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自来水</w:t>
                  </w:r>
                </w:p>
              </w:tc>
              <w:tc>
                <w:tcPr>
                  <w:tcW w:w="684" w:type="pct"/>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2"/>
                    </w:rPr>
                    <w:t>9000</w:t>
                  </w:r>
                  <w:r>
                    <w:rPr>
                      <w:rFonts w:hint="default" w:ascii="Times New Roman" w:hAnsi="Times New Roman" w:eastAsia="宋体" w:cs="Times New Roman"/>
                      <w:kern w:val="0"/>
                      <w:sz w:val="21"/>
                      <w:szCs w:val="21"/>
                      <w:lang w:val="en-US" w:eastAsia="zh-CN"/>
                    </w:rPr>
                    <w:t>t/</w:t>
                  </w:r>
                  <w:r>
                    <w:rPr>
                      <w:rFonts w:hint="default" w:ascii="Times New Roman" w:hAnsi="Times New Roman" w:eastAsia="宋体" w:cs="Times New Roman"/>
                      <w:kern w:val="2"/>
                      <w:sz w:val="21"/>
                      <w:szCs w:val="21"/>
                      <w:lang w:val="en-US" w:eastAsia="zh-CN" w:bidi="ar-SA"/>
                    </w:rPr>
                    <w:t>a</w:t>
                  </w:r>
                </w:p>
              </w:tc>
              <w:tc>
                <w:tcPr>
                  <w:tcW w:w="2809"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园区供应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000" w:type="pct"/>
                  <w:gridSpan w:val="4"/>
                  <w:vAlign w:val="center"/>
                </w:tcPr>
                <w:p>
                  <w:pPr>
                    <w:pStyle w:val="80"/>
                    <w:keepNext w:val="0"/>
                    <w:keepLines w:val="0"/>
                    <w:pageBreakBefore w:val="0"/>
                    <w:kinsoku/>
                    <w:wordWrap/>
                    <w:overflowPunct/>
                    <w:topLinePunct w:val="0"/>
                    <w:autoSpaceDE/>
                    <w:autoSpaceDN/>
                    <w:bidi w:val="0"/>
                    <w:adjustRightInd/>
                    <w:spacing w:line="240" w:lineRule="atLeast"/>
                    <w:ind w:right="0" w:firstLine="0" w:firstLine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二、纸用增强剂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1129" w:type="pct"/>
                  <w:vAlign w:val="center"/>
                </w:tcPr>
                <w:p>
                  <w:pPr>
                    <w:keepNext w:val="0"/>
                    <w:keepLines w:val="0"/>
                    <w:pageBreakBefore w:val="0"/>
                    <w:kinsoku/>
                    <w:wordWrap/>
                    <w:overflowPunct/>
                    <w:topLinePunct w:val="0"/>
                    <w:autoSpaceDE/>
                    <w:autoSpaceDN/>
                    <w:bidi w:val="0"/>
                    <w:adjustRightInd/>
                    <w:snapToGrid w:val="0"/>
                    <w:spacing w:line="240" w:lineRule="atLeast"/>
                    <w:ind w:right="0" w:firstLine="0" w:firstLineChars="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Cs w:val="22"/>
                    </w:rPr>
                    <w:t>聚丙烯酰胺</w:t>
                  </w:r>
                </w:p>
              </w:tc>
              <w:tc>
                <w:tcPr>
                  <w:tcW w:w="684" w:type="pct"/>
                  <w:vAlign w:val="center"/>
                </w:tcPr>
                <w:p>
                  <w:pPr>
                    <w:snapToGrid w:val="0"/>
                    <w:jc w:val="center"/>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szCs w:val="22"/>
                    </w:rPr>
                    <w:t>170</w:t>
                  </w:r>
                  <w:r>
                    <w:rPr>
                      <w:rFonts w:hint="default" w:ascii="Times New Roman" w:hAnsi="Times New Roman" w:eastAsia="宋体" w:cs="Times New Roman"/>
                      <w:kern w:val="0"/>
                      <w:sz w:val="21"/>
                      <w:szCs w:val="21"/>
                      <w:lang w:val="en-US" w:eastAsia="zh-CN"/>
                    </w:rPr>
                    <w:t>t/</w:t>
                  </w:r>
                  <w:r>
                    <w:rPr>
                      <w:rFonts w:hint="default" w:ascii="Times New Roman" w:hAnsi="Times New Roman" w:eastAsia="宋体" w:cs="Times New Roman"/>
                      <w:kern w:val="2"/>
                      <w:sz w:val="21"/>
                      <w:szCs w:val="21"/>
                      <w:lang w:val="en-US" w:eastAsia="zh-CN" w:bidi="ar-SA"/>
                    </w:rPr>
                    <w:t>a</w:t>
                  </w:r>
                </w:p>
              </w:tc>
              <w:tc>
                <w:tcPr>
                  <w:tcW w:w="2809"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外购</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塑料袋装</w:t>
                  </w:r>
                  <w:r>
                    <w:rPr>
                      <w:rFonts w:hint="eastAsia" w:cs="Times New Roman"/>
                      <w:sz w:val="21"/>
                      <w:szCs w:val="21"/>
                      <w:vertAlign w:val="baseline"/>
                      <w:lang w:val="en-US" w:eastAsia="zh-CN"/>
                    </w:rPr>
                    <w:t>，</w:t>
                  </w:r>
                  <w:r>
                    <w:rPr>
                      <w:rFonts w:hint="default" w:ascii="Times New Roman" w:hAnsi="Times New Roman" w:eastAsia="宋体" w:cs="Times New Roman"/>
                      <w:color w:val="000000"/>
                      <w:kern w:val="0"/>
                      <w:sz w:val="20"/>
                      <w:szCs w:val="20"/>
                      <w:lang w:val="en-US" w:eastAsia="zh-CN" w:bidi="ar"/>
                    </w:rPr>
                    <w:t>固体状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2</w:t>
                  </w:r>
                </w:p>
              </w:tc>
              <w:tc>
                <w:tcPr>
                  <w:tcW w:w="1129" w:type="pct"/>
                  <w:vAlign w:val="center"/>
                </w:tcPr>
                <w:p>
                  <w:pPr>
                    <w:keepNext w:val="0"/>
                    <w:keepLines w:val="0"/>
                    <w:pageBreakBefore w:val="0"/>
                    <w:kinsoku/>
                    <w:wordWrap/>
                    <w:overflowPunct/>
                    <w:topLinePunct w:val="0"/>
                    <w:autoSpaceDE/>
                    <w:autoSpaceDN/>
                    <w:bidi w:val="0"/>
                    <w:adjustRightInd/>
                    <w:snapToGrid w:val="0"/>
                    <w:spacing w:line="240" w:lineRule="atLeast"/>
                    <w:ind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2"/>
                    </w:rPr>
                    <w:t>尿素</w:t>
                  </w:r>
                </w:p>
              </w:tc>
              <w:tc>
                <w:tcPr>
                  <w:tcW w:w="684" w:type="pct"/>
                  <w:vAlign w:val="center"/>
                </w:tcPr>
                <w:p>
                  <w:pPr>
                    <w:snapToGrid w:val="0"/>
                    <w:jc w:val="center"/>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szCs w:val="22"/>
                    </w:rPr>
                    <w:t>350</w:t>
                  </w:r>
                  <w:r>
                    <w:rPr>
                      <w:rFonts w:hint="default" w:ascii="Times New Roman" w:hAnsi="Times New Roman" w:eastAsia="宋体" w:cs="Times New Roman"/>
                      <w:kern w:val="0"/>
                      <w:sz w:val="21"/>
                      <w:szCs w:val="21"/>
                      <w:lang w:val="en-US" w:eastAsia="zh-CN"/>
                    </w:rPr>
                    <w:t>t/</w:t>
                  </w:r>
                  <w:r>
                    <w:rPr>
                      <w:rFonts w:hint="default" w:ascii="Times New Roman" w:hAnsi="Times New Roman" w:eastAsia="宋体" w:cs="Times New Roman"/>
                      <w:kern w:val="2"/>
                      <w:sz w:val="21"/>
                      <w:szCs w:val="21"/>
                      <w:lang w:val="en-US" w:eastAsia="zh-CN" w:bidi="ar-SA"/>
                    </w:rPr>
                    <w:t>a</w:t>
                  </w:r>
                </w:p>
              </w:tc>
              <w:tc>
                <w:tcPr>
                  <w:tcW w:w="2809"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外购</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塑料桶装</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液体状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3</w:t>
                  </w:r>
                </w:p>
              </w:tc>
              <w:tc>
                <w:tcPr>
                  <w:tcW w:w="1129" w:type="pct"/>
                  <w:vAlign w:val="center"/>
                </w:tcPr>
                <w:p>
                  <w:pPr>
                    <w:keepNext w:val="0"/>
                    <w:keepLines w:val="0"/>
                    <w:pageBreakBefore w:val="0"/>
                    <w:kinsoku/>
                    <w:wordWrap/>
                    <w:overflowPunct/>
                    <w:topLinePunct w:val="0"/>
                    <w:autoSpaceDE/>
                    <w:autoSpaceDN/>
                    <w:bidi w:val="0"/>
                    <w:adjustRightInd/>
                    <w:snapToGrid w:val="0"/>
                    <w:spacing w:line="240" w:lineRule="atLeast"/>
                    <w:ind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2"/>
                      <w:lang w:val="en-US" w:eastAsia="zh-CN"/>
                    </w:rPr>
                    <w:t>自来水</w:t>
                  </w:r>
                </w:p>
              </w:tc>
              <w:tc>
                <w:tcPr>
                  <w:tcW w:w="684" w:type="pct"/>
                  <w:vAlign w:val="center"/>
                </w:tcPr>
                <w:p>
                  <w:pPr>
                    <w:snapToGrid w:val="0"/>
                    <w:jc w:val="center"/>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szCs w:val="22"/>
                    </w:rPr>
                    <w:t>3500</w:t>
                  </w:r>
                  <w:r>
                    <w:rPr>
                      <w:rFonts w:hint="default" w:ascii="Times New Roman" w:hAnsi="Times New Roman" w:eastAsia="宋体" w:cs="Times New Roman"/>
                      <w:kern w:val="0"/>
                      <w:sz w:val="21"/>
                      <w:szCs w:val="21"/>
                      <w:lang w:val="en-US" w:eastAsia="zh-CN"/>
                    </w:rPr>
                    <w:t>t/</w:t>
                  </w:r>
                  <w:r>
                    <w:rPr>
                      <w:rFonts w:hint="default" w:ascii="Times New Roman" w:hAnsi="Times New Roman" w:eastAsia="宋体" w:cs="Times New Roman"/>
                      <w:kern w:val="2"/>
                      <w:sz w:val="21"/>
                      <w:szCs w:val="21"/>
                      <w:lang w:val="en-US" w:eastAsia="zh-CN" w:bidi="ar-SA"/>
                    </w:rPr>
                    <w:t>a</w:t>
                  </w:r>
                </w:p>
              </w:tc>
              <w:tc>
                <w:tcPr>
                  <w:tcW w:w="2809"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园区供应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三、其他复配型造纸助剂（施胶剂、消泡剂、防水剂等）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1</w:t>
                  </w:r>
                </w:p>
              </w:tc>
              <w:tc>
                <w:tcPr>
                  <w:tcW w:w="1129" w:type="pct"/>
                  <w:vAlign w:val="center"/>
                </w:tcPr>
                <w:p>
                  <w:pPr>
                    <w:keepNext w:val="0"/>
                    <w:keepLines w:val="0"/>
                    <w:pageBreakBefore w:val="0"/>
                    <w:widowControl/>
                    <w:suppressLineNumbers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0"/>
                      <w:szCs w:val="20"/>
                      <w:lang w:val="en-US" w:eastAsia="zh-CN" w:bidi="ar"/>
                    </w:rPr>
                    <w:t>高含量消泡剂</w:t>
                  </w:r>
                </w:p>
              </w:tc>
              <w:tc>
                <w:tcPr>
                  <w:tcW w:w="684" w:type="pct"/>
                  <w:vMerge w:val="restart"/>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2"/>
                    </w:rPr>
                    <w:t>550</w:t>
                  </w:r>
                  <w:r>
                    <w:rPr>
                      <w:rFonts w:hint="default" w:ascii="Times New Roman" w:hAnsi="Times New Roman" w:eastAsia="宋体" w:cs="Times New Roman"/>
                      <w:kern w:val="0"/>
                      <w:sz w:val="21"/>
                      <w:szCs w:val="21"/>
                      <w:lang w:val="en-US" w:eastAsia="zh-CN"/>
                    </w:rPr>
                    <w:t>t/</w:t>
                  </w:r>
                  <w:r>
                    <w:rPr>
                      <w:rFonts w:hint="default" w:ascii="Times New Roman" w:hAnsi="Times New Roman" w:eastAsia="宋体" w:cs="Times New Roman"/>
                      <w:kern w:val="2"/>
                      <w:sz w:val="21"/>
                      <w:szCs w:val="21"/>
                      <w:lang w:val="en-US" w:eastAsia="zh-CN" w:bidi="ar-SA"/>
                    </w:rPr>
                    <w:t>a</w:t>
                  </w:r>
                </w:p>
              </w:tc>
              <w:tc>
                <w:tcPr>
                  <w:tcW w:w="2809" w:type="pct"/>
                  <w:vAlign w:val="center"/>
                </w:tcPr>
                <w:p>
                  <w:pPr>
                    <w:keepNext w:val="0"/>
                    <w:keepLines w:val="0"/>
                    <w:pageBreakBefore w:val="0"/>
                    <w:kinsoku/>
                    <w:wordWrap/>
                    <w:overflowPunct/>
                    <w:topLinePunct w:val="0"/>
                    <w:autoSpaceDE/>
                    <w:autoSpaceDN/>
                    <w:bidi w:val="0"/>
                    <w:adjustRightInd/>
                    <w:spacing w:line="240" w:lineRule="atLeast"/>
                    <w:ind w:right="0" w:righ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外购</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塑料桶装</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液体状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2</w:t>
                  </w:r>
                </w:p>
              </w:tc>
              <w:tc>
                <w:tcPr>
                  <w:tcW w:w="1129"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高含量施胶剂</w:t>
                  </w:r>
                </w:p>
              </w:tc>
              <w:tc>
                <w:tcPr>
                  <w:tcW w:w="684" w:type="pct"/>
                  <w:vMerge w:val="continue"/>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lang w:val="en-US" w:eastAsia="zh-CN"/>
                    </w:rPr>
                  </w:pPr>
                </w:p>
              </w:tc>
              <w:tc>
                <w:tcPr>
                  <w:tcW w:w="2809" w:type="pct"/>
                  <w:vAlign w:val="center"/>
                </w:tcPr>
                <w:p>
                  <w:pPr>
                    <w:keepNext w:val="0"/>
                    <w:keepLines w:val="0"/>
                    <w:pageBreakBefore w:val="0"/>
                    <w:kinsoku/>
                    <w:wordWrap/>
                    <w:overflowPunct/>
                    <w:topLinePunct w:val="0"/>
                    <w:autoSpaceDE/>
                    <w:autoSpaceDN/>
                    <w:bidi w:val="0"/>
                    <w:adjustRightInd/>
                    <w:spacing w:line="240" w:lineRule="atLeast"/>
                    <w:ind w:right="0" w:righ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外购</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塑料桶装</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液体状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3</w:t>
                  </w:r>
                </w:p>
              </w:tc>
              <w:tc>
                <w:tcPr>
                  <w:tcW w:w="1129"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高含量防水剂</w:t>
                  </w:r>
                </w:p>
              </w:tc>
              <w:tc>
                <w:tcPr>
                  <w:tcW w:w="684" w:type="pct"/>
                  <w:vMerge w:val="continue"/>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lang w:val="en-US" w:eastAsia="zh-CN"/>
                    </w:rPr>
                  </w:pPr>
                </w:p>
              </w:tc>
              <w:tc>
                <w:tcPr>
                  <w:tcW w:w="2809"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外购</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塑料桶装</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液体状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4</w:t>
                  </w:r>
                </w:p>
              </w:tc>
              <w:tc>
                <w:tcPr>
                  <w:tcW w:w="1129"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自来水</w:t>
                  </w:r>
                </w:p>
              </w:tc>
              <w:tc>
                <w:tcPr>
                  <w:tcW w:w="684" w:type="pct"/>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2"/>
                    </w:rPr>
                    <w:t>450</w:t>
                  </w:r>
                  <w:r>
                    <w:rPr>
                      <w:rFonts w:hint="default" w:ascii="Times New Roman" w:hAnsi="Times New Roman" w:eastAsia="宋体" w:cs="Times New Roman"/>
                      <w:kern w:val="0"/>
                      <w:sz w:val="21"/>
                      <w:szCs w:val="21"/>
                      <w:lang w:val="en-US" w:eastAsia="zh-CN"/>
                    </w:rPr>
                    <w:t>t/</w:t>
                  </w:r>
                  <w:r>
                    <w:rPr>
                      <w:rFonts w:hint="default" w:ascii="Times New Roman" w:hAnsi="Times New Roman" w:eastAsia="宋体" w:cs="Times New Roman"/>
                      <w:kern w:val="2"/>
                      <w:sz w:val="21"/>
                      <w:szCs w:val="21"/>
                      <w:lang w:val="en-US" w:eastAsia="zh-CN" w:bidi="ar-SA"/>
                    </w:rPr>
                    <w:t>a</w:t>
                  </w:r>
                </w:p>
              </w:tc>
              <w:tc>
                <w:tcPr>
                  <w:tcW w:w="2809"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园区供应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四、共用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1129"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塑料包装桶</w:t>
                  </w:r>
                </w:p>
              </w:tc>
              <w:tc>
                <w:tcPr>
                  <w:tcW w:w="684" w:type="pct"/>
                  <w:vAlign w:val="center"/>
                </w:tcPr>
                <w:p>
                  <w:pPr>
                    <w:snapToGrid w:val="0"/>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17500个</w:t>
                  </w:r>
                  <w:r>
                    <w:rPr>
                      <w:rFonts w:hint="default" w:ascii="Times New Roman" w:hAnsi="Times New Roman" w:eastAsia="宋体" w:cs="Times New Roman"/>
                      <w:kern w:val="0"/>
                      <w:sz w:val="21"/>
                      <w:szCs w:val="21"/>
                      <w:lang w:val="en-US" w:eastAsia="zh-CN"/>
                    </w:rPr>
                    <w:t>/</w:t>
                  </w:r>
                  <w:r>
                    <w:rPr>
                      <w:rFonts w:hint="default" w:ascii="Times New Roman" w:hAnsi="Times New Roman" w:eastAsia="宋体" w:cs="Times New Roman"/>
                      <w:kern w:val="2"/>
                      <w:sz w:val="21"/>
                      <w:szCs w:val="21"/>
                      <w:lang w:val="en-US" w:eastAsia="zh-CN" w:bidi="ar-SA"/>
                    </w:rPr>
                    <w:t>a</w:t>
                  </w:r>
                </w:p>
              </w:tc>
              <w:tc>
                <w:tcPr>
                  <w:tcW w:w="2809"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用于产品包装运输</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型号为</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2t、1t、50kg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1129"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电</w:t>
                  </w:r>
                </w:p>
              </w:tc>
              <w:tc>
                <w:tcPr>
                  <w:tcW w:w="684" w:type="pct"/>
                  <w:vAlign w:val="center"/>
                </w:tcPr>
                <w:p>
                  <w:pPr>
                    <w:keepNext w:val="0"/>
                    <w:keepLines w:val="0"/>
                    <w:widowControl/>
                    <w:suppressLineNumbers w:val="0"/>
                    <w:jc w:val="left"/>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61</w:t>
                  </w:r>
                  <w:r>
                    <w:rPr>
                      <w:rFonts w:hint="default" w:ascii="Times New Roman" w:hAnsi="Times New Roman" w:eastAsia="宋体" w:cs="Times New Roman"/>
                      <w:color w:val="000000"/>
                      <w:kern w:val="0"/>
                      <w:sz w:val="20"/>
                      <w:szCs w:val="20"/>
                      <w:lang w:val="en-US" w:eastAsia="zh-CN" w:bidi="ar"/>
                    </w:rPr>
                    <w:t>kW·h</w:t>
                  </w:r>
                </w:p>
              </w:tc>
              <w:tc>
                <w:tcPr>
                  <w:tcW w:w="2809" w:type="pct"/>
                  <w:vAlign w:val="center"/>
                </w:tcPr>
                <w:p>
                  <w:pPr>
                    <w:keepNext w:val="0"/>
                    <w:keepLines w:val="0"/>
                    <w:pageBreakBefore w:val="0"/>
                    <w:kinsoku/>
                    <w:wordWrap/>
                    <w:overflowPunct/>
                    <w:topLinePunct w:val="0"/>
                    <w:autoSpaceDE/>
                    <w:autoSpaceDN/>
                    <w:bidi w:val="0"/>
                    <w:adjustRightInd/>
                    <w:spacing w:line="240" w:lineRule="atLeast"/>
                    <w:ind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园区供应</w:t>
                  </w:r>
                </w:p>
              </w:tc>
            </w:tr>
          </w:tbl>
          <w:p>
            <w:pPr>
              <w:pStyle w:val="45"/>
              <w:spacing w:line="364" w:lineRule="auto"/>
              <w:ind w:right="83" w:firstLine="482" w:firstLineChars="200"/>
              <w:jc w:val="both"/>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原辅性能及理化性质：</w:t>
            </w:r>
          </w:p>
          <w:p>
            <w:pPr>
              <w:pStyle w:val="45"/>
              <w:spacing w:line="364" w:lineRule="auto"/>
              <w:ind w:right="83" w:firstLine="480" w:firstLineChars="200"/>
              <w:jc w:val="both"/>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自来水</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项目产品对于水硬度要求较小。产品质量主要受存放温度、存放时间影响</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本项且产品采取订单制生产</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不在厂区内长期存放。产品配制用水采用自来水即可满足要求。因此</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不配套纯水系统。</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AKD</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蜡</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又名烷基烯酮二聚体</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为浅黄色蜡状固体</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酸值（mgKOH/g）：2~5</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熔点：48~50°C</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碳含量C16</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 xml:space="preserve"> 40% 、C18</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 xml:space="preserve"> 60%</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适用于木浆、苇浆等浆种生产的各种文化用纸、板纸、新闻纸、果袋纸和要求施胶的包装纸等纸种</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无危险性和毒性。</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b w:val="0"/>
                <w:bCs w:val="0"/>
                <w:color w:val="000000" w:themeColor="text1"/>
                <w:sz w:val="24"/>
                <w:lang w:val="en-US"/>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lang w:val="en-US"/>
                <w14:textFill>
                  <w14:solidFill>
                    <w14:schemeClr w14:val="tx1"/>
                  </w14:solidFill>
                </w14:textFill>
              </w:rPr>
              <w:t>乳化剂</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b w:val="0"/>
                <w:bCs w:val="0"/>
                <w:color w:val="000000" w:themeColor="text1"/>
                <w:sz w:val="24"/>
                <w:lang w:val="en-US"/>
                <w14:textFill>
                  <w14:solidFill>
                    <w14:schemeClr w14:val="tx1"/>
                  </w14:solidFill>
                </w14:textFill>
              </w:rPr>
            </w:pPr>
            <w:r>
              <w:rPr>
                <w:rFonts w:hint="default" w:ascii="Times New Roman" w:hAnsi="Times New Roman" w:eastAsia="宋体" w:cs="Times New Roman"/>
                <w:b w:val="0"/>
                <w:bCs w:val="0"/>
                <w:color w:val="000000" w:themeColor="text1"/>
                <w:sz w:val="24"/>
                <w:lang w:val="en-US"/>
                <w14:textFill>
                  <w14:solidFill>
                    <w14:schemeClr w14:val="tx1"/>
                  </w14:solidFill>
                </w14:textFill>
              </w:rPr>
              <w:t>由于AKD</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蜡</w:t>
            </w:r>
            <w:r>
              <w:rPr>
                <w:rFonts w:hint="default" w:ascii="Times New Roman" w:hAnsi="Times New Roman" w:eastAsia="宋体" w:cs="Times New Roman"/>
                <w:b w:val="0"/>
                <w:bCs w:val="0"/>
                <w:color w:val="000000" w:themeColor="text1"/>
                <w:sz w:val="24"/>
                <w:lang w:val="en-US"/>
                <w14:textFill>
                  <w14:solidFill>
                    <w14:schemeClr w14:val="tx1"/>
                  </w14:solidFill>
                </w14:textFill>
              </w:rPr>
              <w:t>在加热熔融后是油状液滴不能与水互溶</w:t>
            </w:r>
            <w:r>
              <w:rPr>
                <w:rFonts w:hint="eastAsia"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14:textFill>
                  <w14:solidFill>
                    <w14:schemeClr w14:val="tx1"/>
                  </w14:solidFill>
                </w14:textFill>
              </w:rPr>
              <w:t>因此需要乳化剂的亲水一端与水分子结合</w:t>
            </w:r>
            <w:r>
              <w:rPr>
                <w:rFonts w:hint="eastAsia"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14:textFill>
                  <w14:solidFill>
                    <w14:schemeClr w14:val="tx1"/>
                  </w14:solidFill>
                </w14:textFill>
              </w:rPr>
              <w:t>乳化剂的亲油一端与AKD结合</w:t>
            </w:r>
            <w:r>
              <w:rPr>
                <w:rFonts w:hint="eastAsia"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14:textFill>
                  <w14:solidFill>
                    <w14:schemeClr w14:val="tx1"/>
                  </w14:solidFill>
                </w14:textFill>
              </w:rPr>
              <w:t>使AKD很好的分散在水中形成稳定的乳液(以分子间力结合</w:t>
            </w:r>
            <w:r>
              <w:rPr>
                <w:rFonts w:hint="eastAsia"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14:textFill>
                  <w14:solidFill>
                    <w14:schemeClr w14:val="tx1"/>
                  </w14:solidFill>
                </w14:textFill>
              </w:rPr>
              <w:t>非化学反应)。项目使用乳化剂为AKD专用乳化剂</w:t>
            </w:r>
            <w:r>
              <w:rPr>
                <w:rFonts w:hint="eastAsia"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14:textFill>
                  <w14:solidFill>
                    <w14:schemeClr w14:val="tx1"/>
                  </w14:solidFill>
                </w14:textFill>
              </w:rPr>
              <w:t>技术指标为</w:t>
            </w:r>
            <w:r>
              <w:rPr>
                <w:rFonts w:hint="eastAsia"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14:textFill>
                  <w14:solidFill>
                    <w14:schemeClr w14:val="tx1"/>
                  </w14:solidFill>
                </w14:textFill>
              </w:rPr>
              <w:t>固含量25+0.5%</w:t>
            </w:r>
            <w:r>
              <w:rPr>
                <w:rFonts w:hint="eastAsia"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14:textFill>
                  <w14:solidFill>
                    <w14:schemeClr w14:val="tx1"/>
                  </w14:solidFill>
                </w14:textFill>
              </w:rPr>
              <w:t>粘度30~90mPA·s</w:t>
            </w:r>
            <w:r>
              <w:rPr>
                <w:rFonts w:hint="eastAsia"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14:textFill>
                  <w14:solidFill>
                    <w14:schemeClr w14:val="tx1"/>
                  </w14:solidFill>
                </w14:textFill>
              </w:rPr>
              <w:t>电荷密度282mea/g</w:t>
            </w:r>
            <w:r>
              <w:rPr>
                <w:rFonts w:hint="eastAsia"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14:textFill>
                  <w14:solidFill>
                    <w14:schemeClr w14:val="tx1"/>
                  </w14:solidFill>
                </w14:textFill>
              </w:rPr>
              <w:t>取代度0165</w:t>
            </w:r>
            <w:r>
              <w:rPr>
                <w:rFonts w:hint="eastAsia"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14:textFill>
                  <w14:solidFill>
                    <w14:schemeClr w14:val="tx1"/>
                  </w14:solidFill>
                </w14:textFill>
              </w:rPr>
              <w:t>主要成分为阳离子淀粉、木薯淀粉、季铵盐(3-氯-2-羟丙基三甲基氯化铵</w:t>
            </w:r>
            <w:r>
              <w:rPr>
                <w:rFonts w:hint="eastAsia"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14:textFill>
                  <w14:solidFill>
                    <w14:schemeClr w14:val="tx1"/>
                  </w14:solidFill>
                </w14:textFill>
              </w:rPr>
              <w:t>对木薯淀粉改性使其增加亲水基团)。该乳化剂产品原料为木薯淀粉和季铵盐</w:t>
            </w:r>
            <w:r>
              <w:rPr>
                <w:rFonts w:hint="eastAsia"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14:textFill>
                  <w14:solidFill>
                    <w14:schemeClr w14:val="tx1"/>
                  </w14:solidFill>
                </w14:textFill>
              </w:rPr>
              <w:t>本项目生产时直接购买成品乳化剂。该乳化剂中主要成分阳离子淀粉、木薯淀粉、季铵盐(熔点191-193℃)</w:t>
            </w:r>
            <w:r>
              <w:rPr>
                <w:rFonts w:hint="eastAsia"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14:textFill>
                  <w14:solidFill>
                    <w14:schemeClr w14:val="tx1"/>
                  </w14:solidFill>
                </w14:textFill>
              </w:rPr>
              <w:t>本项目生产加热(</w:t>
            </w:r>
            <w:r>
              <w:rPr>
                <w:rFonts w:hint="eastAsia" w:ascii="Times New Roman" w:hAnsi="Times New Roman" w:cs="Times New Roman"/>
                <w:b w:val="0"/>
                <w:bCs w:val="0"/>
                <w:color w:val="000000" w:themeColor="text1"/>
                <w:sz w:val="24"/>
                <w:lang w:val="en-US" w:eastAsia="zh-CN"/>
                <w14:textFill>
                  <w14:solidFill>
                    <w14:schemeClr w14:val="tx1"/>
                  </w14:solidFill>
                </w14:textFill>
              </w:rPr>
              <w:t>60</w:t>
            </w:r>
            <w:r>
              <w:rPr>
                <w:rFonts w:hint="default" w:ascii="Times New Roman" w:hAnsi="Times New Roman" w:eastAsia="宋体" w:cs="Times New Roman"/>
                <w:b w:val="0"/>
                <w:bCs w:val="0"/>
                <w:color w:val="000000" w:themeColor="text1"/>
                <w:sz w:val="24"/>
                <w:lang w:val="en-US"/>
                <w14:textFill>
                  <w14:solidFill>
                    <w14:schemeClr w14:val="tx1"/>
                  </w14:solidFill>
                </w14:textFill>
              </w:rPr>
              <w:t>℃)过程中均不会挥发。</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eastAsia" w:ascii="Times New Roman" w:hAnsi="Times New Roman" w:cs="Times New Roman"/>
                <w:b w:val="0"/>
                <w:bCs w:val="0"/>
                <w:color w:val="000000" w:themeColor="text1"/>
                <w:sz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硫酸铝</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Al</w:t>
            </w:r>
            <w:r>
              <w:rPr>
                <w:rFonts w:hint="default" w:ascii="Times New Roman" w:hAnsi="Times New Roman" w:eastAsia="宋体" w:cs="Times New Roman"/>
                <w:b w:val="0"/>
                <w:bCs w:val="0"/>
                <w:color w:val="000000" w:themeColor="text1"/>
                <w:sz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14:textFill>
                  <w14:solidFill>
                    <w14:schemeClr w14:val="tx1"/>
                  </w14:solidFill>
                </w14:textFill>
              </w:rPr>
              <w:t>(SO</w:t>
            </w:r>
            <w:r>
              <w:rPr>
                <w:rFonts w:hint="default" w:ascii="Times New Roman" w:hAnsi="Times New Roman" w:eastAsia="宋体" w:cs="Times New Roman"/>
                <w:b w:val="0"/>
                <w:bCs w:val="0"/>
                <w:color w:val="000000" w:themeColor="text1"/>
                <w:sz w:val="24"/>
                <w:vertAlign w:val="subscript"/>
                <w14:textFill>
                  <w14:solidFill>
                    <w14:schemeClr w14:val="tx1"/>
                  </w14:solidFill>
                </w14:textFill>
              </w:rPr>
              <w:t>4</w:t>
            </w:r>
            <w:r>
              <w:rPr>
                <w:rFonts w:hint="default" w:ascii="Times New Roman" w:hAnsi="Times New Roman" w:eastAsia="宋体" w:cs="Times New Roman"/>
                <w:b w:val="0"/>
                <w:bCs w:val="0"/>
                <w:color w:val="000000" w:themeColor="text1"/>
                <w:sz w:val="24"/>
                <w14:textFill>
                  <w14:solidFill>
                    <w14:schemeClr w14:val="tx1"/>
                  </w14:solidFill>
                </w14:textFill>
              </w:rPr>
              <w:t>)</w:t>
            </w:r>
            <w:r>
              <w:rPr>
                <w:rFonts w:hint="default" w:ascii="Times New Roman" w:hAnsi="Times New Roman" w:eastAsia="宋体" w:cs="Times New Roman"/>
                <w:b w:val="0"/>
                <w:bCs w:val="0"/>
                <w:color w:val="000000" w:themeColor="text1"/>
                <w:sz w:val="24"/>
                <w:vertAlign w:val="subscript"/>
                <w14:textFill>
                  <w14:solidFill>
                    <w14:schemeClr w14:val="tx1"/>
                  </w14:solidFill>
                </w14:textFill>
              </w:rPr>
              <w:t>3</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分子量342.20</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CAS号10043-01-3</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白色晶体、有甜味</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熔点(℃)：770（分解）</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相对密度（水=1）：2.71</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溶于水</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不溶于乙醇等</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化学性质稳定</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硫酸铝为强酸弱碱盐</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溶于水中使产品显酸性</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本项目添加硫酸铝作用主要为调节pH</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增强产品稳定性。</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eastAsia" w:ascii="Times New Roman" w:hAnsi="Times New Roman" w:cs="Times New Roman"/>
                <w:b w:val="0"/>
                <w:bCs w:val="0"/>
                <w:color w:val="000000" w:themeColor="text1"/>
                <w:sz w:val="24"/>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sz w:val="24"/>
                <w:szCs w:val="24"/>
                <w:lang w:val="en-US" w:eastAsia="zh-CN"/>
              </w:rPr>
              <w:t>纸用增强剂</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聚丙烯酰胺</w:t>
            </w:r>
            <w:r>
              <w:rPr>
                <w:rFonts w:hint="eastAsia" w:ascii="Times New Roman" w:hAnsi="Times New Roman" w:eastAsia="宋体" w:cs="Times New Roman"/>
                <w:b w:val="0"/>
                <w:bCs w:val="0"/>
                <w:sz w:val="24"/>
                <w:szCs w:val="24"/>
                <w:lang w:val="en-US" w:eastAsia="zh-CN"/>
              </w:rPr>
              <w:t>）</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CAS号为9003-05-8</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分子式为(C</w:t>
            </w:r>
            <w:r>
              <w:rPr>
                <w:rFonts w:hint="default" w:ascii="Times New Roman" w:hAnsi="Times New Roman" w:eastAsia="宋体" w:cs="Times New Roman"/>
                <w:b w:val="0"/>
                <w:bCs w:val="0"/>
                <w:color w:val="000000" w:themeColor="text1"/>
                <w:sz w:val="24"/>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4"/>
                <w14:textFill>
                  <w14:solidFill>
                    <w14:schemeClr w14:val="tx1"/>
                  </w14:solidFill>
                </w14:textFill>
              </w:rPr>
              <w:t>H</w:t>
            </w:r>
            <w:r>
              <w:rPr>
                <w:rFonts w:hint="default" w:ascii="Times New Roman" w:hAnsi="Times New Roman" w:eastAsia="宋体" w:cs="Times New Roman"/>
                <w:b w:val="0"/>
                <w:bCs w:val="0"/>
                <w:color w:val="000000" w:themeColor="text1"/>
                <w:sz w:val="24"/>
                <w:vertAlign w:val="subscript"/>
                <w14:textFill>
                  <w14:solidFill>
                    <w14:schemeClr w14:val="tx1"/>
                  </w14:solidFill>
                </w14:textFill>
              </w:rPr>
              <w:t>5</w:t>
            </w:r>
            <w:r>
              <w:rPr>
                <w:rFonts w:hint="default" w:ascii="Times New Roman" w:hAnsi="Times New Roman" w:eastAsia="宋体" w:cs="Times New Roman"/>
                <w:b w:val="0"/>
                <w:bCs w:val="0"/>
                <w:color w:val="000000" w:themeColor="text1"/>
                <w:sz w:val="24"/>
                <w14:textFill>
                  <w14:solidFill>
                    <w14:schemeClr w14:val="tx1"/>
                  </w14:solidFill>
                </w14:textFill>
              </w:rPr>
              <w:t>NO)n</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分子量71.07</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是一种线状的有机高分子聚合物</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也是一种高分子水处理絮凝剂产品</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具有絮凝性、增稠性、耐剪切性、降阻性、分散性等宝贵性能。</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eastAsia" w:ascii="Times New Roman" w:hAnsi="Times New Roman" w:cs="Times New Roman"/>
                <w:b w:val="0"/>
                <w:bCs w:val="0"/>
                <w:color w:val="000000" w:themeColor="text1"/>
                <w:sz w:val="24"/>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尿素</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又称碳酰胺（carbamide)</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是由碳、氮、氧、氢组成的有机化合物是一种白色晶体。 CAS号57-13-6</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分子式：CH</w:t>
            </w:r>
            <w:r>
              <w:rPr>
                <w:rFonts w:hint="default" w:ascii="Times New Roman" w:hAnsi="Times New Roman" w:eastAsia="宋体" w:cs="Times New Roman"/>
                <w:b w:val="0"/>
                <w:bCs w:val="0"/>
                <w:color w:val="000000" w:themeColor="text1"/>
                <w:sz w:val="24"/>
                <w:vertAlign w:val="subscript"/>
                <w14:textFill>
                  <w14:solidFill>
                    <w14:schemeClr w14:val="tx1"/>
                  </w14:solidFill>
                </w14:textFill>
              </w:rPr>
              <w:t>4</w:t>
            </w:r>
            <w:r>
              <w:rPr>
                <w:rFonts w:hint="default" w:ascii="Times New Roman" w:hAnsi="Times New Roman" w:eastAsia="宋体" w:cs="Times New Roman"/>
                <w:b w:val="0"/>
                <w:bCs w:val="0"/>
                <w:color w:val="000000" w:themeColor="text1"/>
                <w:sz w:val="24"/>
                <w14:textFill>
                  <w14:solidFill>
                    <w14:schemeClr w14:val="tx1"/>
                  </w14:solidFill>
                </w14:textFill>
              </w:rPr>
              <w:t>N</w:t>
            </w:r>
            <w:r>
              <w:rPr>
                <w:rFonts w:hint="default" w:ascii="Times New Roman" w:hAnsi="Times New Roman" w:eastAsia="宋体" w:cs="Times New Roman"/>
                <w:b w:val="0"/>
                <w:bCs w:val="0"/>
                <w:color w:val="000000" w:themeColor="text1"/>
                <w:sz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14:textFill>
                  <w14:solidFill>
                    <w14:schemeClr w14:val="tx1"/>
                  </w14:solidFill>
                </w14:textFill>
              </w:rPr>
              <w:t>O</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分子量：60.05</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熔点：131-135℃</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沸点：196.6°Cat760mmHg</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密度：1.335。在采油、选矿、洗煤、冶金、化工、造纸、纺织、制糖、医药、环保、建材、农业生产等部门都有广泛的使用。</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eastAsia" w:ascii="Times New Roman" w:hAnsi="Times New Roman" w:cs="Times New Roman"/>
                <w:b w:val="0"/>
                <w:bCs w:val="0"/>
                <w:color w:val="000000" w:themeColor="text1"/>
                <w:sz w:val="24"/>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施胶剂</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是一种造纸添加剂</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主要分为浆内施胶和表面施胶</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在纸上施胶可提高纸张抗水、抗油、抗印刷油墨等性能</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同时可提高光滑性、憎水性、印刷适应性</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无危险性和毒性。</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eastAsia" w:ascii="Times New Roman" w:hAnsi="Times New Roman" w:cs="Times New Roman"/>
                <w:b w:val="0"/>
                <w:bCs w:val="0"/>
                <w:color w:val="000000" w:themeColor="text1"/>
                <w:sz w:val="24"/>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消泡剂</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也称消沫剂</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是在食品加工过程中降低表面张力</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抑制泡沫产生或消除已产生泡沫的食品添加剂</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无危险性和毒性。</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防水剂</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乳白色透明</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弱阳离子</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易容与水 储存温度</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0-40℃</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适用于大理石、文化石、人造石、斩假石、瓷砖、马赛克、碑刻等石材及砖产品的防水防腐。</w:t>
            </w:r>
          </w:p>
          <w:p>
            <w:pPr>
              <w:pStyle w:val="45"/>
              <w:spacing w:line="305" w:lineRule="exact"/>
              <w:ind w:left="592"/>
              <w:jc w:val="left"/>
              <w:rPr>
                <w:rFonts w:hint="default"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14:textFill>
                  <w14:solidFill>
                    <w14:schemeClr w14:val="tx1"/>
                  </w14:solidFill>
                </w14:textFill>
              </w:rPr>
              <w:t>、主要生产设备</w:t>
            </w:r>
          </w:p>
          <w:p>
            <w:pPr>
              <w:pStyle w:val="45"/>
              <w:spacing w:before="156"/>
              <w:ind w:firstLine="632" w:firstLineChars="300"/>
              <w:rPr>
                <w:rFonts w:hint="default" w:ascii="Times New Roman" w:hAnsi="Times New Roman" w:eastAsia="宋体" w:cs="Times New Roman"/>
                <w:b/>
                <w:bCs/>
                <w:color w:val="000000" w:themeColor="text1"/>
                <w:szCs w:val="21"/>
                <w:lang w:val="en-US"/>
                <w14:textFill>
                  <w14:solidFill>
                    <w14:schemeClr w14:val="tx1"/>
                  </w14:solidFill>
                </w14:textFill>
              </w:rPr>
            </w:pPr>
            <w:r>
              <w:rPr>
                <w:rFonts w:hint="default" w:ascii="Times New Roman" w:hAnsi="Times New Roman" w:eastAsia="宋体" w:cs="Times New Roman"/>
                <w:b/>
                <w:bCs/>
                <w:color w:val="000000" w:themeColor="text1"/>
                <w:szCs w:val="21"/>
                <w:lang w:val="en-US"/>
                <w14:textFill>
                  <w14:solidFill>
                    <w14:schemeClr w14:val="tx1"/>
                  </w14:solidFill>
                </w14:textFill>
              </w:rPr>
              <w:t>表2-5  项目主要生产设备一览表</w:t>
            </w:r>
          </w:p>
          <w:tbl>
            <w:tblPr>
              <w:tblStyle w:val="2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897"/>
              <w:gridCol w:w="869"/>
              <w:gridCol w:w="759"/>
              <w:gridCol w:w="5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序号</w:t>
                  </w:r>
                </w:p>
              </w:tc>
              <w:tc>
                <w:tcPr>
                  <w:tcW w:w="963"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设备名称</w:t>
                  </w:r>
                </w:p>
              </w:tc>
              <w:tc>
                <w:tcPr>
                  <w:tcW w:w="4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数量</w:t>
                  </w:r>
                </w:p>
              </w:tc>
              <w:tc>
                <w:tcPr>
                  <w:tcW w:w="325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一、AKD乳液生产线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w:t>
                  </w:r>
                </w:p>
              </w:tc>
              <w:tc>
                <w:tcPr>
                  <w:tcW w:w="963" w:type="pct"/>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AKD融化罐</w:t>
                  </w:r>
                </w:p>
              </w:tc>
              <w:tc>
                <w:tcPr>
                  <w:tcW w:w="414"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2台</w:t>
                  </w:r>
                </w:p>
              </w:tc>
              <w:tc>
                <w:tcPr>
                  <w:tcW w:w="325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用于AKD加热融化</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内含搅拌装置</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用电加热。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w:t>
                  </w:r>
                </w:p>
              </w:tc>
              <w:tc>
                <w:tcPr>
                  <w:tcW w:w="963" w:type="pct"/>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szCs w:val="22"/>
                      <w:lang w:eastAsia="zh-CN"/>
                    </w:rPr>
                  </w:pPr>
                  <w:r>
                    <w:rPr>
                      <w:rFonts w:hint="default" w:ascii="Times New Roman" w:hAnsi="Times New Roman" w:eastAsia="宋体" w:cs="Times New Roman"/>
                      <w:szCs w:val="22"/>
                    </w:rPr>
                    <w:t>高速乳化搅拌</w:t>
                  </w:r>
                  <w:r>
                    <w:rPr>
                      <w:rFonts w:hint="default" w:ascii="Times New Roman" w:hAnsi="Times New Roman" w:eastAsia="宋体" w:cs="Times New Roman"/>
                      <w:szCs w:val="22"/>
                      <w:lang w:val="en-US" w:eastAsia="zh-CN"/>
                    </w:rPr>
                    <w:t>罐</w:t>
                  </w:r>
                </w:p>
              </w:tc>
              <w:tc>
                <w:tcPr>
                  <w:tcW w:w="414"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2</w:t>
                  </w:r>
                  <w:r>
                    <w:rPr>
                      <w:rFonts w:hint="eastAsia" w:cs="Times New Roman"/>
                      <w:szCs w:val="22"/>
                      <w:lang w:val="en-US" w:eastAsia="zh-CN"/>
                    </w:rPr>
                    <w:t>台</w:t>
                  </w:r>
                </w:p>
              </w:tc>
              <w:tc>
                <w:tcPr>
                  <w:tcW w:w="325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用于乳化剂</w:t>
                  </w:r>
                  <w:r>
                    <w:rPr>
                      <w:rFonts w:hint="default" w:ascii="Times New Roman" w:hAnsi="Times New Roman" w:eastAsia="宋体" w:cs="Times New Roman"/>
                      <w:color w:val="000000" w:themeColor="text1"/>
                      <w:szCs w:val="21"/>
                      <w:lang w:val="en-US" w:eastAsia="zh-CN"/>
                      <w14:textFill>
                        <w14:solidFill>
                          <w14:schemeClr w14:val="tx1"/>
                        </w14:solidFill>
                      </w14:textFill>
                    </w:rPr>
                    <w:t>和融化后的AKD蜡高速搅拌。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w:t>
                  </w:r>
                </w:p>
              </w:tc>
              <w:tc>
                <w:tcPr>
                  <w:tcW w:w="963" w:type="pct"/>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剪切机</w:t>
                  </w:r>
                </w:p>
              </w:tc>
              <w:tc>
                <w:tcPr>
                  <w:tcW w:w="414"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2</w:t>
                  </w:r>
                  <w:r>
                    <w:rPr>
                      <w:rFonts w:hint="eastAsia" w:cs="Times New Roman"/>
                      <w:szCs w:val="22"/>
                      <w:lang w:val="en-US" w:eastAsia="zh-CN"/>
                    </w:rPr>
                    <w:t>台</w:t>
                  </w:r>
                </w:p>
              </w:tc>
              <w:tc>
                <w:tcPr>
                  <w:tcW w:w="325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用于物料高速剪切搅拌</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使物料油相和水相</w:t>
                  </w:r>
                  <w:r>
                    <w:rPr>
                      <w:rFonts w:hint="default" w:ascii="Times New Roman" w:hAnsi="Times New Roman" w:eastAsia="宋体" w:cs="Times New Roman"/>
                      <w:color w:val="000000" w:themeColor="text1"/>
                      <w:szCs w:val="21"/>
                      <w:lang w:val="en-US" w:eastAsia="zh-CN"/>
                      <w14:textFill>
                        <w14:solidFill>
                          <w14:schemeClr w14:val="tx1"/>
                        </w14:solidFill>
                      </w14:textFill>
                    </w:rPr>
                    <w:t>更加</w:t>
                  </w:r>
                  <w:r>
                    <w:rPr>
                      <w:rFonts w:hint="default" w:ascii="Times New Roman" w:hAnsi="Times New Roman" w:eastAsia="宋体" w:cs="Times New Roman"/>
                      <w:color w:val="000000" w:themeColor="text1"/>
                      <w:szCs w:val="21"/>
                      <w14:textFill>
                        <w14:solidFill>
                          <w14:schemeClr w14:val="tx1"/>
                        </w14:solidFill>
                      </w14:textFill>
                    </w:rPr>
                    <w:t>乳化在一起</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使物料得到微细化。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w:t>
                  </w:r>
                </w:p>
              </w:tc>
              <w:tc>
                <w:tcPr>
                  <w:tcW w:w="963" w:type="pct"/>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zCs w:val="22"/>
                    </w:rPr>
                    <w:t>高压均质机</w:t>
                  </w:r>
                </w:p>
              </w:tc>
              <w:tc>
                <w:tcPr>
                  <w:tcW w:w="414"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szCs w:val="22"/>
                      <w:lang w:val="en-US" w:eastAsia="zh-CN"/>
                    </w:rPr>
                    <w:t>4</w:t>
                  </w:r>
                  <w:r>
                    <w:rPr>
                      <w:rFonts w:hint="eastAsia" w:cs="Times New Roman"/>
                      <w:szCs w:val="22"/>
                      <w:lang w:val="en-US" w:eastAsia="zh-CN"/>
                    </w:rPr>
                    <w:t>台</w:t>
                  </w:r>
                </w:p>
              </w:tc>
              <w:tc>
                <w:tcPr>
                  <w:tcW w:w="325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均质机是靠机器高压挤压乳液</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然后</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又瞬间放开</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把乳液变成小粒径的</w:t>
                  </w:r>
                  <w:r>
                    <w:rPr>
                      <w:rFonts w:hint="default" w:ascii="Times New Roman" w:hAnsi="Times New Roman" w:eastAsia="宋体" w:cs="Times New Roman"/>
                      <w:color w:val="000000" w:themeColor="text1"/>
                      <w:szCs w:val="21"/>
                      <w:lang w:val="en-US" w:eastAsia="zh-CN"/>
                      <w14:textFill>
                        <w14:solidFill>
                          <w14:schemeClr w14:val="tx1"/>
                        </w14:solidFill>
                      </w14:textFill>
                    </w:rPr>
                    <w:t>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w:t>
                  </w:r>
                </w:p>
              </w:tc>
              <w:tc>
                <w:tcPr>
                  <w:tcW w:w="963" w:type="pct"/>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szCs w:val="22"/>
                    </w:rPr>
                  </w:pPr>
                  <w:r>
                    <w:rPr>
                      <w:rFonts w:hint="default" w:ascii="Times New Roman" w:hAnsi="Times New Roman" w:eastAsia="宋体" w:cs="Times New Roman"/>
                      <w:szCs w:val="22"/>
                    </w:rPr>
                    <w:t>板式换热器</w:t>
                  </w:r>
                </w:p>
              </w:tc>
              <w:tc>
                <w:tcPr>
                  <w:tcW w:w="414"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5</w:t>
                  </w:r>
                  <w:r>
                    <w:rPr>
                      <w:rFonts w:hint="eastAsia" w:cs="Times New Roman"/>
                      <w:szCs w:val="22"/>
                      <w:lang w:val="en-US" w:eastAsia="zh-CN"/>
                    </w:rPr>
                    <w:t>台</w:t>
                  </w:r>
                </w:p>
              </w:tc>
              <w:tc>
                <w:tcPr>
                  <w:tcW w:w="325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由智能冷水机和2</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t>的</w:t>
                  </w:r>
                  <w:r>
                    <w:rPr>
                      <w:rFonts w:hint="default" w:ascii="Times New Roman" w:hAnsi="Times New Roman" w:eastAsia="宋体" w:cs="Times New Roman"/>
                      <w:color w:val="000000" w:themeColor="text1"/>
                      <w:szCs w:val="21"/>
                      <w14:textFill>
                        <w14:solidFill>
                          <w14:schemeClr w14:val="tx1"/>
                        </w14:solidFill>
                      </w14:textFill>
                    </w:rPr>
                    <w:t>水箱</w:t>
                  </w:r>
                  <w:r>
                    <w:rPr>
                      <w:rFonts w:hint="default" w:ascii="Times New Roman" w:hAnsi="Times New Roman" w:eastAsia="宋体" w:cs="Times New Roman"/>
                      <w:color w:val="000000" w:themeColor="text1"/>
                      <w:szCs w:val="21"/>
                      <w:lang w:val="en-US" w:eastAsia="zh-CN"/>
                      <w14:textFill>
                        <w14:solidFill>
                          <w14:schemeClr w14:val="tx1"/>
                        </w14:solidFill>
                      </w14:textFill>
                    </w:rPr>
                    <w:t>组成</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接自来水管</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用于对</w:t>
                  </w:r>
                  <w:r>
                    <w:rPr>
                      <w:rFonts w:hint="default" w:ascii="Times New Roman" w:hAnsi="Times New Roman" w:eastAsia="宋体" w:cs="Times New Roman"/>
                      <w:szCs w:val="22"/>
                    </w:rPr>
                    <w:t>乳化</w:t>
                  </w:r>
                  <w:r>
                    <w:rPr>
                      <w:rFonts w:hint="default" w:ascii="Times New Roman" w:hAnsi="Times New Roman" w:eastAsia="宋体" w:cs="Times New Roman"/>
                      <w:color w:val="000000" w:themeColor="text1"/>
                      <w:szCs w:val="21"/>
                      <w:lang w:val="en-US" w:eastAsia="zh-CN"/>
                      <w14:textFill>
                        <w14:solidFill>
                          <w14:schemeClr w14:val="tx1"/>
                        </w14:solidFill>
                      </w14:textFill>
                    </w:rPr>
                    <w:t>好的成品</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进行冷却降温</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水箱、管线均为不锈钢</w:t>
                  </w:r>
                  <w:r>
                    <w:rPr>
                      <w:rFonts w:hint="default" w:ascii="Times New Roman" w:hAnsi="Times New Roman" w:eastAsia="宋体" w:cs="Times New Roman"/>
                      <w:color w:val="000000" w:themeColor="text1"/>
                      <w:szCs w:val="21"/>
                      <w:lang w:val="en-US" w:eastAsia="zh-CN"/>
                      <w14:textFill>
                        <w14:solidFill>
                          <w14:schemeClr w14:val="tx1"/>
                        </w14:solidFill>
                      </w14:textFill>
                    </w:rPr>
                    <w:t>和</w:t>
                  </w:r>
                  <w:r>
                    <w:rPr>
                      <w:rFonts w:hint="default" w:ascii="Times New Roman" w:hAnsi="Times New Roman" w:eastAsia="宋体" w:cs="Times New Roman"/>
                      <w:color w:val="000000" w:themeColor="text1"/>
                      <w:szCs w:val="21"/>
                      <w14:textFill>
                        <w14:solidFill>
                          <w14:schemeClr w14:val="tx1"/>
                        </w14:solidFill>
                      </w14:textFill>
                    </w:rPr>
                    <w:t>塑料材料</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冷却水循环使用不外排。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w:t>
                  </w:r>
                </w:p>
              </w:tc>
              <w:tc>
                <w:tcPr>
                  <w:tcW w:w="963" w:type="pct"/>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szCs w:val="22"/>
                    </w:rPr>
                  </w:pPr>
                  <w:r>
                    <w:rPr>
                      <w:rFonts w:hint="default" w:ascii="Times New Roman" w:hAnsi="Times New Roman" w:eastAsia="宋体" w:cs="Times New Roman"/>
                      <w:szCs w:val="22"/>
                    </w:rPr>
                    <w:t>复配搅拌罐</w:t>
                  </w:r>
                </w:p>
              </w:tc>
              <w:tc>
                <w:tcPr>
                  <w:tcW w:w="414"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1台</w:t>
                  </w:r>
                </w:p>
              </w:tc>
              <w:tc>
                <w:tcPr>
                  <w:tcW w:w="3254"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超微细化后的物料泵入复配搅拌罐中加入一定量硫酸铝搅拌均匀后</w:t>
                  </w:r>
                  <w:r>
                    <w:rPr>
                      <w:rFonts w:hint="eastAsia" w:ascii="Times New Roman" w:hAnsi="Times New Roman" w:eastAsia="宋体" w:cs="Times New Roman"/>
                      <w:szCs w:val="22"/>
                      <w:lang w:val="en-US" w:eastAsia="zh-CN"/>
                    </w:rPr>
                    <w:t>，</w:t>
                  </w:r>
                  <w:r>
                    <w:rPr>
                      <w:rFonts w:hint="default" w:ascii="Times New Roman" w:hAnsi="Times New Roman" w:eastAsia="宋体" w:cs="Times New Roman"/>
                      <w:szCs w:val="22"/>
                      <w:lang w:val="en-US" w:eastAsia="zh-CN"/>
                    </w:rPr>
                    <w:t>调节PH值至中性得到成品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op w:val="single" w:color="auto" w:sz="4" w:space="0"/>
                    <w:left w:val="single" w:color="auto" w:sz="4" w:space="0"/>
                    <w:bottom w:val="single" w:color="auto" w:sz="4" w:space="0"/>
                    <w:right w:val="single" w:color="auto" w:sz="4" w:space="0"/>
                  </w:tcBorders>
                  <w:vAlign w:val="center"/>
                </w:tcPr>
                <w:p>
                  <w:pPr>
                    <w:snapToGrid w:val="0"/>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二、</w:t>
                  </w:r>
                  <w:r>
                    <w:rPr>
                      <w:rFonts w:hint="default" w:ascii="Times New Roman" w:hAnsi="Times New Roman" w:eastAsia="宋体" w:cs="Times New Roman"/>
                      <w:b/>
                      <w:bCs/>
                      <w:color w:val="000000" w:themeColor="text1"/>
                      <w:szCs w:val="21"/>
                      <w14:textFill>
                        <w14:solidFill>
                          <w14:schemeClr w14:val="tx1"/>
                        </w14:solidFill>
                      </w14:textFill>
                    </w:rPr>
                    <w:t>增强剂生产线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36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w:t>
                  </w:r>
                </w:p>
              </w:tc>
              <w:tc>
                <w:tcPr>
                  <w:tcW w:w="963" w:type="pct"/>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szCs w:val="22"/>
                    </w:rPr>
                  </w:pPr>
                  <w:r>
                    <w:rPr>
                      <w:rFonts w:hint="default" w:ascii="Times New Roman" w:hAnsi="Times New Roman" w:eastAsia="宋体" w:cs="Times New Roman"/>
                      <w:szCs w:val="22"/>
                    </w:rPr>
                    <w:t>增强剂搅拌罐</w:t>
                  </w:r>
                </w:p>
              </w:tc>
              <w:tc>
                <w:tcPr>
                  <w:tcW w:w="414"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szCs w:val="22"/>
                    </w:rPr>
                  </w:pPr>
                  <w:r>
                    <w:rPr>
                      <w:rFonts w:hint="default" w:ascii="Times New Roman" w:hAnsi="Times New Roman" w:eastAsia="宋体" w:cs="Times New Roman"/>
                      <w:szCs w:val="22"/>
                      <w:lang w:val="en-US" w:eastAsia="zh-CN"/>
                    </w:rPr>
                    <w:t>2</w:t>
                  </w:r>
                  <w:r>
                    <w:rPr>
                      <w:rFonts w:hint="default" w:ascii="Times New Roman" w:hAnsi="Times New Roman" w:eastAsia="宋体" w:cs="Times New Roman"/>
                      <w:szCs w:val="22"/>
                    </w:rPr>
                    <w:t>台</w:t>
                  </w:r>
                </w:p>
              </w:tc>
              <w:tc>
                <w:tcPr>
                  <w:tcW w:w="3254"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color w:val="000000" w:themeColor="text1"/>
                      <w:szCs w:val="21"/>
                      <w14:textFill>
                        <w14:solidFill>
                          <w14:schemeClr w14:val="tx1"/>
                        </w14:solidFill>
                      </w14:textFill>
                    </w:rPr>
                    <w:t>用于</w:t>
                  </w:r>
                  <w:r>
                    <w:rPr>
                      <w:rFonts w:hint="default" w:ascii="Times New Roman" w:hAnsi="Times New Roman" w:eastAsia="宋体" w:cs="Times New Roman"/>
                      <w:color w:val="000000" w:themeColor="text1"/>
                      <w:szCs w:val="21"/>
                      <w:lang w:val="en-US" w:eastAsia="zh-CN"/>
                      <w14:textFill>
                        <w14:solidFill>
                          <w14:schemeClr w14:val="tx1"/>
                        </w14:solidFill>
                      </w14:textFill>
                    </w:rPr>
                    <w:t>高浓度</w:t>
                  </w:r>
                  <w:r>
                    <w:rPr>
                      <w:rFonts w:hint="default" w:ascii="Times New Roman" w:hAnsi="Times New Roman" w:eastAsia="宋体" w:cs="Times New Roman"/>
                      <w:szCs w:val="22"/>
                    </w:rPr>
                    <w:t>增强剂</w:t>
                  </w:r>
                  <w:r>
                    <w:rPr>
                      <w:rFonts w:hint="default" w:ascii="Times New Roman" w:hAnsi="Times New Roman" w:eastAsia="宋体" w:cs="Times New Roman"/>
                      <w:color w:val="000000" w:themeColor="text1"/>
                      <w:szCs w:val="21"/>
                      <w:lang w:val="en-US" w:eastAsia="zh-CN"/>
                      <w14:textFill>
                        <w14:solidFill>
                          <w14:schemeClr w14:val="tx1"/>
                        </w14:solidFill>
                      </w14:textFill>
                    </w:rPr>
                    <w:t>和水的搅拌混合。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5000" w:type="pct"/>
                  <w:gridSpan w:val="5"/>
                  <w:tcBorders>
                    <w:top w:val="single" w:color="auto" w:sz="4" w:space="0"/>
                    <w:left w:val="single" w:color="auto" w:sz="4" w:space="0"/>
                    <w:bottom w:val="single" w:color="auto" w:sz="4" w:space="0"/>
                    <w:right w:val="single" w:color="auto" w:sz="4" w:space="0"/>
                  </w:tcBorders>
                  <w:vAlign w:val="center"/>
                </w:tcPr>
                <w:p>
                  <w:pPr>
                    <w:snapToGrid w:val="0"/>
                    <w:jc w:val="left"/>
                    <w:rPr>
                      <w:rFonts w:hint="default" w:ascii="Times New Roman" w:hAnsi="Times New Roman" w:eastAsia="宋体" w:cs="Times New Roman"/>
                      <w:szCs w:val="22"/>
                      <w:lang w:val="en-US" w:eastAsia="zh-CN"/>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三、复配型造纸助剂（施胶剂、消泡剂、防水剂）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w:t>
                  </w:r>
                </w:p>
              </w:tc>
              <w:tc>
                <w:tcPr>
                  <w:tcW w:w="489"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施胶剂</w:t>
                  </w:r>
                </w:p>
              </w:tc>
              <w:tc>
                <w:tcPr>
                  <w:tcW w:w="474" w:type="pct"/>
                  <w:vMerge w:val="restart"/>
                  <w:tcBorders>
                    <w:top w:val="single" w:color="auto" w:sz="4" w:space="0"/>
                    <w:left w:val="single" w:color="auto" w:sz="4" w:space="0"/>
                    <w:right w:val="single" w:color="auto" w:sz="4" w:space="0"/>
                  </w:tcBorders>
                  <w:vAlign w:val="center"/>
                </w:tcPr>
                <w:p>
                  <w:pPr>
                    <w:snapToGrid w:val="0"/>
                    <w:jc w:val="center"/>
                    <w:rPr>
                      <w:rFonts w:hint="default" w:ascii="Times New Roman" w:hAnsi="Times New Roman" w:eastAsia="宋体" w:cs="Times New Roman"/>
                      <w:szCs w:val="22"/>
                    </w:rPr>
                  </w:pPr>
                  <w:r>
                    <w:rPr>
                      <w:rFonts w:hint="default" w:ascii="Times New Roman" w:hAnsi="Times New Roman" w:eastAsia="宋体" w:cs="Times New Roman"/>
                      <w:szCs w:val="22"/>
                    </w:rPr>
                    <w:t>复配搅拌罐</w:t>
                  </w:r>
                </w:p>
              </w:tc>
              <w:tc>
                <w:tcPr>
                  <w:tcW w:w="414"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2台</w:t>
                  </w:r>
                </w:p>
              </w:tc>
              <w:tc>
                <w:tcPr>
                  <w:tcW w:w="325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用于</w:t>
                  </w:r>
                  <w:r>
                    <w:rPr>
                      <w:rFonts w:hint="default" w:ascii="Times New Roman" w:hAnsi="Times New Roman" w:eastAsia="宋体" w:cs="Times New Roman"/>
                      <w:color w:val="000000" w:themeColor="text1"/>
                      <w:szCs w:val="21"/>
                      <w:lang w:val="en-US" w:eastAsia="zh-CN"/>
                      <w14:textFill>
                        <w14:solidFill>
                          <w14:schemeClr w14:val="tx1"/>
                        </w14:solidFill>
                      </w14:textFill>
                    </w:rPr>
                    <w:t>高浓度</w:t>
                  </w: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施胶剂</w:t>
                  </w:r>
                  <w:r>
                    <w:rPr>
                      <w:rFonts w:hint="default" w:ascii="Times New Roman" w:hAnsi="Times New Roman" w:eastAsia="宋体" w:cs="Times New Roman"/>
                      <w:color w:val="000000" w:themeColor="text1"/>
                      <w:szCs w:val="21"/>
                      <w:lang w:val="en-US" w:eastAsia="zh-CN"/>
                      <w14:textFill>
                        <w14:solidFill>
                          <w14:schemeClr w14:val="tx1"/>
                        </w14:solidFill>
                      </w14:textFill>
                    </w:rPr>
                    <w:t>和水的搅拌混合。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w:t>
                  </w:r>
                </w:p>
              </w:tc>
              <w:tc>
                <w:tcPr>
                  <w:tcW w:w="489"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b w:val="0"/>
                      <w:bCs w:val="0"/>
                      <w:szCs w:val="22"/>
                    </w:rPr>
                  </w:pP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消泡剂</w:t>
                  </w:r>
                </w:p>
              </w:tc>
              <w:tc>
                <w:tcPr>
                  <w:tcW w:w="474" w:type="pct"/>
                  <w:vMerge w:val="continue"/>
                  <w:tcBorders>
                    <w:left w:val="single" w:color="auto" w:sz="4" w:space="0"/>
                    <w:right w:val="single" w:color="auto" w:sz="4" w:space="0"/>
                  </w:tcBorders>
                  <w:vAlign w:val="center"/>
                </w:tcPr>
                <w:p>
                  <w:pPr>
                    <w:snapToGrid w:val="0"/>
                    <w:jc w:val="center"/>
                    <w:rPr>
                      <w:rFonts w:hint="default" w:ascii="Times New Roman" w:hAnsi="Times New Roman" w:eastAsia="宋体" w:cs="Times New Roman"/>
                      <w:szCs w:val="22"/>
                    </w:rPr>
                  </w:pPr>
                </w:p>
              </w:tc>
              <w:tc>
                <w:tcPr>
                  <w:tcW w:w="414"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2台</w:t>
                  </w:r>
                </w:p>
              </w:tc>
              <w:tc>
                <w:tcPr>
                  <w:tcW w:w="325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用于</w:t>
                  </w:r>
                  <w:r>
                    <w:rPr>
                      <w:rFonts w:hint="default" w:ascii="Times New Roman" w:hAnsi="Times New Roman" w:eastAsia="宋体" w:cs="Times New Roman"/>
                      <w:color w:val="000000" w:themeColor="text1"/>
                      <w:szCs w:val="21"/>
                      <w:lang w:val="en-US" w:eastAsia="zh-CN"/>
                      <w14:textFill>
                        <w14:solidFill>
                          <w14:schemeClr w14:val="tx1"/>
                        </w14:solidFill>
                      </w14:textFill>
                    </w:rPr>
                    <w:t>高浓度</w:t>
                  </w: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消泡剂</w:t>
                  </w:r>
                  <w:r>
                    <w:rPr>
                      <w:rFonts w:hint="default" w:ascii="Times New Roman" w:hAnsi="Times New Roman" w:eastAsia="宋体" w:cs="Times New Roman"/>
                      <w:color w:val="000000" w:themeColor="text1"/>
                      <w:szCs w:val="21"/>
                      <w:lang w:val="en-US" w:eastAsia="zh-CN"/>
                      <w14:textFill>
                        <w14:solidFill>
                          <w14:schemeClr w14:val="tx1"/>
                        </w14:solidFill>
                      </w14:textFill>
                    </w:rPr>
                    <w:t>和水的搅拌混合。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w:t>
                  </w:r>
                </w:p>
              </w:tc>
              <w:tc>
                <w:tcPr>
                  <w:tcW w:w="489"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b w:val="0"/>
                      <w:bCs w:val="0"/>
                      <w:szCs w:val="22"/>
                    </w:rPr>
                  </w:pP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防水剂</w:t>
                  </w:r>
                </w:p>
              </w:tc>
              <w:tc>
                <w:tcPr>
                  <w:tcW w:w="474" w:type="pct"/>
                  <w:vMerge w:val="continue"/>
                  <w:tcBorders>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szCs w:val="22"/>
                    </w:rPr>
                  </w:pPr>
                </w:p>
              </w:tc>
              <w:tc>
                <w:tcPr>
                  <w:tcW w:w="414"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2台</w:t>
                  </w:r>
                </w:p>
              </w:tc>
              <w:tc>
                <w:tcPr>
                  <w:tcW w:w="325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用于</w:t>
                  </w:r>
                  <w:r>
                    <w:rPr>
                      <w:rFonts w:hint="default" w:ascii="Times New Roman" w:hAnsi="Times New Roman" w:eastAsia="宋体" w:cs="Times New Roman"/>
                      <w:color w:val="000000" w:themeColor="text1"/>
                      <w:szCs w:val="21"/>
                      <w:lang w:val="en-US" w:eastAsia="zh-CN"/>
                      <w14:textFill>
                        <w14:solidFill>
                          <w14:schemeClr w14:val="tx1"/>
                        </w14:solidFill>
                      </w14:textFill>
                    </w:rPr>
                    <w:t>高浓度</w:t>
                  </w: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防水剂</w:t>
                  </w:r>
                  <w:r>
                    <w:rPr>
                      <w:rFonts w:hint="default" w:ascii="Times New Roman" w:hAnsi="Times New Roman" w:eastAsia="宋体" w:cs="Times New Roman"/>
                      <w:color w:val="000000" w:themeColor="text1"/>
                      <w:szCs w:val="21"/>
                      <w:lang w:val="en-US" w:eastAsia="zh-CN"/>
                      <w14:textFill>
                        <w14:solidFill>
                          <w14:schemeClr w14:val="tx1"/>
                        </w14:solidFill>
                      </w14:textFill>
                    </w:rPr>
                    <w:t>和水的搅拌混合。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四、共用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w:t>
                  </w:r>
                </w:p>
              </w:tc>
              <w:tc>
                <w:tcPr>
                  <w:tcW w:w="963"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zCs w:val="22"/>
                    </w:rPr>
                    <w:t>风机</w:t>
                  </w:r>
                </w:p>
              </w:tc>
              <w:tc>
                <w:tcPr>
                  <w:tcW w:w="4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zCs w:val="22"/>
                    </w:rPr>
                    <w:t>1台</w:t>
                  </w:r>
                </w:p>
              </w:tc>
              <w:tc>
                <w:tcPr>
                  <w:tcW w:w="325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w:t>
                  </w:r>
                </w:p>
              </w:tc>
              <w:tc>
                <w:tcPr>
                  <w:tcW w:w="963"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成品储罐</w:t>
                  </w:r>
                </w:p>
              </w:tc>
              <w:tc>
                <w:tcPr>
                  <w:tcW w:w="4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5个</w:t>
                  </w:r>
                </w:p>
              </w:tc>
              <w:tc>
                <w:tcPr>
                  <w:tcW w:w="325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规格为3t</w:t>
                  </w:r>
                </w:p>
              </w:tc>
            </w:tr>
          </w:tbl>
          <w:p>
            <w:pPr>
              <w:pStyle w:val="45"/>
              <w:keepNext w:val="0"/>
              <w:keepLines w:val="0"/>
              <w:pageBreakBefore w:val="0"/>
              <w:widowControl w:val="0"/>
              <w:kinsoku/>
              <w:wordWrap/>
              <w:overflowPunct/>
              <w:topLinePunct w:val="0"/>
              <w:autoSpaceDE/>
              <w:autoSpaceDN/>
              <w:bidi w:val="0"/>
              <w:adjustRightInd/>
              <w:snapToGrid/>
              <w:spacing w:line="360" w:lineRule="auto"/>
              <w:ind w:right="0" w:firstLine="482" w:firstLineChars="200"/>
              <w:jc w:val="left"/>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14:textFill>
                  <w14:solidFill>
                    <w14:schemeClr w14:val="tx1"/>
                  </w14:solidFill>
                </w14:textFill>
              </w:rPr>
              <w:t>、占地及平面布置</w:t>
            </w:r>
          </w:p>
          <w:p>
            <w:pPr>
              <w:spacing w:line="360" w:lineRule="auto"/>
              <w:ind w:firstLine="480" w:firstLineChars="200"/>
              <w:contextualSpacing/>
              <w:rPr>
                <w:rFonts w:hint="default" w:ascii="Times New Roman" w:hAnsi="Times New Roman" w:eastAsia="宋体" w:cs="Times New Roman"/>
                <w:color w:val="000000" w:themeColor="text1"/>
                <w:sz w:val="24"/>
                <w:lang w:val="en-US"/>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项目区内设有厂房和</w:t>
            </w:r>
            <w:r>
              <w:rPr>
                <w:rFonts w:hint="default" w:ascii="Times New Roman" w:hAnsi="Times New Roman" w:eastAsia="宋体" w:cs="Times New Roman"/>
                <w:color w:val="000000" w:themeColor="text1"/>
                <w:sz w:val="24"/>
                <w:lang w:val="en-US" w:eastAsia="zh-CN"/>
                <w14:textFill>
                  <w14:solidFill>
                    <w14:schemeClr w14:val="tx1"/>
                  </w14:solidFill>
                </w14:textFill>
              </w:rPr>
              <w:t>宿舍楼</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项目总体布局较简单</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14:textFill>
                  <w14:solidFill>
                    <w14:schemeClr w14:val="tx1"/>
                  </w14:solidFill>
                </w14:textFill>
              </w:rPr>
              <w:t>项目区出入口位于项目</w:t>
            </w:r>
            <w:r>
              <w:rPr>
                <w:rFonts w:hint="default" w:ascii="Times New Roman" w:hAnsi="Times New Roman" w:eastAsia="宋体" w:cs="Times New Roman"/>
                <w:color w:val="000000" w:themeColor="text1"/>
                <w:sz w:val="24"/>
                <w:lang w:val="en-US" w:eastAsia="zh-CN"/>
                <w14:textFill>
                  <w14:solidFill>
                    <w14:schemeClr w14:val="tx1"/>
                  </w14:solidFill>
                </w14:textFill>
              </w:rPr>
              <w:t>东</w:t>
            </w:r>
            <w:r>
              <w:rPr>
                <w:rFonts w:hint="default" w:ascii="Times New Roman" w:hAnsi="Times New Roman" w:eastAsia="宋体" w:cs="Times New Roman"/>
                <w:color w:val="000000" w:themeColor="text1"/>
                <w:sz w:val="24"/>
                <w:lang w:val="en-US"/>
                <w14:textFill>
                  <w14:solidFill>
                    <w14:schemeClr w14:val="tx1"/>
                  </w14:solidFill>
                </w14:textFill>
              </w:rPr>
              <w:t>侧</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14:textFill>
                  <w14:solidFill>
                    <w14:schemeClr w14:val="tx1"/>
                  </w14:solidFill>
                </w14:textFill>
              </w:rPr>
              <w:t>紧接园区</w:t>
            </w:r>
            <w:r>
              <w:rPr>
                <w:rFonts w:hint="default" w:ascii="Times New Roman" w:hAnsi="Times New Roman" w:eastAsia="宋体" w:cs="Times New Roman"/>
                <w:color w:val="000000" w:themeColor="text1"/>
                <w:sz w:val="24"/>
                <w:lang w:val="en-US" w:eastAsia="zh-CN"/>
                <w14:textFill>
                  <w14:solidFill>
                    <w14:schemeClr w14:val="tx1"/>
                  </w14:solidFill>
                </w14:textFill>
              </w:rPr>
              <w:t>内部</w:t>
            </w:r>
            <w:r>
              <w:rPr>
                <w:rFonts w:hint="default" w:ascii="Times New Roman" w:hAnsi="Times New Roman" w:eastAsia="宋体" w:cs="Times New Roman"/>
                <w:color w:val="000000" w:themeColor="text1"/>
                <w:sz w:val="24"/>
                <w:lang w:val="en-US"/>
                <w14:textFill>
                  <w14:solidFill>
                    <w14:schemeClr w14:val="tx1"/>
                  </w14:solidFill>
                </w14:textFill>
              </w:rPr>
              <w:t>道路便于原料运入及产品运出。整体布局合理</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14:textFill>
                  <w14:solidFill>
                    <w14:schemeClr w14:val="tx1"/>
                  </w14:solidFill>
                </w14:textFill>
              </w:rPr>
              <w:t>项目总平面布置图详见附图</w:t>
            </w:r>
            <w:r>
              <w:rPr>
                <w:rFonts w:hint="default"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14:textFill>
                  <w14:solidFill>
                    <w14:schemeClr w14:val="tx1"/>
                  </w14:solidFill>
                </w14:textFill>
              </w:rPr>
              <w:t>。</w:t>
            </w:r>
          </w:p>
          <w:p>
            <w:pPr>
              <w:pStyle w:val="45"/>
              <w:spacing w:before="1" w:line="364" w:lineRule="auto"/>
              <w:ind w:left="112" w:right="9" w:firstLine="480"/>
              <w:jc w:val="left"/>
              <w:rPr>
                <w:rFonts w:hint="default"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14:textFill>
                  <w14:solidFill>
                    <w14:schemeClr w14:val="tx1"/>
                  </w14:solidFill>
                </w14:textFill>
              </w:rPr>
              <w:t>、劳动定员及工作制度</w:t>
            </w:r>
          </w:p>
          <w:p>
            <w:pPr>
              <w:spacing w:line="360" w:lineRule="auto"/>
              <w:ind w:firstLine="480" w:firstLineChars="200"/>
              <w:contextualSpacing/>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劳动定员：本项目运营期间工作人员数量为</w:t>
            </w:r>
            <w:r>
              <w:rPr>
                <w:rFonts w:hint="default" w:ascii="Times New Roman" w:hAnsi="Times New Roman" w:eastAsia="宋体" w:cs="Times New Roman"/>
                <w:color w:val="000000" w:themeColor="text1"/>
                <w:sz w:val="24"/>
                <w:lang w:val="en-US" w:eastAsia="zh-CN"/>
                <w14:textFill>
                  <w14:solidFill>
                    <w14:schemeClr w14:val="tx1"/>
                  </w14:solidFill>
                </w14:textFill>
              </w:rPr>
              <w:t>30</w:t>
            </w:r>
            <w:r>
              <w:rPr>
                <w:rFonts w:hint="default" w:ascii="Times New Roman" w:hAnsi="Times New Roman" w:eastAsia="宋体" w:cs="Times New Roman"/>
                <w:color w:val="000000" w:themeColor="text1"/>
                <w:sz w:val="24"/>
                <w14:textFill>
                  <w14:solidFill>
                    <w14:schemeClr w14:val="tx1"/>
                  </w14:solidFill>
                </w14:textFill>
              </w:rPr>
              <w:t>人</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管理人员</w:t>
            </w:r>
            <w:r>
              <w:rPr>
                <w:rFonts w:hint="default"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人</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有</w:t>
            </w:r>
            <w:r>
              <w:rPr>
                <w:rFonts w:hint="default" w:ascii="Times New Roman" w:hAnsi="Times New Roman" w:eastAsia="宋体" w:cs="Times New Roman"/>
                <w:color w:val="000000" w:themeColor="text1"/>
                <w:sz w:val="24"/>
                <w:lang w:val="en-US" w:eastAsia="zh-CN"/>
                <w14:textFill>
                  <w14:solidFill>
                    <w14:schemeClr w14:val="tx1"/>
                  </w14:solidFill>
                </w14:textFill>
              </w:rPr>
              <w:t>30</w:t>
            </w:r>
            <w:r>
              <w:rPr>
                <w:rFonts w:hint="default" w:ascii="Times New Roman" w:hAnsi="Times New Roman" w:eastAsia="宋体" w:cs="Times New Roman"/>
                <w:color w:val="000000" w:themeColor="text1"/>
                <w:sz w:val="24"/>
                <w14:textFill>
                  <w14:solidFill>
                    <w14:schemeClr w14:val="tx1"/>
                  </w14:solidFill>
                </w14:textFill>
              </w:rPr>
              <w:t>人在厂区内食宿。</w:t>
            </w:r>
          </w:p>
          <w:p>
            <w:pPr>
              <w:spacing w:line="360" w:lineRule="auto"/>
              <w:ind w:firstLine="480" w:firstLineChars="200"/>
              <w:contextualSpacing/>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工作制度：年生产300天</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实行一班制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每班工作8小时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夜间不生产。</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10</w:t>
            </w:r>
            <w:r>
              <w:rPr>
                <w:rFonts w:hint="default" w:ascii="Times New Roman" w:hAnsi="Times New Roman" w:eastAsia="宋体" w:cs="Times New Roman"/>
                <w:b/>
                <w:bCs/>
                <w:color w:val="000000" w:themeColor="text1"/>
                <w:sz w:val="24"/>
                <w14:textFill>
                  <w14:solidFill>
                    <w14:schemeClr w14:val="tx1"/>
                  </w14:solidFill>
                </w14:textFill>
              </w:rPr>
              <w:t>、施工周期安排</w:t>
            </w:r>
          </w:p>
          <w:p>
            <w:pPr>
              <w:spacing w:line="360" w:lineRule="auto"/>
              <w:ind w:firstLine="480"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根据建设单位提供资料</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项目施工周期为2022年</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月~202</w:t>
            </w:r>
            <w:r>
              <w:rPr>
                <w:rFonts w:hint="default"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年</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月（共3个月）</w:t>
            </w:r>
            <w:r>
              <w:rPr>
                <w:rStyle w:val="34"/>
                <w:rFonts w:hint="eastAsia" w:cs="Times New Roman"/>
                <w:color w:val="000000" w:themeColor="text1"/>
                <w:kern w:val="0"/>
                <w:szCs w:val="20"/>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目前尚未动工建设。</w:t>
            </w:r>
          </w:p>
          <w:p>
            <w:pPr>
              <w:spacing w:line="360" w:lineRule="auto"/>
              <w:ind w:firstLine="482"/>
              <w:rPr>
                <w:rFonts w:hint="default" w:ascii="Times New Roman" w:hAnsi="Times New Roman" w:eastAsia="宋体" w:cs="Times New Roman"/>
                <w:b/>
                <w:bCs/>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11</w:t>
            </w:r>
            <w:r>
              <w:rPr>
                <w:rFonts w:hint="default" w:ascii="Times New Roman" w:hAnsi="Times New Roman" w:eastAsia="宋体" w:cs="Times New Roman"/>
                <w:b/>
                <w:bCs/>
                <w:color w:val="000000" w:themeColor="text1"/>
                <w:sz w:val="24"/>
                <w14:textFill>
                  <w14:solidFill>
                    <w14:schemeClr w14:val="tx1"/>
                  </w14:solidFill>
                </w14:textFill>
              </w:rPr>
              <w:t>、公用工程</w:t>
            </w:r>
          </w:p>
          <w:p>
            <w:pPr>
              <w:pStyle w:val="45"/>
              <w:spacing w:line="360" w:lineRule="auto"/>
              <w:ind w:firstLine="48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14:textFill>
                  <w14:solidFill>
                    <w14:schemeClr w14:val="tx1"/>
                  </w14:solidFill>
                </w14:textFill>
              </w:rPr>
              <w:t>本项目租用位于</w:t>
            </w:r>
            <w:r>
              <w:rPr>
                <w:rFonts w:hint="default" w:ascii="Times New Roman" w:hAnsi="Times New Roman" w:eastAsia="宋体" w:cs="Times New Roman"/>
                <w:color w:val="000000" w:themeColor="text1"/>
                <w:sz w:val="24"/>
                <w14:textFill>
                  <w14:solidFill>
                    <w14:schemeClr w14:val="tx1"/>
                  </w14:solidFill>
                </w14:textFill>
              </w:rPr>
              <w:t>云南省</w:t>
            </w:r>
            <w:r>
              <w:rPr>
                <w:rFonts w:hint="default" w:ascii="Times New Roman" w:hAnsi="Times New Roman" w:eastAsia="宋体" w:cs="Times New Roman"/>
                <w:color w:val="000000" w:themeColor="text1"/>
                <w:sz w:val="24"/>
                <w:lang w:val="en-US"/>
                <w14:textFill>
                  <w14:solidFill>
                    <w14:schemeClr w14:val="tx1"/>
                  </w14:solidFill>
                </w14:textFill>
              </w:rPr>
              <w:t>昆明市晋宁工业园区二街基地</w:t>
            </w:r>
            <w:r>
              <w:rPr>
                <w:rFonts w:hint="default" w:ascii="Times New Roman" w:hAnsi="Times New Roman" w:eastAsia="宋体" w:cs="Times New Roman"/>
                <w:color w:val="000000" w:themeColor="text1"/>
                <w:sz w:val="24"/>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sz w:val="24"/>
                <w:lang w:val="en-US"/>
                <w14:textFill>
                  <w14:solidFill>
                    <w14:schemeClr w14:val="tx1"/>
                  </w14:solidFill>
                </w14:textFill>
              </w:rPr>
              <w:t>已建设好的</w:t>
            </w:r>
            <w:r>
              <w:rPr>
                <w:rFonts w:hint="default" w:ascii="Times New Roman" w:hAnsi="Times New Roman" w:eastAsia="宋体" w:cs="Times New Roman"/>
                <w:color w:val="000000" w:themeColor="text1"/>
                <w:sz w:val="24"/>
                <w14:textFill>
                  <w14:solidFill>
                    <w14:schemeClr w14:val="tx1"/>
                  </w14:solidFill>
                </w14:textFill>
              </w:rPr>
              <w:t>厂房、宿舍楼、</w:t>
            </w:r>
            <w:r>
              <w:rPr>
                <w:rFonts w:hint="default" w:ascii="Times New Roman" w:hAnsi="Times New Roman" w:eastAsia="宋体" w:cs="Times New Roman"/>
                <w:color w:val="000000" w:themeColor="text1"/>
                <w:sz w:val="24"/>
                <w:lang w:val="en-US"/>
                <w14:textFill>
                  <w14:solidFill>
                    <w14:schemeClr w14:val="tx1"/>
                  </w14:solidFill>
                </w14:textFill>
              </w:rPr>
              <w:t>办公楼、</w:t>
            </w:r>
            <w:r>
              <w:rPr>
                <w:rFonts w:hint="default" w:ascii="Times New Roman" w:hAnsi="Times New Roman" w:eastAsia="宋体" w:cs="Times New Roman"/>
                <w:color w:val="000000" w:themeColor="text1"/>
                <w:sz w:val="24"/>
                <w14:textFill>
                  <w14:solidFill>
                    <w14:schemeClr w14:val="tx1"/>
                  </w14:solidFill>
                </w14:textFill>
              </w:rPr>
              <w:t>场地及相关配套设施</w:t>
            </w:r>
            <w:r>
              <w:rPr>
                <w:rFonts w:hint="default" w:ascii="Times New Roman" w:hAnsi="Times New Roman" w:eastAsia="宋体" w:cs="Times New Roman"/>
                <w:color w:val="000000" w:themeColor="text1"/>
                <w:sz w:val="24"/>
                <w:lang w:val="en-US"/>
                <w14:textFill>
                  <w14:solidFill>
                    <w14:schemeClr w14:val="tx1"/>
                  </w14:solidFill>
                </w14:textFill>
              </w:rPr>
              <w:t>进行生产建设</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不涉及基础开挖、土石方等工程</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仅在企业入驻时对自身设备进行安装、调试。本项目的给水、排水、供电、消防以及道路情况如下。</w:t>
            </w:r>
          </w:p>
          <w:p>
            <w:pPr>
              <w:pStyle w:val="45"/>
              <w:spacing w:line="360" w:lineRule="auto"/>
              <w:ind w:firstLine="480" w:firstLineChars="200"/>
              <w:jc w:val="both"/>
              <w:rPr>
                <w:rFonts w:hint="default" w:ascii="Times New Roman" w:hAnsi="Times New Roman" w:eastAsia="宋体" w:cs="Times New Roman"/>
                <w:color w:val="000000" w:themeColor="text1"/>
                <w:sz w:val="24"/>
                <w:lang w:val="en-US" w:bidi="ar-SA"/>
                <w14:textFill>
                  <w14:solidFill>
                    <w14:schemeClr w14:val="tx1"/>
                  </w14:solidFill>
                </w14:textFill>
              </w:rPr>
            </w:pPr>
            <w:r>
              <w:rPr>
                <w:rFonts w:hint="default" w:ascii="Times New Roman" w:hAnsi="Times New Roman" w:eastAsia="宋体" w:cs="Times New Roman"/>
                <w:color w:val="000000" w:themeColor="text1"/>
                <w:sz w:val="24"/>
                <w:lang w:val="en-US" w:bidi="ar-SA"/>
                <w14:textFill>
                  <w14:solidFill>
                    <w14:schemeClr w14:val="tx1"/>
                  </w14:solidFill>
                </w14:textFill>
              </w:rPr>
              <w:t>①供电</w:t>
            </w:r>
          </w:p>
          <w:p>
            <w:pPr>
              <w:pStyle w:val="45"/>
              <w:spacing w:line="360" w:lineRule="auto"/>
              <w:ind w:firstLine="559"/>
              <w:jc w:val="both"/>
              <w:rPr>
                <w:rFonts w:hint="default" w:ascii="Times New Roman" w:hAnsi="Times New Roman" w:eastAsia="宋体" w:cs="Times New Roman"/>
                <w:color w:val="000000" w:themeColor="text1"/>
                <w:sz w:val="24"/>
                <w:lang w:val="en-US" w:bidi="ar-SA"/>
                <w14:textFill>
                  <w14:solidFill>
                    <w14:schemeClr w14:val="tx1"/>
                  </w14:solidFill>
                </w14:textFill>
              </w:rPr>
            </w:pPr>
            <w:r>
              <w:rPr>
                <w:rFonts w:hint="default" w:ascii="Times New Roman" w:hAnsi="Times New Roman" w:eastAsia="宋体" w:cs="Times New Roman"/>
                <w:color w:val="000000" w:themeColor="text1"/>
                <w:sz w:val="24"/>
                <w:lang w:val="en-US" w:bidi="ar-SA"/>
                <w14:textFill>
                  <w14:solidFill>
                    <w14:schemeClr w14:val="tx1"/>
                  </w14:solidFill>
                </w14:textFill>
              </w:rPr>
              <w:t>由</w:t>
            </w:r>
            <w:r>
              <w:rPr>
                <w:rFonts w:hint="default" w:ascii="Times New Roman" w:hAnsi="Times New Roman" w:eastAsia="宋体" w:cs="Times New Roman"/>
                <w:color w:val="000000" w:themeColor="text1"/>
                <w:sz w:val="24"/>
                <w14:textFill>
                  <w14:solidFill>
                    <w14:schemeClr w14:val="tx1"/>
                  </w14:solidFill>
                </w14:textFill>
              </w:rPr>
              <w:t>晋宁工业园区</w:t>
            </w:r>
            <w:r>
              <w:rPr>
                <w:rFonts w:hint="default" w:ascii="Times New Roman" w:hAnsi="Times New Roman" w:eastAsia="宋体" w:cs="Times New Roman"/>
                <w:color w:val="000000" w:themeColor="text1"/>
                <w:sz w:val="24"/>
                <w:lang w:val="en-US"/>
                <w14:textFill>
                  <w14:solidFill>
                    <w14:schemeClr w14:val="tx1"/>
                  </w14:solidFill>
                </w14:textFill>
              </w:rPr>
              <w:t>二街基地</w:t>
            </w:r>
            <w:r>
              <w:rPr>
                <w:rFonts w:hint="default" w:ascii="Times New Roman" w:hAnsi="Times New Roman" w:eastAsia="宋体" w:cs="Times New Roman"/>
                <w:color w:val="000000" w:themeColor="text1"/>
                <w:sz w:val="24"/>
                <w:lang w:val="en-US" w:bidi="ar-SA"/>
                <w14:textFill>
                  <w14:solidFill>
                    <w14:schemeClr w14:val="tx1"/>
                  </w14:solidFill>
                </w14:textFill>
              </w:rPr>
              <w:t>供电线路接入项目区</w:t>
            </w:r>
            <w:r>
              <w:rPr>
                <w:rFonts w:hint="eastAsia" w:ascii="Times New Roman" w:hAnsi="Times New Roman" w:cs="Times New Roman"/>
                <w:color w:val="000000" w:themeColor="text1"/>
                <w:sz w:val="24"/>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lang w:val="en-US" w:bidi="ar-SA"/>
                <w14:textFill>
                  <w14:solidFill>
                    <w14:schemeClr w14:val="tx1"/>
                  </w14:solidFill>
                </w14:textFill>
              </w:rPr>
              <w:t>能够满足生产生活用电要求</w:t>
            </w:r>
            <w:r>
              <w:rPr>
                <w:rFonts w:hint="eastAsia" w:ascii="Times New Roman" w:hAnsi="Times New Roman" w:cs="Times New Roman"/>
                <w:color w:val="000000" w:themeColor="text1"/>
                <w:sz w:val="24"/>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lang w:val="en-US" w:bidi="ar-SA"/>
                <w14:textFill>
                  <w14:solidFill>
                    <w14:schemeClr w14:val="tx1"/>
                  </w14:solidFill>
                </w14:textFill>
              </w:rPr>
              <w:t>项目年用电</w:t>
            </w:r>
            <w:r>
              <w:rPr>
                <w:rFonts w:hint="eastAsia" w:ascii="Times New Roman" w:hAnsi="Times New Roman" w:cs="Times New Roman"/>
                <w:color w:val="000000" w:themeColor="text1"/>
                <w:sz w:val="24"/>
                <w:lang w:val="en-US" w:eastAsia="zh-CN"/>
                <w14:textFill>
                  <w14:solidFill>
                    <w14:schemeClr w14:val="tx1"/>
                  </w14:solidFill>
                </w14:textFill>
              </w:rPr>
              <w:t>61</w:t>
            </w:r>
            <w:r>
              <w:rPr>
                <w:rFonts w:hint="default" w:ascii="Times New Roman" w:hAnsi="Times New Roman" w:eastAsia="宋体" w:cs="Times New Roman"/>
                <w:color w:val="000000" w:themeColor="text1"/>
                <w:sz w:val="24"/>
                <w:lang w:val="en-US" w:bidi="ar-SA"/>
                <w14:textFill>
                  <w14:solidFill>
                    <w14:schemeClr w14:val="tx1"/>
                  </w14:solidFill>
                </w14:textFill>
              </w:rPr>
              <w:t>万kw.h/a。</w:t>
            </w:r>
          </w:p>
          <w:p>
            <w:pPr>
              <w:pStyle w:val="45"/>
              <w:spacing w:line="360" w:lineRule="auto"/>
              <w:ind w:firstLine="480" w:firstLineChars="200"/>
              <w:jc w:val="both"/>
              <w:rPr>
                <w:rFonts w:hint="default" w:ascii="Times New Roman" w:hAnsi="Times New Roman" w:eastAsia="宋体" w:cs="Times New Roman"/>
                <w:color w:val="000000" w:themeColor="text1"/>
                <w:sz w:val="24"/>
                <w:lang w:val="en-US" w:bidi="ar-SA"/>
                <w14:textFill>
                  <w14:solidFill>
                    <w14:schemeClr w14:val="tx1"/>
                  </w14:solidFill>
                </w14:textFill>
              </w:rPr>
            </w:pPr>
            <w:r>
              <w:rPr>
                <w:rFonts w:hint="default" w:ascii="Times New Roman" w:hAnsi="Times New Roman" w:eastAsia="宋体" w:cs="Times New Roman"/>
                <w:color w:val="000000" w:themeColor="text1"/>
                <w:sz w:val="24"/>
                <w:lang w:val="en-US" w:bidi="ar-SA"/>
                <w14:textFill>
                  <w14:solidFill>
                    <w14:schemeClr w14:val="tx1"/>
                  </w14:solidFill>
                </w14:textFill>
              </w:rPr>
              <w:t>②供水</w:t>
            </w:r>
          </w:p>
          <w:p>
            <w:pPr>
              <w:pStyle w:val="45"/>
              <w:spacing w:line="360" w:lineRule="auto"/>
              <w:ind w:firstLine="559"/>
              <w:jc w:val="both"/>
              <w:rPr>
                <w:rFonts w:hint="default" w:ascii="Times New Roman" w:hAnsi="Times New Roman" w:eastAsia="宋体" w:cs="Times New Roman"/>
                <w:color w:val="000000" w:themeColor="text1"/>
                <w:sz w:val="24"/>
                <w:lang w:val="en-US"/>
                <w14:textFill>
                  <w14:solidFill>
                    <w14:schemeClr w14:val="tx1"/>
                  </w14:solidFill>
                </w14:textFill>
              </w:rPr>
            </w:pPr>
            <w:r>
              <w:rPr>
                <w:rFonts w:hint="default" w:ascii="Times New Roman" w:hAnsi="Times New Roman" w:eastAsia="宋体" w:cs="Times New Roman"/>
                <w:color w:val="000000" w:themeColor="text1"/>
                <w:sz w:val="24"/>
                <w:lang w:val="en-US" w:bidi="ar-SA"/>
                <w14:textFill>
                  <w14:solidFill>
                    <w14:schemeClr w14:val="tx1"/>
                  </w14:solidFill>
                </w14:textFill>
              </w:rPr>
              <w:t>由</w:t>
            </w:r>
            <w:r>
              <w:rPr>
                <w:rFonts w:hint="default" w:ascii="Times New Roman" w:hAnsi="Times New Roman" w:eastAsia="宋体" w:cs="Times New Roman"/>
                <w:color w:val="000000" w:themeColor="text1"/>
                <w:sz w:val="24"/>
                <w14:textFill>
                  <w14:solidFill>
                    <w14:schemeClr w14:val="tx1"/>
                  </w14:solidFill>
                </w14:textFill>
              </w:rPr>
              <w:t>晋宁工业园区</w:t>
            </w:r>
            <w:r>
              <w:rPr>
                <w:rFonts w:hint="default" w:ascii="Times New Roman" w:hAnsi="Times New Roman" w:eastAsia="宋体" w:cs="Times New Roman"/>
                <w:color w:val="000000" w:themeColor="text1"/>
                <w:sz w:val="24"/>
                <w:lang w:val="en-US"/>
                <w14:textFill>
                  <w14:solidFill>
                    <w14:schemeClr w14:val="tx1"/>
                  </w14:solidFill>
                </w14:textFill>
              </w:rPr>
              <w:t>二街基地</w:t>
            </w:r>
            <w:r>
              <w:rPr>
                <w:rFonts w:hint="default" w:ascii="Times New Roman" w:hAnsi="Times New Roman" w:eastAsia="宋体" w:cs="Times New Roman"/>
                <w:color w:val="000000" w:themeColor="text1"/>
                <w:sz w:val="24"/>
                <w:lang w:val="en-US" w:bidi="ar-SA"/>
                <w14:textFill>
                  <w14:solidFill>
                    <w14:schemeClr w14:val="tx1"/>
                  </w14:solidFill>
                </w14:textFill>
              </w:rPr>
              <w:t>供水管网接入项目区</w:t>
            </w:r>
            <w:r>
              <w:rPr>
                <w:rFonts w:hint="eastAsia" w:ascii="Times New Roman" w:hAnsi="Times New Roman" w:cs="Times New Roman"/>
                <w:color w:val="000000" w:themeColor="text1"/>
                <w:sz w:val="24"/>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lang w:val="en-US" w:bidi="ar-SA"/>
                <w14:textFill>
                  <w14:solidFill>
                    <w14:schemeClr w14:val="tx1"/>
                  </w14:solidFill>
                </w14:textFill>
              </w:rPr>
              <w:t>能够满足生产生活用水要求</w:t>
            </w:r>
            <w:r>
              <w:rPr>
                <w:rFonts w:hint="eastAsia" w:ascii="Times New Roman" w:hAnsi="Times New Roman" w:cs="Times New Roman"/>
                <w:color w:val="000000" w:themeColor="text1"/>
                <w:sz w:val="24"/>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lang w:val="en-US" w:bidi="ar-SA"/>
                <w14:textFill>
                  <w14:solidFill>
                    <w14:schemeClr w14:val="tx1"/>
                  </w14:solidFill>
                </w14:textFill>
              </w:rPr>
              <w:t>项目年用水量为</w:t>
            </w:r>
            <w:r>
              <w:rPr>
                <w:rFonts w:hint="eastAsia" w:ascii="Times New Roman" w:hAnsi="Times New Roman" w:cs="Times New Roman"/>
                <w:color w:val="000000" w:themeColor="text1"/>
                <w:sz w:val="24"/>
                <w:lang w:val="en-US" w:eastAsia="zh-CN"/>
                <w14:textFill>
                  <w14:solidFill>
                    <w14:schemeClr w14:val="tx1"/>
                  </w14:solidFill>
                </w14:textFill>
              </w:rPr>
              <w:t>14880</w:t>
            </w:r>
            <w:r>
              <w:rPr>
                <w:rFonts w:hint="default" w:ascii="Times New Roman" w:hAnsi="Times New Roman" w:eastAsia="宋体" w:cs="Times New Roman"/>
                <w:color w:val="000000" w:themeColor="text1"/>
                <w:sz w:val="24"/>
                <w:lang w:val="en-US"/>
                <w14:textFill>
                  <w14:solidFill>
                    <w14:schemeClr w14:val="tx1"/>
                  </w14:solidFill>
                </w14:textFill>
              </w:rPr>
              <w:t>t/a。</w:t>
            </w:r>
          </w:p>
          <w:p>
            <w:pPr>
              <w:pStyle w:val="45"/>
              <w:spacing w:line="360" w:lineRule="auto"/>
              <w:ind w:firstLine="480" w:firstLineChars="200"/>
              <w:jc w:val="both"/>
              <w:rPr>
                <w:rFonts w:hint="default" w:ascii="Times New Roman" w:hAnsi="Times New Roman" w:eastAsia="宋体" w:cs="Times New Roman"/>
                <w:color w:val="000000" w:themeColor="text1"/>
                <w:sz w:val="24"/>
                <w:lang w:val="en-US" w:bidi="ar-SA"/>
                <w14:textFill>
                  <w14:solidFill>
                    <w14:schemeClr w14:val="tx1"/>
                  </w14:solidFill>
                </w14:textFill>
              </w:rPr>
            </w:pPr>
            <w:r>
              <w:rPr>
                <w:rFonts w:hint="default" w:ascii="Times New Roman" w:hAnsi="Times New Roman" w:eastAsia="宋体" w:cs="Times New Roman"/>
                <w:color w:val="000000" w:themeColor="text1"/>
                <w:sz w:val="24"/>
                <w:lang w:val="en-US" w:bidi="ar-SA"/>
                <w14:textFill>
                  <w14:solidFill>
                    <w14:schemeClr w14:val="tx1"/>
                  </w14:solidFill>
                </w14:textFill>
              </w:rPr>
              <w:t>③排水</w:t>
            </w:r>
          </w:p>
          <w:p>
            <w:pPr>
              <w:spacing w:line="360" w:lineRule="auto"/>
              <w:ind w:firstLine="48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项目实行雨污分流排水制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雨水通过</w:t>
            </w:r>
            <w:r>
              <w:rPr>
                <w:rFonts w:hint="default" w:ascii="Times New Roman" w:hAnsi="Times New Roman" w:eastAsia="宋体" w:cs="Times New Roman"/>
                <w:color w:val="000000" w:themeColor="text1"/>
                <w:sz w:val="24"/>
                <w:lang w:val="en-US" w:eastAsia="zh-CN"/>
                <w14:textFill>
                  <w14:solidFill>
                    <w14:schemeClr w14:val="tx1"/>
                  </w14:solidFill>
                </w14:textFill>
              </w:rPr>
              <w:t>依托</w:t>
            </w:r>
            <w:r>
              <w:rPr>
                <w:rFonts w:hint="default" w:ascii="Times New Roman" w:hAnsi="Times New Roman" w:eastAsia="宋体" w:cs="Times New Roman"/>
                <w:color w:val="000000" w:themeColor="text1"/>
                <w:sz w:val="24"/>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sz w:val="24"/>
                <w14:textFill>
                  <w14:solidFill>
                    <w14:schemeClr w14:val="tx1"/>
                  </w14:solidFill>
                </w14:textFill>
              </w:rPr>
              <w:t>自建</w:t>
            </w:r>
            <w:r>
              <w:rPr>
                <w:rFonts w:hint="default" w:ascii="Times New Roman" w:hAnsi="Times New Roman" w:eastAsia="宋体" w:cs="Times New Roman"/>
                <w:color w:val="000000" w:themeColor="text1"/>
                <w:sz w:val="24"/>
                <w:lang w:eastAsia="zh-CN"/>
                <w14:textFill>
                  <w14:solidFill>
                    <w14:schemeClr w14:val="tx1"/>
                  </w14:solidFill>
                </w14:textFill>
              </w:rPr>
              <w:t>的</w:t>
            </w:r>
            <w:r>
              <w:rPr>
                <w:rFonts w:hint="default" w:ascii="Times New Roman" w:hAnsi="Times New Roman" w:eastAsia="宋体" w:cs="Times New Roman"/>
                <w:color w:val="000000" w:themeColor="text1"/>
                <w:sz w:val="24"/>
                <w14:textFill>
                  <w14:solidFill>
                    <w14:schemeClr w14:val="tx1"/>
                  </w14:solidFill>
                </w14:textFill>
              </w:rPr>
              <w:t>雨水管网收集后排入园区雨水管网</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项目无生产废水</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外排废水主要为生活污水</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本项目厂区提供食宿</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生活污水为食堂废水和生活污水</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食堂废水经隔油池处理后同生活污水一起排入化粪池处理达标后排入园区污水管网</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最终进入晋宁县工业园区二街片区生活污水处理厂处理。</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④道路</w:t>
            </w:r>
          </w:p>
          <w:p>
            <w:pPr>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依托园区已有道路。</w:t>
            </w:r>
          </w:p>
          <w:p>
            <w:pPr>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⑤通讯系统</w:t>
            </w:r>
          </w:p>
          <w:p>
            <w:pPr>
              <w:pStyle w:val="2"/>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采用局域网或本地市话网络</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以满足本项目生产调度及行政管理的通讯要求。所需电信电缆由园区布设至项目界区边界</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届时本项目通信只需根据需要接至就近的电话交接箱即可满足要求。</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12</w:t>
            </w:r>
            <w:r>
              <w:rPr>
                <w:rFonts w:hint="default" w:ascii="Times New Roman" w:hAnsi="Times New Roman" w:eastAsia="宋体" w:cs="Times New Roman"/>
                <w:b/>
                <w:bCs/>
                <w:color w:val="000000" w:themeColor="text1"/>
                <w:sz w:val="24"/>
                <w14:textFill>
                  <w14:solidFill>
                    <w14:schemeClr w14:val="tx1"/>
                  </w14:solidFill>
                </w14:textFill>
              </w:rPr>
              <w:t>、项目环保投资估算</w:t>
            </w:r>
          </w:p>
          <w:p>
            <w:pPr>
              <w:pStyle w:val="45"/>
              <w:spacing w:line="360" w:lineRule="auto"/>
              <w:ind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项目总投资</w:t>
            </w:r>
            <w:r>
              <w:rPr>
                <w:rFonts w:hint="default" w:ascii="Times New Roman" w:hAnsi="Times New Roman" w:eastAsia="宋体" w:cs="Times New Roman"/>
                <w:color w:val="000000" w:themeColor="text1"/>
                <w:sz w:val="24"/>
                <w:lang w:val="en-US" w:eastAsia="zh-CN"/>
                <w14:textFill>
                  <w14:solidFill>
                    <w14:schemeClr w14:val="tx1"/>
                  </w14:solidFill>
                </w14:textFill>
              </w:rPr>
              <w:t>800</w:t>
            </w:r>
            <w:r>
              <w:rPr>
                <w:rFonts w:hint="default" w:ascii="Times New Roman" w:hAnsi="Times New Roman" w:eastAsia="宋体" w:cs="Times New Roman"/>
                <w:color w:val="000000" w:themeColor="text1"/>
                <w:sz w:val="24"/>
                <w14:textFill>
                  <w14:solidFill>
                    <w14:schemeClr w14:val="tx1"/>
                  </w14:solidFill>
                </w14:textFill>
              </w:rPr>
              <w:t>万元</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其中：环保投</w:t>
            </w:r>
            <w:r>
              <w:rPr>
                <w:rFonts w:hint="default" w:ascii="Times New Roman" w:hAnsi="Times New Roman" w:eastAsia="宋体" w:cs="Times New Roman"/>
                <w:color w:val="000000" w:themeColor="text1"/>
                <w:sz w:val="24"/>
                <w:lang w:val="en-US" w:eastAsia="zh-CN"/>
                <w14:textFill>
                  <w14:solidFill>
                    <w14:schemeClr w14:val="tx1"/>
                  </w14:solidFill>
                </w14:textFill>
              </w:rPr>
              <w:t>16.9</w:t>
            </w:r>
            <w:r>
              <w:rPr>
                <w:rFonts w:hint="default" w:ascii="Times New Roman" w:hAnsi="Times New Roman" w:eastAsia="宋体" w:cs="Times New Roman"/>
                <w:color w:val="000000" w:themeColor="text1"/>
                <w:sz w:val="24"/>
                <w14:textFill>
                  <w14:solidFill>
                    <w14:schemeClr w14:val="tx1"/>
                  </w14:solidFill>
                </w14:textFill>
              </w:rPr>
              <w:t>万元</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占总投资的</w:t>
            </w:r>
            <w:r>
              <w:rPr>
                <w:rFonts w:hint="default" w:ascii="Times New Roman" w:hAnsi="Times New Roman" w:eastAsia="宋体" w:cs="Times New Roman"/>
                <w:color w:val="000000" w:themeColor="text1"/>
                <w:sz w:val="24"/>
                <w:lang w:val="en-US" w:eastAsia="zh-CN"/>
                <w14:textFill>
                  <w14:solidFill>
                    <w14:schemeClr w14:val="tx1"/>
                  </w14:solidFill>
                </w14:textFill>
              </w:rPr>
              <w:t>2.1</w:t>
            </w:r>
            <w:r>
              <w:rPr>
                <w:rFonts w:hint="default" w:ascii="Times New Roman" w:hAnsi="Times New Roman" w:eastAsia="宋体" w:cs="Times New Roman"/>
                <w:color w:val="000000" w:themeColor="text1"/>
                <w:sz w:val="24"/>
                <w14:textFill>
                  <w14:solidFill>
                    <w14:schemeClr w14:val="tx1"/>
                  </w14:solidFill>
                </w14:textFill>
              </w:rPr>
              <w:t>％。项目环保投资主要为粉尘治理、噪声治理、废水处理及固体废弃物治理等。环保投资情况见表2-</w:t>
            </w:r>
            <w:r>
              <w:rPr>
                <w:rFonts w:hint="default" w:ascii="Times New Roman" w:hAnsi="Times New Roman" w:eastAsia="宋体" w:cs="Times New Roman"/>
                <w:color w:val="000000" w:themeColor="text1"/>
                <w:sz w:val="24"/>
                <w:lang w:val="en-US"/>
                <w14:textFill>
                  <w14:solidFill>
                    <w14:schemeClr w14:val="tx1"/>
                  </w14:solidFill>
                </w14:textFill>
              </w:rPr>
              <w:t>6</w:t>
            </w:r>
            <w:r>
              <w:rPr>
                <w:rFonts w:hint="default" w:ascii="Times New Roman" w:hAnsi="Times New Roman" w:eastAsia="宋体" w:cs="Times New Roman"/>
                <w:color w:val="000000" w:themeColor="text1"/>
                <w:sz w:val="24"/>
                <w14:textFill>
                  <w14:solidFill>
                    <w14:schemeClr w14:val="tx1"/>
                  </w14:solidFill>
                </w14:textFill>
              </w:rPr>
              <w:t>。</w:t>
            </w:r>
          </w:p>
          <w:p>
            <w:pPr>
              <w:pStyle w:val="45"/>
              <w:rPr>
                <w:rFonts w:hint="default" w:ascii="Times New Roman" w:hAnsi="Times New Roman" w:eastAsia="宋体" w:cs="Times New Roman"/>
                <w:b/>
                <w:bCs/>
                <w:color w:val="000000" w:themeColor="text1"/>
                <w:szCs w:val="21"/>
                <w:lang w:val="en-US"/>
                <w14:textFill>
                  <w14:solidFill>
                    <w14:schemeClr w14:val="tx1"/>
                  </w14:solidFill>
                </w14:textFill>
              </w:rPr>
            </w:pPr>
            <w:r>
              <w:rPr>
                <w:rFonts w:hint="default" w:ascii="Times New Roman" w:hAnsi="Times New Roman" w:eastAsia="宋体" w:cs="Times New Roman"/>
                <w:b/>
                <w:bCs/>
                <w:color w:val="000000" w:themeColor="text1"/>
                <w:szCs w:val="21"/>
                <w:lang w:val="en-US"/>
                <w14:textFill>
                  <w14:solidFill>
                    <w14:schemeClr w14:val="tx1"/>
                  </w14:solidFill>
                </w14:textFill>
              </w:rPr>
              <w:t>表2-6环保投资概算单位：万元</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1042"/>
              <w:gridCol w:w="1790"/>
              <w:gridCol w:w="1800"/>
              <w:gridCol w:w="752"/>
              <w:gridCol w:w="1326"/>
              <w:gridCol w:w="1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836" w:type="pct"/>
                  <w:gridSpan w:val="2"/>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投资时段</w:t>
                  </w:r>
                </w:p>
              </w:tc>
              <w:tc>
                <w:tcPr>
                  <w:tcW w:w="976"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治理对象</w:t>
                  </w:r>
                </w:p>
              </w:tc>
              <w:tc>
                <w:tcPr>
                  <w:tcW w:w="981"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投资项目</w:t>
                  </w:r>
                </w:p>
              </w:tc>
              <w:tc>
                <w:tcPr>
                  <w:tcW w:w="410"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数量</w:t>
                  </w:r>
                </w:p>
              </w:tc>
              <w:tc>
                <w:tcPr>
                  <w:tcW w:w="723"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投资金额(万元)</w:t>
                  </w:r>
                </w:p>
              </w:tc>
              <w:tc>
                <w:tcPr>
                  <w:tcW w:w="1072"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68" w:type="pct"/>
                  <w:vMerge w:val="restar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运营期</w:t>
                  </w:r>
                </w:p>
              </w:tc>
              <w:tc>
                <w:tcPr>
                  <w:tcW w:w="568" w:type="pct"/>
                  <w:vMerge w:val="restar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废水</w:t>
                  </w:r>
                </w:p>
              </w:tc>
              <w:tc>
                <w:tcPr>
                  <w:tcW w:w="976" w:type="pct"/>
                  <w:vMerge w:val="restart"/>
                  <w:vAlign w:val="center"/>
                </w:tcPr>
                <w:p>
                  <w:pPr>
                    <w:pStyle w:val="49"/>
                    <w:adjustRightInd/>
                    <w:snapToGrid/>
                    <w:spacing w:before="24" w:after="24" w:line="240" w:lineRule="atLeas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食堂</w:t>
                  </w:r>
                </w:p>
                <w:p>
                  <w:pPr>
                    <w:pStyle w:val="11"/>
                    <w:ind w:firstLine="420"/>
                    <w:rPr>
                      <w:rFonts w:hint="default" w:ascii="Times New Roman" w:hAnsi="Times New Roman" w:eastAsia="宋体" w:cs="Times New Roman"/>
                      <w:color w:val="000000" w:themeColor="text1"/>
                      <w14:textFill>
                        <w14:solidFill>
                          <w14:schemeClr w14:val="tx1"/>
                        </w14:solidFill>
                      </w14:textFill>
                    </w:rPr>
                  </w:pPr>
                </w:p>
              </w:tc>
              <w:tc>
                <w:tcPr>
                  <w:tcW w:w="981"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隔油池(容积不小于1m³/d)</w:t>
                  </w:r>
                </w:p>
              </w:tc>
              <w:tc>
                <w:tcPr>
                  <w:tcW w:w="410"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723"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0.8</w:t>
                  </w:r>
                </w:p>
              </w:tc>
              <w:tc>
                <w:tcPr>
                  <w:tcW w:w="1072"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8" w:type="pct"/>
                  <w:vMerge w:val="continue"/>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p>
              </w:tc>
              <w:tc>
                <w:tcPr>
                  <w:tcW w:w="568" w:type="pct"/>
                  <w:vMerge w:val="continue"/>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p>
              </w:tc>
              <w:tc>
                <w:tcPr>
                  <w:tcW w:w="976" w:type="pct"/>
                  <w:vMerge w:val="continue"/>
                  <w:vAlign w:val="center"/>
                </w:tcPr>
                <w:p>
                  <w:pPr>
                    <w:pStyle w:val="11"/>
                    <w:ind w:firstLine="420"/>
                    <w:rPr>
                      <w:rFonts w:hint="default" w:ascii="Times New Roman" w:hAnsi="Times New Roman" w:eastAsia="宋体" w:cs="Times New Roman"/>
                      <w:color w:val="000000" w:themeColor="text1"/>
                      <w14:textFill>
                        <w14:solidFill>
                          <w14:schemeClr w14:val="tx1"/>
                        </w14:solidFill>
                      </w14:textFill>
                    </w:rPr>
                  </w:pPr>
                </w:p>
              </w:tc>
              <w:tc>
                <w:tcPr>
                  <w:tcW w:w="981"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化粪池（容积约为6m³）</w:t>
                  </w:r>
                </w:p>
              </w:tc>
              <w:tc>
                <w:tcPr>
                  <w:tcW w:w="410"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723"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w:t>
                  </w:r>
                </w:p>
              </w:tc>
              <w:tc>
                <w:tcPr>
                  <w:tcW w:w="1072"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依托</w:t>
                  </w:r>
                  <w:r>
                    <w:rPr>
                      <w:rFonts w:hint="default" w:ascii="Times New Roman" w:hAnsi="Times New Roman" w:eastAsia="宋体" w:cs="Times New Roman"/>
                      <w:color w:val="000000" w:themeColor="text1"/>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14:textFill>
                        <w14:solidFill>
                          <w14:schemeClr w14:val="tx1"/>
                        </w14:solidFill>
                      </w14:textFill>
                    </w:rPr>
                    <w:t>已建成的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268" w:type="pct"/>
                  <w:vMerge w:val="continue"/>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p>
              </w:tc>
              <w:tc>
                <w:tcPr>
                  <w:tcW w:w="568" w:type="pct"/>
                  <w:vMerge w:val="continue"/>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p>
              </w:tc>
              <w:tc>
                <w:tcPr>
                  <w:tcW w:w="976"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厂区</w:t>
                  </w:r>
                </w:p>
              </w:tc>
              <w:tc>
                <w:tcPr>
                  <w:tcW w:w="981"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雨污分流系统</w:t>
                  </w:r>
                </w:p>
              </w:tc>
              <w:tc>
                <w:tcPr>
                  <w:tcW w:w="410"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723"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w:t>
                  </w:r>
                </w:p>
              </w:tc>
              <w:tc>
                <w:tcPr>
                  <w:tcW w:w="1072"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依托</w:t>
                  </w:r>
                  <w:r>
                    <w:rPr>
                      <w:rFonts w:hint="default" w:ascii="Times New Roman" w:hAnsi="Times New Roman" w:eastAsia="宋体" w:cs="Times New Roman"/>
                      <w:color w:val="000000" w:themeColor="text1"/>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14:textFill>
                        <w14:solidFill>
                          <w14:schemeClr w14:val="tx1"/>
                        </w14:solidFill>
                      </w14:textFill>
                    </w:rPr>
                    <w:t>已建成的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8" w:type="pct"/>
                  <w:vMerge w:val="continue"/>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p>
              </w:tc>
              <w:tc>
                <w:tcPr>
                  <w:tcW w:w="568" w:type="pct"/>
                  <w:vMerge w:val="restar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废气</w:t>
                  </w:r>
                </w:p>
              </w:tc>
              <w:tc>
                <w:tcPr>
                  <w:tcW w:w="976"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食堂</w:t>
                  </w:r>
                </w:p>
              </w:tc>
              <w:tc>
                <w:tcPr>
                  <w:tcW w:w="981"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油烟净化器+油气排气筒</w:t>
                  </w:r>
                </w:p>
              </w:tc>
              <w:tc>
                <w:tcPr>
                  <w:tcW w:w="410"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723"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1072"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8" w:type="pct"/>
                  <w:vMerge w:val="continue"/>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p>
              </w:tc>
              <w:tc>
                <w:tcPr>
                  <w:tcW w:w="568" w:type="pct"/>
                  <w:vMerge w:val="continue"/>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p>
              </w:tc>
              <w:tc>
                <w:tcPr>
                  <w:tcW w:w="976"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AKD蜡融化</w:t>
                  </w:r>
                </w:p>
              </w:tc>
              <w:tc>
                <w:tcPr>
                  <w:tcW w:w="981"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UV光解+活性炭吸附设备</w:t>
                  </w:r>
                </w:p>
              </w:tc>
              <w:tc>
                <w:tcPr>
                  <w:tcW w:w="410"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723" w:type="pct"/>
                  <w:vAlign w:val="center"/>
                </w:tcPr>
                <w:p>
                  <w:pPr>
                    <w:pStyle w:val="49"/>
                    <w:spacing w:before="24" w:after="24"/>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w:t>
                  </w:r>
                </w:p>
              </w:tc>
              <w:tc>
                <w:tcPr>
                  <w:tcW w:w="1072"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68" w:type="pct"/>
                  <w:vMerge w:val="continue"/>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p>
              </w:tc>
              <w:tc>
                <w:tcPr>
                  <w:tcW w:w="568"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噪声</w:t>
                  </w:r>
                </w:p>
              </w:tc>
              <w:tc>
                <w:tcPr>
                  <w:tcW w:w="976"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设备运行噪声</w:t>
                  </w:r>
                </w:p>
              </w:tc>
              <w:tc>
                <w:tcPr>
                  <w:tcW w:w="981"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防噪、减震设施</w:t>
                  </w:r>
                </w:p>
              </w:tc>
              <w:tc>
                <w:tcPr>
                  <w:tcW w:w="410"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723"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1072"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268" w:type="pct"/>
                  <w:vMerge w:val="continue"/>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p>
              </w:tc>
              <w:tc>
                <w:tcPr>
                  <w:tcW w:w="568" w:type="pct"/>
                  <w:vMerge w:val="restar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固体废弃物</w:t>
                  </w:r>
                </w:p>
              </w:tc>
              <w:tc>
                <w:tcPr>
                  <w:tcW w:w="976"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生活垃圾</w:t>
                  </w:r>
                </w:p>
              </w:tc>
              <w:tc>
                <w:tcPr>
                  <w:tcW w:w="981"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带盖垃圾桶</w:t>
                  </w:r>
                </w:p>
              </w:tc>
              <w:tc>
                <w:tcPr>
                  <w:tcW w:w="410"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w:t>
                  </w:r>
                </w:p>
              </w:tc>
              <w:tc>
                <w:tcPr>
                  <w:tcW w:w="723"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0.05</w:t>
                  </w:r>
                </w:p>
              </w:tc>
              <w:tc>
                <w:tcPr>
                  <w:tcW w:w="1072"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8" w:type="pct"/>
                  <w:vMerge w:val="continue"/>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p>
              </w:tc>
              <w:tc>
                <w:tcPr>
                  <w:tcW w:w="568" w:type="pct"/>
                  <w:vMerge w:val="continue"/>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p>
              </w:tc>
              <w:tc>
                <w:tcPr>
                  <w:tcW w:w="976"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危险废物</w:t>
                  </w:r>
                </w:p>
              </w:tc>
              <w:tc>
                <w:tcPr>
                  <w:tcW w:w="981"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危废暂存间（面积为5m</w:t>
                  </w:r>
                  <w:r>
                    <w:rPr>
                      <w:rFonts w:hint="default" w:ascii="Times New Roman" w:hAnsi="Times New Roman" w:eastAsia="宋体" w:cs="Times New Roman"/>
                      <w:color w:val="000000" w:themeColor="text1"/>
                      <w:vertAlign w:val="super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w:t>
                  </w:r>
                </w:p>
              </w:tc>
              <w:tc>
                <w:tcPr>
                  <w:tcW w:w="410"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723" w:type="pct"/>
                  <w:vAlign w:val="center"/>
                </w:tcPr>
                <w:p>
                  <w:pPr>
                    <w:pStyle w:val="49"/>
                    <w:spacing w:before="24" w:after="24"/>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w:t>
                  </w:r>
                </w:p>
              </w:tc>
              <w:tc>
                <w:tcPr>
                  <w:tcW w:w="1072"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268" w:type="pct"/>
                  <w:vMerge w:val="continue"/>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p>
              </w:tc>
              <w:tc>
                <w:tcPr>
                  <w:tcW w:w="1544" w:type="pct"/>
                  <w:gridSpan w:val="2"/>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其他</w:t>
                  </w:r>
                </w:p>
              </w:tc>
              <w:tc>
                <w:tcPr>
                  <w:tcW w:w="981"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危废间标识标牌以及厂区标识标牌</w:t>
                  </w:r>
                </w:p>
              </w:tc>
              <w:tc>
                <w:tcPr>
                  <w:tcW w:w="410"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w:t>
                  </w:r>
                </w:p>
              </w:tc>
              <w:tc>
                <w:tcPr>
                  <w:tcW w:w="723" w:type="pct"/>
                  <w:vMerge w:val="restar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0.05</w:t>
                  </w:r>
                </w:p>
              </w:tc>
              <w:tc>
                <w:tcPr>
                  <w:tcW w:w="1072" w:type="pct"/>
                  <w:vMerge w:val="restar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268"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p>
              </w:tc>
              <w:tc>
                <w:tcPr>
                  <w:tcW w:w="2525" w:type="pct"/>
                  <w:gridSpan w:val="3"/>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合计</w:t>
                  </w:r>
                </w:p>
              </w:tc>
              <w:tc>
                <w:tcPr>
                  <w:tcW w:w="410"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723" w:type="pct"/>
                  <w:vAlign w:val="center"/>
                </w:tcPr>
                <w:p>
                  <w:pPr>
                    <w:pStyle w:val="49"/>
                    <w:spacing w:before="24" w:after="24"/>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16.9</w:t>
                  </w:r>
                </w:p>
              </w:tc>
              <w:tc>
                <w:tcPr>
                  <w:tcW w:w="1072"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r>
          </w:tbl>
          <w:p>
            <w:pPr>
              <w:pStyle w:val="45"/>
              <w:autoSpaceDE w:val="0"/>
              <w:autoSpaceDN w:val="0"/>
              <w:snapToGrid w:val="0"/>
              <w:spacing w:line="360" w:lineRule="auto"/>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lang w:val="en-US"/>
                <w14:textFill>
                  <w14:solidFill>
                    <w14:schemeClr w14:val="tx1"/>
                  </w14:solidFill>
                </w14:textFill>
              </w:rPr>
              <w:t>一、</w:t>
            </w:r>
            <w:r>
              <w:rPr>
                <w:rFonts w:hint="default" w:ascii="Times New Roman" w:hAnsi="Times New Roman" w:eastAsia="宋体" w:cs="Times New Roman"/>
                <w:color w:val="000000" w:themeColor="text1"/>
                <w:kern w:val="0"/>
                <w:sz w:val="24"/>
                <w14:textFill>
                  <w14:solidFill>
                    <w14:schemeClr w14:val="tx1"/>
                  </w14:solidFill>
                </w14:textFill>
              </w:rPr>
              <w:t>工艺流程简述</w:t>
            </w:r>
          </w:p>
          <w:p>
            <w:pPr>
              <w:pStyle w:val="45"/>
              <w:autoSpaceDE w:val="0"/>
              <w:autoSpaceDN w:val="0"/>
              <w:snapToGrid w:val="0"/>
              <w:spacing w:line="360" w:lineRule="auto"/>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w:t>
            </w:r>
            <w:r>
              <w:rPr>
                <w:rFonts w:hint="default" w:ascii="Times New Roman" w:hAnsi="Times New Roman" w:eastAsia="宋体" w:cs="Times New Roman"/>
                <w:color w:val="000000" w:themeColor="text1"/>
                <w:kern w:val="0"/>
                <w:sz w:val="24"/>
                <w:lang w:val="en-US"/>
                <w14:textFill>
                  <w14:solidFill>
                    <w14:schemeClr w14:val="tx1"/>
                  </w14:solidFill>
                </w14:textFill>
              </w:rPr>
              <w:t>一</w:t>
            </w:r>
            <w:r>
              <w:rPr>
                <w:rFonts w:hint="default" w:ascii="Times New Roman" w:hAnsi="Times New Roman" w:eastAsia="宋体" w:cs="Times New Roman"/>
                <w:color w:val="000000" w:themeColor="text1"/>
                <w:kern w:val="0"/>
                <w:sz w:val="24"/>
                <w14:textFill>
                  <w14:solidFill>
                    <w14:schemeClr w14:val="tx1"/>
                  </w14:solidFill>
                </w14:textFill>
              </w:rPr>
              <w:t>）施工期工艺流程及产污环节</w:t>
            </w:r>
          </w:p>
          <w:p>
            <w:pPr>
              <w:pStyle w:val="45"/>
              <w:autoSpaceDE w:val="0"/>
              <w:autoSpaceDN w:val="0"/>
              <w:snapToGrid w:val="0"/>
              <w:spacing w:line="360" w:lineRule="auto"/>
              <w:ind w:firstLine="480" w:firstLineChars="200"/>
              <w:jc w:val="left"/>
              <w:rPr>
                <w:rFonts w:hint="default" w:ascii="Times New Roman" w:hAnsi="Times New Roman" w:eastAsia="宋体" w:cs="Times New Roman"/>
                <w:color w:val="000000" w:themeColor="text1"/>
                <w:kern w:val="0"/>
                <w:sz w:val="24"/>
                <w:lang w:val="en-US"/>
                <w14:textFill>
                  <w14:solidFill>
                    <w14:schemeClr w14:val="tx1"/>
                  </w14:solidFill>
                </w14:textFill>
              </w:rPr>
            </w:pPr>
            <w:r>
              <w:rPr>
                <w:rFonts w:hint="default" w:ascii="Times New Roman" w:hAnsi="Times New Roman" w:eastAsia="宋体" w:cs="Times New Roman"/>
                <w:color w:val="000000" w:themeColor="text1"/>
                <w:kern w:val="0"/>
                <w:sz w:val="24"/>
                <w:lang w:val="en-US"/>
                <w14:textFill>
                  <w14:solidFill>
                    <w14:schemeClr w14:val="tx1"/>
                  </w14:solidFill>
                </w14:textFill>
              </w:rPr>
              <w:t>本项目租用</w:t>
            </w:r>
            <w:r>
              <w:rPr>
                <w:rFonts w:hint="default" w:ascii="Times New Roman" w:hAnsi="Times New Roman" w:eastAsia="宋体" w:cs="Times New Roman"/>
                <w:color w:val="000000" w:themeColor="text1"/>
                <w:sz w:val="24"/>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kern w:val="0"/>
                <w:sz w:val="24"/>
                <w:lang w:val="en-US"/>
                <w14:textFill>
                  <w14:solidFill>
                    <w14:schemeClr w14:val="tx1"/>
                  </w14:solidFill>
                </w14:textFill>
              </w:rPr>
              <w:t>闲置厂房布置生产线进行生产。施工期主要为设备安装及装修</w:t>
            </w:r>
            <w:r>
              <w:rPr>
                <w:rFonts w:hint="eastAsia" w:ascii="Times New Roman" w:hAnsi="Times New Roman"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14:textFill>
                  <w14:solidFill>
                    <w14:schemeClr w14:val="tx1"/>
                  </w14:solidFill>
                </w14:textFill>
              </w:rPr>
              <w:t>产生少量的粉尘、噪声和垃圾。施工时间较为短暂</w:t>
            </w:r>
            <w:r>
              <w:rPr>
                <w:rFonts w:hint="eastAsia" w:ascii="Times New Roman" w:hAnsi="Times New Roman"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14:textFill>
                  <w14:solidFill>
                    <w14:schemeClr w14:val="tx1"/>
                  </w14:solidFill>
                </w14:textFill>
              </w:rPr>
              <w:t>做好洒水降尘、隔声减振和垃圾清运</w:t>
            </w:r>
            <w:r>
              <w:rPr>
                <w:rFonts w:hint="eastAsia" w:ascii="Times New Roman" w:hAnsi="Times New Roman"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14:textFill>
                  <w14:solidFill>
                    <w14:schemeClr w14:val="tx1"/>
                  </w14:solidFill>
                </w14:textFill>
              </w:rPr>
              <w:t>产污随着施工完成而结束。其施工期间产污见图2-7。</w:t>
            </w:r>
          </w:p>
          <w:p>
            <w:pPr>
              <w:pStyle w:val="45"/>
              <w:numPr>
                <w:ilvl w:val="0"/>
                <w:numId w:val="0"/>
              </w:numPr>
              <w:autoSpaceDE w:val="0"/>
              <w:autoSpaceDN w:val="0"/>
              <w:spacing w:line="360" w:lineRule="auto"/>
              <w:ind w:firstLine="3120" w:firstLineChars="1300"/>
              <w:jc w:val="both"/>
              <w:rPr>
                <w:rFonts w:hint="default" w:ascii="Times New Roman" w:hAnsi="Times New Roman" w:eastAsia="宋体" w:cs="Times New Roman"/>
                <w:color w:val="000000" w:themeColor="text1"/>
                <w:kern w:val="0"/>
                <w:sz w:val="24"/>
                <w:lang w:val="en-US"/>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object>
                <v:shape id="_x0000_i1025" o:spt="75" type="#_x0000_t75" style="height:130.9pt;width:138.55pt;" o:ole="t" filled="f" o:preferrelative="t" stroked="f" coordsize="21600,21600">
                  <v:path/>
                  <v:fill on="f" focussize="0,0"/>
                  <v:stroke on="f" joinstyle="miter"/>
                  <v:imagedata r:id="rId10" o:title=""/>
                  <o:lock v:ext="edit" aspectratio="t"/>
                  <w10:wrap type="none"/>
                  <w10:anchorlock/>
                </v:shape>
                <o:OLEObject Type="Embed" ProgID="Visio.Drawing.15" ShapeID="_x0000_i1025" DrawAspect="Content" ObjectID="_1468075725" r:id="rId9">
                  <o:LockedField>false</o:LockedField>
                </o:OLEObject>
              </w:object>
            </w:r>
          </w:p>
          <w:p>
            <w:pPr>
              <w:pStyle w:val="45"/>
              <w:autoSpaceDE w:val="0"/>
              <w:autoSpaceDN w:val="0"/>
              <w:spacing w:line="360" w:lineRule="auto"/>
              <w:ind w:left="172" w:firstLine="2640" w:firstLineChars="110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2-</w:t>
            </w:r>
            <w:r>
              <w:rPr>
                <w:rFonts w:hint="default" w:ascii="Times New Roman" w:hAnsi="Times New Roman" w:eastAsia="宋体" w:cs="Times New Roman"/>
                <w:color w:val="000000" w:themeColor="text1"/>
                <w:kern w:val="0"/>
                <w:sz w:val="24"/>
                <w:lang w:val="en-US"/>
                <w14:textFill>
                  <w14:solidFill>
                    <w14:schemeClr w14:val="tx1"/>
                  </w14:solidFill>
                </w14:textFill>
              </w:rPr>
              <w:t>7</w:t>
            </w:r>
            <w:r>
              <w:rPr>
                <w:rFonts w:hint="default" w:ascii="Times New Roman" w:hAnsi="Times New Roman" w:eastAsia="宋体" w:cs="Times New Roman"/>
                <w:color w:val="000000" w:themeColor="text1"/>
                <w:kern w:val="0"/>
                <w:sz w:val="24"/>
                <w14:textFill>
                  <w14:solidFill>
                    <w14:schemeClr w14:val="tx1"/>
                  </w14:solidFill>
                </w14:textFill>
              </w:rPr>
              <w:t>项目施工期工艺流程及产污节点图</w:t>
            </w:r>
          </w:p>
          <w:p>
            <w:pPr>
              <w:pStyle w:val="45"/>
              <w:spacing w:line="360" w:lineRule="auto"/>
              <w:ind w:firstLine="482" w:firstLineChars="200"/>
              <w:jc w:val="left"/>
              <w:rPr>
                <w:rFonts w:hint="default"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eastAsia="zh-CN"/>
                <w14:textFill>
                  <w14:solidFill>
                    <w14:schemeClr w14:val="tx1"/>
                  </w14:solidFill>
                </w14:textFill>
              </w:rPr>
              <w:t>（</w:t>
            </w:r>
            <w:r>
              <w:rPr>
                <w:rFonts w:hint="eastAsia" w:ascii="Times New Roman" w:hAnsi="Times New Roman" w:cs="Times New Roman"/>
                <w:b/>
                <w:bCs/>
                <w:color w:val="000000" w:themeColor="text1"/>
                <w:sz w:val="24"/>
                <w:lang w:val="en-US" w:eastAsia="zh-CN"/>
                <w14:textFill>
                  <w14:solidFill>
                    <w14:schemeClr w14:val="tx1"/>
                  </w14:solidFill>
                </w14:textFill>
              </w:rPr>
              <w:t>二</w:t>
            </w:r>
            <w:r>
              <w:rPr>
                <w:rFonts w:hint="eastAsia" w:ascii="Times New Roman" w:hAnsi="Times New Roman"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运营期工艺流程及产污环节</w:t>
            </w:r>
          </w:p>
          <w:p>
            <w:pPr>
              <w:pStyle w:val="26"/>
              <w:spacing w:after="0" w:line="360" w:lineRule="auto"/>
              <w:ind w:left="0" w:leftChars="0"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1、</w:t>
            </w:r>
            <w:r>
              <w:rPr>
                <w:rFonts w:hint="default" w:ascii="Times New Roman" w:hAnsi="Times New Roman" w:eastAsia="宋体" w:cs="Times New Roman"/>
                <w:b/>
                <w:bCs/>
                <w:color w:val="000000" w:themeColor="text1"/>
                <w14:textFill>
                  <w14:solidFill>
                    <w14:schemeClr w14:val="tx1"/>
                  </w14:solidFill>
                </w14:textFill>
              </w:rPr>
              <w:t>AKD乳液工艺流程</w:t>
            </w:r>
          </w:p>
          <w:p>
            <w:pPr>
              <w:snapToGrid w:val="0"/>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AKD常温下是蜡状固体</w:t>
            </w:r>
            <w:r>
              <w:rPr>
                <w:rFonts w:hint="eastAsia" w:cs="Times New Roman"/>
                <w:sz w:val="24"/>
                <w:szCs w:val="24"/>
                <w:lang w:eastAsia="zh-CN"/>
              </w:rPr>
              <w:t>，</w:t>
            </w:r>
            <w:r>
              <w:rPr>
                <w:rFonts w:hint="default" w:ascii="Times New Roman" w:hAnsi="Times New Roman" w:eastAsia="宋体" w:cs="Times New Roman"/>
                <w:sz w:val="24"/>
                <w:szCs w:val="24"/>
              </w:rPr>
              <w:t>不溶于水</w:t>
            </w:r>
            <w:r>
              <w:rPr>
                <w:rFonts w:hint="eastAsia" w:cs="Times New Roman"/>
                <w:sz w:val="24"/>
                <w:szCs w:val="24"/>
                <w:lang w:eastAsia="zh-CN"/>
              </w:rPr>
              <w:t>，</w:t>
            </w:r>
            <w:r>
              <w:rPr>
                <w:rFonts w:hint="default" w:ascii="Times New Roman" w:hAnsi="Times New Roman" w:eastAsia="宋体" w:cs="Times New Roman"/>
                <w:sz w:val="24"/>
                <w:szCs w:val="24"/>
              </w:rPr>
              <w:t>须制成乳液才能</w:t>
            </w:r>
            <w:r>
              <w:rPr>
                <w:rFonts w:hint="eastAsia" w:cs="Times New Roman"/>
                <w:sz w:val="24"/>
                <w:szCs w:val="24"/>
                <w:lang w:val="en-US" w:eastAsia="zh-CN"/>
              </w:rPr>
              <w:t>使用</w:t>
            </w:r>
            <w:r>
              <w:rPr>
                <w:rFonts w:hint="eastAsia" w:cs="Times New Roman"/>
                <w:sz w:val="24"/>
                <w:szCs w:val="24"/>
                <w:lang w:eastAsia="zh-CN"/>
              </w:rPr>
              <w:t>，</w:t>
            </w:r>
            <w:r>
              <w:rPr>
                <w:rFonts w:hint="default" w:ascii="Times New Roman" w:hAnsi="Times New Roman" w:eastAsia="宋体" w:cs="Times New Roman"/>
                <w:sz w:val="24"/>
                <w:szCs w:val="24"/>
              </w:rPr>
              <w:t>因此生产时需先将AKD熔化</w:t>
            </w:r>
            <w:r>
              <w:rPr>
                <w:rFonts w:hint="eastAsia" w:cs="Times New Roman"/>
                <w:sz w:val="24"/>
                <w:szCs w:val="24"/>
                <w:lang w:eastAsia="zh-CN"/>
              </w:rPr>
              <w:t>，</w:t>
            </w:r>
            <w:r>
              <w:rPr>
                <w:rFonts w:hint="eastAsia" w:cs="Times New Roman"/>
                <w:sz w:val="24"/>
                <w:szCs w:val="24"/>
                <w:lang w:val="en-US" w:eastAsia="zh-CN"/>
              </w:rPr>
              <w:t>高速</w:t>
            </w:r>
            <w:r>
              <w:rPr>
                <w:rFonts w:hint="default" w:ascii="Times New Roman" w:hAnsi="Times New Roman" w:eastAsia="宋体" w:cs="Times New Roman"/>
                <w:sz w:val="24"/>
                <w:szCs w:val="24"/>
              </w:rPr>
              <w:t>搅拌后</w:t>
            </w:r>
            <w:r>
              <w:rPr>
                <w:rFonts w:hint="eastAsia" w:cs="Times New Roman"/>
                <w:sz w:val="24"/>
                <w:szCs w:val="24"/>
                <w:lang w:eastAsia="zh-CN"/>
              </w:rPr>
              <w:t>的</w:t>
            </w:r>
            <w:r>
              <w:rPr>
                <w:rFonts w:hint="default" w:ascii="Times New Roman" w:hAnsi="Times New Roman" w:eastAsia="宋体" w:cs="Times New Roman"/>
                <w:sz w:val="24"/>
                <w:szCs w:val="24"/>
              </w:rPr>
              <w:t>AKD</w:t>
            </w:r>
            <w:r>
              <w:rPr>
                <w:rFonts w:hint="eastAsia" w:ascii="Times New Roman" w:hAnsi="Times New Roman" w:eastAsia="宋体" w:cs="Times New Roman"/>
                <w:sz w:val="24"/>
                <w:szCs w:val="24"/>
                <w:lang w:val="en-US" w:eastAsia="zh-CN"/>
              </w:rPr>
              <w:t>乳液</w:t>
            </w:r>
            <w:r>
              <w:rPr>
                <w:rFonts w:hint="default" w:ascii="Times New Roman" w:hAnsi="Times New Roman" w:eastAsia="宋体" w:cs="Times New Roman"/>
                <w:sz w:val="24"/>
                <w:szCs w:val="24"/>
                <w:lang w:val="en-US" w:eastAsia="zh-CN"/>
              </w:rPr>
              <w:t>和自来水</w:t>
            </w:r>
            <w:r>
              <w:rPr>
                <w:rFonts w:hint="default" w:ascii="Times New Roman" w:hAnsi="Times New Roman" w:eastAsia="宋体" w:cs="Times New Roman"/>
                <w:sz w:val="24"/>
                <w:szCs w:val="24"/>
              </w:rPr>
              <w:t>一同泵入剪切机、高压均质机中得到超微细化</w:t>
            </w:r>
            <w:r>
              <w:rPr>
                <w:rFonts w:hint="default" w:ascii="Times New Roman" w:hAnsi="Times New Roman" w:eastAsia="宋体" w:cs="Times New Roman"/>
                <w:sz w:val="24"/>
                <w:szCs w:val="24"/>
                <w:lang w:eastAsia="zh-CN"/>
              </w:rPr>
              <w:t>的</w:t>
            </w:r>
            <w:r>
              <w:rPr>
                <w:rFonts w:hint="default" w:ascii="Times New Roman" w:hAnsi="Times New Roman" w:eastAsia="宋体" w:cs="Times New Roman"/>
                <w:sz w:val="24"/>
                <w:szCs w:val="24"/>
                <w:lang w:val="en-US" w:eastAsia="zh-CN"/>
              </w:rPr>
              <w:t>乳液</w:t>
            </w:r>
            <w:r>
              <w:rPr>
                <w:rFonts w:hint="default" w:ascii="Times New Roman" w:hAnsi="Times New Roman" w:eastAsia="宋体" w:cs="Times New Roman"/>
                <w:sz w:val="24"/>
                <w:szCs w:val="24"/>
              </w:rPr>
              <w:t>后与和硫酸铝混合均匀。因AKD不溶于水、乳化剂既具有亲水端又具有</w:t>
            </w:r>
            <w:r>
              <w:rPr>
                <w:rFonts w:hint="default" w:ascii="Times New Roman" w:hAnsi="Times New Roman" w:eastAsia="宋体" w:cs="Times New Roman"/>
                <w:sz w:val="24"/>
                <w:szCs w:val="24"/>
                <w:lang w:val="en-US" w:eastAsia="zh-CN"/>
              </w:rPr>
              <w:t>疏</w:t>
            </w:r>
            <w:r>
              <w:rPr>
                <w:rFonts w:hint="default" w:ascii="Times New Roman" w:hAnsi="Times New Roman" w:eastAsia="宋体" w:cs="Times New Roman"/>
                <w:sz w:val="24"/>
                <w:szCs w:val="24"/>
              </w:rPr>
              <w:t>水端</w:t>
            </w:r>
            <w:r>
              <w:rPr>
                <w:rFonts w:hint="eastAsia" w:cs="Times New Roman"/>
                <w:sz w:val="24"/>
                <w:szCs w:val="24"/>
                <w:lang w:eastAsia="zh-CN"/>
              </w:rPr>
              <w:t>，</w:t>
            </w:r>
            <w:r>
              <w:rPr>
                <w:rFonts w:hint="default" w:ascii="Times New Roman" w:hAnsi="Times New Roman" w:eastAsia="宋体" w:cs="Times New Roman"/>
                <w:sz w:val="24"/>
                <w:szCs w:val="24"/>
              </w:rPr>
              <w:t>则形成乳化剂包裹着AKD以水为稀释剂的乳状液体。整个产品的生产过程为物理反应</w:t>
            </w:r>
            <w:r>
              <w:rPr>
                <w:rFonts w:hint="default" w:ascii="Times New Roman" w:hAnsi="Times New Roman" w:eastAsia="宋体" w:cs="Times New Roman"/>
                <w:b w:val="0"/>
                <w:bCs w:val="0"/>
                <w:color w:val="000000" w:themeColor="text1"/>
                <w:sz w:val="24"/>
                <w:lang w:val="en-US"/>
                <w14:textFill>
                  <w14:solidFill>
                    <w14:schemeClr w14:val="tx1"/>
                  </w14:solidFill>
                </w14:textFill>
              </w:rPr>
              <w:t>(以分子间力结合</w:t>
            </w:r>
            <w:r>
              <w:rPr>
                <w:rFonts w:hint="eastAsia"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14:textFill>
                  <w14:solidFill>
                    <w14:schemeClr w14:val="tx1"/>
                  </w14:solidFill>
                </w14:textFill>
              </w:rPr>
              <w:t>非化学反应)</w:t>
            </w:r>
            <w:r>
              <w:rPr>
                <w:rFonts w:hint="eastAsia" w:cs="Times New Roman"/>
                <w:sz w:val="24"/>
                <w:szCs w:val="24"/>
                <w:lang w:eastAsia="zh-CN"/>
              </w:rPr>
              <w:t>，</w:t>
            </w:r>
            <w:r>
              <w:rPr>
                <w:rFonts w:hint="default" w:ascii="Times New Roman" w:hAnsi="Times New Roman" w:eastAsia="宋体" w:cs="Times New Roman"/>
                <w:sz w:val="24"/>
                <w:szCs w:val="24"/>
              </w:rPr>
              <w:t>产品有效成分仍为原料AKD。具体各工序简述如下</w:t>
            </w:r>
            <w:r>
              <w:rPr>
                <w:rFonts w:hint="default" w:ascii="Times New Roman" w:hAnsi="Times New Roman" w:eastAsia="宋体" w:cs="Times New Roman"/>
                <w:sz w:val="24"/>
                <w:szCs w:val="24"/>
                <w:lang w:eastAsia="zh-CN"/>
              </w:rPr>
              <w:t>：</w:t>
            </w:r>
          </w:p>
          <w:p>
            <w:pPr>
              <w:snapToGrid w:val="0"/>
              <w:spacing w:line="360" w:lineRule="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object>
                <v:shape id="_x0000_i1026" o:spt="75" type="#_x0000_t75" style="height:619.9pt;width:459.2pt;" o:ole="t" filled="f" o:preferrelative="t" stroked="f" coordsize="21600,21600">
                  <v:path/>
                  <v:fill on="f" focussize="0,0"/>
                  <v:stroke on="f"/>
                  <v:imagedata r:id="rId12" croptop="3025f" cropright="1405f" cropbottom="3575f" o:title=""/>
                  <o:lock v:ext="edit" aspectratio="f"/>
                  <w10:wrap type="none"/>
                  <w10:anchorlock/>
                </v:shape>
                <o:OLEObject Type="Embed" ProgID="" ShapeID="_x0000_i1026" DrawAspect="Content" ObjectID="_1468075726" r:id="rId11">
                  <o:LockedField>false</o:LockedField>
                </o:OLEObject>
              </w:object>
            </w:r>
            <w:r>
              <w:rPr>
                <w:rFonts w:hint="default" w:ascii="Times New Roman" w:hAnsi="Times New Roman" w:eastAsia="宋体" w:cs="Times New Roman"/>
                <w:highlight w:val="none"/>
                <w:lang w:val="en-US" w:eastAsia="zh-CN"/>
              </w:rPr>
              <w:t xml:space="preserve">                             </w:t>
            </w:r>
          </w:p>
          <w:p>
            <w:pPr>
              <w:snapToGrid w:val="0"/>
              <w:spacing w:line="360" w:lineRule="auto"/>
              <w:ind w:firstLine="2891" w:firstLineChars="1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图</w:t>
            </w:r>
            <w:r>
              <w:rPr>
                <w:rFonts w:hint="eastAsia" w:cs="Times New Roman"/>
                <w:b/>
                <w:bCs/>
                <w:sz w:val="24"/>
                <w:szCs w:val="24"/>
                <w:lang w:val="en-US" w:eastAsia="zh-CN"/>
              </w:rPr>
              <w:t>2-8</w:t>
            </w:r>
            <w:r>
              <w:rPr>
                <w:rFonts w:hint="default" w:ascii="Times New Roman" w:hAnsi="Times New Roman" w:eastAsia="宋体" w:cs="Times New Roman"/>
                <w:b/>
                <w:bCs/>
                <w:sz w:val="24"/>
                <w:szCs w:val="24"/>
              </w:rPr>
              <w:t xml:space="preserve"> AKD乳液工艺流程图</w:t>
            </w:r>
          </w:p>
          <w:p>
            <w:pPr>
              <w:snapToGrid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rPr>
              <w:t>①AKD原料</w:t>
            </w:r>
            <w:r>
              <w:rPr>
                <w:rFonts w:hint="default" w:ascii="Times New Roman" w:hAnsi="Times New Roman" w:eastAsia="宋体" w:cs="Times New Roman"/>
                <w:b/>
                <w:bCs/>
                <w:sz w:val="24"/>
                <w:szCs w:val="24"/>
                <w:lang w:val="en-US" w:eastAsia="zh-CN"/>
              </w:rPr>
              <w:t>融化</w:t>
            </w:r>
          </w:p>
          <w:p>
            <w:pPr>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外购AKD原料为淡黄色固体</w:t>
            </w:r>
            <w:r>
              <w:rPr>
                <w:rFonts w:hint="eastAsia" w:cs="Times New Roman"/>
                <w:sz w:val="24"/>
                <w:szCs w:val="24"/>
                <w:lang w:eastAsia="zh-CN"/>
              </w:rPr>
              <w:t>，</w:t>
            </w:r>
            <w:r>
              <w:rPr>
                <w:rFonts w:hint="default" w:ascii="Times New Roman" w:hAnsi="Times New Roman" w:eastAsia="宋体" w:cs="Times New Roman"/>
                <w:sz w:val="24"/>
                <w:szCs w:val="24"/>
                <w:lang w:val="en-US" w:eastAsia="zh-CN"/>
              </w:rPr>
              <w:t>经过进料口把原料</w:t>
            </w:r>
            <w:r>
              <w:rPr>
                <w:rFonts w:hint="default" w:ascii="Times New Roman" w:hAnsi="Times New Roman" w:eastAsia="宋体" w:cs="Times New Roman"/>
                <w:sz w:val="24"/>
                <w:szCs w:val="24"/>
              </w:rPr>
              <w:t>AKD倒入AKD融化罐内</w:t>
            </w:r>
            <w:r>
              <w:rPr>
                <w:rFonts w:hint="eastAsia" w:cs="Times New Roman"/>
                <w:sz w:val="24"/>
                <w:szCs w:val="24"/>
                <w:lang w:eastAsia="zh-CN"/>
              </w:rPr>
              <w:t>，</w:t>
            </w:r>
            <w:r>
              <w:rPr>
                <w:rFonts w:hint="default" w:ascii="Times New Roman" w:hAnsi="Times New Roman" w:eastAsia="宋体" w:cs="Times New Roman"/>
                <w:sz w:val="24"/>
                <w:szCs w:val="24"/>
              </w:rPr>
              <w:t>采用</w:t>
            </w:r>
            <w:r>
              <w:rPr>
                <w:rFonts w:hint="default" w:ascii="Times New Roman" w:hAnsi="Times New Roman" w:eastAsia="宋体" w:cs="Times New Roman"/>
                <w:sz w:val="24"/>
                <w:szCs w:val="24"/>
                <w:lang w:val="en-US" w:eastAsia="zh-CN"/>
              </w:rPr>
              <w:t>电加热</w:t>
            </w:r>
            <w:r>
              <w:rPr>
                <w:rFonts w:hint="default" w:ascii="Times New Roman" w:hAnsi="Times New Roman" w:eastAsia="宋体" w:cs="Times New Roman"/>
                <w:sz w:val="24"/>
                <w:szCs w:val="24"/>
              </w:rPr>
              <w:t>搅拌融化</w:t>
            </w:r>
            <w:r>
              <w:rPr>
                <w:rFonts w:hint="eastAsia" w:cs="Times New Roman"/>
                <w:sz w:val="24"/>
                <w:szCs w:val="24"/>
                <w:lang w:eastAsia="zh-CN"/>
              </w:rPr>
              <w:t>，</w:t>
            </w:r>
            <w:r>
              <w:rPr>
                <w:rFonts w:hint="default" w:ascii="Times New Roman" w:hAnsi="Times New Roman" w:eastAsia="宋体" w:cs="Times New Roman"/>
                <w:sz w:val="24"/>
                <w:szCs w:val="24"/>
              </w:rPr>
              <w:t>温度控制在</w:t>
            </w:r>
            <w:r>
              <w:rPr>
                <w:rFonts w:hint="default" w:ascii="Times New Roman" w:hAnsi="Times New Roman" w:eastAsia="宋体" w:cs="Times New Roman"/>
                <w:sz w:val="24"/>
                <w:szCs w:val="24"/>
                <w:lang w:val="en-US" w:eastAsia="zh-CN"/>
              </w:rPr>
              <w:t>60</w:t>
            </w:r>
            <w:r>
              <w:rPr>
                <w:rFonts w:hint="default" w:ascii="Times New Roman" w:hAnsi="Times New Roman" w:eastAsia="宋体" w:cs="Times New Roman"/>
                <w:sz w:val="24"/>
                <w:szCs w:val="24"/>
              </w:rPr>
              <w:t>℃</w:t>
            </w:r>
            <w:r>
              <w:rPr>
                <w:rFonts w:hint="eastAsia" w:cs="Times New Roman"/>
                <w:sz w:val="24"/>
                <w:szCs w:val="24"/>
                <w:lang w:eastAsia="zh-CN"/>
              </w:rPr>
              <w:t>，</w:t>
            </w:r>
            <w:r>
              <w:rPr>
                <w:rFonts w:hint="default" w:ascii="Times New Roman" w:hAnsi="Times New Roman" w:eastAsia="宋体" w:cs="Times New Roman"/>
                <w:sz w:val="24"/>
                <w:szCs w:val="24"/>
              </w:rPr>
              <w:t>时间约</w:t>
            </w:r>
            <w:r>
              <w:rPr>
                <w:rFonts w:hint="default"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分钟。AKD加热后流动性增强</w:t>
            </w:r>
            <w:r>
              <w:rPr>
                <w:rFonts w:hint="eastAsia" w:cs="Times New Roman"/>
                <w:sz w:val="24"/>
                <w:szCs w:val="24"/>
                <w:lang w:eastAsia="zh-CN"/>
              </w:rPr>
              <w:t>，</w:t>
            </w:r>
            <w:r>
              <w:rPr>
                <w:rFonts w:hint="default" w:ascii="Times New Roman" w:hAnsi="Times New Roman" w:eastAsia="宋体" w:cs="Times New Roman"/>
                <w:sz w:val="24"/>
                <w:szCs w:val="24"/>
              </w:rPr>
              <w:t>不会发生局部温度过高而导致AKD成分破坏。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产污环节：</w:t>
            </w:r>
            <w:r>
              <w:rPr>
                <w:rFonts w:hint="default" w:ascii="Times New Roman" w:hAnsi="Times New Roman" w:eastAsia="宋体" w:cs="Times New Roman"/>
                <w:sz w:val="24"/>
                <w:szCs w:val="24"/>
              </w:rPr>
              <w:t>AKD原料</w:t>
            </w:r>
            <w:r>
              <w:rPr>
                <w:rFonts w:hint="default" w:ascii="Times New Roman" w:hAnsi="Times New Roman" w:eastAsia="宋体" w:cs="Times New Roman"/>
                <w:sz w:val="24"/>
                <w:szCs w:val="24"/>
                <w:lang w:val="en-US" w:eastAsia="zh-CN"/>
              </w:rPr>
              <w:t>融化产生的有机废气非甲烷总烃</w:t>
            </w:r>
            <w:r>
              <w:rPr>
                <w:rFonts w:hint="default" w:ascii="Times New Roman" w:hAnsi="Times New Roman" w:eastAsia="宋体" w:cs="Times New Roman"/>
                <w:b/>
                <w:bCs/>
                <w:sz w:val="24"/>
                <w:szCs w:val="24"/>
                <w:highlight w:val="none"/>
                <w:lang w:val="en-US" w:eastAsia="zh-CN"/>
              </w:rPr>
              <w:t>、</w:t>
            </w:r>
            <w:r>
              <w:rPr>
                <w:rFonts w:hint="default" w:ascii="Times New Roman" w:hAnsi="Times New Roman" w:eastAsia="宋体" w:cs="Times New Roman"/>
                <w:sz w:val="24"/>
                <w:szCs w:val="24"/>
              </w:rPr>
              <w:t>AKD原料</w:t>
            </w:r>
            <w:r>
              <w:rPr>
                <w:rFonts w:hint="default" w:ascii="Times New Roman" w:hAnsi="Times New Roman" w:eastAsia="宋体" w:cs="Times New Roman"/>
                <w:sz w:val="24"/>
                <w:szCs w:val="24"/>
                <w:lang w:val="en-US" w:eastAsia="zh-CN"/>
              </w:rPr>
              <w:t>包装袋</w:t>
            </w:r>
            <w:r>
              <w:rPr>
                <w:rFonts w:hint="default" w:ascii="Times New Roman" w:hAnsi="Times New Roman" w:eastAsia="宋体" w:cs="Times New Roman"/>
                <w:b w:val="0"/>
                <w:bCs w:val="0"/>
                <w:sz w:val="24"/>
                <w:szCs w:val="24"/>
                <w:highlight w:val="none"/>
                <w:lang w:val="en-US" w:eastAsia="zh-CN"/>
              </w:rPr>
              <w:t>。</w:t>
            </w:r>
          </w:p>
          <w:p>
            <w:pPr>
              <w:pStyle w:val="2"/>
              <w:keepNext w:val="0"/>
              <w:keepLines w:val="0"/>
              <w:pageBreakBefore w:val="0"/>
              <w:widowControl w:val="0"/>
              <w:kinsoku/>
              <w:wordWrap/>
              <w:overflowPunct/>
              <w:topLinePunct w:val="0"/>
              <w:autoSpaceDE w:val="0"/>
              <w:autoSpaceDN w:val="0"/>
              <w:bidi w:val="0"/>
              <w:spacing w:line="360" w:lineRule="auto"/>
              <w:ind w:firstLine="48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sz w:val="24"/>
                <w:szCs w:val="24"/>
                <w:highlight w:val="none"/>
                <w:lang w:val="en-US" w:eastAsia="zh-CN"/>
              </w:rPr>
              <w:t>治理措施：</w:t>
            </w:r>
            <w:r>
              <w:rPr>
                <w:rFonts w:hint="default" w:ascii="Times New Roman" w:hAnsi="Times New Roman" w:eastAsia="宋体" w:cs="Times New Roman"/>
                <w:sz w:val="24"/>
                <w:szCs w:val="24"/>
              </w:rPr>
              <w:t>AKD原料</w:t>
            </w:r>
            <w:r>
              <w:rPr>
                <w:rFonts w:hint="default" w:ascii="Times New Roman" w:hAnsi="Times New Roman" w:eastAsia="宋体" w:cs="Times New Roman"/>
                <w:sz w:val="24"/>
                <w:szCs w:val="24"/>
                <w:lang w:val="en-US" w:eastAsia="zh-CN"/>
              </w:rPr>
              <w:t>融化产生的有机废气非甲烷总烃经过排气口上连接排气管道收集后经过二级活性炭吸附装置处理后通过1根15m高排气筒（DA001）排放</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sz w:val="24"/>
                <w:szCs w:val="24"/>
              </w:rPr>
              <w:t>AKD原料</w:t>
            </w:r>
            <w:r>
              <w:rPr>
                <w:rFonts w:hint="default" w:ascii="Times New Roman" w:hAnsi="Times New Roman" w:eastAsia="宋体" w:cs="Times New Roman"/>
                <w:sz w:val="24"/>
                <w:szCs w:val="24"/>
                <w:lang w:val="en-US" w:eastAsia="zh-CN"/>
              </w:rPr>
              <w:t>包装袋统一收集后暂存于固废暂存间</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定期外售废品回收站。</w:t>
            </w:r>
          </w:p>
          <w:p>
            <w:pPr>
              <w:snapToGrid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rPr>
              <w:t>②AKD原料</w:t>
            </w:r>
            <w:r>
              <w:rPr>
                <w:rFonts w:hint="default" w:ascii="Times New Roman" w:hAnsi="Times New Roman" w:eastAsia="宋体" w:cs="Times New Roman"/>
                <w:b/>
                <w:bCs/>
                <w:sz w:val="24"/>
                <w:szCs w:val="24"/>
                <w:lang w:val="en-US" w:eastAsia="zh-CN"/>
              </w:rPr>
              <w:t>乳化</w:t>
            </w:r>
          </w:p>
          <w:p>
            <w:pPr>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将加热、融化完毕的AKD</w:t>
            </w:r>
            <w:r>
              <w:rPr>
                <w:rFonts w:hint="default" w:ascii="Times New Roman" w:hAnsi="Times New Roman" w:eastAsia="宋体" w:cs="Times New Roman"/>
                <w:sz w:val="24"/>
                <w:szCs w:val="24"/>
                <w:lang w:val="en-US" w:eastAsia="zh-CN"/>
              </w:rPr>
              <w:t>经过</w:t>
            </w:r>
            <w:r>
              <w:rPr>
                <w:rFonts w:hint="default" w:ascii="Times New Roman" w:hAnsi="Times New Roman" w:eastAsia="宋体" w:cs="Times New Roman"/>
                <w:sz w:val="24"/>
                <w:szCs w:val="24"/>
              </w:rPr>
              <w:t>融化罐</w:t>
            </w:r>
            <w:r>
              <w:rPr>
                <w:rFonts w:hint="default" w:ascii="Times New Roman" w:hAnsi="Times New Roman" w:eastAsia="宋体" w:cs="Times New Roman"/>
                <w:sz w:val="24"/>
                <w:szCs w:val="24"/>
                <w:lang w:val="en-US" w:eastAsia="zh-CN"/>
              </w:rPr>
              <w:t>出料口通过管道连接</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泵入到</w:t>
            </w:r>
            <w:r>
              <w:rPr>
                <w:rFonts w:hint="default" w:ascii="Times New Roman" w:hAnsi="Times New Roman" w:eastAsia="宋体" w:cs="Times New Roman"/>
                <w:sz w:val="24"/>
                <w:szCs w:val="24"/>
              </w:rPr>
              <w:t>高速乳化搅拌</w:t>
            </w:r>
            <w:r>
              <w:rPr>
                <w:rFonts w:hint="default" w:ascii="Times New Roman" w:hAnsi="Times New Roman" w:eastAsia="宋体" w:cs="Times New Roman"/>
                <w:sz w:val="24"/>
                <w:szCs w:val="24"/>
                <w:lang w:val="en-US" w:eastAsia="zh-CN"/>
              </w:rPr>
              <w:t>罐内</w:t>
            </w:r>
            <w:r>
              <w:rPr>
                <w:rFonts w:hint="default" w:ascii="Times New Roman" w:hAnsi="Times New Roman" w:eastAsia="宋体" w:cs="Times New Roman"/>
                <w:sz w:val="24"/>
                <w:szCs w:val="24"/>
              </w:rPr>
              <w:t>与</w:t>
            </w:r>
            <w:r>
              <w:rPr>
                <w:rFonts w:hint="default" w:ascii="Times New Roman" w:hAnsi="Times New Roman" w:eastAsia="宋体" w:cs="Times New Roman"/>
                <w:sz w:val="24"/>
                <w:szCs w:val="24"/>
                <w:lang w:val="en-US" w:eastAsia="zh-CN"/>
              </w:rPr>
              <w:t>提前泵入的</w:t>
            </w:r>
            <w:r>
              <w:rPr>
                <w:rFonts w:hint="default" w:ascii="Times New Roman" w:hAnsi="Times New Roman" w:eastAsia="宋体" w:cs="Times New Roman"/>
                <w:sz w:val="24"/>
                <w:szCs w:val="24"/>
              </w:rPr>
              <w:t>乳化剂一同</w:t>
            </w:r>
            <w:r>
              <w:rPr>
                <w:rFonts w:hint="default" w:ascii="Times New Roman" w:hAnsi="Times New Roman" w:eastAsia="宋体" w:cs="Times New Roman"/>
                <w:sz w:val="24"/>
                <w:szCs w:val="24"/>
                <w:lang w:val="en-US" w:eastAsia="zh-CN"/>
              </w:rPr>
              <w:t>高速搅拌20分钟</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完成初步乳化</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由于AKD蜡在加热熔融后是油状液滴不能与水互溶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因此需要乳化剂与AKD结合</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经过高速搅拌使AKD很好的分散在水中</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形成稳定的乳液(以分子间力结合</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非化学反应)。</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sz w:val="24"/>
                <w:szCs w:val="24"/>
                <w:highlight w:val="none"/>
                <w:lang w:val="en-US" w:eastAsia="zh-CN"/>
              </w:rPr>
              <w:t>产污环节：</w:t>
            </w:r>
            <w:r>
              <w:rPr>
                <w:rFonts w:hint="default" w:ascii="Times New Roman" w:hAnsi="Times New Roman" w:eastAsia="宋体" w:cs="Times New Roman"/>
                <w:sz w:val="24"/>
                <w:szCs w:val="24"/>
              </w:rPr>
              <w:t>乳化剂</w:t>
            </w:r>
            <w:r>
              <w:rPr>
                <w:rFonts w:hint="default" w:ascii="Times New Roman" w:hAnsi="Times New Roman" w:eastAsia="宋体" w:cs="Times New Roman"/>
                <w:sz w:val="24"/>
                <w:szCs w:val="24"/>
                <w:lang w:val="en-US" w:eastAsia="zh-CN"/>
              </w:rPr>
              <w:t>包装桶</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bCs/>
                <w:sz w:val="24"/>
                <w:szCs w:val="24"/>
                <w:highlight w:val="none"/>
                <w:lang w:val="en-US" w:eastAsia="zh-CN"/>
              </w:rPr>
              <w:t>治理措施：</w:t>
            </w:r>
            <w:r>
              <w:rPr>
                <w:rFonts w:hint="default" w:ascii="Times New Roman" w:hAnsi="Times New Roman" w:eastAsia="宋体" w:cs="Times New Roman"/>
                <w:sz w:val="24"/>
                <w:szCs w:val="24"/>
                <w:lang w:val="en-US" w:eastAsia="zh-CN"/>
              </w:rPr>
              <w:t>定期由厂家回收</w:t>
            </w:r>
            <w:r>
              <w:rPr>
                <w:rFonts w:hint="default" w:ascii="Times New Roman" w:hAnsi="Times New Roman" w:eastAsia="宋体" w:cs="Times New Roman"/>
                <w:b w:val="0"/>
                <w:bCs w:val="0"/>
                <w:sz w:val="24"/>
                <w:szCs w:val="24"/>
                <w:highlight w:val="none"/>
                <w:lang w:val="en-US" w:eastAsia="zh-CN"/>
              </w:rPr>
              <w:t>。</w:t>
            </w:r>
          </w:p>
          <w:p>
            <w:pPr>
              <w:snapToGrid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rPr>
              <w:t>③AKD</w:t>
            </w:r>
            <w:r>
              <w:rPr>
                <w:rFonts w:hint="default" w:ascii="Times New Roman" w:hAnsi="Times New Roman" w:eastAsia="宋体" w:cs="Times New Roman"/>
                <w:b/>
                <w:bCs/>
                <w:sz w:val="24"/>
                <w:szCs w:val="24"/>
                <w:lang w:val="en-US" w:eastAsia="zh-CN"/>
              </w:rPr>
              <w:t>乳液剪切</w:t>
            </w:r>
          </w:p>
          <w:p>
            <w:pPr>
              <w:snapToGrid w:val="0"/>
              <w:spacing w:line="360" w:lineRule="auto"/>
              <w:ind w:firstLine="480" w:firstLineChars="200"/>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sz w:val="24"/>
                <w:szCs w:val="24"/>
                <w:lang w:val="en-US" w:eastAsia="zh-CN"/>
              </w:rPr>
              <w:t>将乳化好的AKD乳液和自来水</w:t>
            </w:r>
            <w:r>
              <w:rPr>
                <w:rFonts w:hint="default" w:ascii="Times New Roman" w:hAnsi="Times New Roman" w:eastAsia="宋体" w:cs="Times New Roman"/>
                <w:sz w:val="24"/>
                <w:szCs w:val="24"/>
              </w:rPr>
              <w:t>泵入剪切罐内</w:t>
            </w:r>
            <w:r>
              <w:rPr>
                <w:rFonts w:hint="eastAsia" w:cs="Times New Roman"/>
                <w:sz w:val="24"/>
                <w:szCs w:val="24"/>
                <w:lang w:eastAsia="zh-CN"/>
              </w:rPr>
              <w:t>，</w:t>
            </w:r>
            <w:r>
              <w:rPr>
                <w:rFonts w:hint="default" w:ascii="Times New Roman" w:hAnsi="Times New Roman" w:eastAsia="宋体" w:cs="Times New Roman"/>
                <w:color w:val="000000" w:themeColor="text1"/>
                <w:sz w:val="24"/>
                <w:szCs w:val="24"/>
                <w14:textFill>
                  <w14:solidFill>
                    <w14:schemeClr w14:val="tx1"/>
                  </w14:solidFill>
                </w14:textFill>
              </w:rPr>
              <w:t>高速剪切搅拌</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使物料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更加</w:t>
            </w:r>
            <w:r>
              <w:rPr>
                <w:rFonts w:hint="default" w:ascii="Times New Roman" w:hAnsi="Times New Roman" w:eastAsia="宋体" w:cs="Times New Roman"/>
                <w:color w:val="000000" w:themeColor="text1"/>
                <w:sz w:val="24"/>
                <w:szCs w:val="24"/>
                <w14:textFill>
                  <w14:solidFill>
                    <w14:schemeClr w14:val="tx1"/>
                  </w14:solidFill>
                </w14:textFill>
              </w:rPr>
              <w:t>乳化在一起</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sz w:val="24"/>
                <w:szCs w:val="24"/>
              </w:rPr>
              <w:t>使物料得到微细化</w:t>
            </w:r>
            <w:r>
              <w:rPr>
                <w:rFonts w:hint="eastAsia" w:cs="Times New Roman"/>
                <w:sz w:val="24"/>
                <w:szCs w:val="24"/>
                <w:lang w:eastAsia="zh-CN"/>
              </w:rPr>
              <w:t>，</w:t>
            </w:r>
            <w:r>
              <w:rPr>
                <w:rFonts w:hint="default" w:ascii="Times New Roman" w:hAnsi="Times New Roman" w:eastAsia="宋体" w:cs="Times New Roman"/>
                <w:sz w:val="24"/>
                <w:szCs w:val="24"/>
              </w:rPr>
              <w:t>该过程耗时7-8分钟。</w:t>
            </w:r>
          </w:p>
          <w:p>
            <w:pPr>
              <w:snapToGrid w:val="0"/>
              <w:spacing w:line="360" w:lineRule="auto"/>
              <w:ind w:firstLine="482"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④AKD</w:t>
            </w:r>
            <w:r>
              <w:rPr>
                <w:rFonts w:hint="default" w:ascii="Times New Roman" w:hAnsi="Times New Roman" w:eastAsia="宋体" w:cs="Times New Roman"/>
                <w:b/>
                <w:bCs/>
                <w:sz w:val="24"/>
                <w:szCs w:val="24"/>
                <w:lang w:val="en-US" w:eastAsia="zh-CN"/>
              </w:rPr>
              <w:t>乳液均质</w:t>
            </w:r>
          </w:p>
          <w:p>
            <w:pPr>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经剪切完毕的</w:t>
            </w:r>
            <w:r>
              <w:rPr>
                <w:rFonts w:hint="default" w:ascii="Times New Roman" w:hAnsi="Times New Roman" w:eastAsia="宋体" w:cs="Times New Roman"/>
                <w:sz w:val="24"/>
                <w:szCs w:val="24"/>
                <w:lang w:val="en-US" w:eastAsia="zh-CN"/>
              </w:rPr>
              <w:t>乳液泵</w:t>
            </w:r>
            <w:r>
              <w:rPr>
                <w:rFonts w:hint="default" w:ascii="Times New Roman" w:hAnsi="Times New Roman" w:eastAsia="宋体" w:cs="Times New Roman"/>
                <w:sz w:val="24"/>
                <w:szCs w:val="24"/>
              </w:rPr>
              <w:t>入2台串联的均质机进行两次均质乳化</w:t>
            </w:r>
            <w:r>
              <w:rPr>
                <w:rFonts w:hint="eastAsia" w:cs="Times New Roman"/>
                <w:sz w:val="24"/>
                <w:szCs w:val="24"/>
                <w:lang w:eastAsia="zh-CN"/>
              </w:rPr>
              <w:t>，</w:t>
            </w:r>
            <w:r>
              <w:rPr>
                <w:rFonts w:hint="default" w:ascii="Times New Roman" w:hAnsi="Times New Roman" w:eastAsia="宋体" w:cs="Times New Roman"/>
                <w:sz w:val="24"/>
                <w:szCs w:val="24"/>
              </w:rPr>
              <w:t>第一遍高压均质(15~18mpa)</w:t>
            </w:r>
            <w:r>
              <w:rPr>
                <w:rFonts w:hint="eastAsia" w:cs="Times New Roman"/>
                <w:sz w:val="24"/>
                <w:szCs w:val="24"/>
                <w:lang w:eastAsia="zh-CN"/>
              </w:rPr>
              <w:t>，</w:t>
            </w:r>
            <w:r>
              <w:rPr>
                <w:rFonts w:hint="default" w:ascii="Times New Roman" w:hAnsi="Times New Roman" w:eastAsia="宋体" w:cs="Times New Roman"/>
                <w:sz w:val="24"/>
                <w:szCs w:val="24"/>
              </w:rPr>
              <w:t>第二遍低压均质(8~10mpa)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高压均质机是通过三柱塞的往复运动将AKD</w:t>
            </w:r>
            <w:r>
              <w:rPr>
                <w:rFonts w:hint="default" w:ascii="Times New Roman" w:hAnsi="Times New Roman" w:eastAsia="宋体" w:cs="Times New Roman"/>
                <w:sz w:val="24"/>
                <w:szCs w:val="24"/>
                <w:lang w:val="en-US" w:eastAsia="zh-CN"/>
              </w:rPr>
              <w:t>乳液</w:t>
            </w:r>
            <w:r>
              <w:rPr>
                <w:rFonts w:hint="default" w:ascii="Times New Roman" w:hAnsi="Times New Roman" w:eastAsia="宋体" w:cs="Times New Roman"/>
                <w:sz w:val="24"/>
                <w:szCs w:val="24"/>
              </w:rPr>
              <w:t>以高压的形式送至均质阀</w:t>
            </w:r>
            <w:r>
              <w:rPr>
                <w:rFonts w:hint="eastAsia" w:cs="Times New Roman"/>
                <w:sz w:val="24"/>
                <w:szCs w:val="24"/>
                <w:lang w:eastAsia="zh-CN"/>
              </w:rPr>
              <w:t>，</w:t>
            </w:r>
            <w:r>
              <w:rPr>
                <w:rFonts w:hint="default" w:ascii="Times New Roman" w:hAnsi="Times New Roman" w:eastAsia="宋体" w:cs="Times New Roman"/>
                <w:sz w:val="24"/>
                <w:szCs w:val="24"/>
              </w:rPr>
              <w:t>使物料流经阀盘与阀座微小间隙的瞬间受到湍流、空穴、剪切等复合力的作用</w:t>
            </w:r>
            <w:r>
              <w:rPr>
                <w:rFonts w:hint="eastAsia" w:cs="Times New Roman"/>
                <w:sz w:val="24"/>
                <w:szCs w:val="24"/>
                <w:lang w:eastAsia="zh-CN"/>
              </w:rPr>
              <w:t>，</w:t>
            </w:r>
            <w:r>
              <w:rPr>
                <w:rFonts w:hint="default" w:ascii="Times New Roman" w:hAnsi="Times New Roman" w:eastAsia="宋体" w:cs="Times New Roman"/>
                <w:sz w:val="24"/>
                <w:szCs w:val="24"/>
              </w:rPr>
              <w:t>将原先的乳浊液加工成极细微的、均匀稳定的小粒径的成品</w:t>
            </w:r>
            <w:r>
              <w:rPr>
                <w:rFonts w:hint="eastAsia" w:cs="Times New Roman"/>
                <w:sz w:val="24"/>
                <w:szCs w:val="24"/>
                <w:lang w:eastAsia="zh-CN"/>
              </w:rPr>
              <w:t>，</w:t>
            </w:r>
            <w:r>
              <w:rPr>
                <w:rFonts w:hint="default" w:ascii="Times New Roman" w:hAnsi="Times New Roman" w:eastAsia="宋体" w:cs="Times New Roman"/>
                <w:sz w:val="24"/>
                <w:szCs w:val="24"/>
              </w:rPr>
              <w:t>该过程耗时1小时为物理反应</w:t>
            </w:r>
            <w:r>
              <w:rPr>
                <w:rFonts w:hint="eastAsia" w:cs="Times New Roman"/>
                <w:sz w:val="24"/>
                <w:szCs w:val="24"/>
                <w:lang w:eastAsia="zh-CN"/>
              </w:rPr>
              <w:t>，</w:t>
            </w:r>
            <w:r>
              <w:rPr>
                <w:rFonts w:hint="default" w:ascii="Times New Roman" w:hAnsi="Times New Roman" w:eastAsia="宋体" w:cs="Times New Roman"/>
                <w:sz w:val="24"/>
                <w:szCs w:val="24"/>
              </w:rPr>
              <w:t>不发生化学反应。</w:t>
            </w:r>
          </w:p>
          <w:p>
            <w:pPr>
              <w:snapToGrid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 5 \* GB3 \* MERGEFORMAT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⑤</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sz w:val="24"/>
                <w:szCs w:val="24"/>
                <w:lang w:val="en-US" w:eastAsia="zh-CN"/>
              </w:rPr>
              <w:t>复配搅拌罐</w:t>
            </w:r>
          </w:p>
          <w:p>
            <w:pPr>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超微细化后的物料</w:t>
            </w:r>
            <w:r>
              <w:rPr>
                <w:rFonts w:hint="default" w:ascii="Times New Roman" w:hAnsi="Times New Roman" w:eastAsia="宋体" w:cs="Times New Roman"/>
                <w:sz w:val="24"/>
                <w:szCs w:val="24"/>
                <w:lang w:val="en-US" w:eastAsia="zh-CN"/>
              </w:rPr>
              <w:t>泵入</w:t>
            </w:r>
            <w:r>
              <w:rPr>
                <w:rFonts w:hint="default" w:ascii="Times New Roman" w:hAnsi="Times New Roman" w:eastAsia="宋体" w:cs="Times New Roman"/>
                <w:sz w:val="24"/>
                <w:szCs w:val="24"/>
              </w:rPr>
              <w:t>复配搅拌罐中加</w:t>
            </w:r>
            <w:r>
              <w:rPr>
                <w:rFonts w:hint="default" w:ascii="Times New Roman" w:hAnsi="Times New Roman" w:eastAsia="宋体" w:cs="Times New Roman"/>
                <w:sz w:val="24"/>
                <w:szCs w:val="24"/>
                <w:lang w:val="en-US" w:eastAsia="zh-CN"/>
              </w:rPr>
              <w:t>入一定量</w:t>
            </w:r>
            <w:r>
              <w:rPr>
                <w:rFonts w:hint="default" w:ascii="Times New Roman" w:hAnsi="Times New Roman" w:eastAsia="宋体" w:cs="Times New Roman"/>
                <w:sz w:val="24"/>
                <w:szCs w:val="24"/>
              </w:rPr>
              <w:t>硫酸铝搅拌均匀后</w:t>
            </w:r>
            <w:r>
              <w:rPr>
                <w:rFonts w:hint="eastAsia" w:cs="Times New Roman"/>
                <w:sz w:val="24"/>
                <w:szCs w:val="24"/>
                <w:lang w:eastAsia="zh-CN"/>
              </w:rPr>
              <w:t>，</w:t>
            </w:r>
            <w:r>
              <w:rPr>
                <w:rFonts w:hint="default" w:ascii="Times New Roman" w:hAnsi="Times New Roman" w:eastAsia="宋体" w:cs="Times New Roman"/>
                <w:sz w:val="24"/>
                <w:szCs w:val="24"/>
              </w:rPr>
              <w:t>调节PH值至中性得到成品进行灌装。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产污环节：</w:t>
            </w:r>
            <w:r>
              <w:rPr>
                <w:rFonts w:hint="default" w:ascii="Times New Roman" w:hAnsi="Times New Roman" w:eastAsia="宋体" w:cs="Times New Roman"/>
                <w:sz w:val="24"/>
                <w:szCs w:val="24"/>
              </w:rPr>
              <w:t>硫酸铝</w:t>
            </w:r>
            <w:r>
              <w:rPr>
                <w:rFonts w:hint="default" w:ascii="Times New Roman" w:hAnsi="Times New Roman" w:eastAsia="宋体" w:cs="Times New Roman"/>
                <w:sz w:val="24"/>
                <w:szCs w:val="24"/>
                <w:lang w:val="en-US" w:eastAsia="zh-CN"/>
              </w:rPr>
              <w:t>包装袋</w:t>
            </w:r>
            <w:r>
              <w:rPr>
                <w:rFonts w:hint="default" w:ascii="Times New Roman" w:hAnsi="Times New Roman" w:eastAsia="宋体" w:cs="Times New Roman"/>
                <w:b w:val="0"/>
                <w:bCs w:val="0"/>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sz w:val="24"/>
                <w:szCs w:val="24"/>
                <w:highlight w:val="none"/>
                <w:lang w:val="en-US" w:eastAsia="zh-CN"/>
              </w:rPr>
              <w:t>治理措施：</w:t>
            </w:r>
            <w:r>
              <w:rPr>
                <w:rFonts w:hint="default" w:ascii="Times New Roman" w:hAnsi="Times New Roman" w:eastAsia="宋体" w:cs="Times New Roman"/>
                <w:sz w:val="24"/>
                <w:szCs w:val="24"/>
                <w:lang w:val="en-US" w:eastAsia="zh-CN"/>
              </w:rPr>
              <w:t>统一收集后暂存于固废暂存间</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定期外售废品回收站</w:t>
            </w:r>
            <w:r>
              <w:rPr>
                <w:rFonts w:hint="default" w:ascii="Times New Roman" w:hAnsi="Times New Roman" w:eastAsia="宋体" w:cs="Times New Roman"/>
                <w:b w:val="0"/>
                <w:bCs w:val="0"/>
                <w:sz w:val="24"/>
                <w:szCs w:val="24"/>
                <w:highlight w:val="none"/>
                <w:lang w:val="en-US" w:eastAsia="zh-CN"/>
              </w:rPr>
              <w:t>。</w:t>
            </w:r>
          </w:p>
          <w:p>
            <w:pPr>
              <w:pStyle w:val="26"/>
              <w:spacing w:after="0" w:line="360" w:lineRule="auto"/>
              <w:ind w:left="0" w:leftChars="0" w:firstLine="482"/>
              <w:rPr>
                <w:rFonts w:hint="default" w:ascii="Times New Roman" w:hAnsi="Times New Roman" w:eastAsia="宋体" w:cs="Times New Roman"/>
                <w:b/>
                <w:bCs/>
                <w:color w:val="000000" w:themeColor="text1"/>
                <w14:textFill>
                  <w14:solidFill>
                    <w14:schemeClr w14:val="tx1"/>
                  </w14:solidFill>
                </w14:textFill>
              </w:rPr>
            </w:pPr>
            <w:bookmarkStart w:id="9" w:name="_Toc2440"/>
            <w:r>
              <w:rPr>
                <w:rFonts w:hint="default" w:ascii="Times New Roman" w:hAnsi="Times New Roman" w:eastAsia="宋体"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sz w:val="24"/>
                <w:szCs w:val="24"/>
              </w:rPr>
              <w:t>纸用增强剂</w:t>
            </w:r>
            <w:r>
              <w:rPr>
                <w:rFonts w:hint="default" w:ascii="Times New Roman" w:hAnsi="Times New Roman" w:eastAsia="宋体" w:cs="Times New Roman"/>
                <w:b/>
                <w:bCs/>
                <w:color w:val="000000" w:themeColor="text1"/>
                <w14:textFill>
                  <w14:solidFill>
                    <w14:schemeClr w14:val="tx1"/>
                  </w14:solidFill>
                </w14:textFill>
              </w:rPr>
              <w:t>工艺流程</w:t>
            </w:r>
          </w:p>
          <w:bookmarkEnd w:id="9"/>
          <w:p>
            <w:pPr>
              <w:adjustRightInd w:val="0"/>
              <w:snapToGrid w:val="0"/>
              <w:spacing w:line="360" w:lineRule="auto"/>
              <w:ind w:firstLine="480" w:firstLineChars="200"/>
              <w:jc w:val="left"/>
              <w:outlineLvl w:val="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纸用增强剂生产工艺</w:t>
            </w:r>
            <w:r>
              <w:rPr>
                <w:rFonts w:hint="default" w:ascii="Times New Roman" w:hAnsi="Times New Roman" w:eastAsia="宋体" w:cs="Times New Roman"/>
                <w:sz w:val="24"/>
                <w:szCs w:val="24"/>
                <w:lang w:val="en-US" w:eastAsia="zh-CN"/>
              </w:rPr>
              <w:t>较为</w:t>
            </w:r>
            <w:r>
              <w:rPr>
                <w:rFonts w:hint="default" w:ascii="Times New Roman" w:hAnsi="Times New Roman" w:eastAsia="宋体" w:cs="Times New Roman"/>
                <w:sz w:val="24"/>
                <w:szCs w:val="24"/>
              </w:rPr>
              <w:t>简单</w:t>
            </w:r>
            <w:r>
              <w:rPr>
                <w:rFonts w:hint="eastAsia" w:cs="Times New Roman"/>
                <w:sz w:val="24"/>
                <w:szCs w:val="24"/>
                <w:lang w:eastAsia="zh-CN"/>
              </w:rPr>
              <w:t>，</w:t>
            </w:r>
            <w:r>
              <w:rPr>
                <w:rFonts w:hint="default" w:ascii="Times New Roman" w:hAnsi="Times New Roman" w:eastAsia="宋体" w:cs="Times New Roman"/>
                <w:sz w:val="24"/>
                <w:szCs w:val="24"/>
              </w:rPr>
              <w:t>主要是将聚丙烯酰胺和尿素、</w:t>
            </w:r>
            <w:r>
              <w:rPr>
                <w:rFonts w:hint="default" w:ascii="Times New Roman" w:hAnsi="Times New Roman" w:eastAsia="宋体" w:cs="Times New Roman"/>
                <w:sz w:val="24"/>
                <w:szCs w:val="24"/>
                <w:lang w:val="en-US" w:eastAsia="zh-CN"/>
              </w:rPr>
              <w:t>自来水</w:t>
            </w:r>
            <w:r>
              <w:rPr>
                <w:rFonts w:hint="default" w:ascii="Times New Roman" w:hAnsi="Times New Roman" w:eastAsia="宋体" w:cs="Times New Roman"/>
                <w:sz w:val="24"/>
                <w:szCs w:val="24"/>
              </w:rPr>
              <w:t>按一定比例</w:t>
            </w:r>
            <w:r>
              <w:rPr>
                <w:rFonts w:hint="default" w:ascii="Times New Roman" w:hAnsi="Times New Roman" w:eastAsia="宋体" w:cs="Times New Roman"/>
                <w:sz w:val="24"/>
                <w:szCs w:val="24"/>
                <w:lang w:val="en-US" w:eastAsia="zh-CN"/>
              </w:rPr>
              <w:t>通过泵</w:t>
            </w:r>
            <w:r>
              <w:rPr>
                <w:rFonts w:hint="default" w:ascii="Times New Roman" w:hAnsi="Times New Roman" w:eastAsia="宋体" w:cs="Times New Roman"/>
                <w:sz w:val="24"/>
                <w:szCs w:val="24"/>
              </w:rPr>
              <w:t>加入到纸用增强剂搅拌罐中进行搅拌混合</w:t>
            </w:r>
            <w:r>
              <w:rPr>
                <w:rFonts w:hint="default" w:ascii="Times New Roman" w:hAnsi="Times New Roman" w:eastAsia="宋体" w:cs="Times New Roman"/>
                <w:sz w:val="24"/>
                <w:szCs w:val="24"/>
                <w:lang w:val="en-US" w:eastAsia="zh-CN"/>
              </w:rPr>
              <w:t>均匀</w:t>
            </w:r>
            <w:r>
              <w:rPr>
                <w:rFonts w:hint="default" w:ascii="Times New Roman" w:hAnsi="Times New Roman" w:eastAsia="宋体" w:cs="Times New Roman"/>
                <w:sz w:val="24"/>
                <w:szCs w:val="24"/>
              </w:rPr>
              <w:t>得到成品。生产过程无加热过程</w:t>
            </w:r>
            <w:r>
              <w:rPr>
                <w:rFonts w:hint="eastAsia" w:cs="Times New Roman"/>
                <w:sz w:val="24"/>
                <w:szCs w:val="24"/>
                <w:lang w:eastAsia="zh-CN"/>
              </w:rPr>
              <w:t>，</w:t>
            </w:r>
            <w:r>
              <w:rPr>
                <w:rFonts w:hint="default" w:ascii="Times New Roman" w:hAnsi="Times New Roman" w:eastAsia="宋体" w:cs="Times New Roman"/>
                <w:sz w:val="24"/>
                <w:szCs w:val="24"/>
              </w:rPr>
              <w:t>无化学反应。</w:t>
            </w:r>
          </w:p>
          <w:p>
            <w:pPr>
              <w:pStyle w:val="26"/>
              <w:ind w:left="0" w:leftChars="0" w:firstLine="0" w:firstLineChars="0"/>
              <w:jc w:val="center"/>
              <w:rPr>
                <w:rFonts w:hint="default" w:ascii="Times New Roman" w:hAnsi="Times New Roman" w:eastAsia="宋体" w:cs="Times New Roman"/>
                <w:b/>
                <w:bCs/>
                <w:sz w:val="24"/>
                <w:szCs w:val="24"/>
              </w:rPr>
            </w:pPr>
            <w:bookmarkStart w:id="40" w:name="_GoBack"/>
            <w:r>
              <w:rPr>
                <w:rFonts w:hint="default" w:ascii="Times New Roman" w:hAnsi="Times New Roman" w:eastAsia="宋体" w:cs="Times New Roman"/>
                <w:highlight w:val="none"/>
                <w:lang w:val="en-US"/>
              </w:rPr>
              <w:object>
                <v:shape id="_x0000_i1027" o:spt="75" alt="" type="#_x0000_t75" style="height:209.8pt;width:409.65pt;" o:ole="t" filled="f" o:preferrelative="t" stroked="f" coordsize="21600,21600">
                  <v:path/>
                  <v:fill on="f" focussize="0,0"/>
                  <v:stroke on="f"/>
                  <v:imagedata r:id="rId14" croptop="3025f" cropright="1405f" cropbottom="3575f" o:title=""/>
                  <o:lock v:ext="edit" aspectratio="f"/>
                  <w10:wrap type="none"/>
                  <w10:anchorlock/>
                </v:shape>
                <o:OLEObject Type="Embed" ProgID="Visio.Drawing.11" ShapeID="_x0000_i1027" DrawAspect="Content" ObjectID="_1468075727" r:id="rId13">
                  <o:LockedField>false</o:LockedField>
                </o:OLEObject>
              </w:object>
            </w:r>
            <w:bookmarkEnd w:id="40"/>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b/>
                <w:bCs/>
                <w:sz w:val="24"/>
                <w:szCs w:val="24"/>
              </w:rPr>
              <w:t>图</w:t>
            </w:r>
            <w:r>
              <w:rPr>
                <w:rFonts w:hint="eastAsia" w:cs="Times New Roman"/>
                <w:b/>
                <w:bCs/>
                <w:sz w:val="24"/>
                <w:szCs w:val="24"/>
                <w:lang w:val="en-US" w:eastAsia="zh-CN"/>
              </w:rPr>
              <w:t>2-9</w:t>
            </w:r>
            <w:r>
              <w:rPr>
                <w:rFonts w:hint="default" w:ascii="Times New Roman" w:hAnsi="Times New Roman" w:eastAsia="宋体" w:cs="Times New Roman"/>
                <w:b/>
                <w:bCs/>
                <w:sz w:val="24"/>
                <w:szCs w:val="24"/>
              </w:rPr>
              <w:t xml:space="preserve"> 纸用增强剂工艺流程图</w:t>
            </w:r>
          </w:p>
          <w:p>
            <w:pPr>
              <w:snapToGrid w:val="0"/>
              <w:jc w:val="center"/>
              <w:rPr>
                <w:rFonts w:hint="default" w:ascii="Times New Roman" w:hAnsi="Times New Roman" w:eastAsia="宋体" w:cs="Times New Roman"/>
                <w:b/>
                <w:bCs/>
                <w:sz w:val="24"/>
                <w:szCs w:val="24"/>
              </w:rPr>
            </w:pPr>
          </w:p>
          <w:p>
            <w:pPr>
              <w:adjustRightInd w:val="0"/>
              <w:snapToGrid w:val="0"/>
              <w:spacing w:line="360" w:lineRule="auto"/>
              <w:jc w:val="left"/>
              <w:outlineLvl w:val="2"/>
              <w:rPr>
                <w:rFonts w:hint="default" w:ascii="Times New Roman" w:hAnsi="Times New Roman" w:eastAsia="宋体" w:cs="Times New Roman"/>
                <w:b/>
                <w:sz w:val="24"/>
                <w:szCs w:val="24"/>
              </w:rPr>
            </w:pPr>
            <w:bookmarkStart w:id="10" w:name="_Toc15725"/>
            <w:r>
              <w:rPr>
                <w:rFonts w:hint="default" w:ascii="Times New Roman" w:hAnsi="Times New Roman" w:eastAsia="宋体" w:cs="Times New Roman"/>
                <w:b/>
                <w:sz w:val="24"/>
                <w:szCs w:val="24"/>
                <w:lang w:eastAsia="zh-CN"/>
              </w:rPr>
              <w:t>（</w:t>
            </w:r>
            <w:r>
              <w:rPr>
                <w:rFonts w:hint="default"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lang w:eastAsia="zh-CN"/>
              </w:rPr>
              <w:t>）</w:t>
            </w:r>
            <w:r>
              <w:rPr>
                <w:rFonts w:hint="default" w:ascii="Times New Roman" w:hAnsi="Times New Roman" w:eastAsia="宋体" w:cs="Times New Roman"/>
                <w:b/>
                <w:sz w:val="24"/>
                <w:szCs w:val="24"/>
              </w:rPr>
              <w:t>其他复配型造纸助剂</w:t>
            </w:r>
            <w:bookmarkEnd w:id="10"/>
            <w:r>
              <w:rPr>
                <w:rFonts w:hint="default" w:ascii="Times New Roman" w:hAnsi="Times New Roman" w:eastAsia="宋体" w:cs="Times New Roman"/>
                <w:b/>
                <w:sz w:val="24"/>
                <w:szCs w:val="24"/>
              </w:rPr>
              <w:t>工艺流程</w:t>
            </w:r>
          </w:p>
          <w:p>
            <w:pPr>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b w:val="0"/>
                <w:bCs/>
                <w:sz w:val="24"/>
                <w:szCs w:val="24"/>
              </w:rPr>
              <w:t>其他复配型造纸助剂</w:t>
            </w:r>
            <w:r>
              <w:rPr>
                <w:rFonts w:hint="default" w:ascii="Times New Roman" w:hAnsi="Times New Roman" w:eastAsia="宋体" w:cs="Times New Roman"/>
                <w:b w:val="0"/>
                <w:bCs/>
                <w:sz w:val="24"/>
                <w:szCs w:val="24"/>
                <w:lang w:val="en-US" w:eastAsia="zh-CN"/>
              </w:rPr>
              <w:t>工艺较为简单</w:t>
            </w:r>
            <w:r>
              <w:rPr>
                <w:rFonts w:hint="eastAsia" w:cs="Times New Roman"/>
                <w:b w:val="0"/>
                <w:bCs/>
                <w:sz w:val="24"/>
                <w:szCs w:val="24"/>
                <w:lang w:val="en-US" w:eastAsia="zh-CN"/>
              </w:rPr>
              <w:t>，</w:t>
            </w:r>
            <w:r>
              <w:rPr>
                <w:rFonts w:hint="default" w:ascii="Times New Roman" w:hAnsi="Times New Roman" w:eastAsia="宋体" w:cs="Times New Roman"/>
                <w:sz w:val="24"/>
                <w:szCs w:val="24"/>
              </w:rPr>
              <w:t>主要是将外购的高含量施胶剂、高含量消泡剂、高含量防水剂按一定比例</w:t>
            </w:r>
            <w:r>
              <w:rPr>
                <w:rFonts w:hint="default" w:ascii="Times New Roman" w:hAnsi="Times New Roman" w:eastAsia="宋体" w:cs="Times New Roman"/>
                <w:sz w:val="24"/>
                <w:szCs w:val="24"/>
                <w:lang w:val="en-US" w:eastAsia="zh-CN"/>
              </w:rPr>
              <w:t>通过泵</w:t>
            </w:r>
            <w:r>
              <w:rPr>
                <w:rFonts w:hint="default" w:ascii="Times New Roman" w:hAnsi="Times New Roman" w:eastAsia="宋体" w:cs="Times New Roman"/>
                <w:sz w:val="24"/>
                <w:szCs w:val="24"/>
              </w:rPr>
              <w:t>加入到搅拌罐中</w:t>
            </w:r>
            <w:r>
              <w:rPr>
                <w:rFonts w:hint="default" w:ascii="Times New Roman" w:hAnsi="Times New Roman" w:eastAsia="宋体" w:cs="Times New Roman"/>
                <w:sz w:val="24"/>
                <w:szCs w:val="24"/>
                <w:lang w:val="en-US" w:eastAsia="zh-CN"/>
              </w:rPr>
              <w:t>后在用自来水进行稀释</w:t>
            </w:r>
            <w:r>
              <w:rPr>
                <w:rFonts w:hint="default" w:ascii="Times New Roman" w:hAnsi="Times New Roman" w:eastAsia="宋体" w:cs="Times New Roman"/>
                <w:sz w:val="24"/>
                <w:szCs w:val="24"/>
              </w:rPr>
              <w:t>搅拌混合得到成品。生产过程无加热过程</w:t>
            </w:r>
            <w:r>
              <w:rPr>
                <w:rFonts w:hint="eastAsia" w:cs="Times New Roman"/>
                <w:sz w:val="24"/>
                <w:szCs w:val="24"/>
                <w:lang w:eastAsia="zh-CN"/>
              </w:rPr>
              <w:t>，</w:t>
            </w:r>
            <w:r>
              <w:rPr>
                <w:rFonts w:hint="default" w:ascii="Times New Roman" w:hAnsi="Times New Roman" w:eastAsia="宋体" w:cs="Times New Roman"/>
                <w:sz w:val="24"/>
                <w:szCs w:val="24"/>
              </w:rPr>
              <w:t>无化学</w:t>
            </w:r>
            <w:r>
              <w:rPr>
                <w:rFonts w:hint="default" w:ascii="Times New Roman" w:hAnsi="Times New Roman" w:eastAsia="宋体" w:cs="Times New Roman"/>
                <w:sz w:val="24"/>
                <w:szCs w:val="24"/>
                <w:lang w:val="en-US" w:eastAsia="zh-CN"/>
              </w:rPr>
              <w:t>反应</w:t>
            </w:r>
            <w:r>
              <w:rPr>
                <w:rFonts w:hint="default" w:ascii="Times New Roman" w:hAnsi="Times New Roman" w:eastAsia="宋体" w:cs="Times New Roman"/>
                <w:sz w:val="24"/>
                <w:szCs w:val="24"/>
              </w:rPr>
              <w:t>。</w:t>
            </w:r>
          </w:p>
          <w:p>
            <w:pPr>
              <w:snapToGrid w:val="0"/>
              <w:spacing w:line="360" w:lineRule="auto"/>
              <w:ind w:firstLine="420" w:firstLineChars="200"/>
              <w:rPr>
                <w:rFonts w:hint="default" w:ascii="Times New Roman" w:hAnsi="Times New Roman" w:eastAsia="宋体" w:cs="Times New Roman"/>
                <w:sz w:val="24"/>
                <w:szCs w:val="24"/>
              </w:rPr>
            </w:pPr>
            <w:r>
              <w:rPr>
                <w:rFonts w:hint="default" w:ascii="Times New Roman" w:hAnsi="Times New Roman" w:eastAsia="宋体" w:cs="Times New Roman"/>
                <w:highlight w:val="none"/>
                <w:lang w:val="en-US"/>
              </w:rPr>
              <w:object>
                <v:shape id="_x0000_i1028" o:spt="75" type="#_x0000_t75" style="height:212.25pt;width:412.75pt;" o:ole="t" filled="f" o:preferrelative="t" stroked="f" coordsize="21600,21600">
                  <v:path/>
                  <v:fill on="f" focussize="0,0"/>
                  <v:stroke on="f"/>
                  <v:imagedata r:id="rId16" croptop="3025f" cropright="1405f" cropbottom="3575f" o:title=""/>
                  <o:lock v:ext="edit" aspectratio="f"/>
                  <w10:wrap type="none"/>
                  <w10:anchorlock/>
                </v:shape>
                <o:OLEObject Type="Embed" ProgID="Visio.Drawing.11" ShapeID="_x0000_i1028" DrawAspect="Content" ObjectID="_1468075728" r:id="rId15">
                  <o:LockedField>false</o:LockedField>
                </o:OLEObject>
              </w:object>
            </w:r>
          </w:p>
          <w:p>
            <w:pPr>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sz w:val="24"/>
                <w:szCs w:val="24"/>
              </w:rPr>
              <w:t>图</w:t>
            </w:r>
            <w:r>
              <w:rPr>
                <w:rFonts w:hint="eastAsia" w:cs="Times New Roman"/>
                <w:b/>
                <w:bCs/>
                <w:sz w:val="24"/>
                <w:szCs w:val="24"/>
                <w:lang w:val="en-US" w:eastAsia="zh-CN"/>
              </w:rPr>
              <w:t>2-10</w:t>
            </w:r>
            <w:r>
              <w:rPr>
                <w:rFonts w:hint="default" w:ascii="Times New Roman" w:hAnsi="Times New Roman" w:eastAsia="宋体" w:cs="Times New Roman"/>
                <w:b/>
                <w:bCs/>
                <w:sz w:val="24"/>
                <w:szCs w:val="24"/>
              </w:rPr>
              <w:t xml:space="preserve"> 其他复配型造纸助剂工艺流程图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56" w:type="dxa"/>
            <w:vAlign w:val="center"/>
          </w:tcPr>
          <w:p>
            <w:pPr>
              <w:pStyle w:val="23"/>
              <w:adjustRightInd w:val="0"/>
              <w:snapToGrid w:val="0"/>
              <w:spacing w:before="0" w:beforeAutospacing="0" w:after="0" w:afterAutospacing="0"/>
              <w:jc w:val="both"/>
              <w:rPr>
                <w:rFonts w:hint="default" w:ascii="Times New Roman" w:hAnsi="Times New Roman" w:eastAsia="宋体" w:cs="Times New Roman"/>
                <w:color w:val="000000" w:themeColor="text1"/>
                <w:szCs w:val="24"/>
                <w14:textFill>
                  <w14:solidFill>
                    <w14:schemeClr w14:val="tx1"/>
                  </w14:solidFill>
                </w14:textFill>
              </w:rPr>
            </w:pPr>
          </w:p>
          <w:p>
            <w:pPr>
              <w:pStyle w:val="23"/>
              <w:adjustRightInd w:val="0"/>
              <w:snapToGrid w:val="0"/>
              <w:spacing w:before="0" w:beforeAutospacing="0" w:after="0" w:afterAutospacing="0"/>
              <w:jc w:val="both"/>
              <w:rPr>
                <w:rFonts w:hint="default" w:ascii="Times New Roman" w:hAnsi="Times New Roman" w:eastAsia="宋体" w:cs="Times New Roman"/>
                <w:color w:val="000000" w:themeColor="text1"/>
                <w:szCs w:val="24"/>
                <w14:textFill>
                  <w14:solidFill>
                    <w14:schemeClr w14:val="tx1"/>
                  </w14:solidFill>
                </w14:textFill>
              </w:rPr>
            </w:pPr>
          </w:p>
          <w:p>
            <w:pPr>
              <w:pStyle w:val="23"/>
              <w:adjustRightInd w:val="0"/>
              <w:snapToGrid w:val="0"/>
              <w:spacing w:before="0" w:beforeAutospacing="0" w:after="0" w:afterAutospacing="0"/>
              <w:jc w:val="both"/>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和产排污环节</w:t>
            </w:r>
          </w:p>
        </w:tc>
        <w:tc>
          <w:tcPr>
            <w:tcW w:w="9016" w:type="dxa"/>
            <w:vMerge w:val="continue"/>
          </w:tcPr>
          <w:p>
            <w:pPr>
              <w:adjustRightInd w:val="0"/>
              <w:snapToGrid w:val="0"/>
              <w:rPr>
                <w:rFonts w:hint="default" w:ascii="Times New Roman" w:hAnsi="Times New Roman" w:eastAsia="宋体" w:cs="Times New Roman"/>
                <w:bCs/>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28" w:hRule="atLeast"/>
          <w:jc w:val="center"/>
        </w:trPr>
        <w:tc>
          <w:tcPr>
            <w:tcW w:w="456" w:type="dxa"/>
            <w:vAlign w:val="center"/>
          </w:tcPr>
          <w:p>
            <w:pPr>
              <w:pStyle w:val="23"/>
              <w:adjustRightInd w:val="0"/>
              <w:snapToGrid w:val="0"/>
              <w:spacing w:before="0" w:beforeAutospacing="0" w:after="0" w:afterAutospacing="0" w:line="360" w:lineRule="auto"/>
              <w:jc w:val="center"/>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bCs/>
                <w:color w:val="000000" w:themeColor="text1"/>
                <w:kern w:val="2"/>
                <w:szCs w:val="24"/>
                <w14:textFill>
                  <w14:solidFill>
                    <w14:schemeClr w14:val="tx1"/>
                  </w14:solidFill>
                </w14:textFill>
              </w:rPr>
              <w:t>与项目有关的原有环境污染问题</w:t>
            </w:r>
          </w:p>
        </w:tc>
        <w:tc>
          <w:tcPr>
            <w:tcW w:w="9016" w:type="dxa"/>
          </w:tcPr>
          <w:p>
            <w:pPr>
              <w:widowControl/>
              <w:spacing w:line="360" w:lineRule="auto"/>
              <w:ind w:firstLine="480"/>
              <w:jc w:val="left"/>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与本项目有关的原有污染情况及主要环境问题：</w:t>
            </w:r>
          </w:p>
          <w:p>
            <w:pPr>
              <w:spacing w:line="360" w:lineRule="auto"/>
              <w:ind w:firstLine="480"/>
              <w:rPr>
                <w:rFonts w:hint="default" w:ascii="Times New Roman" w:hAnsi="Times New Roman" w:eastAsia="宋体" w:cs="Times New Roman"/>
                <w:b/>
                <w:bCs/>
                <w:color w:val="000000"/>
                <w:sz w:val="24"/>
                <w:highlight w:val="none"/>
              </w:rPr>
            </w:pPr>
            <w:r>
              <w:rPr>
                <w:rFonts w:hint="default" w:ascii="Times New Roman" w:hAnsi="Times New Roman" w:eastAsia="宋体" w:cs="Times New Roman"/>
                <w:b/>
                <w:bCs/>
                <w:color w:val="000000"/>
                <w:sz w:val="24"/>
                <w:highlight w:val="none"/>
              </w:rPr>
              <w:t>（一）</w:t>
            </w:r>
            <w:r>
              <w:rPr>
                <w:rFonts w:hint="default" w:ascii="Times New Roman" w:hAnsi="Times New Roman" w:eastAsia="宋体" w:cs="Times New Roman"/>
                <w:b/>
                <w:bCs/>
                <w:color w:val="000000"/>
                <w:sz w:val="24"/>
                <w:highlight w:val="none"/>
                <w:lang w:val="en-US" w:eastAsia="zh-CN"/>
              </w:rPr>
              <w:t>云南晋宁宏奥电梯有限公司</w:t>
            </w:r>
            <w:r>
              <w:rPr>
                <w:rFonts w:hint="default" w:ascii="Times New Roman" w:hAnsi="Times New Roman" w:eastAsia="宋体" w:cs="Times New Roman"/>
                <w:b/>
                <w:bCs/>
                <w:color w:val="000000"/>
                <w:sz w:val="24"/>
                <w:highlight w:val="none"/>
              </w:rPr>
              <w:t>情况简介、环保手续以及产排污和治理措施情况</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云南晋宁宏奥电梯有限公司总占地面积85334.49m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建筑面积73489m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厂区内建设有3栋生产厂房和3栋办公楼</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并建设供水、供电、排水、化粪池、道路等。</w:t>
            </w:r>
          </w:p>
          <w:p>
            <w:pPr>
              <w:spacing w:line="360" w:lineRule="auto"/>
              <w:ind w:firstLine="480" w:firstLineChars="200"/>
              <w:rPr>
                <w:rFonts w:hint="default" w:ascii="Times New Roman" w:hAnsi="Times New Roman" w:eastAsia="宋体" w:cs="Times New Roman"/>
                <w:b w:val="0"/>
                <w:bCs w:val="0"/>
                <w:color w:val="000000"/>
                <w:sz w:val="24"/>
                <w:highlight w:val="none"/>
                <w:lang w:val="en-US" w:eastAsia="zh-CN"/>
              </w:rPr>
            </w:pPr>
            <w:r>
              <w:rPr>
                <w:rFonts w:hint="default" w:ascii="Times New Roman" w:hAnsi="Times New Roman" w:eastAsia="宋体" w:cs="Times New Roman"/>
                <w:color w:val="000000" w:themeColor="text1"/>
                <w:sz w:val="24"/>
                <w14:textFill>
                  <w14:solidFill>
                    <w14:schemeClr w14:val="tx1"/>
                  </w14:solidFill>
                </w14:textFill>
              </w:rPr>
              <w:t>云南晋宁宏奥电梯有限公司是主要从事智能化高性能电梯建设项目公司</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不生产其他有毒有害、危险产品等。云南晋宁宏奥电梯有限公司已于2014年6月4日取得了昆明市环保局昆环保复字[2014]257号的批复（详见附件</w:t>
            </w:r>
            <w:r>
              <w:rPr>
                <w:rFonts w:hint="eastAsia" w:cs="Times New Roman"/>
                <w:color w:val="000000" w:themeColor="text1"/>
                <w:sz w:val="24"/>
                <w:lang w:val="en-US" w:eastAsia="zh-CN"/>
                <w14:textFill>
                  <w14:solidFill>
                    <w14:schemeClr w14:val="tx1"/>
                  </w14:solidFill>
                </w14:textFill>
              </w:rPr>
              <w:t>7</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sz w:val="24"/>
                <w:highlight w:val="none"/>
                <w:lang w:val="en-US" w:eastAsia="zh-CN"/>
              </w:rPr>
              <w:t>目前云南晋宁宏奥电梯有限公司的生产线还未建成。</w:t>
            </w:r>
          </w:p>
          <w:p>
            <w:pPr>
              <w:spacing w:line="360" w:lineRule="auto"/>
              <w:ind w:firstLine="48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（二）企业入驻情况</w:t>
            </w:r>
          </w:p>
          <w:p>
            <w:pPr>
              <w:pStyle w:val="81"/>
              <w:keepNext w:val="0"/>
              <w:keepLines w:val="0"/>
              <w:pageBreakBefore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bidi="zh-CN"/>
              </w:rPr>
            </w:pPr>
            <w:r>
              <w:rPr>
                <w:rFonts w:hint="default" w:ascii="Times New Roman" w:hAnsi="Times New Roman" w:eastAsia="宋体" w:cs="Times New Roman"/>
                <w:b w:val="0"/>
                <w:bCs w:val="0"/>
                <w:color w:val="000000"/>
                <w:sz w:val="24"/>
                <w:szCs w:val="24"/>
                <w:highlight w:val="none"/>
                <w:lang w:val="en-US" w:eastAsia="zh-CN" w:bidi="zh-CN"/>
              </w:rPr>
              <w:t>云南晋宁宏奥电梯有限公司共建设</w:t>
            </w:r>
            <w:r>
              <w:rPr>
                <w:rFonts w:hint="default" w:ascii="Times New Roman" w:hAnsi="Times New Roman" w:eastAsia="宋体" w:cs="Times New Roman"/>
                <w:color w:val="000000" w:themeColor="text1"/>
                <w:sz w:val="24"/>
                <w14:textFill>
                  <w14:solidFill>
                    <w14:schemeClr w14:val="tx1"/>
                  </w14:solidFill>
                </w14:textFill>
              </w:rPr>
              <w:t>3栋生产厂房</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sz w:val="24"/>
                <w:szCs w:val="24"/>
                <w:highlight w:val="none"/>
                <w:lang w:val="en-US" w:eastAsia="zh-CN" w:bidi="zh-CN"/>
              </w:rPr>
              <w:t>1#生产厂房、2#生产厂房、3#生产厂房</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和1栋宿舍楼</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1栋综合楼</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1栋办公室</w:t>
            </w:r>
            <w:r>
              <w:rPr>
                <w:rFonts w:hint="eastAsia" w:cs="Times New Roman"/>
                <w:b w:val="0"/>
                <w:bCs w:val="0"/>
                <w:color w:val="000000"/>
                <w:sz w:val="24"/>
                <w:szCs w:val="24"/>
                <w:highlight w:val="none"/>
                <w:lang w:val="en-US" w:eastAsia="zh-CN" w:bidi="zh-CN"/>
              </w:rPr>
              <w:t>，</w:t>
            </w:r>
          </w:p>
          <w:p>
            <w:pPr>
              <w:pStyle w:val="81"/>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color w:val="000000"/>
                <w:sz w:val="24"/>
                <w:szCs w:val="24"/>
                <w:highlight w:val="none"/>
                <w:lang w:val="en-US" w:eastAsia="zh-CN" w:bidi="zh-CN"/>
              </w:rPr>
            </w:pPr>
            <w:bookmarkStart w:id="11" w:name="_Toc29776"/>
            <w:r>
              <w:rPr>
                <w:rFonts w:hint="default" w:ascii="Times New Roman" w:hAnsi="Times New Roman" w:eastAsia="宋体" w:cs="Times New Roman"/>
                <w:b/>
                <w:bCs/>
                <w:color w:val="000000"/>
                <w:sz w:val="24"/>
                <w:szCs w:val="24"/>
                <w:highlight w:val="none"/>
                <w:lang w:val="en-US" w:eastAsia="zh-CN" w:bidi="zh-CN"/>
              </w:rPr>
              <w:t>1#生产厂房：</w:t>
            </w:r>
            <w:r>
              <w:rPr>
                <w:rFonts w:hint="default" w:ascii="Times New Roman" w:hAnsi="Times New Roman" w:eastAsia="宋体" w:cs="Times New Roman"/>
                <w:color w:val="000000"/>
                <w:sz w:val="24"/>
                <w:szCs w:val="24"/>
                <w:highlight w:val="none"/>
                <w:lang w:val="en-US" w:eastAsia="zh-CN" w:bidi="zh-CN"/>
              </w:rPr>
              <w:t>全部出租给云南建投路桥机械事业部。</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color w:val="000000"/>
                <w:sz w:val="24"/>
                <w:szCs w:val="24"/>
                <w:highlight w:val="none"/>
                <w:lang w:val="en-US" w:eastAsia="zh-CN" w:bidi="zh-CN"/>
              </w:rPr>
            </w:pPr>
            <w:r>
              <w:rPr>
                <w:rFonts w:hint="default" w:ascii="Times New Roman" w:hAnsi="Times New Roman" w:eastAsia="宋体" w:cs="Times New Roman"/>
                <w:b/>
                <w:bCs/>
                <w:color w:val="000000"/>
                <w:sz w:val="24"/>
                <w:szCs w:val="24"/>
                <w:highlight w:val="none"/>
                <w:lang w:val="en-US" w:eastAsia="zh-CN" w:bidi="zh-CN"/>
              </w:rPr>
              <w:t>2#生产厂房：</w:t>
            </w:r>
            <w:r>
              <w:rPr>
                <w:rFonts w:hint="default" w:ascii="Times New Roman" w:hAnsi="Times New Roman" w:eastAsia="宋体" w:cs="Times New Roman"/>
                <w:b w:val="0"/>
                <w:bCs w:val="0"/>
                <w:color w:val="000000"/>
                <w:sz w:val="24"/>
                <w:szCs w:val="24"/>
                <w:highlight w:val="none"/>
                <w:lang w:val="en-US" w:eastAsia="zh-CN" w:bidi="zh-CN"/>
              </w:rPr>
              <w:t>出租给</w:t>
            </w:r>
            <w:r>
              <w:rPr>
                <w:rFonts w:hint="default" w:ascii="Times New Roman" w:hAnsi="Times New Roman" w:eastAsia="宋体" w:cs="Times New Roman"/>
                <w:color w:val="000000"/>
                <w:sz w:val="24"/>
                <w:szCs w:val="24"/>
                <w:highlight w:val="none"/>
                <w:lang w:val="en-US" w:eastAsia="zh-CN" w:bidi="zh-CN"/>
              </w:rPr>
              <w:t>晋宁徽铠人防工程防护设备有限公司</w:t>
            </w:r>
            <w:r>
              <w:rPr>
                <w:rFonts w:hint="eastAsia" w:ascii="Times New Roman" w:hAnsi="Times New Roman" w:eastAsia="宋体" w:cs="Times New Roman"/>
                <w:color w:val="000000"/>
                <w:sz w:val="24"/>
                <w:szCs w:val="24"/>
                <w:highlight w:val="none"/>
                <w:lang w:val="en-US" w:eastAsia="zh-CN" w:bidi="zh-CN"/>
              </w:rPr>
              <w:t>、</w:t>
            </w:r>
            <w:r>
              <w:rPr>
                <w:rFonts w:hint="default" w:ascii="Times New Roman" w:hAnsi="Times New Roman" w:eastAsia="宋体" w:cs="Times New Roman"/>
                <w:sz w:val="24"/>
                <w:szCs w:val="24"/>
              </w:rPr>
              <w:t>云南易无界建材有限公司</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color w:val="000000"/>
                <w:sz w:val="24"/>
                <w:szCs w:val="24"/>
                <w:highlight w:val="none"/>
                <w:lang w:val="en-US" w:eastAsia="zh-CN" w:bidi="zh-CN"/>
              </w:rPr>
              <w:t>云南克莱多新材料有限公司使用以及本项</w:t>
            </w:r>
            <w:r>
              <w:rPr>
                <w:rFonts w:hint="default" w:ascii="Times New Roman" w:hAnsi="Times New Roman" w:eastAsia="宋体" w:cs="Times New Roman"/>
                <w:b w:val="0"/>
                <w:bCs w:val="0"/>
                <w:color w:val="000000"/>
                <w:sz w:val="24"/>
                <w:szCs w:val="24"/>
                <w:highlight w:val="none"/>
                <w:lang w:val="en-US" w:eastAsia="zh-CN" w:bidi="zh-CN"/>
              </w:rPr>
              <w:t>目云南爱瑞新型材料科技有限公司</w:t>
            </w:r>
            <w:r>
              <w:rPr>
                <w:rFonts w:hint="default" w:ascii="Times New Roman" w:hAnsi="Times New Roman" w:eastAsia="宋体" w:cs="Times New Roman"/>
                <w:color w:val="000000"/>
                <w:sz w:val="24"/>
                <w:szCs w:val="24"/>
                <w:highlight w:val="none"/>
                <w:lang w:val="en-US" w:eastAsia="zh-CN" w:bidi="zh-CN"/>
              </w:rPr>
              <w:t>使用。</w:t>
            </w:r>
          </w:p>
          <w:p>
            <w:pPr>
              <w:pStyle w:val="81"/>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color w:val="000000"/>
                <w:sz w:val="24"/>
                <w:szCs w:val="24"/>
                <w:highlight w:val="none"/>
                <w:lang w:val="en-US" w:eastAsia="zh-CN" w:bidi="zh-CN"/>
              </w:rPr>
            </w:pPr>
            <w:r>
              <w:rPr>
                <w:rFonts w:hint="default" w:ascii="Times New Roman" w:hAnsi="Times New Roman" w:eastAsia="宋体" w:cs="Times New Roman"/>
                <w:b/>
                <w:bCs/>
                <w:color w:val="000000"/>
                <w:sz w:val="24"/>
                <w:szCs w:val="24"/>
                <w:highlight w:val="none"/>
                <w:lang w:val="en-US" w:eastAsia="zh-CN" w:bidi="zh-CN"/>
              </w:rPr>
              <w:t>3#生产厂房：</w:t>
            </w:r>
            <w:r>
              <w:rPr>
                <w:rFonts w:hint="default" w:ascii="Times New Roman" w:hAnsi="Times New Roman" w:eastAsia="宋体" w:cs="Times New Roman"/>
                <w:color w:val="000000"/>
                <w:sz w:val="24"/>
                <w:szCs w:val="24"/>
                <w:highlight w:val="none"/>
                <w:lang w:val="en-US" w:eastAsia="zh-CN" w:bidi="zh-CN"/>
              </w:rPr>
              <w:t>3#生产厂房全部出租给</w:t>
            </w:r>
            <w:r>
              <w:rPr>
                <w:rFonts w:hint="default" w:ascii="Times New Roman" w:hAnsi="Times New Roman" w:eastAsia="宋体" w:cs="Times New Roman"/>
                <w:sz w:val="24"/>
                <w:szCs w:val="24"/>
              </w:rPr>
              <w:t>云南建投路桥机械事业部</w:t>
            </w:r>
            <w:r>
              <w:rPr>
                <w:rFonts w:hint="default" w:ascii="Times New Roman" w:hAnsi="Times New Roman" w:eastAsia="宋体" w:cs="Times New Roman"/>
                <w:sz w:val="24"/>
                <w:szCs w:val="24"/>
                <w:lang w:eastAsia="zh-CN"/>
              </w:rPr>
              <w:t>。</w:t>
            </w:r>
          </w:p>
          <w:p>
            <w:pPr>
              <w:spacing w:line="360" w:lineRule="auto"/>
              <w:ind w:firstLine="482"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综合楼：</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本项目租用综合楼共6层中的第5层作为职工宿舍</w:t>
            </w:r>
            <w:r>
              <w:rPr>
                <w:rFonts w:hint="eastAsia"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第1层作为本项目食堂。</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三</w:t>
            </w:r>
            <w:r>
              <w:rPr>
                <w:rFonts w:hint="default" w:ascii="Times New Roman" w:hAnsi="Times New Roman" w:eastAsia="宋体" w:cs="Times New Roman"/>
                <w:b/>
                <w:bCs/>
                <w:color w:val="000000" w:themeColor="text1"/>
                <w:sz w:val="24"/>
                <w14:textFill>
                  <w14:solidFill>
                    <w14:schemeClr w14:val="tx1"/>
                  </w14:solidFill>
                </w14:textFill>
              </w:rPr>
              <w:t>）与本项目有关的原有污染情况及主要环境问题</w:t>
            </w:r>
            <w:bookmarkEnd w:id="11"/>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本项目为新建项目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在项目建成之前</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bidi="zh-CN"/>
                <w14:textFill>
                  <w14:solidFill>
                    <w14:schemeClr w14:val="tx1"/>
                  </w14:solidFill>
                </w14:textFill>
              </w:rPr>
              <w:t>云南晋宁宏奥电梯有限公司</w:t>
            </w:r>
            <w:r>
              <w:rPr>
                <w:rFonts w:hint="default" w:ascii="Times New Roman" w:hAnsi="Times New Roman" w:eastAsia="宋体" w:cs="Times New Roman"/>
                <w:color w:val="000000" w:themeColor="text1"/>
                <w:sz w:val="24"/>
                <w:lang w:val="en-US" w:bidi="zh-CN"/>
                <w14:textFill>
                  <w14:solidFill>
                    <w14:schemeClr w14:val="tx1"/>
                  </w14:solidFill>
                </w14:textFill>
              </w:rPr>
              <w:t>未在</w:t>
            </w:r>
            <w:r>
              <w:rPr>
                <w:rFonts w:hint="default" w:ascii="Times New Roman" w:hAnsi="Times New Roman" w:eastAsia="宋体" w:cs="Times New Roman"/>
                <w:color w:val="000000" w:themeColor="text1"/>
                <w:sz w:val="24"/>
                <w14:textFill>
                  <w14:solidFill>
                    <w14:schemeClr w14:val="tx1"/>
                  </w14:solidFill>
                </w14:textFill>
              </w:rPr>
              <w:t>原生产厂房</w:t>
            </w:r>
            <w:r>
              <w:rPr>
                <w:rFonts w:hint="default" w:ascii="Times New Roman" w:hAnsi="Times New Roman" w:eastAsia="宋体" w:cs="Times New Roman"/>
                <w:color w:val="000000" w:themeColor="text1"/>
                <w:sz w:val="24"/>
                <w:lang w:val="en-US" w:eastAsia="zh-CN"/>
                <w14:textFill>
                  <w14:solidFill>
                    <w14:schemeClr w14:val="tx1"/>
                  </w14:solidFill>
                </w14:textFill>
              </w:rPr>
              <w:t>内建设过生产线</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目前处于闲置状态</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不存在与本项目有关的原有污染情况。</w:t>
            </w:r>
          </w:p>
          <w:p>
            <w:pPr>
              <w:spacing w:line="360" w:lineRule="auto"/>
              <w:ind w:firstLine="480"/>
              <w:rPr>
                <w:rFonts w:hint="default" w:ascii="Times New Roman" w:hAnsi="Times New Roman" w:eastAsia="宋体" w:cs="Times New Roman"/>
                <w:b/>
                <w:bCs/>
                <w:color w:val="000000" w:themeColor="text1"/>
                <w:sz w:val="24"/>
                <w14:textFill>
                  <w14:solidFill>
                    <w14:schemeClr w14:val="tx1"/>
                  </w14:solidFill>
                </w14:textFill>
              </w:rPr>
            </w:pPr>
          </w:p>
          <w:p>
            <w:pPr>
              <w:widowControl/>
              <w:spacing w:line="360" w:lineRule="auto"/>
              <w:ind w:firstLine="480"/>
              <w:rPr>
                <w:rFonts w:hint="default" w:ascii="Times New Roman" w:hAnsi="Times New Roman" w:eastAsia="宋体" w:cs="Times New Roman"/>
                <w:bCs/>
                <w:color w:val="000000" w:themeColor="text1"/>
                <w:sz w:val="24"/>
                <w14:textFill>
                  <w14:solidFill>
                    <w14:schemeClr w14:val="tx1"/>
                  </w14:solidFill>
                </w14:textFill>
              </w:rPr>
            </w:pPr>
          </w:p>
        </w:tc>
      </w:tr>
    </w:tbl>
    <w:p>
      <w:pPr>
        <w:pStyle w:val="23"/>
        <w:jc w:val="center"/>
        <w:rPr>
          <w:rFonts w:hint="default" w:ascii="Times New Roman" w:hAnsi="Times New Roman" w:eastAsia="宋体" w:cs="Times New Roman"/>
          <w:snapToGrid w:val="0"/>
          <w:color w:val="000000" w:themeColor="text1"/>
          <w:szCs w:val="24"/>
          <w14:textFill>
            <w14:solidFill>
              <w14:schemeClr w14:val="tx1"/>
            </w14:solidFill>
          </w14:textFill>
        </w:rPr>
        <w:sectPr>
          <w:pgSz w:w="11906" w:h="16838"/>
          <w:pgMar w:top="1701" w:right="1531" w:bottom="1701" w:left="1531" w:header="851" w:footer="851" w:gutter="0"/>
          <w:cols w:space="720" w:num="1"/>
          <w:docGrid w:linePitch="312" w:charSpace="0"/>
        </w:sectPr>
      </w:pPr>
    </w:p>
    <w:p>
      <w:pPr>
        <w:pStyle w:val="23"/>
        <w:adjustRightInd w:val="0"/>
        <w:snapToGrid w:val="0"/>
        <w:spacing w:before="0" w:beforeAutospacing="0" w:after="0" w:afterAutospacing="0" w:line="14" w:lineRule="auto"/>
        <w:jc w:val="center"/>
        <w:rPr>
          <w:rFonts w:hint="default" w:ascii="Times New Roman" w:hAnsi="Times New Roman" w:eastAsia="宋体" w:cs="Times New Roman"/>
          <w:snapToGrid w:val="0"/>
          <w:color w:val="000000" w:themeColor="text1"/>
          <w:szCs w:val="24"/>
          <w14:textFill>
            <w14:solidFill>
              <w14:schemeClr w14:val="tx1"/>
            </w14:solidFill>
          </w14:textFill>
        </w:rPr>
      </w:pPr>
    </w:p>
    <w:p>
      <w:pPr>
        <w:pStyle w:val="23"/>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bookmarkStart w:id="12" w:name="_Toc22563"/>
      <w:bookmarkStart w:id="13" w:name="_Toc1260"/>
      <w:r>
        <w:rPr>
          <w:rFonts w:hint="default" w:ascii="Times New Roman" w:hAnsi="Times New Roman" w:eastAsia="宋体" w:cs="Times New Roman"/>
          <w:snapToGrid w:val="0"/>
          <w:color w:val="000000" w:themeColor="text1"/>
          <w:sz w:val="30"/>
          <w:szCs w:val="30"/>
          <w14:textFill>
            <w14:solidFill>
              <w14:schemeClr w14:val="tx1"/>
            </w14:solidFill>
          </w14:textFill>
        </w:rPr>
        <w:t>三、区域环境质量现状、环境保护目标及评价标准</w:t>
      </w:r>
      <w:bookmarkEnd w:id="12"/>
      <w:bookmarkEnd w:id="13"/>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6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dxa"/>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区域</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环境</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质量</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现状</w:t>
            </w:r>
          </w:p>
        </w:tc>
        <w:tc>
          <w:tcPr>
            <w:tcW w:w="8603" w:type="dxa"/>
            <w:vAlign w:val="center"/>
          </w:tcPr>
          <w:p>
            <w:pPr>
              <w:pStyle w:val="5"/>
              <w:numPr>
                <w:numId w:val="0"/>
              </w:numPr>
              <w:ind w:firstLine="241" w:firstLineChars="100"/>
              <w:rPr>
                <w:rFonts w:hint="default" w:ascii="Times New Roman" w:hAnsi="Times New Roman" w:eastAsia="宋体" w:cs="Times New Roman"/>
                <w:color w:val="000000" w:themeColor="text1"/>
                <w:sz w:val="24"/>
                <w:szCs w:val="24"/>
                <w14:textFill>
                  <w14:solidFill>
                    <w14:schemeClr w14:val="tx1"/>
                  </w14:solidFill>
                </w14:textFill>
              </w:rPr>
            </w:pPr>
            <w:bookmarkStart w:id="14" w:name="_Toc28154"/>
            <w:bookmarkStart w:id="15" w:name="_Toc24603"/>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一</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大气环境质量现状</w:t>
            </w:r>
            <w:bookmarkEnd w:id="14"/>
            <w:bookmarkEnd w:id="15"/>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14:textFill>
                  <w14:solidFill>
                    <w14:schemeClr w14:val="tx1"/>
                  </w14:solidFill>
                </w14:textFill>
              </w:rPr>
              <w:t>达标区判定</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本项目位于云南省昆明市晋宁工业园区二街基地</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根据《环境空气质量标准》（GB3095-2012）</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本项目环境空气质量功能区划为二类区。</w:t>
            </w:r>
          </w:p>
          <w:p>
            <w:pPr>
              <w:pStyle w:val="11"/>
              <w:spacing w:line="360" w:lineRule="auto"/>
              <w:ind w:firstLine="480" w:firstLineChars="200"/>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根据《</w:t>
            </w:r>
            <w:r>
              <w:rPr>
                <w:rFonts w:hint="eastAsia" w:cs="Times New Roman"/>
                <w:color w:val="000000" w:themeColor="text1"/>
                <w:szCs w:val="24"/>
                <w:lang w:eastAsia="zh-CN"/>
                <w14:textFill>
                  <w14:solidFill>
                    <w14:schemeClr w14:val="tx1"/>
                  </w14:solidFill>
                </w14:textFill>
              </w:rPr>
              <w:t>2021年度昆明市生态环境状况公报</w:t>
            </w:r>
            <w:r>
              <w:rPr>
                <w:rFonts w:hint="default" w:ascii="Times New Roman" w:hAnsi="Times New Roman" w:eastAsia="宋体" w:cs="Times New Roman"/>
                <w:color w:val="000000" w:themeColor="text1"/>
                <w:szCs w:val="24"/>
                <w14:textFill>
                  <w14:solidFill>
                    <w14:schemeClr w14:val="tx1"/>
                  </w14:solidFill>
                </w14:textFill>
              </w:rPr>
              <w:t>》</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各县(市)区环境空气质量总体保持良好。与2020年相比，安宁市、禄劝县环境空气综合污染指数有所下降，东川区、石林县、嵩明县、富民县、宜良县、寻甸县和阳宗海风景名胜区环境空气综合污染指数有所上升。</w:t>
            </w:r>
          </w:p>
          <w:p>
            <w:pPr>
              <w:pStyle w:val="11"/>
              <w:spacing w:line="360" w:lineRule="auto"/>
              <w:ind w:firstLine="482" w:firstLineChars="20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特征因子环境质量现状</w:t>
            </w:r>
          </w:p>
          <w:p>
            <w:pPr>
              <w:pStyle w:val="5"/>
              <w:numPr>
                <w:ilvl w:val="0"/>
                <w:numId w:val="1"/>
              </w:numPr>
              <w:ind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现状监测</w:t>
            </w:r>
          </w:p>
          <w:p>
            <w:pPr>
              <w:pStyle w:val="5"/>
              <w:numPr>
                <w:ilvl w:val="255"/>
                <w:numId w:val="0"/>
              </w:numPr>
              <w:ind w:firstLine="482"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w:t>
            </w:r>
            <w:r>
              <w:rPr>
                <w:rFonts w:hint="default" w:ascii="Times New Roman" w:hAnsi="Times New Roman" w:eastAsia="宋体" w:cs="Times New Roman"/>
                <w:color w:val="000000" w:themeColor="text1"/>
                <w:sz w:val="24"/>
                <w:szCs w:val="24"/>
                <w14:textFill>
                  <w14:solidFill>
                    <w14:schemeClr w14:val="tx1"/>
                  </w14:solidFill>
                </w14:textFill>
              </w:rPr>
              <w:t>TVOC</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spacing w:line="360" w:lineRule="auto"/>
              <w:ind w:firstLine="480" w:firstLineChars="200"/>
              <w:jc w:val="both"/>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w:t>
            </w:r>
            <w:r>
              <w:rPr>
                <w:rFonts w:hint="default" w:ascii="Times New Roman" w:hAnsi="Times New Roman" w:eastAsia="宋体" w:cs="Times New Roman"/>
                <w:color w:val="000000" w:themeColor="text1"/>
                <w:sz w:val="24"/>
                <w:szCs w:val="24"/>
                <w14:textFill>
                  <w14:solidFill>
                    <w14:schemeClr w14:val="tx1"/>
                  </w14:solidFill>
                </w14:textFill>
              </w:rPr>
              <w:t>TVOC</w:t>
            </w:r>
            <w:r>
              <w:rPr>
                <w:rFonts w:hint="default" w:ascii="Times New Roman" w:hAnsi="Times New Roman" w:eastAsia="宋体" w:cs="Times New Roman"/>
                <w:color w:val="000000" w:themeColor="text1"/>
                <w:sz w:val="24"/>
                <w14:textFill>
                  <w14:solidFill>
                    <w14:schemeClr w14:val="tx1"/>
                  </w14:solidFill>
                </w14:textFill>
              </w:rPr>
              <w:t>现状数据引用云南省晋宁工业园区二街基地内昆明众灿金属制品有限公司委托云南绿宸中检联环境食品检测服务有限公司对昆明众灿金属制品有限公司的厂址中心进行监测数据（见附件</w:t>
            </w:r>
            <w:r>
              <w:rPr>
                <w:rFonts w:hint="default" w:ascii="Times New Roman" w:hAnsi="Times New Roman" w:eastAsia="宋体"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昆明众灿金属制品有限公司军工光电产品金属部件表面加工车间建设项目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的</w:t>
            </w:r>
            <w:r>
              <w:rPr>
                <w:rFonts w:hint="default" w:ascii="Times New Roman" w:hAnsi="Times New Roman" w:eastAsia="宋体" w:cs="Times New Roman"/>
                <w:color w:val="000000" w:themeColor="text1"/>
                <w:sz w:val="24"/>
                <w:szCs w:val="24"/>
                <w14:textFill>
                  <w14:solidFill>
                    <w14:schemeClr w14:val="tx1"/>
                  </w14:solidFill>
                </w14:textFill>
              </w:rPr>
              <w:t>厂址中心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w:t>
            </w:r>
            <w:r>
              <w:rPr>
                <w:rFonts w:hint="default" w:ascii="Times New Roman" w:hAnsi="Times New Roman" w:eastAsia="宋体" w:cs="Times New Roman"/>
                <w:color w:val="000000" w:themeColor="text1"/>
                <w:sz w:val="24"/>
                <w:lang w:val="en-US" w:eastAsia="zh-CN"/>
                <w14:textFill>
                  <w14:solidFill>
                    <w14:schemeClr w14:val="tx1"/>
                  </w14:solidFill>
                </w14:textFill>
              </w:rPr>
              <w:t>点位</w:t>
            </w:r>
            <w:r>
              <w:rPr>
                <w:rFonts w:hint="default" w:ascii="Times New Roman" w:hAnsi="Times New Roman" w:eastAsia="宋体" w:cs="Times New Roman"/>
                <w:color w:val="000000" w:themeColor="text1"/>
                <w:sz w:val="24"/>
                <w14:textFill>
                  <w14:solidFill>
                    <w14:schemeClr w14:val="tx1"/>
                  </w14:solidFill>
                </w14:textFill>
              </w:rPr>
              <w:t>位于本项目东</w:t>
            </w:r>
            <w:r>
              <w:rPr>
                <w:rFonts w:hint="eastAsia" w:cs="Times New Roman"/>
                <w:color w:val="000000" w:themeColor="text1"/>
                <w:sz w:val="24"/>
                <w:lang w:val="en-US" w:eastAsia="zh-CN"/>
                <w14:textFill>
                  <w14:solidFill>
                    <w14:schemeClr w14:val="tx1"/>
                  </w14:solidFill>
                </w14:textFill>
              </w:rPr>
              <w:t>北</w:t>
            </w:r>
            <w:r>
              <w:rPr>
                <w:rFonts w:hint="default" w:ascii="Times New Roman" w:hAnsi="Times New Roman" w:eastAsia="宋体" w:cs="Times New Roman"/>
                <w:color w:val="000000" w:themeColor="text1"/>
                <w:sz w:val="24"/>
                <w14:textFill>
                  <w14:solidFill>
                    <w14:schemeClr w14:val="tx1"/>
                  </w14:solidFill>
                </w14:textFill>
              </w:rPr>
              <w:t>方向约</w:t>
            </w:r>
            <w:r>
              <w:rPr>
                <w:rFonts w:hint="eastAsia" w:cs="Times New Roman"/>
                <w:color w:val="000000" w:themeColor="text1"/>
                <w:sz w:val="24"/>
                <w:lang w:val="en-US" w:eastAsia="zh-CN"/>
                <w14:textFill>
                  <w14:solidFill>
                    <w14:schemeClr w14:val="tx1"/>
                  </w14:solidFill>
                </w14:textFill>
              </w:rPr>
              <w:t>1194</w:t>
            </w:r>
            <w:r>
              <w:rPr>
                <w:rFonts w:hint="default" w:ascii="Times New Roman" w:hAnsi="Times New Roman" w:eastAsia="宋体" w:cs="Times New Roman"/>
                <w:color w:val="000000" w:themeColor="text1"/>
                <w:sz w:val="24"/>
                <w14:textFill>
                  <w14:solidFill>
                    <w14:schemeClr w14:val="tx1"/>
                  </w14:solidFill>
                </w14:textFill>
              </w:rPr>
              <w:t>m</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同处于晋宁工业园区二街基地。根据《建设项目环境影响报告表编制技术指南》污染影响类（试行）</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大气环境质量现状数据可引用建设项目周边5千米范围内近3年的现有监测数据。因此</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引用二街基地《军工光电产品金属部件表面加工车间建设项目环境影响报告表》监测时间为2020年10月9日至10月16日中环境质量现状调查的监测数据可行。监测结果见表3-2</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3-3</w:t>
            </w:r>
            <w:r>
              <w:rPr>
                <w:rFonts w:hint="default" w:ascii="Times New Roman" w:hAnsi="Times New Roman" w:eastAsia="宋体" w:cs="Times New Roman"/>
                <w:color w:val="000000" w:themeColor="text1"/>
                <w:sz w:val="24"/>
                <w14:textFill>
                  <w14:solidFill>
                    <w14:schemeClr w14:val="tx1"/>
                  </w14:solidFill>
                </w14:textFill>
              </w:rPr>
              <w:t>。本项目区与引用项目位置见下图3-</w:t>
            </w:r>
            <w:r>
              <w:rPr>
                <w:rFonts w:hint="default" w:ascii="Times New Roman" w:hAnsi="Times New Roman" w:eastAsia="宋体" w:cs="Times New Roman"/>
                <w:color w:val="000000" w:themeColor="text1"/>
                <w:sz w:val="24"/>
                <w:lang w:val="en-US" w:eastAsia="zh-CN"/>
                <w14:textFill>
                  <w14:solidFill>
                    <w14:schemeClr w14:val="tx1"/>
                  </w14:solidFill>
                </w14:textFill>
              </w:rPr>
              <w:t>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监测时段：本次监测采样时间为2020年10月09日至10月15日</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连续监测7天；具体按照监测规范及《环境空气质量标准》（GB3095-2012）及有关规定和要求执行。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监测布点：根据《环境影响评价技术导则 大气环境》（HJ2.2-2018）</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本项目下风向无环境敏感点</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因此本次监测共布1个监测点</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位于项目区中心位置。</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w:t>
            </w:r>
            <w:r>
              <w:rPr>
                <w:rFonts w:hint="default" w:ascii="Times New Roman" w:hAnsi="Times New Roman" w:eastAsia="宋体" w:cs="Times New Roman"/>
                <w:color w:val="000000" w:themeColor="text1"/>
                <w:sz w:val="24"/>
                <w:szCs w:val="24"/>
                <w14:textFill>
                  <w14:solidFill>
                    <w14:schemeClr w14:val="tx1"/>
                  </w14:solidFill>
                </w14:textFill>
              </w:rPr>
              <w:t>TVOC</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监测结果及评价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14:textFill>
                  <w14:solidFill>
                    <w14:schemeClr w14:val="tx1"/>
                  </w14:solidFill>
                </w14:textFill>
              </w:rPr>
              <w:t>云南绿宸中检联环境食品检测服务有限公司采样监测结果</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本次评价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现状</w:t>
            </w:r>
            <w:r>
              <w:rPr>
                <w:rFonts w:hint="default" w:ascii="Times New Roman" w:hAnsi="Times New Roman" w:eastAsia="宋体" w:cs="Times New Roman"/>
                <w:color w:val="000000" w:themeColor="text1"/>
                <w:sz w:val="24"/>
                <w:szCs w:val="24"/>
                <w14:textFill>
                  <w14:solidFill>
                    <w14:schemeClr w14:val="tx1"/>
                  </w14:solidFill>
                </w14:textFill>
              </w:rPr>
              <w:t>监测结果及评价详见下表</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spacing w:line="360" w:lineRule="auto"/>
              <w:ind w:left="420" w:leftChars="200"/>
              <w:rPr>
                <w:rFonts w:hint="default" w:ascii="Times New Roman" w:hAnsi="Times New Roman" w:eastAsia="宋体" w:cs="Times New Roman"/>
                <w:b/>
                <w:bCs/>
                <w:color w:val="000000" w:themeColor="text1"/>
                <w:sz w:val="24"/>
                <w14:textFill>
                  <w14:solidFill>
                    <w14:schemeClr w14:val="tx1"/>
                  </w14:solidFill>
                </w14:textFill>
              </w:rPr>
            </w:pPr>
            <w:r>
              <w:rPr>
                <w:rFonts w:hint="eastAsia" w:cs="Times New Roman"/>
                <w:b/>
                <w:bCs/>
                <w:color w:val="000000" w:themeColor="text1"/>
                <w:sz w:val="24"/>
                <w:lang w:eastAsia="zh-CN"/>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2</w:t>
            </w:r>
            <w:r>
              <w:rPr>
                <w:rFonts w:hint="eastAsia"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检测结果统计</w:t>
            </w:r>
          </w:p>
          <w:p>
            <w:pPr>
              <w:spacing w:line="360" w:lineRule="auto"/>
              <w:ind w:left="420" w:left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项目所在区域环境空气质量现状</w:t>
            </w:r>
            <w:r>
              <w:rPr>
                <w:rFonts w:hint="default" w:ascii="Times New Roman" w:hAnsi="Times New Roman" w:eastAsia="宋体" w:cs="Times New Roman"/>
                <w:color w:val="000000" w:themeColor="text1"/>
                <w:sz w:val="24"/>
                <w:lang w:val="en-US" w:eastAsia="zh-CN"/>
                <w14:textFill>
                  <w14:solidFill>
                    <w14:schemeClr w14:val="tx1"/>
                  </w14:solidFill>
                </w14:textFill>
              </w:rPr>
              <w:t>检测</w:t>
            </w:r>
            <w:r>
              <w:rPr>
                <w:rFonts w:hint="default" w:ascii="Times New Roman" w:hAnsi="Times New Roman" w:eastAsia="宋体" w:cs="Times New Roman"/>
                <w:color w:val="000000" w:themeColor="text1"/>
                <w:sz w:val="24"/>
                <w14:textFill>
                  <w14:solidFill>
                    <w14:schemeClr w14:val="tx1"/>
                  </w14:solidFill>
                </w14:textFill>
              </w:rPr>
              <w:t>结果详见表3-</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w:t>
            </w:r>
          </w:p>
          <w:p>
            <w:pPr>
              <w:pStyle w:val="8"/>
              <w:ind w:firstLine="42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表3-</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TVOC环境空气</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检测</w:t>
            </w:r>
            <w:r>
              <w:rPr>
                <w:rFonts w:hint="default" w:ascii="Times New Roman" w:hAnsi="Times New Roman" w:eastAsia="宋体" w:cs="Times New Roman"/>
                <w:color w:val="000000" w:themeColor="text1"/>
                <w:sz w:val="21"/>
                <w:szCs w:val="21"/>
                <w14:textFill>
                  <w14:solidFill>
                    <w14:schemeClr w14:val="tx1"/>
                  </w14:solidFill>
                </w14:textFill>
              </w:rPr>
              <w:t>结果统计</w:t>
            </w:r>
            <w:r>
              <w:rPr>
                <w:rFonts w:hint="default" w:ascii="Times New Roman" w:hAnsi="Times New Roman" w:eastAsia="宋体" w:cs="Times New Roman"/>
                <w:color w:val="000000" w:themeColor="text1"/>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14:textFill>
                  <w14:solidFill>
                    <w14:schemeClr w14:val="tx1"/>
                  </w14:solidFill>
                </w14:textFill>
              </w:rPr>
              <w:t>单位：mg /m</w:t>
            </w:r>
            <w:r>
              <w:rPr>
                <w:rFonts w:hint="default" w:ascii="Times New Roman" w:hAnsi="Times New Roman" w:eastAsia="宋体" w:cs="Times New Roman"/>
                <w:color w:val="000000" w:themeColor="text1"/>
                <w:vertAlign w:val="superscript"/>
                <w14:textFill>
                  <w14:solidFill>
                    <w14:schemeClr w14:val="tx1"/>
                  </w14:solidFill>
                </w14:textFill>
              </w:rPr>
              <w:t>3</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2448"/>
              <w:gridCol w:w="2127"/>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exact"/>
                <w:jc w:val="center"/>
              </w:trPr>
              <w:tc>
                <w:tcPr>
                  <w:tcW w:w="1788" w:type="dxa"/>
                  <w:vMerge w:val="restart"/>
                  <w:vAlign w:val="center"/>
                </w:tcPr>
                <w:p>
                  <w:pPr>
                    <w:pStyle w:val="49"/>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监测点</w:t>
                  </w:r>
                </w:p>
              </w:tc>
              <w:tc>
                <w:tcPr>
                  <w:tcW w:w="4605" w:type="dxa"/>
                  <w:gridSpan w:val="2"/>
                  <w:vMerge w:val="restart"/>
                  <w:vAlign w:val="center"/>
                </w:tcPr>
                <w:p>
                  <w:pPr>
                    <w:pStyle w:val="49"/>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监测时间</w:t>
                  </w:r>
                </w:p>
              </w:tc>
              <w:tc>
                <w:tcPr>
                  <w:tcW w:w="2035" w:type="dxa"/>
                  <w:vAlign w:val="center"/>
                </w:tcPr>
                <w:p>
                  <w:pPr>
                    <w:pStyle w:val="49"/>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污染物浓度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exact"/>
                <w:jc w:val="center"/>
              </w:trPr>
              <w:tc>
                <w:tcPr>
                  <w:tcW w:w="1788" w:type="dxa"/>
                  <w:vMerge w:val="continue"/>
                  <w:vAlign w:val="center"/>
                </w:tcPr>
                <w:p>
                  <w:pPr>
                    <w:pStyle w:val="49"/>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4605" w:type="dxa"/>
                  <w:gridSpan w:val="2"/>
                  <w:vMerge w:val="continue"/>
                  <w:vAlign w:val="center"/>
                </w:tcPr>
                <w:p>
                  <w:pPr>
                    <w:pStyle w:val="49"/>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35" w:type="dxa"/>
                  <w:vAlign w:val="center"/>
                </w:tcPr>
                <w:p>
                  <w:pPr>
                    <w:pStyle w:val="49"/>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TVOC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788" w:type="dxa"/>
                  <w:vMerge w:val="restart"/>
                  <w:vAlign w:val="center"/>
                </w:tcPr>
                <w:p>
                  <w:pPr>
                    <w:pStyle w:val="49"/>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昆明众灿金属制品有限公司军工光电产品金属部件表面加工车间建设项目厂址中心</w:t>
                  </w:r>
                </w:p>
              </w:tc>
              <w:tc>
                <w:tcPr>
                  <w:tcW w:w="2464" w:type="dxa"/>
                  <w:vMerge w:val="restart"/>
                  <w:vAlign w:val="center"/>
                </w:tcPr>
                <w:p>
                  <w:pPr>
                    <w:pStyle w:val="49"/>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2020.10.09</w:t>
                  </w:r>
                </w:p>
              </w:tc>
              <w:tc>
                <w:tcPr>
                  <w:tcW w:w="2141" w:type="dxa"/>
                  <w:vMerge w:val="restart"/>
                  <w:vAlign w:val="center"/>
                </w:tcPr>
                <w:p>
                  <w:pPr>
                    <w:pStyle w:val="49"/>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HQ</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0198-1009-1#-1</w:t>
                  </w:r>
                </w:p>
                <w:p>
                  <w:pPr>
                    <w:pStyle w:val="49"/>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35" w:type="dxa"/>
                  <w:vAlign w:val="center"/>
                </w:tcPr>
                <w:p>
                  <w:pPr>
                    <w:pStyle w:val="49"/>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0.0265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exact"/>
                <w:jc w:val="center"/>
              </w:trPr>
              <w:tc>
                <w:tcPr>
                  <w:tcW w:w="1788" w:type="dxa"/>
                  <w:vMerge w:val="continue"/>
                  <w:vAlign w:val="center"/>
                </w:tcPr>
                <w:p>
                  <w:pPr>
                    <w:pStyle w:val="49"/>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464" w:type="dxa"/>
                  <w:vMerge w:val="restart"/>
                  <w:vAlign w:val="center"/>
                </w:tcPr>
                <w:p>
                  <w:pPr>
                    <w:pStyle w:val="49"/>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2020.10.10</w:t>
                  </w:r>
                </w:p>
              </w:tc>
              <w:tc>
                <w:tcPr>
                  <w:tcW w:w="2141" w:type="dxa"/>
                  <w:vMerge w:val="restart"/>
                  <w:vAlign w:val="center"/>
                </w:tcPr>
                <w:p>
                  <w:pPr>
                    <w:pStyle w:val="49"/>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HQ</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0198-1010-1#-1</w:t>
                  </w:r>
                </w:p>
                <w:p>
                  <w:pPr>
                    <w:pStyle w:val="49"/>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35" w:type="dxa"/>
                  <w:vAlign w:val="center"/>
                </w:tcPr>
                <w:p>
                  <w:pPr>
                    <w:pStyle w:val="49"/>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0.0264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788" w:type="dxa"/>
                  <w:vMerge w:val="continue"/>
                  <w:vAlign w:val="center"/>
                </w:tcPr>
                <w:p>
                  <w:pPr>
                    <w:pStyle w:val="49"/>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464" w:type="dxa"/>
                  <w:vMerge w:val="restart"/>
                  <w:vAlign w:val="center"/>
                </w:tcPr>
                <w:p>
                  <w:pPr>
                    <w:pStyle w:val="49"/>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2020.10.11</w:t>
                  </w:r>
                </w:p>
              </w:tc>
              <w:tc>
                <w:tcPr>
                  <w:tcW w:w="2141" w:type="dxa"/>
                  <w:vMerge w:val="restart"/>
                  <w:vAlign w:val="center"/>
                </w:tcPr>
                <w:p>
                  <w:pPr>
                    <w:pStyle w:val="49"/>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HQ</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0198-1011-1#-1</w:t>
                  </w:r>
                </w:p>
                <w:p>
                  <w:pPr>
                    <w:pStyle w:val="49"/>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35" w:type="dxa"/>
                  <w:vAlign w:val="center"/>
                </w:tcPr>
                <w:p>
                  <w:pPr>
                    <w:pStyle w:val="49"/>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0.0448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jc w:val="center"/>
              </w:trPr>
              <w:tc>
                <w:tcPr>
                  <w:tcW w:w="1788" w:type="dxa"/>
                  <w:vMerge w:val="continue"/>
                  <w:vAlign w:val="center"/>
                </w:tcPr>
                <w:p>
                  <w:pPr>
                    <w:pStyle w:val="49"/>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464" w:type="dxa"/>
                  <w:vMerge w:val="restart"/>
                  <w:vAlign w:val="center"/>
                </w:tcPr>
                <w:p>
                  <w:pPr>
                    <w:pStyle w:val="49"/>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2020.10.12</w:t>
                  </w:r>
                </w:p>
              </w:tc>
              <w:tc>
                <w:tcPr>
                  <w:tcW w:w="2141" w:type="dxa"/>
                  <w:vMerge w:val="restart"/>
                  <w:vAlign w:val="center"/>
                </w:tcPr>
                <w:p>
                  <w:pPr>
                    <w:pStyle w:val="49"/>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HQ</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0198-1012-1#-1</w:t>
                  </w:r>
                </w:p>
                <w:p>
                  <w:pPr>
                    <w:pStyle w:val="49"/>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35" w:type="dxa"/>
                  <w:vAlign w:val="center"/>
                </w:tcPr>
                <w:p>
                  <w:pPr>
                    <w:pStyle w:val="49"/>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0.0441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1788" w:type="dxa"/>
                  <w:vMerge w:val="continue"/>
                  <w:vAlign w:val="center"/>
                </w:tcPr>
                <w:p>
                  <w:pPr>
                    <w:pStyle w:val="49"/>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464" w:type="dxa"/>
                  <w:vMerge w:val="restart"/>
                  <w:vAlign w:val="center"/>
                </w:tcPr>
                <w:p>
                  <w:pPr>
                    <w:pStyle w:val="49"/>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2020.10.13</w:t>
                  </w:r>
                </w:p>
              </w:tc>
              <w:tc>
                <w:tcPr>
                  <w:tcW w:w="2141" w:type="dxa"/>
                  <w:vMerge w:val="restart"/>
                  <w:vAlign w:val="center"/>
                </w:tcPr>
                <w:p>
                  <w:pPr>
                    <w:pStyle w:val="49"/>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HQ</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0198-1013-1#-1</w:t>
                  </w:r>
                </w:p>
                <w:p>
                  <w:pPr>
                    <w:pStyle w:val="49"/>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35" w:type="dxa"/>
                  <w:vAlign w:val="center"/>
                </w:tcPr>
                <w:p>
                  <w:pPr>
                    <w:pStyle w:val="49"/>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0.0431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exact"/>
                <w:jc w:val="center"/>
              </w:trPr>
              <w:tc>
                <w:tcPr>
                  <w:tcW w:w="1788" w:type="dxa"/>
                  <w:vMerge w:val="continue"/>
                  <w:vAlign w:val="center"/>
                </w:tcPr>
                <w:p>
                  <w:pPr>
                    <w:pStyle w:val="49"/>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464" w:type="dxa"/>
                  <w:vMerge w:val="restart"/>
                  <w:vAlign w:val="center"/>
                </w:tcPr>
                <w:p>
                  <w:pPr>
                    <w:pStyle w:val="49"/>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2020.10.14</w:t>
                  </w:r>
                </w:p>
              </w:tc>
              <w:tc>
                <w:tcPr>
                  <w:tcW w:w="2141" w:type="dxa"/>
                  <w:vMerge w:val="restart"/>
                  <w:vAlign w:val="center"/>
                </w:tcPr>
                <w:p>
                  <w:pPr>
                    <w:pStyle w:val="49"/>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HQ</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0198-1014-1#-1</w:t>
                  </w:r>
                </w:p>
                <w:p>
                  <w:pPr>
                    <w:pStyle w:val="49"/>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35" w:type="dxa"/>
                  <w:vAlign w:val="center"/>
                </w:tcPr>
                <w:p>
                  <w:pPr>
                    <w:pStyle w:val="49"/>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0.0429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1788" w:type="dxa"/>
                  <w:vMerge w:val="continue"/>
                  <w:vAlign w:val="center"/>
                </w:tcPr>
                <w:p>
                  <w:pPr>
                    <w:pStyle w:val="49"/>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464" w:type="dxa"/>
                  <w:vAlign w:val="center"/>
                </w:tcPr>
                <w:p>
                  <w:pPr>
                    <w:pStyle w:val="49"/>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2020.10.15</w:t>
                  </w:r>
                </w:p>
              </w:tc>
              <w:tc>
                <w:tcPr>
                  <w:tcW w:w="2141" w:type="dxa"/>
                  <w:vAlign w:val="center"/>
                </w:tcPr>
                <w:p>
                  <w:pPr>
                    <w:pStyle w:val="49"/>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HQ</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0198-1015-1#-1</w:t>
                  </w:r>
                </w:p>
                <w:p>
                  <w:pPr>
                    <w:pStyle w:val="49"/>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35" w:type="dxa"/>
                  <w:vAlign w:val="center"/>
                </w:tcPr>
                <w:p>
                  <w:pPr>
                    <w:pStyle w:val="49"/>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0.0401</w:t>
                  </w:r>
                </w:p>
              </w:tc>
            </w:tr>
          </w:tbl>
          <w:p>
            <w:pPr>
              <w:pStyle w:val="49"/>
              <w:spacing w:beforeLines="0" w:afterLines="0" w:line="360" w:lineRule="auto"/>
              <w:jc w:val="both"/>
              <w:rPr>
                <w:rFonts w:hint="default" w:ascii="Times New Roman" w:hAnsi="Times New Roman" w:eastAsia="宋体" w:cs="Times New Roman"/>
                <w:color w:val="000000" w:themeColor="text1"/>
                <w:spacing w:val="-5"/>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5"/>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5"/>
                <w:sz w:val="24"/>
                <w14:textFill>
                  <w14:solidFill>
                    <w14:schemeClr w14:val="tx1"/>
                  </w14:solidFill>
                </w14:textFill>
              </w:rPr>
              <w:t>根据以上监测</w:t>
            </w:r>
            <w:r>
              <w:rPr>
                <w:rFonts w:hint="default" w:ascii="Times New Roman" w:hAnsi="Times New Roman" w:eastAsia="宋体" w:cs="Times New Roman"/>
                <w:color w:val="000000" w:themeColor="text1"/>
                <w:spacing w:val="-5"/>
                <w:sz w:val="24"/>
                <w:szCs w:val="24"/>
                <w14:textFill>
                  <w14:solidFill>
                    <w14:schemeClr w14:val="tx1"/>
                  </w14:solidFill>
                </w14:textFill>
              </w:rPr>
              <w:t>及评价结果可知。</w:t>
            </w:r>
            <w:r>
              <w:rPr>
                <w:rFonts w:hint="default" w:ascii="Times New Roman" w:hAnsi="Times New Roman" w:eastAsia="宋体" w:cs="Times New Roman"/>
                <w:color w:val="000000" w:themeColor="text1"/>
                <w:sz w:val="24"/>
                <w:szCs w:val="24"/>
                <w14:textFill>
                  <w14:solidFill>
                    <w14:schemeClr w14:val="tx1"/>
                  </w14:solidFill>
                </w14:textFill>
              </w:rPr>
              <w:t>总挥发性有机物TVOC满足《环境影响评价技术导则 大气环境》（HJ2.2-2018）附录D表D.1中其他污染物空气质量浓度参考限值</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snapToGrid w:val="0"/>
              <w:spacing w:line="360" w:lineRule="auto"/>
              <w:rPr>
                <w:rFonts w:hint="default" w:ascii="Times New Roman" w:hAnsi="Times New Roman" w:eastAsia="宋体" w:cs="Times New Roman"/>
                <w:color w:val="000000" w:themeColor="text1"/>
                <w14:textFill>
                  <w14:solidFill>
                    <w14:schemeClr w14:val="tx1"/>
                  </w14:solidFill>
                </w14:textFill>
              </w:rPr>
            </w:pPr>
            <w:bookmarkStart w:id="16" w:name="_Toc32428"/>
            <w:bookmarkStart w:id="17" w:name="_Toc19974"/>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5320665" cy="4091940"/>
                  <wp:effectExtent l="0" t="0" r="13335" b="3810"/>
                  <wp:docPr id="11" name="图片 11" descr="43b90224e77875c1b97a9a68e2c1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3b90224e77875c1b97a9a68e2c1ee0"/>
                          <pic:cNvPicPr>
                            <a:picLocks noChangeAspect="1"/>
                          </pic:cNvPicPr>
                        </pic:nvPicPr>
                        <pic:blipFill>
                          <a:blip r:embed="rId17"/>
                          <a:stretch>
                            <a:fillRect/>
                          </a:stretch>
                        </pic:blipFill>
                        <pic:spPr>
                          <a:xfrm>
                            <a:off x="0" y="0"/>
                            <a:ext cx="5320665" cy="4091940"/>
                          </a:xfrm>
                          <a:prstGeom prst="rect">
                            <a:avLst/>
                          </a:prstGeom>
                        </pic:spPr>
                      </pic:pic>
                    </a:graphicData>
                  </a:graphic>
                </wp:inline>
              </w:drawing>
            </w:r>
            <w:r>
              <w:rPr>
                <w:rFonts w:hint="default" w:ascii="Times New Roman" w:hAnsi="Times New Roman" w:eastAsia="宋体" w:cs="Times New Roman"/>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913765</wp:posOffset>
                      </wp:positionH>
                      <wp:positionV relativeFrom="paragraph">
                        <wp:posOffset>521335</wp:posOffset>
                      </wp:positionV>
                      <wp:extent cx="1362075" cy="24447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362075" cy="323850"/>
                              </a:xfrm>
                              <a:prstGeom prst="rect">
                                <a:avLst/>
                              </a:prstGeom>
                              <a:noFill/>
                              <a:ln w="6350">
                                <a:noFill/>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71.95pt;margin-top:41.05pt;height:19.25pt;width:107.25pt;z-index:251659264;mso-width-relative:page;mso-height-relative:page;" filled="f" stroked="f" coordsize="21600,21600" o:gfxdata="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Y42JO1QAAAAoBAAAPAAAAAAAAAAEAIAAAACIAAABk&#10;cnMvZG93bnJldi54bWxQSwECFAAUAAAACACHTuJAmifdbkICAAB2BAAADgAAAAAAAAABACAAAAAk&#10;AQAAZHJzL2Uyb0RvYy54bWxQSwUGAAAAAAYABgBZAQAA2AUAAAAA&#10;">
                      <v:fill on="f" focussize="0,0"/>
                      <v:stroke on="f" weight="0.5pt"/>
                      <v:imagedata o:title=""/>
                      <o:lock v:ext="edit" aspectratio="f"/>
                      <v:textbox style="mso-fit-shape-to-text:t;">
                        <w:txbxContent>
                          <w:p/>
                        </w:txbxContent>
                      </v:textbox>
                    </v:shape>
                  </w:pict>
                </mc:Fallback>
              </mc:AlternateContent>
            </w:r>
          </w:p>
          <w:p>
            <w:pPr>
              <w:pStyle w:val="2"/>
              <w:adjustRightInd w:val="0"/>
              <w:snapToGrid w:val="0"/>
              <w:ind w:firstLine="422"/>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图3-</w:t>
            </w:r>
            <w:r>
              <w:rPr>
                <w:rFonts w:hint="eastAsia" w:ascii="Times New Roman" w:hAnsi="Times New Roman"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14:textFill>
                  <w14:solidFill>
                    <w14:schemeClr w14:val="tx1"/>
                  </w14:solidFill>
                </w14:textFill>
              </w:rPr>
              <w:t>与引用项目位置关系图</w:t>
            </w:r>
          </w:p>
          <w:p>
            <w:pPr>
              <w:pStyle w:val="4"/>
              <w:ind w:firstLine="482"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3、地表水环境质量现状</w:t>
            </w:r>
            <w:bookmarkEnd w:id="16"/>
            <w:bookmarkEnd w:id="17"/>
          </w:p>
          <w:p>
            <w:pPr>
              <w:adjustRightInd w:val="0"/>
              <w:snapToGrid w:val="0"/>
              <w:spacing w:line="360" w:lineRule="auto"/>
              <w:ind w:firstLine="452"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pacing w:val="-7"/>
                <w:sz w:val="24"/>
                <w14:textFill>
                  <w14:solidFill>
                    <w14:schemeClr w14:val="tx1"/>
                  </w14:solidFill>
                </w14:textFill>
              </w:rPr>
              <w:t>评价区域主要地表水体为西面</w:t>
            </w:r>
            <w:r>
              <w:rPr>
                <w:rFonts w:hint="eastAsia" w:cs="Times New Roman"/>
                <w:color w:val="000000" w:themeColor="text1"/>
                <w:spacing w:val="-7"/>
                <w:sz w:val="24"/>
                <w:lang w:val="en-US" w:eastAsia="zh-CN"/>
                <w14:textFill>
                  <w14:solidFill>
                    <w14:schemeClr w14:val="tx1"/>
                  </w14:solidFill>
                </w14:textFill>
              </w:rPr>
              <w:t>379</w:t>
            </w:r>
            <w:r>
              <w:rPr>
                <w:rFonts w:hint="default" w:ascii="Times New Roman" w:hAnsi="Times New Roman" w:eastAsia="宋体" w:cs="Times New Roman"/>
                <w:color w:val="000000" w:themeColor="text1"/>
                <w:spacing w:val="-7"/>
                <w:sz w:val="24"/>
                <w14:textFill>
                  <w14:solidFill>
                    <w14:schemeClr w14:val="tx1"/>
                  </w14:solidFill>
                </w14:textFill>
              </w:rPr>
              <w:t>米的</w:t>
            </w:r>
            <w:r>
              <w:rPr>
                <w:rFonts w:hint="default" w:ascii="Times New Roman" w:hAnsi="Times New Roman" w:eastAsia="宋体" w:cs="Times New Roman"/>
                <w:color w:val="000000" w:themeColor="text1"/>
                <w:sz w:val="24"/>
                <w14:textFill>
                  <w14:solidFill>
                    <w14:schemeClr w14:val="tx1"/>
                  </w14:solidFill>
                </w14:textFill>
              </w:rPr>
              <w:t>二街河</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二街河为鸣矣河支流。根据《云南省水功能区划（2014年修订）》</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“鸣矣河安宁工业、农业用水区：安宁市车木河水库坝址至螳螂川口段</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2030年规划水平年水质目标为Ⅳ类”。二街河未划定水功能区划</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按照支流水功能不低于干流的原则</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二街河水功能不低于IV类</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执行《地表水环境质量标准》（GB3838-2002）中IV类标准限值。</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zh-CN"/>
                <w14:textFill>
                  <w14:solidFill>
                    <w14:schemeClr w14:val="tx1"/>
                  </w14:solidFill>
                </w14:textFill>
              </w:rPr>
              <w:t>根据</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2021年度昆明市生态环境状况公报</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螳螂川一普渡河(滇池出湖河流)与2020年相比，普渡河桥断面(水质类别为Ⅲ类)、鸣矣河通仙桥断面(水质类别为V类)、富民大桥断面(水质类别为V类)和中滩闸门断面(水质类别为劣V类)水质类别均保持不变，温泉大桥断面水质类别由V类下降为劣V类。</w:t>
            </w:r>
          </w:p>
          <w:p>
            <w:pPr>
              <w:pStyle w:val="2"/>
              <w:adjustRightInd w:val="0"/>
              <w:snapToGrid w:val="0"/>
              <w:spacing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4、声环境质量现状</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本项目位于云南省昆明市晋宁工业园区二街基地</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根据《昆明市县级声环境功能区划分（2019-2029）》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东、</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南、</w:t>
            </w:r>
            <w:r>
              <w:rPr>
                <w:rFonts w:hint="default" w:ascii="Times New Roman" w:hAnsi="Times New Roman" w:eastAsia="宋体" w:cs="Times New Roman"/>
                <w:color w:val="000000" w:themeColor="text1"/>
                <w:sz w:val="24"/>
                <w:szCs w:val="24"/>
                <w14:textFill>
                  <w14:solidFill>
                    <w14:schemeClr w14:val="tx1"/>
                  </w14:solidFill>
                </w14:textFill>
              </w:rPr>
              <w:t>西、北侧厂界执行《</w:t>
            </w:r>
            <w:r>
              <w:rPr>
                <w:rFonts w:hint="default" w:ascii="Times New Roman" w:hAnsi="Times New Roman" w:eastAsia="宋体" w:cs="Times New Roman"/>
                <w:color w:val="000000" w:themeColor="text1"/>
                <w:kern w:val="32"/>
                <w:sz w:val="24"/>
                <w:szCs w:val="24"/>
                <w14:textFill>
                  <w14:solidFill>
                    <w14:schemeClr w14:val="tx1"/>
                  </w14:solidFill>
                </w14:textFill>
              </w:rPr>
              <w:t>声环境质量标准》中（</w:t>
            </w:r>
            <w:r>
              <w:rPr>
                <w:rFonts w:hint="default" w:ascii="Times New Roman" w:hAnsi="Times New Roman" w:eastAsia="宋体" w:cs="Times New Roman"/>
                <w:color w:val="000000" w:themeColor="text1"/>
                <w:sz w:val="24"/>
                <w:szCs w:val="24"/>
                <w14:textFill>
                  <w14:solidFill>
                    <w14:schemeClr w14:val="tx1"/>
                  </w14:solidFill>
                </w14:textFill>
              </w:rPr>
              <w:t>GB3096-2008</w:t>
            </w:r>
            <w:r>
              <w:rPr>
                <w:rFonts w:hint="default" w:ascii="Times New Roman" w:hAnsi="Times New Roman" w:eastAsia="宋体" w:cs="Times New Roman"/>
                <w:color w:val="000000" w:themeColor="text1"/>
                <w:kern w:val="32"/>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3类标准</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根据</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2021年度昆明市生态环境状况公报</w:t>
            </w:r>
            <w:r>
              <w:rPr>
                <w:rFonts w:hint="default" w:ascii="Times New Roman" w:hAnsi="Times New Roman" w:eastAsia="宋体" w:cs="Times New Roman"/>
                <w:color w:val="000000" w:themeColor="text1"/>
                <w:sz w:val="24"/>
                <w14:textFill>
                  <w14:solidFill>
                    <w14:schemeClr w14:val="tx1"/>
                  </w14:solidFill>
                </w14:textFill>
              </w:rPr>
              <w:t>》县(市)区区域环境声环境质量</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2021年，各县(市)区区域环境(昼间)噪声平均等效声级分别为</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东川区52.0分贝，安宁市49.9分贝、宜良县56.1分贝，石林县47.9分贝，禄劝县57.9分贝，嵩明县53.6分贝，富民县56.3分贝，晋宁区52.4分贝，寻甸县47.3分贝。根据区域环境噪声质量划分等级进行评价，总体水平在一级(好)和三级(一般)之间。与2020年相比，安宁市、宜良县、禄劝县、嵩明县、富民县、晋宁区的区域环境昼间噪声等效声级上升。近5年各县(市)区区域环境噪声环境质量保持平稳。</w:t>
            </w:r>
          </w:p>
          <w:p>
            <w:pPr>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本项目位于晋宁工业园区二街基地</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厂界外周边50米范围内不存在声环境保护目标。</w:t>
            </w:r>
          </w:p>
          <w:p>
            <w:pPr>
              <w:spacing w:line="360" w:lineRule="auto"/>
              <w:ind w:firstLine="482"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5、生态环境质量现状</w:t>
            </w:r>
          </w:p>
          <w:p>
            <w:pPr>
              <w:pStyle w:val="14"/>
              <w:spacing w:after="0" w:line="360" w:lineRule="auto"/>
              <w:ind w:left="0" w:leftChars="0" w:firstLine="480" w:firstLineChars="200"/>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项目区租用位于云南省昆明市晋宁工业园区二街基地</w:t>
            </w:r>
            <w:r>
              <w:rPr>
                <w:rFonts w:hint="default" w:ascii="Times New Roman" w:hAnsi="Times New Roman" w:eastAsia="宋体" w:cs="Times New Roman"/>
                <w:color w:val="000000" w:themeColor="text1"/>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14:textFill>
                  <w14:solidFill>
                    <w14:schemeClr w14:val="tx1"/>
                  </w14:solidFill>
                </w14:textFill>
              </w:rPr>
              <w:t>已建设的闲置厂房</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根据现场调查</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项目区域内植物仅有杂草</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地带性植被已不存在</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生物多样不丰富</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评价区内未发现有自然保护区和国家重点保护的珍稀濒危动植物。项目不涉及自然保护区、风景名胜区等生态敏感区及生态保护红线。</w:t>
            </w:r>
          </w:p>
          <w:p>
            <w:pPr>
              <w:spacing w:line="360" w:lineRule="auto"/>
              <w:ind w:firstLine="482"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6、电磁辐射</w:t>
            </w:r>
          </w:p>
          <w:p>
            <w:pPr>
              <w:spacing w:line="360" w:lineRule="auto"/>
              <w:ind w:firstLine="48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本项目不属于广播电台、差转台、电视塔台、卫星地球上行站、雷达等电磁辐射类项目</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故本项目未对电磁辐射现状开展监测与评价。</w:t>
            </w:r>
          </w:p>
          <w:p>
            <w:pPr>
              <w:spacing w:line="360" w:lineRule="auto"/>
              <w:ind w:firstLine="482"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7、地下水、土壤环境</w:t>
            </w:r>
          </w:p>
          <w:p>
            <w:pPr>
              <w:pStyle w:val="14"/>
              <w:spacing w:after="0" w:line="360" w:lineRule="auto"/>
              <w:ind w:left="0" w:leftChars="0" w:firstLine="480" w:firstLineChars="200"/>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本项目利用已有建筑</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不新增占地</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不建设构筑物</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不存在施工大面积开挖等破坏</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不存在土壤、地下水环境污染途径。故本项目未对项目区域开展地下水、土壤现场调查。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0" w:hRule="atLeast"/>
          <w:jc w:val="center"/>
        </w:trPr>
        <w:tc>
          <w:tcPr>
            <w:tcW w:w="458" w:type="dxa"/>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环境</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保护</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目标</w:t>
            </w:r>
          </w:p>
        </w:tc>
        <w:tc>
          <w:tcPr>
            <w:tcW w:w="8603" w:type="dxa"/>
            <w:vAlign w:val="center"/>
          </w:tcPr>
          <w:p>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本项目位于云南省</w:t>
            </w:r>
            <w:r>
              <w:rPr>
                <w:rFonts w:hint="default" w:ascii="Times New Roman" w:hAnsi="Times New Roman" w:eastAsia="宋体" w:cs="Times New Roman"/>
                <w:color w:val="000000" w:themeColor="text1"/>
                <w:sz w:val="24"/>
                <w14:textFill>
                  <w14:solidFill>
                    <w14:schemeClr w14:val="tx1"/>
                  </w14:solidFill>
                </w14:textFill>
              </w:rPr>
              <w:t>昆明市晋宁工业园区二街基地</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根据现场调查</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本项目500m</w:t>
            </w:r>
            <w:r>
              <w:rPr>
                <w:rFonts w:hint="default" w:ascii="Times New Roman" w:hAnsi="Times New Roman" w:eastAsia="宋体" w:cs="Times New Roman"/>
                <w:color w:val="000000" w:themeColor="text1"/>
                <w:sz w:val="24"/>
                <w:szCs w:val="24"/>
                <w14:textFill>
                  <w14:solidFill>
                    <w14:schemeClr w14:val="tx1"/>
                  </w14:solidFill>
                </w14:textFill>
              </w:rPr>
              <w:t>范围内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有</w:t>
            </w:r>
            <w:r>
              <w:rPr>
                <w:rFonts w:hint="default" w:ascii="Times New Roman" w:hAnsi="Times New Roman" w:eastAsia="宋体" w:cs="Times New Roman"/>
                <w:color w:val="000000" w:themeColor="text1"/>
                <w:sz w:val="24"/>
                <w:szCs w:val="24"/>
                <w14:textFill>
                  <w14:solidFill>
                    <w14:schemeClr w14:val="tx1"/>
                  </w14:solidFill>
                </w14:textFill>
              </w:rPr>
              <w:t>环境空气保护目标</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位于项目西南侧321m的</w:t>
            </w:r>
            <w:r>
              <w:rPr>
                <w:rFonts w:hint="default" w:ascii="Times New Roman" w:hAnsi="Times New Roman" w:eastAsia="宋体" w:cs="Times New Roman"/>
                <w:color w:val="000000" w:themeColor="text1"/>
                <w:spacing w:val="-6"/>
                <w:sz w:val="24"/>
                <w:szCs w:val="24"/>
                <w14:textFill>
                  <w14:solidFill>
                    <w14:schemeClr w14:val="tx1"/>
                  </w14:solidFill>
                </w14:textFill>
              </w:rPr>
              <w:t>甸头村</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50m范</w:t>
            </w:r>
            <w:r>
              <w:rPr>
                <w:rFonts w:hint="default" w:ascii="Times New Roman" w:hAnsi="Times New Roman" w:eastAsia="宋体" w:cs="Times New Roman"/>
                <w:color w:val="000000" w:themeColor="text1"/>
                <w:kern w:val="0"/>
                <w:sz w:val="24"/>
                <w14:textFill>
                  <w14:solidFill>
                    <w14:schemeClr w14:val="tx1"/>
                  </w14:solidFill>
                </w14:textFill>
              </w:rPr>
              <w:t>围内无声环境保护目标</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厂界外500m范围内无地下水集中式饮用水水源和热水、矿泉水、温泉等特殊地下水资源。</w:t>
            </w:r>
            <w:r>
              <w:rPr>
                <w:rFonts w:hint="default" w:ascii="Times New Roman" w:hAnsi="Times New Roman" w:eastAsia="宋体" w:cs="Times New Roman"/>
                <w:color w:val="000000" w:themeColor="text1"/>
                <w:sz w:val="24"/>
                <w14:textFill>
                  <w14:solidFill>
                    <w14:schemeClr w14:val="tx1"/>
                  </w14:solidFill>
                </w14:textFill>
              </w:rPr>
              <w:t>项目位于工业园区内</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无生态环境保护目标。具体见下表。</w:t>
            </w:r>
          </w:p>
          <w:p>
            <w:pPr>
              <w:keepNext w:val="0"/>
              <w:keepLines w:val="0"/>
              <w:pageBreakBefore w:val="0"/>
              <w:widowControl w:val="0"/>
              <w:kinsoku/>
              <w:wordWrap/>
              <w:overflowPunct/>
              <w:topLinePunct w:val="0"/>
              <w:autoSpaceDE/>
              <w:autoSpaceDN/>
              <w:bidi w:val="0"/>
              <w:adjustRightInd w:val="0"/>
              <w:snapToGrid w:val="0"/>
              <w:spacing w:line="240" w:lineRule="atLeast"/>
              <w:ind w:firstLine="1687" w:firstLineChars="800"/>
              <w:jc w:val="both"/>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表3-</w:t>
            </w:r>
            <w:r>
              <w:rPr>
                <w:rFonts w:hint="eastAsia"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项目建设区域主要环境保护目标一览表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611"/>
              <w:gridCol w:w="1124"/>
              <w:gridCol w:w="1459"/>
              <w:gridCol w:w="834"/>
              <w:gridCol w:w="2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046" w:type="dxa"/>
                  <w:vAlign w:val="center"/>
                </w:tcPr>
                <w:p>
                  <w:pPr>
                    <w:pStyle w:val="47"/>
                    <w:spacing w:before="31" w:after="31"/>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环境要素</w:t>
                  </w:r>
                </w:p>
              </w:tc>
              <w:tc>
                <w:tcPr>
                  <w:tcW w:w="1611" w:type="dxa"/>
                  <w:vAlign w:val="center"/>
                </w:tcPr>
                <w:p>
                  <w:pPr>
                    <w:pStyle w:val="47"/>
                    <w:spacing w:before="31" w:after="31"/>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保护目标</w:t>
                  </w:r>
                </w:p>
              </w:tc>
              <w:tc>
                <w:tcPr>
                  <w:tcW w:w="1124" w:type="dxa"/>
                  <w:vAlign w:val="center"/>
                </w:tcPr>
                <w:p>
                  <w:pPr>
                    <w:pStyle w:val="47"/>
                    <w:spacing w:before="31" w:after="31"/>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性质</w:t>
                  </w:r>
                </w:p>
              </w:tc>
              <w:tc>
                <w:tcPr>
                  <w:tcW w:w="1459" w:type="dxa"/>
                  <w:vAlign w:val="center"/>
                </w:tcPr>
                <w:p>
                  <w:pPr>
                    <w:pStyle w:val="47"/>
                    <w:spacing w:before="31" w:after="31"/>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与本项目距离</w:t>
                  </w:r>
                </w:p>
              </w:tc>
              <w:tc>
                <w:tcPr>
                  <w:tcW w:w="834" w:type="dxa"/>
                  <w:vAlign w:val="center"/>
                </w:tcPr>
                <w:p>
                  <w:pPr>
                    <w:pStyle w:val="47"/>
                    <w:spacing w:before="31" w:after="31"/>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方位</w:t>
                  </w:r>
                </w:p>
              </w:tc>
              <w:tc>
                <w:tcPr>
                  <w:tcW w:w="2301" w:type="dxa"/>
                  <w:vAlign w:val="center"/>
                </w:tcPr>
                <w:p>
                  <w:pPr>
                    <w:pStyle w:val="47"/>
                    <w:spacing w:before="31" w:after="31"/>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046" w:type="dxa"/>
                  <w:vAlign w:val="center"/>
                </w:tcPr>
                <w:p>
                  <w:pPr>
                    <w:pStyle w:val="47"/>
                    <w:spacing w:before="31" w:after="31"/>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水环境</w:t>
                  </w:r>
                </w:p>
              </w:tc>
              <w:tc>
                <w:tcPr>
                  <w:tcW w:w="1611" w:type="dxa"/>
                  <w:vAlign w:val="center"/>
                </w:tcPr>
                <w:p>
                  <w:pPr>
                    <w:pStyle w:val="47"/>
                    <w:spacing w:before="31" w:after="31"/>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二街河</w:t>
                  </w:r>
                </w:p>
              </w:tc>
              <w:tc>
                <w:tcPr>
                  <w:tcW w:w="1124" w:type="dxa"/>
                  <w:vAlign w:val="center"/>
                </w:tcPr>
                <w:p>
                  <w:pPr>
                    <w:pStyle w:val="47"/>
                    <w:spacing w:before="31" w:after="31"/>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河流</w:t>
                  </w:r>
                </w:p>
              </w:tc>
              <w:tc>
                <w:tcPr>
                  <w:tcW w:w="1459" w:type="dxa"/>
                  <w:vAlign w:val="center"/>
                </w:tcPr>
                <w:p>
                  <w:pPr>
                    <w:pStyle w:val="47"/>
                    <w:spacing w:before="31" w:after="31"/>
                    <w:rPr>
                      <w:rFonts w:hint="default" w:ascii="Times New Roman" w:hAnsi="Times New Roman" w:eastAsia="宋体" w:cs="Times New Roman"/>
                      <w:b w:val="0"/>
                      <w:color w:val="000000" w:themeColor="text1"/>
                      <w14:textFill>
                        <w14:solidFill>
                          <w14:schemeClr w14:val="tx1"/>
                        </w14:solidFill>
                      </w14:textFill>
                    </w:rPr>
                  </w:pPr>
                  <w:r>
                    <w:rPr>
                      <w:rFonts w:hint="eastAsia" w:cs="Times New Roman"/>
                      <w:b w:val="0"/>
                      <w:bCs w:val="0"/>
                      <w:color w:val="000000" w:themeColor="text1"/>
                      <w:spacing w:val="-7"/>
                      <w:lang w:val="en-US" w:eastAsia="zh-CN"/>
                      <w14:textFill>
                        <w14:solidFill>
                          <w14:schemeClr w14:val="tx1"/>
                        </w14:solidFill>
                      </w14:textFill>
                    </w:rPr>
                    <w:t>379</w:t>
                  </w:r>
                  <w:r>
                    <w:rPr>
                      <w:rFonts w:hint="default" w:ascii="Times New Roman" w:hAnsi="Times New Roman" w:eastAsia="宋体" w:cs="Times New Roman"/>
                      <w:b w:val="0"/>
                      <w:color w:val="000000" w:themeColor="text1"/>
                      <w14:textFill>
                        <w14:solidFill>
                          <w14:schemeClr w14:val="tx1"/>
                        </w14:solidFill>
                      </w14:textFill>
                    </w:rPr>
                    <w:t>m</w:t>
                  </w:r>
                </w:p>
              </w:tc>
              <w:tc>
                <w:tcPr>
                  <w:tcW w:w="834" w:type="dxa"/>
                  <w:vAlign w:val="center"/>
                </w:tcPr>
                <w:p>
                  <w:pPr>
                    <w:pStyle w:val="47"/>
                    <w:spacing w:before="31" w:after="31"/>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西面</w:t>
                  </w:r>
                </w:p>
              </w:tc>
              <w:tc>
                <w:tcPr>
                  <w:tcW w:w="2301" w:type="dxa"/>
                  <w:vAlign w:val="center"/>
                </w:tcPr>
                <w:p>
                  <w:pPr>
                    <w:pStyle w:val="47"/>
                    <w:spacing w:before="31" w:after="31"/>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《地表水环境质量标准》（GB3838-2002）Ⅳ类水标准</w:t>
                  </w:r>
                </w:p>
              </w:tc>
            </w:tr>
          </w:tbl>
          <w:p>
            <w:pPr>
              <w:pStyle w:val="45"/>
              <w:spacing w:line="360" w:lineRule="auto"/>
              <w:ind w:firstLine="480" w:firstLineChars="200"/>
              <w:jc w:val="left"/>
              <w:rPr>
                <w:rFonts w:hint="default" w:ascii="Times New Roman" w:hAnsi="Times New Roman" w:eastAsia="宋体" w:cs="Times New Roman"/>
                <w:color w:val="000000" w:themeColor="text1"/>
                <w:sz w:val="24"/>
                <w:lang w:val="en-US"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58" w:type="dxa"/>
            <w:tcMar>
              <w:left w:w="28" w:type="dxa"/>
              <w:right w:w="28" w:type="dxa"/>
            </w:tcMar>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污染</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物排</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放控</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制标</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准</w:t>
            </w:r>
          </w:p>
        </w:tc>
        <w:tc>
          <w:tcPr>
            <w:tcW w:w="8603" w:type="dxa"/>
          </w:tcPr>
          <w:p>
            <w:pPr>
              <w:spacing w:line="360" w:lineRule="auto"/>
              <w:ind w:firstLine="482"/>
              <w:contextualSpacing/>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（一）施工期：</w:t>
            </w:r>
          </w:p>
          <w:p>
            <w:pPr>
              <w:pStyle w:val="4"/>
              <w:numPr>
                <w:ilvl w:val="0"/>
                <w:numId w:val="2"/>
              </w:numPr>
              <w:ind w:left="-62" w:firstLine="482"/>
              <w:rPr>
                <w:rFonts w:hint="default" w:ascii="Times New Roman" w:hAnsi="Times New Roman" w:eastAsia="宋体" w:cs="Times New Roman"/>
                <w:color w:val="000000" w:themeColor="text1"/>
                <w:sz w:val="24"/>
                <w:szCs w:val="24"/>
                <w14:textFill>
                  <w14:solidFill>
                    <w14:schemeClr w14:val="tx1"/>
                  </w14:solidFill>
                </w14:textFill>
              </w:rPr>
            </w:pPr>
            <w:bookmarkStart w:id="18" w:name="_Toc10206"/>
            <w:r>
              <w:rPr>
                <w:rFonts w:hint="default" w:ascii="Times New Roman" w:hAnsi="Times New Roman" w:eastAsia="宋体" w:cs="Times New Roman"/>
                <w:color w:val="000000" w:themeColor="text1"/>
                <w:sz w:val="24"/>
                <w:szCs w:val="24"/>
                <w14:textFill>
                  <w14:solidFill>
                    <w14:schemeClr w14:val="tx1"/>
                  </w14:solidFill>
                </w14:textFill>
              </w:rPr>
              <w:t>噪声</w:t>
            </w:r>
            <w:bookmarkEnd w:id="18"/>
          </w:p>
          <w:p>
            <w:pPr>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施工期产生噪声有机器调试噪声和车辆运输噪声</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该部分噪声排放执行GB12523－2011《建筑施工场界环境噪声排放标准》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见表3-</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w:t>
            </w:r>
          </w:p>
          <w:p>
            <w:pPr>
              <w:pStyle w:val="8"/>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表3-</w:t>
            </w:r>
            <w:r>
              <w:rPr>
                <w:rFonts w:hint="eastAsia" w:cs="Times New Roman"/>
                <w:color w:val="000000" w:themeColor="text1"/>
                <w:lang w:val="en-US" w:eastAsia="zh-CN"/>
                <w14:textFill>
                  <w14:solidFill>
                    <w14:schemeClr w14:val="tx1"/>
                  </w14:solidFill>
                </w14:textFill>
              </w:rPr>
              <w:t xml:space="preserve">4 </w:t>
            </w:r>
            <w:r>
              <w:rPr>
                <w:rFonts w:hint="default" w:ascii="Times New Roman" w:hAnsi="Times New Roman" w:eastAsia="宋体" w:cs="Times New Roman"/>
                <w:color w:val="000000" w:themeColor="text1"/>
                <w14:textFill>
                  <w14:solidFill>
                    <w14:schemeClr w14:val="tx1"/>
                  </w14:solidFill>
                </w14:textFill>
              </w:rPr>
              <w:t xml:space="preserve">  GB12523－2011《建筑施工场界环境噪声排放标准》</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9"/>
              <w:gridCol w:w="4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329" w:type="dxa"/>
                  <w:vAlign w:val="center"/>
                </w:tcPr>
                <w:p>
                  <w:pPr>
                    <w:pStyle w:val="49"/>
                    <w:spacing w:beforeLines="0" w:afterLines="0" w:line="240" w:lineRule="auto"/>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昼间</w:t>
                  </w:r>
                </w:p>
              </w:tc>
              <w:tc>
                <w:tcPr>
                  <w:tcW w:w="4730" w:type="dxa"/>
                  <w:vAlign w:val="center"/>
                </w:tcPr>
                <w:p>
                  <w:pPr>
                    <w:pStyle w:val="49"/>
                    <w:spacing w:beforeLines="0" w:afterLines="0" w:line="240" w:lineRule="auto"/>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29" w:type="dxa"/>
                  <w:vAlign w:val="center"/>
                </w:tcPr>
                <w:p>
                  <w:pPr>
                    <w:pStyle w:val="49"/>
                    <w:spacing w:before="24" w:after="24"/>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70</w:t>
                  </w:r>
                </w:p>
              </w:tc>
              <w:tc>
                <w:tcPr>
                  <w:tcW w:w="4730" w:type="dxa"/>
                  <w:vAlign w:val="center"/>
                </w:tcPr>
                <w:p>
                  <w:pPr>
                    <w:pStyle w:val="49"/>
                    <w:spacing w:before="24" w:after="24"/>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55</w:t>
                  </w:r>
                </w:p>
              </w:tc>
            </w:tr>
          </w:tbl>
          <w:p>
            <w:pPr>
              <w:pStyle w:val="4"/>
              <w:pageBreakBefore w:val="0"/>
              <w:ind w:firstLine="482"/>
              <w:rPr>
                <w:rFonts w:hint="default" w:ascii="Times New Roman" w:hAnsi="Times New Roman" w:eastAsia="宋体" w:cs="Times New Roman"/>
                <w:color w:val="000000" w:themeColor="text1"/>
                <w:sz w:val="24"/>
                <w:szCs w:val="24"/>
                <w14:textFill>
                  <w14:solidFill>
                    <w14:schemeClr w14:val="tx1"/>
                  </w14:solidFill>
                </w14:textFill>
              </w:rPr>
            </w:pPr>
            <w:bookmarkStart w:id="19" w:name="_Toc6968"/>
            <w:r>
              <w:rPr>
                <w:rFonts w:hint="default" w:ascii="Times New Roman" w:hAnsi="Times New Roman" w:eastAsia="宋体" w:cs="Times New Roman"/>
                <w:color w:val="000000" w:themeColor="text1"/>
                <w:sz w:val="24"/>
                <w:szCs w:val="24"/>
                <w14:textFill>
                  <w14:solidFill>
                    <w14:schemeClr w14:val="tx1"/>
                  </w14:solidFill>
                </w14:textFill>
              </w:rPr>
              <w:t>2、废气</w:t>
            </w:r>
            <w:bookmarkEnd w:id="19"/>
          </w:p>
          <w:p>
            <w:pPr>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施工期产生废气有道路扬尘、汽车尾气</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该部分废气均为无组织排放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执行GB16297-1996《大气污染物综合排放标准》无组织排放监控浓度限制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标准值见表3-</w:t>
            </w:r>
            <w:r>
              <w:rPr>
                <w:rFonts w:hint="eastAsia"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w:t>
            </w:r>
          </w:p>
          <w:p>
            <w:pPr>
              <w:pStyle w:val="8"/>
              <w:rPr>
                <w:rFonts w:hint="default" w:ascii="Times New Roman" w:hAnsi="Times New Roman" w:eastAsia="宋体" w:cs="Times New Roman"/>
                <w:bCs w:val="0"/>
                <w:color w:val="000000" w:themeColor="text1"/>
                <w14:textFill>
                  <w14:solidFill>
                    <w14:schemeClr w14:val="tx1"/>
                  </w14:solidFill>
                </w14:textFill>
              </w:rPr>
            </w:pPr>
            <w:r>
              <w:rPr>
                <w:rFonts w:hint="default" w:ascii="Times New Roman" w:hAnsi="Times New Roman" w:eastAsia="宋体" w:cs="Times New Roman"/>
                <w:bCs w:val="0"/>
                <w:color w:val="000000" w:themeColor="text1"/>
                <w14:textFill>
                  <w14:solidFill>
                    <w14:schemeClr w14:val="tx1"/>
                  </w14:solidFill>
                </w14:textFill>
              </w:rPr>
              <w:t>表3-</w:t>
            </w:r>
            <w:r>
              <w:rPr>
                <w:rFonts w:hint="eastAsia" w:cs="Times New Roman"/>
                <w:bCs w:val="0"/>
                <w:color w:val="000000" w:themeColor="text1"/>
                <w:lang w:val="en-US" w:eastAsia="zh-CN"/>
                <w14:textFill>
                  <w14:solidFill>
                    <w14:schemeClr w14:val="tx1"/>
                  </w14:solidFill>
                </w14:textFill>
              </w:rPr>
              <w:t>5</w:t>
            </w:r>
            <w:r>
              <w:rPr>
                <w:rFonts w:hint="default" w:ascii="Times New Roman" w:hAnsi="Times New Roman" w:eastAsia="宋体" w:cs="Times New Roman"/>
                <w:bCs w:val="0"/>
                <w:color w:val="000000" w:themeColor="text1"/>
                <w14:textFill>
                  <w14:solidFill>
                    <w14:schemeClr w14:val="tx1"/>
                  </w14:solidFill>
                </w14:textFill>
              </w:rPr>
              <w:t>施工期大气污染物排放限值  单位：mg/m³</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886"/>
              <w:gridCol w:w="1603"/>
              <w:gridCol w:w="3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999" w:type="dxa"/>
                  <w:vAlign w:val="center"/>
                </w:tcPr>
                <w:p>
                  <w:pPr>
                    <w:pStyle w:val="49"/>
                    <w:spacing w:beforeLines="0" w:afterLines="0" w:line="240" w:lineRule="auto"/>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序号</w:t>
                  </w:r>
                </w:p>
              </w:tc>
              <w:tc>
                <w:tcPr>
                  <w:tcW w:w="3489" w:type="dxa"/>
                  <w:gridSpan w:val="2"/>
                  <w:vAlign w:val="center"/>
                </w:tcPr>
                <w:p>
                  <w:pPr>
                    <w:pStyle w:val="49"/>
                    <w:spacing w:beforeLines="0" w:afterLines="0" w:line="240" w:lineRule="auto"/>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污染物因子</w:t>
                  </w:r>
                </w:p>
              </w:tc>
              <w:tc>
                <w:tcPr>
                  <w:tcW w:w="3893" w:type="dxa"/>
                  <w:vAlign w:val="center"/>
                </w:tcPr>
                <w:p>
                  <w:pPr>
                    <w:pStyle w:val="49"/>
                    <w:spacing w:beforeLines="0" w:afterLines="0" w:line="240" w:lineRule="auto"/>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无组织排放监控浓度限制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99" w:type="dxa"/>
                  <w:vAlign w:val="center"/>
                </w:tcPr>
                <w:p>
                  <w:pPr>
                    <w:pStyle w:val="49"/>
                    <w:spacing w:beforeLines="0" w:afterLines="0" w:line="240" w:lineRule="atLeast"/>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1</w:t>
                  </w:r>
                </w:p>
              </w:tc>
              <w:tc>
                <w:tcPr>
                  <w:tcW w:w="1886" w:type="dxa"/>
                  <w:vAlign w:val="center"/>
                </w:tcPr>
                <w:p>
                  <w:pPr>
                    <w:pStyle w:val="49"/>
                    <w:spacing w:beforeLines="0" w:afterLines="0" w:line="240" w:lineRule="atLeast"/>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施工期周界</w:t>
                  </w:r>
                </w:p>
              </w:tc>
              <w:tc>
                <w:tcPr>
                  <w:tcW w:w="1603" w:type="dxa"/>
                  <w:vAlign w:val="center"/>
                </w:tcPr>
                <w:p>
                  <w:pPr>
                    <w:pStyle w:val="49"/>
                    <w:spacing w:beforeLines="0" w:afterLines="0" w:line="240" w:lineRule="atLeast"/>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颗粒物</w:t>
                  </w:r>
                </w:p>
              </w:tc>
              <w:tc>
                <w:tcPr>
                  <w:tcW w:w="3893" w:type="dxa"/>
                  <w:vAlign w:val="center"/>
                </w:tcPr>
                <w:p>
                  <w:pPr>
                    <w:pStyle w:val="49"/>
                    <w:spacing w:beforeLines="0" w:afterLines="0" w:line="240" w:lineRule="atLeast"/>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≤1.0</w:t>
                  </w:r>
                </w:p>
              </w:tc>
            </w:tr>
          </w:tbl>
          <w:p>
            <w:pPr>
              <w:pStyle w:val="50"/>
              <w:numPr>
                <w:ilvl w:val="0"/>
                <w:numId w:val="3"/>
              </w:numPr>
              <w:ind w:firstLine="482"/>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运营期：</w:t>
            </w:r>
          </w:p>
          <w:p>
            <w:pPr>
              <w:pStyle w:val="50"/>
              <w:ind w:firstLine="482"/>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1、废气</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排气筒DA001</w:t>
            </w:r>
            <w:r>
              <w:rPr>
                <w:rFonts w:hint="default" w:ascii="Times New Roman" w:hAnsi="Times New Roman" w:eastAsia="宋体" w:cs="Times New Roman"/>
                <w:color w:val="000000" w:themeColor="text1"/>
                <w:sz w:val="24"/>
                <w14:textFill>
                  <w14:solidFill>
                    <w14:schemeClr w14:val="tx1"/>
                  </w14:solidFill>
                </w14:textFill>
              </w:rPr>
              <w:t>挥发性有机物（以非甲烷总烃计）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排放浓度执行《大气污染物综合排放标准》（GB16297-1996）。标准值见表</w:t>
            </w:r>
            <w:r>
              <w:rPr>
                <w:rFonts w:hint="default" w:ascii="Times New Roman" w:hAnsi="Times New Roman" w:eastAsia="宋体" w:cs="Times New Roman"/>
                <w:color w:val="000000" w:themeColor="text1"/>
                <w:sz w:val="24"/>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lang w:eastAsia="zh-CN"/>
                <w14:textFill>
                  <w14:solidFill>
                    <w14:schemeClr w14:val="tx1"/>
                  </w14:solidFill>
                </w14:textFill>
              </w:rPr>
              <w:t>。</w:t>
            </w:r>
          </w:p>
          <w:p>
            <w:pPr>
              <w:adjustRightInd/>
              <w:snapToGrid/>
              <w:spacing w:line="360" w:lineRule="auto"/>
              <w:ind w:firstLine="480" w:firstLineChars="200"/>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项目周界无组织挥发性有机物（以非甲烷总烃计）执行《大气污染物综合排放标准》（GB16297-1996）表2中无组织排放标准限值要求；</w:t>
            </w:r>
            <w:r>
              <w:rPr>
                <w:rFonts w:hint="default" w:ascii="Times New Roman" w:hAnsi="Times New Roman" w:eastAsia="宋体" w:cs="Times New Roman"/>
                <w:color w:val="000000" w:themeColor="text1"/>
                <w:sz w:val="24"/>
                <w14:textFill>
                  <w14:solidFill>
                    <w14:schemeClr w14:val="tx1"/>
                  </w14:solidFill>
                </w14:textFill>
              </w:rPr>
              <w:t>标准值见表3-</w:t>
            </w:r>
            <w:r>
              <w:rPr>
                <w:rFonts w:hint="eastAsia"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lang w:eastAsia="zh-CN"/>
                <w14:textFill>
                  <w14:solidFill>
                    <w14:schemeClr w14:val="tx1"/>
                  </w14:solidFill>
                </w14:textFill>
              </w:rPr>
              <w:t>。</w:t>
            </w:r>
          </w:p>
          <w:p>
            <w:pPr>
              <w:pStyle w:val="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val="0"/>
                <w:color w:val="000000" w:themeColor="text1"/>
                <w14:textFill>
                  <w14:solidFill>
                    <w14:schemeClr w14:val="tx1"/>
                  </w14:solidFill>
                </w14:textFill>
              </w:rPr>
              <w:t>表 3-</w:t>
            </w:r>
            <w:r>
              <w:rPr>
                <w:rFonts w:hint="eastAsia" w:cs="Times New Roman"/>
                <w:bCs w:val="0"/>
                <w:color w:val="000000" w:themeColor="text1"/>
                <w:lang w:val="en-US" w:eastAsia="zh-CN"/>
                <w14:textFill>
                  <w14:solidFill>
                    <w14:schemeClr w14:val="tx1"/>
                  </w14:solidFill>
                </w14:textFill>
              </w:rPr>
              <w:t>6</w:t>
            </w:r>
            <w:r>
              <w:rPr>
                <w:rFonts w:hint="default" w:ascii="Times New Roman" w:hAnsi="Times New Roman" w:eastAsia="宋体" w:cs="Times New Roman"/>
                <w:color w:val="000000" w:themeColor="text1"/>
                <w14:textFill>
                  <w14:solidFill>
                    <w14:schemeClr w14:val="tx1"/>
                  </w14:solidFill>
                </w14:textFill>
              </w:rPr>
              <w:t>废气排放标准</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213"/>
              <w:gridCol w:w="1411"/>
              <w:gridCol w:w="1715"/>
              <w:gridCol w:w="1900"/>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restart"/>
                  <w:tcBorders>
                    <w:top w:val="single" w:color="auto" w:sz="4" w:space="0"/>
                    <w:left w:val="single" w:color="auto" w:sz="4" w:space="0"/>
                    <w:bottom w:val="single" w:color="auto" w:sz="4" w:space="0"/>
                    <w:right w:val="single" w:color="auto" w:sz="4" w:space="0"/>
                  </w:tcBorders>
                  <w:vAlign w:val="center"/>
                </w:tcPr>
                <w:p>
                  <w:pPr>
                    <w:pStyle w:val="8"/>
                    <w:widowControl/>
                    <w:rPr>
                      <w:rFonts w:hint="default" w:ascii="Times New Roman" w:hAnsi="Times New Roman" w:eastAsia="宋体" w:cs="Times New Roman"/>
                      <w:b w:val="0"/>
                      <w:bCs w:val="0"/>
                      <w:color w:val="000000" w:themeColor="text1"/>
                      <w:kern w:val="2"/>
                      <w14:textFill>
                        <w14:solidFill>
                          <w14:schemeClr w14:val="tx1"/>
                        </w14:solidFill>
                      </w14:textFill>
                    </w:rPr>
                  </w:pPr>
                  <w:r>
                    <w:rPr>
                      <w:rFonts w:hint="default" w:ascii="Times New Roman" w:hAnsi="Times New Roman" w:eastAsia="宋体" w:cs="Times New Roman"/>
                      <w:b w:val="0"/>
                      <w:bCs w:val="0"/>
                      <w:color w:val="000000" w:themeColor="text1"/>
                      <w:kern w:val="2"/>
                      <w14:textFill>
                        <w14:solidFill>
                          <w14:schemeClr w14:val="tx1"/>
                        </w14:solidFill>
                      </w14:textFill>
                    </w:rPr>
                    <w:t>污染物名称</w:t>
                  </w:r>
                </w:p>
              </w:tc>
              <w:tc>
                <w:tcPr>
                  <w:tcW w:w="2590" w:type="pct"/>
                  <w:gridSpan w:val="3"/>
                  <w:tcBorders>
                    <w:top w:val="single" w:color="auto" w:sz="4" w:space="0"/>
                    <w:left w:val="single" w:color="auto" w:sz="4" w:space="0"/>
                    <w:bottom w:val="single" w:color="auto" w:sz="4" w:space="0"/>
                    <w:right w:val="single" w:color="auto" w:sz="4" w:space="0"/>
                  </w:tcBorders>
                  <w:vAlign w:val="center"/>
                </w:tcPr>
                <w:p>
                  <w:pPr>
                    <w:pStyle w:val="8"/>
                    <w:widowControl/>
                    <w:rPr>
                      <w:rFonts w:hint="default" w:ascii="Times New Roman" w:hAnsi="Times New Roman" w:eastAsia="宋体" w:cs="Times New Roman"/>
                      <w:b w:val="0"/>
                      <w:bCs w:val="0"/>
                      <w:color w:val="000000" w:themeColor="text1"/>
                      <w:kern w:val="2"/>
                      <w14:textFill>
                        <w14:solidFill>
                          <w14:schemeClr w14:val="tx1"/>
                        </w14:solidFill>
                      </w14:textFill>
                    </w:rPr>
                  </w:pPr>
                  <w:r>
                    <w:rPr>
                      <w:rStyle w:val="34"/>
                      <w:rFonts w:hint="default" w:ascii="Times New Roman" w:hAnsi="Times New Roman" w:eastAsia="宋体" w:cs="Times New Roman"/>
                      <w:b w:val="0"/>
                      <w:bCs w:val="0"/>
                      <w:color w:val="000000" w:themeColor="text1"/>
                      <w:szCs w:val="20"/>
                      <w14:textFill>
                        <w14:solidFill>
                          <w14:schemeClr w14:val="tx1"/>
                        </w14:solidFill>
                      </w14:textFill>
                    </w:rPr>
                    <w:t>有组织</w:t>
                  </w:r>
                  <w:r>
                    <w:rPr>
                      <w:rFonts w:hint="default" w:ascii="Times New Roman" w:hAnsi="Times New Roman" w:eastAsia="宋体" w:cs="Times New Roman"/>
                      <w:b w:val="0"/>
                      <w:bCs w:val="0"/>
                      <w:color w:val="000000" w:themeColor="text1"/>
                      <w:kern w:val="2"/>
                      <w14:textFill>
                        <w14:solidFill>
                          <w14:schemeClr w14:val="tx1"/>
                        </w14:solidFill>
                      </w14:textFill>
                    </w:rPr>
                    <w:t>监控浓度限值以及排放速率</w:t>
                  </w:r>
                </w:p>
              </w:tc>
              <w:tc>
                <w:tcPr>
                  <w:tcW w:w="1841" w:type="pct"/>
                  <w:gridSpan w:val="2"/>
                  <w:vMerge w:val="restart"/>
                  <w:tcBorders>
                    <w:top w:val="single" w:color="auto" w:sz="4" w:space="0"/>
                    <w:left w:val="single" w:color="auto" w:sz="4" w:space="0"/>
                    <w:right w:val="single" w:color="auto" w:sz="4" w:space="0"/>
                  </w:tcBorders>
                  <w:vAlign w:val="center"/>
                </w:tcPr>
                <w:p>
                  <w:pPr>
                    <w:pStyle w:val="8"/>
                    <w:widowControl/>
                    <w:rPr>
                      <w:rFonts w:hint="default" w:ascii="Times New Roman" w:hAnsi="Times New Roman" w:eastAsia="宋体" w:cs="Times New Roman"/>
                      <w:b w:val="0"/>
                      <w:bCs w:val="0"/>
                      <w:color w:val="000000" w:themeColor="text1"/>
                      <w:kern w:val="2"/>
                      <w14:textFill>
                        <w14:solidFill>
                          <w14:schemeClr w14:val="tx1"/>
                        </w14:solidFill>
                      </w14:textFill>
                    </w:rPr>
                  </w:pPr>
                  <w:r>
                    <w:rPr>
                      <w:rFonts w:hint="default" w:ascii="Times New Roman" w:hAnsi="Times New Roman" w:eastAsia="宋体" w:cs="Times New Roman"/>
                      <w:b w:val="0"/>
                      <w:bCs w:val="0"/>
                      <w:color w:val="000000" w:themeColor="text1"/>
                      <w:kern w:val="2"/>
                      <w14:textFill>
                        <w14:solidFill>
                          <w14:schemeClr w14:val="tx1"/>
                        </w14:solidFill>
                      </w14:textFill>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continue"/>
                  <w:tcBorders>
                    <w:left w:val="single" w:color="auto" w:sz="4" w:space="0"/>
                    <w:right w:val="single" w:color="auto" w:sz="4" w:space="0"/>
                  </w:tcBorders>
                  <w:vAlign w:val="center"/>
                </w:tcPr>
                <w:p>
                  <w:pPr>
                    <w:pStyle w:val="8"/>
                    <w:widowControl/>
                    <w:rPr>
                      <w:rFonts w:hint="default" w:ascii="Times New Roman" w:hAnsi="Times New Roman" w:eastAsia="宋体" w:cs="Times New Roman"/>
                      <w:b w:val="0"/>
                      <w:bCs w:val="0"/>
                      <w:color w:val="000000" w:themeColor="text1"/>
                      <w:kern w:val="2"/>
                      <w14:textFill>
                        <w14:solidFill>
                          <w14:schemeClr w14:val="tx1"/>
                        </w14:solidFill>
                      </w14:textFill>
                    </w:rPr>
                  </w:pPr>
                </w:p>
              </w:tc>
              <w:tc>
                <w:tcPr>
                  <w:tcW w:w="724" w:type="pct"/>
                  <w:vMerge w:val="restart"/>
                  <w:tcBorders>
                    <w:left w:val="single" w:color="auto" w:sz="4" w:space="0"/>
                    <w:right w:val="single" w:color="auto" w:sz="4" w:space="0"/>
                  </w:tcBorders>
                  <w:vAlign w:val="center"/>
                </w:tcPr>
                <w:p>
                  <w:pPr>
                    <w:pStyle w:val="8"/>
                    <w:widowControl/>
                    <w:rPr>
                      <w:rFonts w:hint="default" w:ascii="Times New Roman" w:hAnsi="Times New Roman" w:eastAsia="宋体" w:cs="Times New Roman"/>
                      <w:b w:val="0"/>
                      <w:bCs w:val="0"/>
                      <w:color w:val="000000" w:themeColor="text1"/>
                      <w:kern w:val="2"/>
                      <w14:textFill>
                        <w14:solidFill>
                          <w14:schemeClr w14:val="tx1"/>
                        </w14:solidFill>
                      </w14:textFill>
                    </w:rPr>
                  </w:pPr>
                  <w:r>
                    <w:rPr>
                      <w:rFonts w:hint="default" w:ascii="Times New Roman" w:hAnsi="Times New Roman" w:eastAsia="宋体" w:cs="Times New Roman"/>
                      <w:b w:val="0"/>
                      <w:bCs w:val="0"/>
                      <w:color w:val="000000" w:themeColor="text1"/>
                      <w:kern w:val="2"/>
                      <w14:textFill>
                        <w14:solidFill>
                          <w14:schemeClr w14:val="tx1"/>
                        </w14:solidFill>
                      </w14:textFill>
                    </w:rPr>
                    <w:t>最高允许</w:t>
                  </w:r>
                </w:p>
                <w:p>
                  <w:pPr>
                    <w:pStyle w:val="8"/>
                    <w:widowControl/>
                    <w:rPr>
                      <w:rFonts w:hint="default" w:ascii="Times New Roman" w:hAnsi="Times New Roman" w:eastAsia="宋体" w:cs="Times New Roman"/>
                      <w:b w:val="0"/>
                      <w:bCs w:val="0"/>
                      <w:color w:val="000000" w:themeColor="text1"/>
                      <w:kern w:val="2"/>
                      <w14:textFill>
                        <w14:solidFill>
                          <w14:schemeClr w14:val="tx1"/>
                        </w14:solidFill>
                      </w14:textFill>
                    </w:rPr>
                  </w:pPr>
                  <w:r>
                    <w:rPr>
                      <w:rFonts w:hint="default" w:ascii="Times New Roman" w:hAnsi="Times New Roman" w:eastAsia="宋体" w:cs="Times New Roman"/>
                      <w:b w:val="0"/>
                      <w:bCs w:val="0"/>
                      <w:color w:val="000000" w:themeColor="text1"/>
                      <w:kern w:val="2"/>
                      <w14:textFill>
                        <w14:solidFill>
                          <w14:schemeClr w14:val="tx1"/>
                        </w14:solidFill>
                      </w14:textFill>
                    </w:rPr>
                    <w:t>排放浓度（mg/m</w:t>
                  </w:r>
                  <w:r>
                    <w:rPr>
                      <w:rFonts w:hint="default" w:ascii="Times New Roman" w:hAnsi="Times New Roman" w:eastAsia="宋体" w:cs="Times New Roman"/>
                      <w:b w:val="0"/>
                      <w:bCs w:val="0"/>
                      <w:color w:val="000000" w:themeColor="text1"/>
                      <w:kern w:val="2"/>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2"/>
                      <w14:textFill>
                        <w14:solidFill>
                          <w14:schemeClr w14:val="tx1"/>
                        </w14:solidFill>
                      </w14:textFill>
                    </w:rPr>
                    <w:t>）</w:t>
                  </w:r>
                </w:p>
              </w:tc>
              <w:tc>
                <w:tcPr>
                  <w:tcW w:w="1866" w:type="pct"/>
                  <w:gridSpan w:val="2"/>
                  <w:tcBorders>
                    <w:top w:val="single" w:color="auto" w:sz="4" w:space="0"/>
                    <w:left w:val="single" w:color="auto" w:sz="4" w:space="0"/>
                    <w:bottom w:val="single" w:color="auto" w:sz="4" w:space="0"/>
                    <w:right w:val="single" w:color="auto" w:sz="4" w:space="0"/>
                  </w:tcBorders>
                  <w:vAlign w:val="center"/>
                </w:tcPr>
                <w:p>
                  <w:pPr>
                    <w:pStyle w:val="8"/>
                    <w:widowControl/>
                    <w:rPr>
                      <w:rFonts w:hint="default" w:ascii="Times New Roman" w:hAnsi="Times New Roman" w:eastAsia="宋体" w:cs="Times New Roman"/>
                      <w:b w:val="0"/>
                      <w:bCs w:val="0"/>
                      <w:color w:val="000000" w:themeColor="text1"/>
                      <w:kern w:val="2"/>
                      <w14:textFill>
                        <w14:solidFill>
                          <w14:schemeClr w14:val="tx1"/>
                        </w14:solidFill>
                      </w14:textFill>
                    </w:rPr>
                  </w:pPr>
                  <w:r>
                    <w:rPr>
                      <w:rFonts w:hint="default" w:ascii="Times New Roman" w:hAnsi="Times New Roman" w:eastAsia="宋体" w:cs="Times New Roman"/>
                      <w:b w:val="0"/>
                      <w:bCs w:val="0"/>
                      <w:color w:val="000000" w:themeColor="text1"/>
                      <w:kern w:val="2"/>
                      <w14:textFill>
                        <w14:solidFill>
                          <w14:schemeClr w14:val="tx1"/>
                        </w14:solidFill>
                      </w14:textFill>
                    </w:rPr>
                    <w:t>最高允许排放速率</w:t>
                  </w:r>
                </w:p>
              </w:tc>
              <w:tc>
                <w:tcPr>
                  <w:tcW w:w="1841" w:type="pct"/>
                  <w:gridSpan w:val="2"/>
                  <w:vMerge w:val="continue"/>
                  <w:tcBorders>
                    <w:left w:val="single" w:color="auto" w:sz="4" w:space="0"/>
                    <w:bottom w:val="single" w:color="auto" w:sz="4" w:space="0"/>
                    <w:right w:val="single" w:color="auto" w:sz="4" w:space="0"/>
                  </w:tcBorders>
                  <w:vAlign w:val="center"/>
                </w:tcPr>
                <w:p>
                  <w:pPr>
                    <w:pStyle w:val="8"/>
                    <w:widowControl/>
                    <w:rPr>
                      <w:rFonts w:hint="default" w:ascii="Times New Roman" w:hAnsi="Times New Roman" w:eastAsia="宋体" w:cs="Times New Roman"/>
                      <w:b w:val="0"/>
                      <w:bCs w:val="0"/>
                      <w:color w:val="000000" w:themeColor="text1"/>
                      <w:kern w:val="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567" w:type="pct"/>
                  <w:vMerge w:val="continue"/>
                  <w:tcBorders>
                    <w:top w:val="single" w:color="auto" w:sz="4" w:space="0"/>
                    <w:left w:val="single" w:color="auto" w:sz="4" w:space="0"/>
                    <w:bottom w:val="single" w:color="auto" w:sz="4" w:space="0"/>
                    <w:right w:val="single" w:color="auto" w:sz="4" w:space="0"/>
                  </w:tcBorders>
                  <w:vAlign w:val="center"/>
                </w:tcPr>
                <w:p>
                  <w:pPr>
                    <w:pStyle w:val="49"/>
                    <w:spacing w:before="24" w:after="24"/>
                    <w:rPr>
                      <w:rFonts w:hint="default" w:ascii="Times New Roman" w:hAnsi="Times New Roman" w:eastAsia="宋体" w:cs="Times New Roman"/>
                      <w:b w:val="0"/>
                      <w:bCs w:val="0"/>
                      <w:color w:val="000000" w:themeColor="text1"/>
                      <w:kern w:val="2"/>
                      <w:szCs w:val="21"/>
                      <w14:textFill>
                        <w14:solidFill>
                          <w14:schemeClr w14:val="tx1"/>
                        </w14:solidFill>
                      </w14:textFill>
                    </w:rPr>
                  </w:pPr>
                </w:p>
              </w:tc>
              <w:tc>
                <w:tcPr>
                  <w:tcW w:w="724" w:type="pct"/>
                  <w:vMerge w:val="continue"/>
                  <w:tcBorders>
                    <w:left w:val="single" w:color="auto" w:sz="4" w:space="0"/>
                    <w:bottom w:val="single" w:color="auto" w:sz="4" w:space="0"/>
                    <w:right w:val="single" w:color="auto" w:sz="4" w:space="0"/>
                  </w:tcBorders>
                  <w:vAlign w:val="center"/>
                </w:tcPr>
                <w:p>
                  <w:pPr>
                    <w:pStyle w:val="49"/>
                    <w:spacing w:before="24" w:after="24"/>
                    <w:rPr>
                      <w:rFonts w:hint="default" w:ascii="Times New Roman" w:hAnsi="Times New Roman" w:eastAsia="宋体" w:cs="Times New Roman"/>
                      <w:b w:val="0"/>
                      <w:bCs w:val="0"/>
                      <w:color w:val="000000" w:themeColor="text1"/>
                      <w:kern w:val="2"/>
                      <w:szCs w:val="21"/>
                      <w14:textFill>
                        <w14:solidFill>
                          <w14:schemeClr w14:val="tx1"/>
                        </w14:solidFill>
                      </w14:textFill>
                    </w:rPr>
                  </w:pPr>
                </w:p>
              </w:tc>
              <w:tc>
                <w:tcPr>
                  <w:tcW w:w="842" w:type="pct"/>
                  <w:tcBorders>
                    <w:top w:val="single" w:color="auto" w:sz="4" w:space="0"/>
                    <w:left w:val="single" w:color="auto" w:sz="4" w:space="0"/>
                    <w:right w:val="single" w:color="auto" w:sz="4" w:space="0"/>
                  </w:tcBorders>
                  <w:vAlign w:val="center"/>
                </w:tcPr>
                <w:p>
                  <w:pPr>
                    <w:pStyle w:val="49"/>
                    <w:spacing w:before="24" w:after="24"/>
                    <w:rPr>
                      <w:rFonts w:hint="default" w:ascii="Times New Roman" w:hAnsi="Times New Roman" w:eastAsia="宋体" w:cs="Times New Roman"/>
                      <w:b w:val="0"/>
                      <w:bCs w:val="0"/>
                      <w:color w:val="000000" w:themeColor="text1"/>
                      <w:kern w:val="2"/>
                      <w:szCs w:val="21"/>
                      <w14:textFill>
                        <w14:solidFill>
                          <w14:schemeClr w14:val="tx1"/>
                        </w14:solidFill>
                      </w14:textFill>
                    </w:rPr>
                  </w:pPr>
                  <w:r>
                    <w:rPr>
                      <w:rFonts w:hint="default" w:ascii="Times New Roman" w:hAnsi="Times New Roman" w:eastAsia="宋体" w:cs="Times New Roman"/>
                      <w:b w:val="0"/>
                      <w:bCs w:val="0"/>
                      <w:color w:val="000000" w:themeColor="text1"/>
                      <w:kern w:val="2"/>
                      <w:szCs w:val="21"/>
                      <w14:textFill>
                        <w14:solidFill>
                          <w14:schemeClr w14:val="tx1"/>
                        </w14:solidFill>
                      </w14:textFill>
                    </w:rPr>
                    <w:t>排气筒高度（15m）</w:t>
                  </w:r>
                </w:p>
              </w:tc>
              <w:tc>
                <w:tcPr>
                  <w:tcW w:w="1024" w:type="pct"/>
                  <w:tcBorders>
                    <w:top w:val="single" w:color="auto" w:sz="4" w:space="0"/>
                    <w:left w:val="single" w:color="auto" w:sz="4" w:space="0"/>
                    <w:right w:val="single" w:color="auto" w:sz="4" w:space="0"/>
                  </w:tcBorders>
                  <w:vAlign w:val="center"/>
                </w:tcPr>
                <w:p>
                  <w:pPr>
                    <w:pStyle w:val="8"/>
                    <w:widowControl/>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kern w:val="2"/>
                      <w:szCs w:val="21"/>
                      <w14:textFill>
                        <w14:solidFill>
                          <w14:schemeClr w14:val="tx1"/>
                        </w14:solidFill>
                      </w14:textFill>
                    </w:rPr>
                    <w:t>二级标准（kg/h）</w:t>
                  </w:r>
                </w:p>
              </w:tc>
              <w:tc>
                <w:tcPr>
                  <w:tcW w:w="1134" w:type="pct"/>
                  <w:tcBorders>
                    <w:top w:val="single" w:color="auto" w:sz="4" w:space="0"/>
                    <w:left w:val="single" w:color="auto" w:sz="4" w:space="0"/>
                    <w:right w:val="single" w:color="auto" w:sz="4" w:space="0"/>
                  </w:tcBorders>
                  <w:vAlign w:val="center"/>
                </w:tcPr>
                <w:p>
                  <w:pPr>
                    <w:pStyle w:val="8"/>
                    <w:widowControl/>
                    <w:rPr>
                      <w:rFonts w:hint="default" w:ascii="Times New Roman" w:hAnsi="Times New Roman" w:eastAsia="宋体"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监控点</w:t>
                  </w:r>
                </w:p>
              </w:tc>
              <w:tc>
                <w:tcPr>
                  <w:tcW w:w="706" w:type="pct"/>
                  <w:tcBorders>
                    <w:top w:val="single" w:color="auto" w:sz="4" w:space="0"/>
                    <w:left w:val="single" w:color="auto" w:sz="4" w:space="0"/>
                    <w:right w:val="single" w:color="auto" w:sz="4" w:space="0"/>
                  </w:tcBorders>
                  <w:vAlign w:val="center"/>
                </w:tcPr>
                <w:p>
                  <w:pPr>
                    <w:pStyle w:val="49"/>
                    <w:spacing w:before="24" w:after="24"/>
                    <w:rPr>
                      <w:rFonts w:hint="default" w:ascii="Times New Roman" w:hAnsi="Times New Roman" w:eastAsia="宋体"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kern w:val="2"/>
                      <w:szCs w:val="21"/>
                      <w14:textFill>
                        <w14:solidFill>
                          <w14:schemeClr w14:val="tx1"/>
                        </w14:solidFill>
                      </w14:textFill>
                    </w:rPr>
                    <w:t>浓度限值（mg/m</w:t>
                  </w:r>
                  <w:r>
                    <w:rPr>
                      <w:rFonts w:hint="default" w:ascii="Times New Roman" w:hAnsi="Times New Roman" w:eastAsia="宋体" w:cs="Times New Roman"/>
                      <w:b w:val="0"/>
                      <w:bCs w:val="0"/>
                      <w:color w:val="000000" w:themeColor="text1"/>
                      <w:kern w:val="2"/>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2"/>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tcBorders>
                    <w:top w:val="single" w:color="auto" w:sz="4" w:space="0"/>
                    <w:left w:val="single" w:color="auto" w:sz="4" w:space="0"/>
                    <w:bottom w:val="single" w:color="auto" w:sz="4" w:space="0"/>
                    <w:right w:val="single" w:color="auto" w:sz="4" w:space="0"/>
                  </w:tcBorders>
                  <w:vAlign w:val="center"/>
                </w:tcPr>
                <w:p>
                  <w:pPr>
                    <w:pStyle w:val="49"/>
                    <w:spacing w:before="24" w:after="24"/>
                    <w:rPr>
                      <w:rFonts w:hint="default" w:ascii="Times New Roman" w:hAnsi="Times New Roman" w:eastAsia="宋体" w:cs="Times New Roman"/>
                      <w:b w:val="0"/>
                      <w:bCs w:val="0"/>
                      <w:color w:val="000000" w:themeColor="text1"/>
                      <w:kern w:val="2"/>
                      <w:szCs w:val="21"/>
                      <w14:textFill>
                        <w14:solidFill>
                          <w14:schemeClr w14:val="tx1"/>
                        </w14:solidFill>
                      </w14:textFill>
                    </w:rPr>
                  </w:pPr>
                  <w:r>
                    <w:rPr>
                      <w:rFonts w:hint="default" w:ascii="Times New Roman" w:hAnsi="Times New Roman" w:eastAsia="宋体" w:cs="Times New Roman"/>
                      <w:b w:val="0"/>
                      <w:bCs w:val="0"/>
                      <w:color w:val="000000" w:themeColor="text1"/>
                      <w:kern w:val="2"/>
                      <w:szCs w:val="21"/>
                      <w14:textFill>
                        <w14:solidFill>
                          <w14:schemeClr w14:val="tx1"/>
                        </w14:solidFill>
                      </w14:textFill>
                    </w:rPr>
                    <w:t>非甲烷总烃</w:t>
                  </w:r>
                </w:p>
              </w:tc>
              <w:tc>
                <w:tcPr>
                  <w:tcW w:w="724" w:type="pct"/>
                  <w:tcBorders>
                    <w:top w:val="single" w:color="auto" w:sz="4" w:space="0"/>
                    <w:left w:val="single" w:color="auto" w:sz="4" w:space="0"/>
                    <w:bottom w:val="single" w:color="auto" w:sz="4" w:space="0"/>
                    <w:right w:val="single" w:color="auto" w:sz="4" w:space="0"/>
                  </w:tcBorders>
                  <w:vAlign w:val="center"/>
                </w:tcPr>
                <w:p>
                  <w:pPr>
                    <w:pStyle w:val="49"/>
                    <w:spacing w:before="24" w:after="24"/>
                    <w:rPr>
                      <w:rFonts w:hint="default" w:ascii="Times New Roman" w:hAnsi="Times New Roman" w:eastAsia="宋体" w:cs="Times New Roman"/>
                      <w:b w:val="0"/>
                      <w:bCs w:val="0"/>
                      <w:color w:val="000000" w:themeColor="text1"/>
                      <w:kern w:val="2"/>
                      <w:szCs w:val="21"/>
                      <w14:textFill>
                        <w14:solidFill>
                          <w14:schemeClr w14:val="tx1"/>
                        </w14:solidFill>
                      </w14:textFill>
                    </w:rPr>
                  </w:pPr>
                  <w:r>
                    <w:rPr>
                      <w:rFonts w:hint="default" w:ascii="Times New Roman" w:hAnsi="Times New Roman" w:eastAsia="宋体" w:cs="Times New Roman"/>
                      <w:b w:val="0"/>
                      <w:bCs w:val="0"/>
                      <w:color w:val="000000" w:themeColor="text1"/>
                      <w:kern w:val="2"/>
                      <w:szCs w:val="21"/>
                      <w14:textFill>
                        <w14:solidFill>
                          <w14:schemeClr w14:val="tx1"/>
                        </w14:solidFill>
                      </w14:textFill>
                    </w:rPr>
                    <w:t>120</w:t>
                  </w:r>
                </w:p>
              </w:tc>
              <w:tc>
                <w:tcPr>
                  <w:tcW w:w="842" w:type="pct"/>
                  <w:tcBorders>
                    <w:top w:val="single" w:color="auto" w:sz="4" w:space="0"/>
                    <w:left w:val="single" w:color="auto" w:sz="4" w:space="0"/>
                    <w:bottom w:val="single" w:color="auto" w:sz="4" w:space="0"/>
                    <w:right w:val="single" w:color="auto" w:sz="4" w:space="0"/>
                  </w:tcBorders>
                  <w:vAlign w:val="center"/>
                </w:tcPr>
                <w:p>
                  <w:pPr>
                    <w:pStyle w:val="49"/>
                    <w:spacing w:before="24" w:after="24"/>
                    <w:rPr>
                      <w:rFonts w:hint="default" w:ascii="Times New Roman" w:hAnsi="Times New Roman" w:eastAsia="宋体" w:cs="Times New Roman"/>
                      <w:b w:val="0"/>
                      <w:bCs w:val="0"/>
                      <w:color w:val="000000" w:themeColor="text1"/>
                      <w:kern w:val="2"/>
                      <w:szCs w:val="21"/>
                      <w14:textFill>
                        <w14:solidFill>
                          <w14:schemeClr w14:val="tx1"/>
                        </w14:solidFill>
                      </w14:textFill>
                    </w:rPr>
                  </w:pPr>
                  <w:r>
                    <w:rPr>
                      <w:rFonts w:hint="default" w:ascii="Times New Roman" w:hAnsi="Times New Roman" w:eastAsia="宋体" w:cs="Times New Roman"/>
                      <w:b w:val="0"/>
                      <w:bCs w:val="0"/>
                      <w:color w:val="000000" w:themeColor="text1"/>
                      <w:kern w:val="2"/>
                      <w:szCs w:val="21"/>
                      <w14:textFill>
                        <w14:solidFill>
                          <w14:schemeClr w14:val="tx1"/>
                        </w14:solidFill>
                      </w14:textFill>
                    </w:rPr>
                    <w:t>15</w:t>
                  </w:r>
                </w:p>
              </w:tc>
              <w:tc>
                <w:tcPr>
                  <w:tcW w:w="1024" w:type="pct"/>
                  <w:tcBorders>
                    <w:top w:val="single" w:color="auto" w:sz="4" w:space="0"/>
                    <w:left w:val="single" w:color="auto" w:sz="4" w:space="0"/>
                    <w:bottom w:val="single" w:color="auto" w:sz="4" w:space="0"/>
                    <w:right w:val="single" w:color="auto" w:sz="4" w:space="0"/>
                  </w:tcBorders>
                  <w:vAlign w:val="center"/>
                </w:tcPr>
                <w:p>
                  <w:pPr>
                    <w:pStyle w:val="49"/>
                    <w:spacing w:before="24" w:after="24"/>
                    <w:rPr>
                      <w:rFonts w:hint="default" w:ascii="Times New Roman" w:hAnsi="Times New Roman" w:eastAsia="宋体" w:cs="Times New Roman"/>
                      <w:b w:val="0"/>
                      <w:bCs w:val="0"/>
                      <w:color w:val="000000" w:themeColor="text1"/>
                      <w:kern w:val="2"/>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Cs w:val="21"/>
                      <w14:textFill>
                        <w14:solidFill>
                          <w14:schemeClr w14:val="tx1"/>
                        </w14:solidFill>
                      </w14:textFill>
                    </w:rPr>
                    <w:t>10</w:t>
                  </w:r>
                </w:p>
              </w:tc>
              <w:tc>
                <w:tcPr>
                  <w:tcW w:w="1134" w:type="pct"/>
                  <w:tcBorders>
                    <w:top w:val="single" w:color="auto" w:sz="4" w:space="0"/>
                    <w:left w:val="single" w:color="auto" w:sz="4" w:space="0"/>
                    <w:bottom w:val="single" w:color="auto" w:sz="4" w:space="0"/>
                    <w:right w:val="single" w:color="auto" w:sz="4" w:space="0"/>
                  </w:tcBorders>
                  <w:vAlign w:val="center"/>
                </w:tcPr>
                <w:p>
                  <w:pPr>
                    <w:pStyle w:val="49"/>
                    <w:spacing w:before="24" w:after="24"/>
                    <w:rPr>
                      <w:rFonts w:hint="default" w:ascii="Times New Roman" w:hAnsi="Times New Roman" w:eastAsia="宋体" w:cs="Times New Roman"/>
                      <w:b w:val="0"/>
                      <w:bCs w:val="0"/>
                      <w:color w:val="000000" w:themeColor="text1"/>
                      <w:kern w:val="2"/>
                      <w:szCs w:val="21"/>
                      <w14:textFill>
                        <w14:solidFill>
                          <w14:schemeClr w14:val="tx1"/>
                        </w14:solidFill>
                      </w14:textFill>
                    </w:rPr>
                  </w:pPr>
                  <w:r>
                    <w:rPr>
                      <w:rFonts w:hint="default" w:ascii="Times New Roman" w:hAnsi="Times New Roman" w:eastAsia="宋体" w:cs="Times New Roman"/>
                      <w:b w:val="0"/>
                      <w:bCs w:val="0"/>
                      <w:color w:val="000000" w:themeColor="text1"/>
                      <w:kern w:val="2"/>
                      <w:szCs w:val="21"/>
                      <w14:textFill>
                        <w14:solidFill>
                          <w14:schemeClr w14:val="tx1"/>
                        </w14:solidFill>
                      </w14:textFill>
                    </w:rPr>
                    <w:t>周界外浓度最高点</w:t>
                  </w:r>
                </w:p>
              </w:tc>
              <w:tc>
                <w:tcPr>
                  <w:tcW w:w="706" w:type="pct"/>
                  <w:tcBorders>
                    <w:top w:val="single" w:color="auto" w:sz="4" w:space="0"/>
                    <w:left w:val="single" w:color="auto" w:sz="4" w:space="0"/>
                    <w:bottom w:val="single" w:color="auto" w:sz="4" w:space="0"/>
                    <w:right w:val="single" w:color="auto" w:sz="4" w:space="0"/>
                  </w:tcBorders>
                  <w:vAlign w:val="center"/>
                </w:tcPr>
                <w:p>
                  <w:pPr>
                    <w:pStyle w:val="49"/>
                    <w:spacing w:before="24" w:after="24"/>
                    <w:rPr>
                      <w:rFonts w:hint="default" w:ascii="Times New Roman" w:hAnsi="Times New Roman" w:eastAsia="宋体" w:cs="Times New Roman"/>
                      <w:b w:val="0"/>
                      <w:bCs w:val="0"/>
                      <w:color w:val="000000" w:themeColor="text1"/>
                      <w:kern w:val="2"/>
                      <w:szCs w:val="21"/>
                      <w14:textFill>
                        <w14:solidFill>
                          <w14:schemeClr w14:val="tx1"/>
                        </w14:solidFill>
                      </w14:textFill>
                    </w:rPr>
                  </w:pPr>
                  <w:r>
                    <w:rPr>
                      <w:rFonts w:hint="default" w:ascii="Times New Roman" w:hAnsi="Times New Roman" w:eastAsia="宋体" w:cs="Times New Roman"/>
                      <w:b w:val="0"/>
                      <w:bCs w:val="0"/>
                      <w:color w:val="000000" w:themeColor="text1"/>
                      <w:kern w:val="2"/>
                      <w:szCs w:val="21"/>
                      <w14:textFill>
                        <w14:solidFill>
                          <w14:schemeClr w14:val="tx1"/>
                        </w14:solidFill>
                      </w14:textFill>
                    </w:rPr>
                    <w:t>4.0</w:t>
                  </w:r>
                </w:p>
              </w:tc>
            </w:tr>
          </w:tbl>
          <w:p>
            <w:pPr>
              <w:adjustRightInd w:val="0"/>
              <w:snapToGrid w:val="0"/>
              <w:spacing w:line="360" w:lineRule="auto"/>
              <w:ind w:firstLine="480" w:firstLineChars="200"/>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厂区内挥发性有机物执行《挥发性有机物无组织排放控制标准》（GB37822-2019）中排放限值要求。</w:t>
            </w:r>
            <w:r>
              <w:rPr>
                <w:rFonts w:hint="default" w:ascii="Times New Roman" w:hAnsi="Times New Roman" w:eastAsia="宋体" w:cs="Times New Roman"/>
                <w:color w:val="000000" w:themeColor="text1"/>
                <w:sz w:val="24"/>
                <w14:textFill>
                  <w14:solidFill>
                    <w14:schemeClr w14:val="tx1"/>
                  </w14:solidFill>
                </w14:textFill>
              </w:rPr>
              <w:t>标准值见表3-</w:t>
            </w:r>
            <w:r>
              <w:rPr>
                <w:rFonts w:hint="eastAsia" w:cs="Times New Roman"/>
                <w:color w:val="000000" w:themeColor="text1"/>
                <w:sz w:val="24"/>
                <w:lang w:val="en-US" w:eastAsia="zh-CN"/>
                <w14:textFill>
                  <w14:solidFill>
                    <w14:schemeClr w14:val="tx1"/>
                  </w14:solidFill>
                </w14:textFill>
              </w:rPr>
              <w:t>7</w:t>
            </w:r>
          </w:p>
          <w:p>
            <w:pPr>
              <w:pStyle w:val="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 xml:space="preserve"> 表3-</w:t>
            </w:r>
            <w:r>
              <w:rPr>
                <w:rFonts w:hint="eastAsia" w:cs="Times New Roman"/>
                <w:color w:val="000000" w:themeColor="text1"/>
                <w:lang w:val="en-US" w:eastAsia="zh-CN"/>
                <w14:textFill>
                  <w14:solidFill>
                    <w14:schemeClr w14:val="tx1"/>
                  </w14:solidFill>
                </w14:textFill>
              </w:rPr>
              <w:t>7</w:t>
            </w:r>
            <w:r>
              <w:rPr>
                <w:rFonts w:hint="default" w:ascii="Times New Roman" w:hAnsi="Times New Roman" w:eastAsia="宋体" w:cs="Times New Roman"/>
                <w:color w:val="000000" w:themeColor="text1"/>
                <w14:textFill>
                  <w14:solidFill>
                    <w14:schemeClr w14:val="tx1"/>
                  </w14:solidFill>
                </w14:textFill>
              </w:rPr>
              <w:t xml:space="preserve"> 挥发性有机物无组织排放控制标准（CB 37822-2019）     </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2111"/>
              <w:gridCol w:w="2558"/>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961" w:type="pct"/>
                  <w:vAlign w:val="center"/>
                </w:tcPr>
                <w:p>
                  <w:pPr>
                    <w:pStyle w:val="49"/>
                    <w:spacing w:beforeLines="0" w:afterLines="0" w:line="240" w:lineRule="auto"/>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污染物项目</w:t>
                  </w:r>
                </w:p>
              </w:tc>
              <w:tc>
                <w:tcPr>
                  <w:tcW w:w="1260" w:type="pct"/>
                  <w:vAlign w:val="center"/>
                </w:tcPr>
                <w:p>
                  <w:pPr>
                    <w:pStyle w:val="49"/>
                    <w:spacing w:beforeLines="0" w:afterLines="0" w:line="24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排放限值（mg/m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w:t>
                  </w:r>
                </w:p>
              </w:tc>
              <w:tc>
                <w:tcPr>
                  <w:tcW w:w="1527" w:type="pct"/>
                  <w:vAlign w:val="center"/>
                </w:tcPr>
                <w:p>
                  <w:pPr>
                    <w:pStyle w:val="49"/>
                    <w:spacing w:beforeLines="0" w:afterLines="0" w:line="24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限值含义</w:t>
                  </w:r>
                </w:p>
              </w:tc>
              <w:tc>
                <w:tcPr>
                  <w:tcW w:w="1250" w:type="pct"/>
                  <w:vAlign w:val="center"/>
                </w:tcPr>
                <w:p>
                  <w:pPr>
                    <w:pStyle w:val="49"/>
                    <w:spacing w:beforeLines="0" w:afterLines="0" w:line="24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1" w:type="pct"/>
                  <w:vMerge w:val="restart"/>
                  <w:vAlign w:val="center"/>
                </w:tcPr>
                <w:p>
                  <w:pPr>
                    <w:pStyle w:val="49"/>
                    <w:spacing w:beforeLines="0" w:afterLines="0" w:line="240" w:lineRule="atLeas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NMHC</w:t>
                  </w:r>
                </w:p>
              </w:tc>
              <w:tc>
                <w:tcPr>
                  <w:tcW w:w="1260" w:type="pct"/>
                  <w:vAlign w:val="center"/>
                </w:tcPr>
                <w:p>
                  <w:pPr>
                    <w:pStyle w:val="49"/>
                    <w:spacing w:beforeLines="0" w:afterLines="0" w:line="240" w:lineRule="atLeas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w:t>
                  </w:r>
                </w:p>
              </w:tc>
              <w:tc>
                <w:tcPr>
                  <w:tcW w:w="1527" w:type="pct"/>
                  <w:vAlign w:val="center"/>
                </w:tcPr>
                <w:p>
                  <w:pPr>
                    <w:pStyle w:val="49"/>
                    <w:spacing w:beforeLines="0" w:afterLines="0" w:line="240" w:lineRule="atLeas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监控点处1h平均浓度值</w:t>
                  </w:r>
                </w:p>
              </w:tc>
              <w:tc>
                <w:tcPr>
                  <w:tcW w:w="1250" w:type="pct"/>
                  <w:vMerge w:val="restart"/>
                  <w:vAlign w:val="center"/>
                </w:tcPr>
                <w:p>
                  <w:pPr>
                    <w:pStyle w:val="49"/>
                    <w:spacing w:beforeLines="0" w:afterLines="0" w:line="240" w:lineRule="atLeas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在厂房外设置 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Merge w:val="continue"/>
                  <w:vAlign w:val="center"/>
                </w:tcPr>
                <w:p>
                  <w:pPr>
                    <w:pStyle w:val="49"/>
                    <w:spacing w:beforeLines="0" w:afterLines="0" w:line="240" w:lineRule="atLeast"/>
                    <w:rPr>
                      <w:rFonts w:hint="default" w:ascii="Times New Roman" w:hAnsi="Times New Roman" w:eastAsia="宋体" w:cs="Times New Roman"/>
                      <w:color w:val="000000" w:themeColor="text1"/>
                      <w14:textFill>
                        <w14:solidFill>
                          <w14:schemeClr w14:val="tx1"/>
                        </w14:solidFill>
                      </w14:textFill>
                    </w:rPr>
                  </w:pPr>
                </w:p>
              </w:tc>
              <w:tc>
                <w:tcPr>
                  <w:tcW w:w="1260" w:type="pct"/>
                  <w:vAlign w:val="center"/>
                </w:tcPr>
                <w:p>
                  <w:pPr>
                    <w:pStyle w:val="49"/>
                    <w:spacing w:beforeLines="0" w:afterLines="0" w:line="240" w:lineRule="atLeas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30</w:t>
                  </w:r>
                </w:p>
              </w:tc>
              <w:tc>
                <w:tcPr>
                  <w:tcW w:w="1527" w:type="pct"/>
                  <w:vAlign w:val="center"/>
                </w:tcPr>
                <w:p>
                  <w:pPr>
                    <w:pStyle w:val="49"/>
                    <w:spacing w:beforeLines="0" w:afterLines="0" w:line="240" w:lineRule="atLeas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监控点处任意一次浓度值</w:t>
                  </w:r>
                </w:p>
              </w:tc>
              <w:tc>
                <w:tcPr>
                  <w:tcW w:w="1250" w:type="pct"/>
                  <w:vMerge w:val="continue"/>
                  <w:vAlign w:val="center"/>
                </w:tcPr>
                <w:p>
                  <w:pPr>
                    <w:pStyle w:val="49"/>
                    <w:spacing w:beforeLines="0" w:afterLines="0" w:line="240" w:lineRule="atLeast"/>
                    <w:rPr>
                      <w:rFonts w:hint="default" w:ascii="Times New Roman" w:hAnsi="Times New Roman" w:eastAsia="宋体" w:cs="Times New Roman"/>
                      <w:color w:val="000000" w:themeColor="text1"/>
                      <w14:textFill>
                        <w14:solidFill>
                          <w14:schemeClr w14:val="tx1"/>
                        </w14:solidFill>
                      </w14:textFill>
                    </w:rPr>
                  </w:pPr>
                </w:p>
              </w:tc>
            </w:tr>
          </w:tbl>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2、食堂油烟</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本项目厨房灶头数为1个</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食堂油烟经油烟净化器处理后通过排气筒引至屋顶排放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排放执行《饮食业油烟排放标准》GB18483-2001中的小型标准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餐饮业单位的油烟最高允许排放浓度和油烟净化设施最低去除效率见表3-</w:t>
            </w:r>
            <w:r>
              <w:rPr>
                <w:rFonts w:hint="eastAsia" w:cs="Times New Roman"/>
                <w:color w:val="000000" w:themeColor="text1"/>
                <w:sz w:val="24"/>
                <w:lang w:val="en-US" w:eastAsia="zh-CN"/>
                <w14:textFill>
                  <w14:solidFill>
                    <w14:schemeClr w14:val="tx1"/>
                  </w14:solidFill>
                </w14:textFill>
              </w:rPr>
              <w:t>8</w:t>
            </w:r>
            <w:r>
              <w:rPr>
                <w:rFonts w:hint="default" w:ascii="Times New Roman" w:hAnsi="Times New Roman" w:eastAsia="宋体" w:cs="Times New Roman"/>
                <w:color w:val="000000" w:themeColor="text1"/>
                <w:sz w:val="24"/>
                <w14:textFill>
                  <w14:solidFill>
                    <w14:schemeClr w14:val="tx1"/>
                  </w14:solidFill>
                </w14:textFill>
              </w:rPr>
              <w:t>。</w:t>
            </w:r>
          </w:p>
          <w:p>
            <w:pPr>
              <w:pStyle w:val="8"/>
              <w:ind w:firstLine="422"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表3-</w:t>
            </w:r>
            <w:r>
              <w:rPr>
                <w:rFonts w:hint="eastAsia" w:cs="Times New Roman"/>
                <w:color w:val="000000" w:themeColor="text1"/>
                <w:lang w:val="en-US" w:eastAsia="zh-CN"/>
                <w14:textFill>
                  <w14:solidFill>
                    <w14:schemeClr w14:val="tx1"/>
                  </w14:solidFill>
                </w14:textFill>
              </w:rPr>
              <w:t xml:space="preserve">8 </w:t>
            </w:r>
            <w:r>
              <w:rPr>
                <w:rFonts w:hint="default" w:ascii="Times New Roman" w:hAnsi="Times New Roman" w:eastAsia="宋体" w:cs="Times New Roman"/>
                <w:color w:val="000000" w:themeColor="text1"/>
                <w14:textFill>
                  <w14:solidFill>
                    <w14:schemeClr w14:val="tx1"/>
                  </w14:solidFill>
                </w14:textFill>
              </w:rPr>
              <w:t>油烟排放标准</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70"/>
              <w:gridCol w:w="4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277" w:type="dxa"/>
                  <w:vAlign w:val="center"/>
                </w:tcPr>
                <w:p>
                  <w:pPr>
                    <w:pStyle w:val="49"/>
                    <w:spacing w:beforeLines="0" w:afterLines="0" w:line="240" w:lineRule="auto"/>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规模</w:t>
                  </w:r>
                </w:p>
              </w:tc>
              <w:tc>
                <w:tcPr>
                  <w:tcW w:w="4111" w:type="dxa"/>
                  <w:vAlign w:val="center"/>
                </w:tcPr>
                <w:p>
                  <w:pPr>
                    <w:pStyle w:val="49"/>
                    <w:spacing w:beforeLines="0" w:afterLines="0" w:line="240" w:lineRule="auto"/>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277" w:type="dxa"/>
                  <w:vAlign w:val="center"/>
                </w:tcPr>
                <w:p>
                  <w:pPr>
                    <w:pStyle w:val="49"/>
                    <w:spacing w:beforeLines="0" w:afterLines="0" w:line="240" w:lineRule="atLeast"/>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净化设施最低去除效率（%）</w:t>
                  </w:r>
                </w:p>
              </w:tc>
              <w:tc>
                <w:tcPr>
                  <w:tcW w:w="4111" w:type="dxa"/>
                  <w:vAlign w:val="center"/>
                </w:tcPr>
                <w:p>
                  <w:pPr>
                    <w:pStyle w:val="49"/>
                    <w:spacing w:beforeLines="0" w:afterLines="0" w:line="240" w:lineRule="atLeast"/>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4277" w:type="dxa"/>
                  <w:vAlign w:val="center"/>
                </w:tcPr>
                <w:p>
                  <w:pPr>
                    <w:pStyle w:val="49"/>
                    <w:spacing w:beforeLines="0" w:afterLines="0" w:line="240" w:lineRule="atLeast"/>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最高允许排放浓度（mg/m</w:t>
                  </w:r>
                  <w:r>
                    <w:rPr>
                      <w:rFonts w:hint="default" w:ascii="Times New Roman" w:hAnsi="Times New Roman" w:eastAsia="宋体" w:cs="Times New Roman"/>
                      <w:bCs/>
                      <w:color w:val="000000" w:themeColor="text1"/>
                      <w:kern w:val="2"/>
                      <w:szCs w:val="21"/>
                      <w:vertAlign w:val="superscript"/>
                      <w14:textFill>
                        <w14:solidFill>
                          <w14:schemeClr w14:val="tx1"/>
                        </w14:solidFill>
                      </w14:textFill>
                    </w:rPr>
                    <w:t>3</w:t>
                  </w:r>
                  <w:r>
                    <w:rPr>
                      <w:rFonts w:hint="default" w:ascii="Times New Roman" w:hAnsi="Times New Roman" w:eastAsia="宋体" w:cs="Times New Roman"/>
                      <w:bCs/>
                      <w:color w:val="000000" w:themeColor="text1"/>
                      <w:kern w:val="2"/>
                      <w:szCs w:val="21"/>
                      <w14:textFill>
                        <w14:solidFill>
                          <w14:schemeClr w14:val="tx1"/>
                        </w14:solidFill>
                      </w14:textFill>
                    </w:rPr>
                    <w:t>）</w:t>
                  </w:r>
                </w:p>
              </w:tc>
              <w:tc>
                <w:tcPr>
                  <w:tcW w:w="4111" w:type="dxa"/>
                  <w:vAlign w:val="center"/>
                </w:tcPr>
                <w:p>
                  <w:pPr>
                    <w:pStyle w:val="49"/>
                    <w:spacing w:beforeLines="0" w:afterLines="0" w:line="240" w:lineRule="atLeast"/>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2</w:t>
                  </w:r>
                </w:p>
              </w:tc>
            </w:tr>
          </w:tbl>
          <w:p>
            <w:pPr>
              <w:pStyle w:val="4"/>
              <w:ind w:firstLine="482" w:firstLineChars="200"/>
              <w:rPr>
                <w:rFonts w:hint="default" w:ascii="Times New Roman" w:hAnsi="Times New Roman" w:eastAsia="宋体" w:cs="Times New Roman"/>
                <w:color w:val="000000" w:themeColor="text1"/>
                <w:sz w:val="24"/>
                <w:szCs w:val="24"/>
                <w14:textFill>
                  <w14:solidFill>
                    <w14:schemeClr w14:val="tx1"/>
                  </w14:solidFill>
                </w14:textFill>
              </w:rPr>
            </w:pPr>
            <w:bookmarkStart w:id="20" w:name="_Toc28840"/>
            <w:bookmarkStart w:id="21" w:name="_Toc18583"/>
            <w:r>
              <w:rPr>
                <w:rFonts w:hint="default" w:ascii="Times New Roman" w:hAnsi="Times New Roman" w:eastAsia="宋体" w:cs="Times New Roman"/>
                <w:color w:val="000000" w:themeColor="text1"/>
                <w:sz w:val="24"/>
                <w:szCs w:val="24"/>
                <w14:textFill>
                  <w14:solidFill>
                    <w14:schemeClr w14:val="tx1"/>
                  </w14:solidFill>
                </w14:textFill>
              </w:rPr>
              <w:t>3、废水</w:t>
            </w:r>
            <w:bookmarkEnd w:id="20"/>
            <w:bookmarkEnd w:id="21"/>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项目生产</w:t>
            </w:r>
            <w:r>
              <w:rPr>
                <w:rFonts w:hint="eastAsia" w:cs="Times New Roman"/>
                <w:color w:val="000000" w:themeColor="text1"/>
                <w:sz w:val="24"/>
                <w:lang w:val="en-US" w:eastAsia="zh-CN"/>
                <w14:textFill>
                  <w14:solidFill>
                    <w14:schemeClr w14:val="tx1"/>
                  </w14:solidFill>
                </w14:textFill>
              </w:rPr>
              <w:t>过程中无废水外排</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生活废水一同排入</w:t>
            </w:r>
            <w:r>
              <w:rPr>
                <w:rFonts w:hint="default" w:ascii="Times New Roman" w:hAnsi="Times New Roman" w:eastAsia="宋体" w:cs="Times New Roman"/>
                <w:color w:val="000000" w:themeColor="text1"/>
                <w:sz w:val="24"/>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sz w:val="24"/>
                <w14:textFill>
                  <w14:solidFill>
                    <w14:schemeClr w14:val="tx1"/>
                  </w14:solidFill>
                </w14:textFill>
              </w:rPr>
              <w:t>建设的化粪池处理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达到《污水排入城镇下水道水质标准》GB/T31962-2015(表1) A等级标准后排入</w:t>
            </w:r>
            <w:r>
              <w:rPr>
                <w:rFonts w:hint="default" w:ascii="Times New Roman" w:hAnsi="Times New Roman" w:eastAsia="宋体" w:cs="Times New Roman"/>
                <w:color w:val="000000" w:themeColor="text1"/>
                <w:sz w:val="24"/>
                <w:szCs w:val="24"/>
                <w14:textFill>
                  <w14:solidFill>
                    <w14:schemeClr w14:val="tx1"/>
                  </w14:solidFill>
                </w14:textFill>
              </w:rPr>
              <w:t>园区污水管网</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最终进入</w:t>
            </w:r>
            <w:r>
              <w:rPr>
                <w:rFonts w:hint="default" w:ascii="Times New Roman" w:hAnsi="Times New Roman" w:eastAsia="宋体" w:cs="Times New Roman"/>
                <w:b w:val="0"/>
                <w:color w:val="000000" w:themeColor="text1"/>
                <w:sz w:val="24"/>
                <w:szCs w:val="24"/>
                <w14:textFill>
                  <w14:solidFill>
                    <w14:schemeClr w14:val="tx1"/>
                  </w14:solidFill>
                </w14:textFill>
              </w:rPr>
              <w:t>晋宁县工业园区二街片区生活污水处理厂</w:t>
            </w:r>
            <w:r>
              <w:rPr>
                <w:rFonts w:hint="default" w:ascii="Times New Roman" w:hAnsi="Times New Roman" w:eastAsia="宋体" w:cs="Times New Roman"/>
                <w:color w:val="000000" w:themeColor="text1"/>
                <w:sz w:val="24"/>
                <w:szCs w:val="24"/>
                <w14:textFill>
                  <w14:solidFill>
                    <w14:schemeClr w14:val="tx1"/>
                  </w14:solidFill>
                </w14:textFill>
              </w:rPr>
              <w:t>处理</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具体指标见表3-</w:t>
            </w:r>
            <w:r>
              <w:rPr>
                <w:rFonts w:hint="eastAsia"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w:t>
            </w:r>
          </w:p>
          <w:p>
            <w:pPr>
              <w:jc w:val="center"/>
              <w:rPr>
                <w:rFonts w:hint="default" w:ascii="Times New Roman" w:hAnsi="Times New Roman" w:eastAsia="宋体" w:cs="Times New Roman"/>
                <w:color w:val="000000" w:themeColor="text1"/>
                <w14:textFill>
                  <w14:solidFill>
                    <w14:schemeClr w14:val="tx1"/>
                  </w14:solidFill>
                </w14:textFill>
              </w:rPr>
            </w:pPr>
            <w:bookmarkStart w:id="22" w:name="_Toc11744"/>
            <w:bookmarkStart w:id="23" w:name="_Toc11532"/>
            <w:r>
              <w:rPr>
                <w:rFonts w:hint="default" w:ascii="Times New Roman" w:hAnsi="Times New Roman" w:eastAsia="宋体" w:cs="Times New Roman"/>
                <w:b/>
                <w:bCs/>
                <w:color w:val="000000" w:themeColor="text1"/>
                <w14:textFill>
                  <w14:solidFill>
                    <w14:schemeClr w14:val="tx1"/>
                  </w14:solidFill>
                </w14:textFill>
              </w:rPr>
              <w:t>表3-</w:t>
            </w:r>
            <w:r>
              <w:rPr>
                <w:rFonts w:hint="eastAsia" w:cs="Times New Roman"/>
                <w:b/>
                <w:bCs/>
                <w:color w:val="000000" w:themeColor="text1"/>
                <w:lang w:val="en-US" w:eastAsia="zh-CN"/>
                <w14:textFill>
                  <w14:solidFill>
                    <w14:schemeClr w14:val="tx1"/>
                  </w14:solidFill>
                </w14:textFill>
              </w:rPr>
              <w:t>9</w:t>
            </w:r>
            <w:r>
              <w:rPr>
                <w:rFonts w:hint="default" w:ascii="Times New Roman" w:hAnsi="Times New Roman" w:eastAsia="宋体" w:cs="Times New Roman"/>
                <w:b/>
                <w:bCs/>
                <w:color w:val="000000" w:themeColor="text1"/>
                <w14:textFill>
                  <w14:solidFill>
                    <w14:schemeClr w14:val="tx1"/>
                  </w14:solidFill>
                </w14:textFill>
              </w:rPr>
              <w:t xml:space="preserve"> 《污水排入城镇下水道水质标准》表1A等级标准</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94"/>
              <w:gridCol w:w="1206"/>
              <w:gridCol w:w="1211"/>
              <w:gridCol w:w="1202"/>
              <w:gridCol w:w="1082"/>
              <w:gridCol w:w="1148"/>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序号</w:t>
                  </w:r>
                </w:p>
              </w:tc>
              <w:tc>
                <w:tcPr>
                  <w:tcW w:w="895"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1207"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1212"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1203"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1083"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w:t>
                  </w:r>
                </w:p>
              </w:tc>
              <w:tc>
                <w:tcPr>
                  <w:tcW w:w="1149"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w:t>
                  </w:r>
                </w:p>
              </w:tc>
              <w:tc>
                <w:tcPr>
                  <w:tcW w:w="1203"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类型</w:t>
                  </w:r>
                </w:p>
              </w:tc>
              <w:tc>
                <w:tcPr>
                  <w:tcW w:w="895"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pH值</w:t>
                  </w:r>
                </w:p>
              </w:tc>
              <w:tc>
                <w:tcPr>
                  <w:tcW w:w="1207"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SS</w:t>
                  </w:r>
                </w:p>
              </w:tc>
              <w:tc>
                <w:tcPr>
                  <w:tcW w:w="1212"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CODcr</w:t>
                  </w:r>
                </w:p>
              </w:tc>
              <w:tc>
                <w:tcPr>
                  <w:tcW w:w="1203"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BOD</w:t>
                  </w:r>
                  <w:r>
                    <w:rPr>
                      <w:rFonts w:hint="default" w:ascii="Times New Roman" w:hAnsi="Times New Roman" w:eastAsia="宋体" w:cs="Times New Roman"/>
                      <w:color w:val="000000" w:themeColor="text1"/>
                      <w:szCs w:val="21"/>
                      <w:vertAlign w:val="subscript"/>
                      <w14:textFill>
                        <w14:solidFill>
                          <w14:schemeClr w14:val="tx1"/>
                        </w14:solidFill>
                      </w14:textFill>
                    </w:rPr>
                    <w:t>5</w:t>
                  </w:r>
                </w:p>
              </w:tc>
              <w:tc>
                <w:tcPr>
                  <w:tcW w:w="1083"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氨氮</w:t>
                  </w:r>
                </w:p>
              </w:tc>
              <w:tc>
                <w:tcPr>
                  <w:tcW w:w="1149"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T-P</w:t>
                  </w:r>
                </w:p>
              </w:tc>
              <w:tc>
                <w:tcPr>
                  <w:tcW w:w="1203"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2" w:hRule="atLeast"/>
                <w:jc w:val="center"/>
              </w:trPr>
              <w:tc>
                <w:tcPr>
                  <w:tcW w:w="426"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标准</w:t>
                  </w:r>
                </w:p>
              </w:tc>
              <w:tc>
                <w:tcPr>
                  <w:tcW w:w="895"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6.5-9.5</w:t>
                  </w:r>
                </w:p>
              </w:tc>
              <w:tc>
                <w:tcPr>
                  <w:tcW w:w="1207"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≤400mg/L</w:t>
                  </w:r>
                </w:p>
              </w:tc>
              <w:tc>
                <w:tcPr>
                  <w:tcW w:w="1212"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≤500mg/L</w:t>
                  </w:r>
                </w:p>
              </w:tc>
              <w:tc>
                <w:tcPr>
                  <w:tcW w:w="1203"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≤350mg/L</w:t>
                  </w:r>
                </w:p>
              </w:tc>
              <w:tc>
                <w:tcPr>
                  <w:tcW w:w="1083"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≤45mg/L</w:t>
                  </w:r>
                </w:p>
              </w:tc>
              <w:tc>
                <w:tcPr>
                  <w:tcW w:w="1149"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≤8.0mg/L</w:t>
                  </w:r>
                </w:p>
              </w:tc>
              <w:tc>
                <w:tcPr>
                  <w:tcW w:w="1203"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≤100mg/L</w:t>
                  </w:r>
                </w:p>
              </w:tc>
            </w:tr>
            <w:bookmarkEnd w:id="22"/>
            <w:bookmarkEnd w:id="23"/>
          </w:tbl>
          <w:p>
            <w:pPr>
              <w:pStyle w:val="4"/>
              <w:ind w:firstLine="482"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4、噪声</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本项目东、</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南、</w:t>
            </w:r>
            <w:r>
              <w:rPr>
                <w:rFonts w:hint="default" w:ascii="Times New Roman" w:hAnsi="Times New Roman" w:eastAsia="宋体" w:cs="Times New Roman"/>
                <w:color w:val="000000" w:themeColor="text1"/>
                <w:sz w:val="24"/>
                <w:szCs w:val="24"/>
                <w14:textFill>
                  <w14:solidFill>
                    <w14:schemeClr w14:val="tx1"/>
                  </w14:solidFill>
                </w14:textFill>
              </w:rPr>
              <w:t>西、北侧厂界噪声执行《工业企业厂界环境噪声排放标准》（GB12348-2008）3类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区</w:t>
            </w:r>
            <w:r>
              <w:rPr>
                <w:rFonts w:hint="default" w:ascii="Times New Roman" w:hAnsi="Times New Roman" w:eastAsia="宋体" w:cs="Times New Roman"/>
                <w:color w:val="000000" w:themeColor="text1"/>
                <w:sz w:val="24"/>
                <w:szCs w:val="24"/>
                <w14:textFill>
                  <w14:solidFill>
                    <w14:schemeClr w14:val="tx1"/>
                  </w14:solidFill>
                </w14:textFill>
              </w:rPr>
              <w:t>标准。标准值见表3-1</w:t>
            </w:r>
            <w:r>
              <w:rPr>
                <w:rFonts w:hint="eastAsia"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表3-1</w:t>
            </w:r>
            <w:r>
              <w:rPr>
                <w:rFonts w:hint="eastAsia"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工业企业厂界环境噪声排放标准单位：dB（A）</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3"/>
              <w:gridCol w:w="2784"/>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2193" w:type="dxa"/>
                  <w:tcBorders>
                    <w:top w:val="single" w:color="auto" w:sz="4" w:space="0"/>
                    <w:left w:val="single" w:color="auto" w:sz="4" w:space="0"/>
                    <w:bottom w:val="single" w:color="auto" w:sz="4" w:space="0"/>
                    <w:right w:val="single" w:color="auto" w:sz="4" w:space="0"/>
                  </w:tcBorders>
                  <w:noWrap/>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Cs/>
                      <w:color w:val="000000" w:themeColor="text1"/>
                      <w:sz w:val="21"/>
                      <w:szCs w:val="21"/>
                      <w14:textFill>
                        <w14:solidFill>
                          <w14:schemeClr w14:val="tx1"/>
                        </w14:solidFill>
                      </w14:textFill>
                    </w:rPr>
                  </w:pPr>
                  <w:bookmarkStart w:id="24" w:name="_Toc9372"/>
                  <w:r>
                    <w:rPr>
                      <w:rFonts w:hint="default" w:ascii="Times New Roman" w:hAnsi="Times New Roman" w:eastAsia="宋体" w:cs="Times New Roman"/>
                      <w:bCs/>
                      <w:color w:val="000000" w:themeColor="text1"/>
                      <w:sz w:val="21"/>
                      <w:szCs w:val="21"/>
                      <w14:textFill>
                        <w14:solidFill>
                          <w14:schemeClr w14:val="tx1"/>
                        </w14:solidFill>
                      </w14:textFill>
                    </w:rPr>
                    <w:t>类别</w:t>
                  </w:r>
                </w:p>
              </w:tc>
              <w:tc>
                <w:tcPr>
                  <w:tcW w:w="2784" w:type="dxa"/>
                  <w:tcBorders>
                    <w:top w:val="single" w:color="auto" w:sz="4" w:space="0"/>
                    <w:left w:val="single" w:color="auto" w:sz="4" w:space="0"/>
                    <w:bottom w:val="single" w:color="auto" w:sz="4" w:space="0"/>
                    <w:right w:val="single" w:color="auto" w:sz="4" w:space="0"/>
                  </w:tcBorders>
                  <w:noWrap/>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昼间</w:t>
                  </w:r>
                </w:p>
              </w:tc>
              <w:tc>
                <w:tcPr>
                  <w:tcW w:w="3402" w:type="dxa"/>
                  <w:tcBorders>
                    <w:top w:val="single" w:color="auto" w:sz="4" w:space="0"/>
                    <w:left w:val="single" w:color="auto" w:sz="4" w:space="0"/>
                    <w:bottom w:val="single" w:color="auto" w:sz="4" w:space="0"/>
                    <w:right w:val="single" w:color="auto" w:sz="4" w:space="0"/>
                  </w:tcBorders>
                  <w:noWrap/>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2193" w:type="dxa"/>
                  <w:tcBorders>
                    <w:top w:val="single" w:color="auto" w:sz="4" w:space="0"/>
                    <w:left w:val="single" w:color="auto" w:sz="4" w:space="0"/>
                    <w:bottom w:val="single" w:color="auto" w:sz="4" w:space="0"/>
                    <w:right w:val="single" w:color="auto" w:sz="4" w:space="0"/>
                  </w:tcBorders>
                  <w:noWrap/>
                  <w:vAlign w:val="center"/>
                </w:tcPr>
                <w:p>
                  <w:pPr>
                    <w:pStyle w:val="49"/>
                    <w:spacing w:before="24" w:after="24"/>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3类</w:t>
                  </w:r>
                </w:p>
              </w:tc>
              <w:tc>
                <w:tcPr>
                  <w:tcW w:w="2784" w:type="dxa"/>
                  <w:tcBorders>
                    <w:top w:val="single" w:color="auto" w:sz="4" w:space="0"/>
                    <w:left w:val="single" w:color="auto" w:sz="4" w:space="0"/>
                    <w:bottom w:val="single" w:color="auto" w:sz="4" w:space="0"/>
                    <w:right w:val="single" w:color="auto" w:sz="4" w:space="0"/>
                  </w:tcBorders>
                  <w:noWrap/>
                  <w:vAlign w:val="center"/>
                </w:tcPr>
                <w:p>
                  <w:pPr>
                    <w:pStyle w:val="49"/>
                    <w:spacing w:before="24" w:after="24"/>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65dB(A)</w:t>
                  </w:r>
                </w:p>
              </w:tc>
              <w:tc>
                <w:tcPr>
                  <w:tcW w:w="3402" w:type="dxa"/>
                  <w:tcBorders>
                    <w:top w:val="single" w:color="auto" w:sz="4" w:space="0"/>
                    <w:left w:val="single" w:color="auto" w:sz="4" w:space="0"/>
                    <w:bottom w:val="single" w:color="auto" w:sz="4" w:space="0"/>
                    <w:right w:val="single" w:color="auto" w:sz="4" w:space="0"/>
                  </w:tcBorders>
                  <w:noWrap/>
                  <w:vAlign w:val="center"/>
                </w:tcPr>
                <w:p>
                  <w:pPr>
                    <w:pStyle w:val="49"/>
                    <w:spacing w:before="24" w:after="24"/>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55dB(A）</w:t>
                  </w:r>
                </w:p>
              </w:tc>
            </w:tr>
          </w:tbl>
          <w:p>
            <w:pPr>
              <w:pStyle w:val="5"/>
              <w:snapToGrid w:val="0"/>
              <w:ind w:firstLine="482"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5、固体废物</w:t>
            </w:r>
            <w:bookmarkEnd w:id="24"/>
          </w:p>
          <w:p>
            <w:pPr>
              <w:spacing w:line="360" w:lineRule="auto"/>
              <w:ind w:firstLine="482"/>
              <w:contextualSpacing/>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项目一般工业固体废弃执行《一般工业固体废物贮存和填埋污染控制标准》（GB18599-2020）的相关规定。危险固废执行《危险废物贮存污染控制标准》（GB18597-2001）</w:t>
            </w:r>
            <w:r>
              <w:rPr>
                <w:rFonts w:hint="default" w:ascii="Times New Roman" w:hAnsi="Times New Roman" w:eastAsia="宋体" w:cs="Times New Roman"/>
                <w:color w:val="000000" w:themeColor="text1"/>
                <w:sz w:val="24"/>
                <w:lang w:val="en-US" w:eastAsia="zh-CN"/>
                <w14:textFill>
                  <w14:solidFill>
                    <w14:schemeClr w14:val="tx1"/>
                  </w14:solidFill>
                </w14:textFill>
              </w:rPr>
              <w:t>以及环保部2013年第36号修改清单</w:t>
            </w:r>
            <w:r>
              <w:rPr>
                <w:rFonts w:hint="default" w:ascii="Times New Roman" w:hAnsi="Times New Roman" w:eastAsia="宋体" w:cs="Times New Roman"/>
                <w:color w:val="000000" w:themeColor="text1"/>
                <w:sz w:val="24"/>
                <w14:textFill>
                  <w14:solidFill>
                    <w14:schemeClr w14:val="tx1"/>
                  </w14:solidFill>
                </w14:textFill>
              </w:rPr>
              <w:t>中相关要求进行暂存和管理；按照国家环保部第5号令《危险废物转移联单管理办法》进行转移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58" w:type="dxa"/>
            <w:vAlign w:val="center"/>
          </w:tcPr>
          <w:p>
            <w:pPr>
              <w:adjustRightInd w:val="0"/>
              <w:snapToGrid w:val="0"/>
              <w:jc w:val="center"/>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总量</w:t>
            </w:r>
          </w:p>
          <w:p>
            <w:pPr>
              <w:adjustRightInd w:val="0"/>
              <w:snapToGrid w:val="0"/>
              <w:jc w:val="center"/>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控制</w:t>
            </w:r>
          </w:p>
          <w:p>
            <w:pPr>
              <w:adjustRightInd w:val="0"/>
              <w:snapToGrid w:val="0"/>
              <w:jc w:val="center"/>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指标</w:t>
            </w:r>
          </w:p>
        </w:tc>
        <w:tc>
          <w:tcPr>
            <w:tcW w:w="8603" w:type="dxa"/>
          </w:tcPr>
          <w:p>
            <w:pPr>
              <w:adjustRightInd w:val="0"/>
              <w:snapToGrid w:val="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建议的总量控制指标：</w:t>
            </w:r>
          </w:p>
          <w:p>
            <w:pPr>
              <w:pStyle w:val="35"/>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废气</w:t>
            </w:r>
          </w:p>
          <w:p>
            <w:pPr>
              <w:pStyle w:val="35"/>
              <w:numPr>
                <w:ilvl w:val="0"/>
                <w:numId w:val="0"/>
              </w:numPr>
              <w:spacing w:line="360" w:lineRule="auto"/>
              <w:ind w:firstLine="240" w:firstLineChars="1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有组织排放</w:t>
            </w:r>
            <w:r>
              <w:rPr>
                <w:rFonts w:hint="default" w:ascii="Times New Roman" w:hAnsi="Times New Roman" w:eastAsia="宋体" w:cs="Times New Roman"/>
                <w:color w:val="000000" w:themeColor="text1"/>
                <w:sz w:val="24"/>
                <w:lang w:val="en-US" w:eastAsia="zh-CN"/>
                <w14:textFill>
                  <w14:solidFill>
                    <w14:schemeClr w14:val="tx1"/>
                  </w14:solidFill>
                </w14:textFill>
              </w:rPr>
              <w:t>量</w:t>
            </w:r>
          </w:p>
          <w:p>
            <w:pPr>
              <w:pStyle w:val="35"/>
              <w:numPr>
                <w:ilvl w:val="0"/>
                <w:numId w:val="0"/>
              </w:numPr>
              <w:spacing w:line="360" w:lineRule="auto"/>
              <w:ind w:left="708" w:leftChars="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废气量约为</w:t>
            </w:r>
            <w:r>
              <w:rPr>
                <w:rFonts w:hint="eastAsia" w:cs="Times New Roman"/>
                <w:color w:val="auto"/>
                <w:sz w:val="24"/>
                <w:lang w:val="en-US" w:eastAsia="zh-CN"/>
              </w:rPr>
              <w:t>480</w:t>
            </w:r>
            <w:r>
              <w:rPr>
                <w:rFonts w:hint="default" w:ascii="Times New Roman" w:hAnsi="Times New Roman" w:eastAsia="宋体" w:cs="Times New Roman"/>
                <w:color w:val="auto"/>
                <w:sz w:val="24"/>
              </w:rPr>
              <w:t>万m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p>
          <w:p>
            <w:pPr>
              <w:pStyle w:val="54"/>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挥发性有机物（以非甲烷总烃计）：</w:t>
            </w:r>
            <w:r>
              <w:rPr>
                <w:rFonts w:hint="eastAsia" w:cs="Times New Roman"/>
                <w:color w:val="auto"/>
                <w:sz w:val="24"/>
                <w:szCs w:val="24"/>
                <w:lang w:val="en-US" w:eastAsia="zh-CN"/>
              </w:rPr>
              <w:t>0.0059</w:t>
            </w:r>
            <w:r>
              <w:rPr>
                <w:rFonts w:hint="default" w:ascii="Times New Roman" w:hAnsi="Times New Roman" w:eastAsia="宋体" w:cs="Times New Roman"/>
                <w:color w:val="auto"/>
                <w:sz w:val="24"/>
                <w:szCs w:val="24"/>
              </w:rPr>
              <w:t>t</w:t>
            </w:r>
            <w:r>
              <w:rPr>
                <w:rFonts w:hint="default" w:ascii="Times New Roman" w:hAnsi="Times New Roman" w:eastAsia="宋体" w:cs="Times New Roman"/>
                <w:bCs/>
                <w:color w:val="auto"/>
                <w:sz w:val="24"/>
                <w:szCs w:val="24"/>
              </w:rPr>
              <w:t>/a</w:t>
            </w:r>
            <w:r>
              <w:rPr>
                <w:rFonts w:hint="default" w:ascii="Times New Roman" w:hAnsi="Times New Roman" w:eastAsia="宋体" w:cs="Times New Roman"/>
                <w:bCs/>
                <w:color w:val="auto"/>
                <w:sz w:val="24"/>
                <w:szCs w:val="24"/>
                <w:lang w:eastAsia="zh-CN"/>
              </w:rPr>
              <w:t>。</w:t>
            </w:r>
          </w:p>
          <w:p>
            <w:pPr>
              <w:pStyle w:val="45"/>
              <w:spacing w:line="360" w:lineRule="auto"/>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（2）无组织排放</w:t>
            </w:r>
            <w:r>
              <w:rPr>
                <w:rFonts w:hint="default" w:ascii="Times New Roman" w:hAnsi="Times New Roman" w:eastAsia="宋体" w:cs="Times New Roman"/>
                <w:color w:val="auto"/>
                <w:sz w:val="24"/>
                <w:lang w:val="en-US" w:eastAsia="zh-CN"/>
              </w:rPr>
              <w:t>量</w:t>
            </w:r>
          </w:p>
          <w:p>
            <w:pPr>
              <w:pStyle w:val="54"/>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挥发性有机物（以非甲烷总烃计）为</w:t>
            </w:r>
            <w:r>
              <w:rPr>
                <w:rFonts w:hint="eastAsia" w:cs="Times New Roman"/>
                <w:color w:val="auto"/>
                <w:sz w:val="24"/>
                <w:szCs w:val="24"/>
                <w:lang w:val="en-US" w:eastAsia="zh-CN"/>
              </w:rPr>
              <w:t>0.00012</w:t>
            </w:r>
            <w:r>
              <w:rPr>
                <w:rFonts w:hint="default" w:ascii="Times New Roman" w:hAnsi="Times New Roman" w:eastAsia="宋体" w:cs="Times New Roman"/>
                <w:color w:val="auto"/>
                <w:sz w:val="24"/>
                <w:szCs w:val="24"/>
              </w:rPr>
              <w:t>t</w:t>
            </w:r>
            <w:r>
              <w:rPr>
                <w:rFonts w:hint="default" w:ascii="Times New Roman" w:hAnsi="Times New Roman" w:eastAsia="宋体" w:cs="Times New Roman"/>
                <w:bCs/>
                <w:color w:val="auto"/>
                <w:sz w:val="24"/>
                <w:szCs w:val="24"/>
              </w:rPr>
              <w:t>/a。</w:t>
            </w:r>
          </w:p>
          <w:p>
            <w:pPr>
              <w:pStyle w:val="11"/>
              <w:numPr>
                <w:ilvl w:val="0"/>
                <w:numId w:val="2"/>
              </w:numPr>
              <w:spacing w:line="360" w:lineRule="auto"/>
              <w:ind w:left="-62" w:firstLine="482"/>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废水：根据工程分析</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本项目生活污水</w:t>
            </w:r>
            <w:r>
              <w:rPr>
                <w:rFonts w:hint="default" w:ascii="Times New Roman" w:hAnsi="Times New Roman" w:eastAsia="宋体" w:cs="Times New Roman"/>
                <w:color w:val="000000" w:themeColor="text1"/>
                <w14:textFill>
                  <w14:solidFill>
                    <w14:schemeClr w14:val="tx1"/>
                  </w14:solidFill>
                </w14:textFill>
              </w:rPr>
              <w:t>一同排入</w:t>
            </w:r>
            <w:r>
              <w:rPr>
                <w:rFonts w:hint="default" w:ascii="Times New Roman" w:hAnsi="Times New Roman" w:eastAsia="宋体" w:cs="Times New Roman"/>
                <w:color w:val="000000" w:themeColor="text1"/>
                <w:spacing w:val="-6"/>
                <w:szCs w:val="24"/>
                <w14:textFill>
                  <w14:solidFill>
                    <w14:schemeClr w14:val="tx1"/>
                  </w14:solidFill>
                </w14:textFill>
              </w:rPr>
              <w:t>依托</w:t>
            </w:r>
            <w:r>
              <w:rPr>
                <w:rFonts w:hint="default" w:ascii="Times New Roman" w:hAnsi="Times New Roman" w:eastAsia="宋体" w:cs="Times New Roman"/>
                <w:color w:val="000000" w:themeColor="text1"/>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14:textFill>
                  <w14:solidFill>
                    <w14:schemeClr w14:val="tx1"/>
                  </w14:solidFill>
                </w14:textFill>
              </w:rPr>
              <w:t>的化粪池处理</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经处理后</w:t>
            </w:r>
            <w:r>
              <w:rPr>
                <w:rFonts w:hint="default" w:ascii="Times New Roman" w:hAnsi="Times New Roman" w:eastAsia="宋体" w:cs="Times New Roman"/>
                <w:color w:val="000000" w:themeColor="text1"/>
                <w:szCs w:val="24"/>
                <w14:textFill>
                  <w14:solidFill>
                    <w14:schemeClr w14:val="tx1"/>
                  </w14:solidFill>
                </w14:textFill>
              </w:rPr>
              <w:t>可满足《污水排入城镇下水道水质标准》（GB/T31962-2015）</w:t>
            </w:r>
            <w:r>
              <w:rPr>
                <w:rFonts w:hint="default" w:ascii="Times New Roman" w:hAnsi="Times New Roman" w:eastAsia="宋体" w:cs="Times New Roman"/>
                <w:color w:val="000000" w:themeColor="text1"/>
                <w14:textFill>
                  <w14:solidFill>
                    <w14:schemeClr w14:val="tx1"/>
                  </w14:solidFill>
                </w14:textFill>
              </w:rPr>
              <w:t>表1中A级标准</w:t>
            </w:r>
            <w:r>
              <w:rPr>
                <w:rFonts w:hint="default" w:ascii="Times New Roman" w:hAnsi="Times New Roman" w:eastAsia="宋体" w:cs="Times New Roman"/>
                <w:color w:val="000000" w:themeColor="text1"/>
                <w:szCs w:val="24"/>
                <w14:textFill>
                  <w14:solidFill>
                    <w14:schemeClr w14:val="tx1"/>
                  </w14:solidFill>
                </w14:textFill>
              </w:rPr>
              <w:t>后排入园区管网</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最终进入</w:t>
            </w:r>
            <w:r>
              <w:rPr>
                <w:rFonts w:hint="default" w:ascii="Times New Roman" w:hAnsi="Times New Roman" w:eastAsia="宋体" w:cs="Times New Roman"/>
                <w:color w:val="000000" w:themeColor="text1"/>
                <w:szCs w:val="24"/>
                <w:lang w:eastAsia="zh-CN"/>
                <w14:textFill>
                  <w14:solidFill>
                    <w14:schemeClr w14:val="tx1"/>
                  </w14:solidFill>
                </w14:textFill>
              </w:rPr>
              <w:t>晋宁县工业园区二街片区生活污水处理厂</w:t>
            </w:r>
            <w:r>
              <w:rPr>
                <w:rFonts w:hint="default" w:ascii="Times New Roman" w:hAnsi="Times New Roman" w:eastAsia="宋体" w:cs="Times New Roman"/>
                <w:color w:val="000000" w:themeColor="text1"/>
                <w:szCs w:val="24"/>
                <w14:textFill>
                  <w14:solidFill>
                    <w14:schemeClr w14:val="tx1"/>
                  </w14:solidFill>
                </w14:textFill>
              </w:rPr>
              <w:t>处理</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废水总量控制纳入</w:t>
            </w:r>
            <w:r>
              <w:rPr>
                <w:rFonts w:hint="default" w:ascii="Times New Roman" w:hAnsi="Times New Roman" w:eastAsia="宋体" w:cs="Times New Roman"/>
                <w:color w:val="000000" w:themeColor="text1"/>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szCs w:val="24"/>
                <w14:textFill>
                  <w14:solidFill>
                    <w14:schemeClr w14:val="tx1"/>
                  </w14:solidFill>
                </w14:textFill>
              </w:rPr>
              <w:t>进行考核。</w:t>
            </w:r>
          </w:p>
          <w:p>
            <w:pPr>
              <w:pStyle w:val="35"/>
              <w:numPr>
                <w:ilvl w:val="0"/>
                <w:numId w:val="2"/>
              </w:numPr>
              <w:spacing w:line="360" w:lineRule="auto"/>
              <w:ind w:left="-62" w:firstLine="482"/>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固体废弃物处置率 100%。</w:t>
            </w:r>
          </w:p>
        </w:tc>
      </w:tr>
    </w:tbl>
    <w:p>
      <w:pPr>
        <w:pStyle w:val="23"/>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Cs w:val="24"/>
          <w14:textFill>
            <w14:solidFill>
              <w14:schemeClr w14:val="tx1"/>
            </w14:solidFill>
          </w14:textFill>
        </w:rPr>
        <w:br w:type="page"/>
      </w:r>
      <w:bookmarkStart w:id="25" w:name="_Toc19911"/>
      <w:bookmarkStart w:id="26" w:name="_Toc21135"/>
      <w:r>
        <w:rPr>
          <w:rFonts w:hint="default" w:ascii="Times New Roman" w:hAnsi="Times New Roman" w:eastAsia="宋体" w:cs="Times New Roman"/>
          <w:snapToGrid w:val="0"/>
          <w:color w:val="000000" w:themeColor="text1"/>
          <w:sz w:val="30"/>
          <w:szCs w:val="30"/>
          <w14:textFill>
            <w14:solidFill>
              <w14:schemeClr w14:val="tx1"/>
            </w14:solidFill>
          </w14:textFill>
        </w:rPr>
        <w:t>四、主要环境影响和保护措施</w:t>
      </w:r>
      <w:bookmarkEnd w:id="25"/>
      <w:bookmarkEnd w:id="26"/>
    </w:p>
    <w:tbl>
      <w:tblPr>
        <w:tblStyle w:val="2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66"/>
        <w:gridCol w:w="86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9" w:hRule="atLeast"/>
          <w:jc w:val="center"/>
        </w:trPr>
        <w:tc>
          <w:tcPr>
            <w:tcW w:w="366" w:type="dxa"/>
            <w:tcMar>
              <w:left w:w="28" w:type="dxa"/>
              <w:right w:w="28" w:type="dxa"/>
            </w:tcMar>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施工</w:t>
            </w:r>
          </w:p>
          <w:p>
            <w:pPr>
              <w:pStyle w:val="23"/>
              <w:adjustRightInd w:val="0"/>
              <w:snapToGrid w:val="0"/>
              <w:spacing w:before="0" w:beforeAutospacing="0" w:after="0" w:afterAutospacing="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期环</w:t>
            </w:r>
          </w:p>
          <w:p>
            <w:pPr>
              <w:pStyle w:val="23"/>
              <w:adjustRightInd w:val="0"/>
              <w:snapToGrid w:val="0"/>
              <w:spacing w:before="0" w:beforeAutospacing="0" w:after="0" w:afterAutospacing="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境保</w:t>
            </w:r>
          </w:p>
          <w:p>
            <w:pPr>
              <w:pStyle w:val="23"/>
              <w:adjustRightInd w:val="0"/>
              <w:snapToGrid w:val="0"/>
              <w:spacing w:before="0" w:beforeAutospacing="0" w:after="0" w:afterAutospacing="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护措</w:t>
            </w:r>
          </w:p>
          <w:p>
            <w:pPr>
              <w:pStyle w:val="23"/>
              <w:adjustRightInd w:val="0"/>
              <w:snapToGrid w:val="0"/>
              <w:spacing w:before="0" w:beforeAutospacing="0" w:after="0" w:afterAutospacing="0"/>
              <w:jc w:val="center"/>
              <w:rPr>
                <w:rFonts w:hint="default" w:ascii="Times New Roman" w:hAnsi="Times New Roman" w:eastAsia="宋体" w:cs="Times New Roman"/>
                <w:bCs/>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施</w:t>
            </w:r>
          </w:p>
        </w:tc>
        <w:tc>
          <w:tcPr>
            <w:tcW w:w="8615" w:type="dxa"/>
          </w:tcPr>
          <w:p>
            <w:pPr>
              <w:spacing w:line="360" w:lineRule="auto"/>
              <w:ind w:firstLine="482"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一、施工期大气污染物分析及防治措施</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本项目租用位于云南省昆明市晋宁区晋宁工业园区二街基地内</w:t>
            </w:r>
            <w:r>
              <w:rPr>
                <w:rFonts w:hint="default" w:ascii="Times New Roman" w:hAnsi="Times New Roman" w:eastAsia="宋体" w:cs="Times New Roman"/>
                <w:color w:val="000000" w:themeColor="text1"/>
                <w:sz w:val="24"/>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sz w:val="24"/>
                <w14:textFill>
                  <w14:solidFill>
                    <w14:schemeClr w14:val="tx1"/>
                  </w14:solidFill>
                </w14:textFill>
              </w:rPr>
              <w:t>已建设好的厂房、场地及相关配套设施进行生产建设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本项目施工期施工内容主要为安装相应的生产设施及环保设备和建设环保设施。因此</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施工期主要污染是施工期噪声、扬尘、施工废水等</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其对环境的不利影响是短暂的</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将随着施工期的结束而消失。</w:t>
            </w:r>
          </w:p>
          <w:p>
            <w:pPr>
              <w:pStyle w:val="19"/>
              <w:adjustRightInd w:val="0"/>
              <w:spacing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1、扬尘</w:t>
            </w:r>
          </w:p>
          <w:p>
            <w:pPr>
              <w:pStyle w:val="19"/>
              <w:adjustRightInd w:val="0"/>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施工期主要进行设备安装</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扬尘产生量较小</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施工活动均在厂房内完成</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施工粉尘以及车辆扬尘采取了洒水抑尘的措施。</w:t>
            </w:r>
          </w:p>
          <w:p>
            <w:pPr>
              <w:pStyle w:val="19"/>
              <w:adjustRightInd w:val="0"/>
              <w:spacing w:line="360" w:lineRule="auto"/>
              <w:ind w:firstLine="482" w:firstLineChars="200"/>
              <w:jc w:val="both"/>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2、废水</w:t>
            </w:r>
          </w:p>
          <w:p>
            <w:pPr>
              <w:pStyle w:val="11"/>
              <w:spacing w:line="360" w:lineRule="auto"/>
              <w:ind w:firstLine="480" w:firstLineChars="200"/>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施工期主要进行设备安装、调试</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不产生施工废水</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施工人员不在场地食宿</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废水主要为施工人员的生活污水。施工人员洗手、如厕均在</w:t>
            </w:r>
            <w:r>
              <w:rPr>
                <w:rFonts w:hint="default" w:ascii="Times New Roman" w:hAnsi="Times New Roman" w:eastAsia="宋体" w:cs="Times New Roman"/>
                <w:color w:val="000000" w:themeColor="text1"/>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szCs w:val="24"/>
                <w14:textFill>
                  <w14:solidFill>
                    <w14:schemeClr w14:val="tx1"/>
                  </w14:solidFill>
                </w14:textFill>
              </w:rPr>
              <w:t>办公楼内进行</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产生的生活污水经化粪池处理后</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达《污水排入城镇下水道水质标准》（GB/T31962-2015）A级标准后接入园区管网</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最终进入</w:t>
            </w:r>
            <w:r>
              <w:rPr>
                <w:rFonts w:hint="default" w:ascii="Times New Roman" w:hAnsi="Times New Roman" w:eastAsia="宋体" w:cs="Times New Roman"/>
                <w:color w:val="000000" w:themeColor="text1"/>
                <w:szCs w:val="24"/>
                <w:lang w:eastAsia="zh-CN"/>
                <w14:textFill>
                  <w14:solidFill>
                    <w14:schemeClr w14:val="tx1"/>
                  </w14:solidFill>
                </w14:textFill>
              </w:rPr>
              <w:t>晋宁县工业园区二街片区生活污水处理厂</w:t>
            </w:r>
            <w:r>
              <w:rPr>
                <w:rFonts w:hint="default" w:ascii="Times New Roman" w:hAnsi="Times New Roman" w:eastAsia="宋体" w:cs="Times New Roman"/>
                <w:color w:val="000000" w:themeColor="text1"/>
                <w:szCs w:val="24"/>
                <w14:textFill>
                  <w14:solidFill>
                    <w14:schemeClr w14:val="tx1"/>
                  </w14:solidFill>
                </w14:textFill>
              </w:rPr>
              <w:t>处理。</w:t>
            </w:r>
          </w:p>
          <w:p>
            <w:pPr>
              <w:pStyle w:val="19"/>
              <w:adjustRightInd w:val="0"/>
              <w:spacing w:line="360" w:lineRule="auto"/>
              <w:ind w:firstLine="482" w:firstLineChars="200"/>
              <w:jc w:val="both"/>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3、噪声</w:t>
            </w:r>
          </w:p>
          <w:p>
            <w:pPr>
              <w:pStyle w:val="19"/>
              <w:adjustRightInd w:val="0"/>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施工期噪声主要为设备安装时的敲击声</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通过厂房进行隔声</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并禁止施工人员抛掷物品</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搬运时尽量轻拿轻放</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合理安排施工时间（中午（12</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00～14</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00）和夜间（22</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00～次日 6</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00）不施工）。</w:t>
            </w:r>
          </w:p>
          <w:p>
            <w:pPr>
              <w:pStyle w:val="19"/>
              <w:adjustRightInd w:val="0"/>
              <w:spacing w:line="360" w:lineRule="auto"/>
              <w:ind w:firstLine="482" w:firstLineChars="200"/>
              <w:jc w:val="both"/>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4、固废</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本项目施工期产生的</w:t>
            </w:r>
            <w:r>
              <w:rPr>
                <w:rFonts w:hint="default" w:ascii="Times New Roman" w:hAnsi="Times New Roman" w:eastAsia="宋体" w:cs="Times New Roman"/>
                <w:color w:val="000000" w:themeColor="text1"/>
                <w:sz w:val="24"/>
                <w:lang w:val="en-US" w:eastAsia="zh-CN"/>
                <w14:textFill>
                  <w14:solidFill>
                    <w14:schemeClr w14:val="tx1"/>
                  </w14:solidFill>
                </w14:textFill>
              </w:rPr>
              <w:t>一般</w:t>
            </w:r>
            <w:r>
              <w:rPr>
                <w:rFonts w:hint="default" w:ascii="Times New Roman" w:hAnsi="Times New Roman" w:eastAsia="宋体" w:cs="Times New Roman"/>
                <w:color w:val="000000" w:themeColor="text1"/>
                <w:sz w:val="24"/>
                <w14:textFill>
                  <w14:solidFill>
                    <w14:schemeClr w14:val="tx1"/>
                  </w14:solidFill>
                </w14:textFill>
              </w:rPr>
              <w:t>固废</w:t>
            </w:r>
            <w:r>
              <w:rPr>
                <w:rFonts w:hint="default" w:ascii="Times New Roman" w:hAnsi="Times New Roman" w:eastAsia="宋体" w:cs="Times New Roman"/>
                <w:color w:val="000000" w:themeColor="text1"/>
                <w:sz w:val="24"/>
                <w:lang w:val="en-US" w:eastAsia="zh-CN"/>
                <w14:textFill>
                  <w14:solidFill>
                    <w14:schemeClr w14:val="tx1"/>
                  </w14:solidFill>
                </w14:textFill>
              </w:rPr>
              <w:t>为</w:t>
            </w:r>
            <w:r>
              <w:rPr>
                <w:rFonts w:hint="default" w:ascii="Times New Roman" w:hAnsi="Times New Roman" w:eastAsia="宋体" w:cs="Times New Roman"/>
                <w:color w:val="000000" w:themeColor="text1"/>
                <w:sz w:val="24"/>
                <w14:textFill>
                  <w14:solidFill>
                    <w14:schemeClr w14:val="tx1"/>
                  </w14:solidFill>
                </w14:textFill>
              </w:rPr>
              <w:t>设备包装材料、螺丝、铁丝等金属零件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收集后外售废品收购站。建筑垃圾集中收集后尽量回收利用</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不能回收利用的建筑垃圾运至指定地点处置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施工人员生活垃圾经垃圾桶收集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生活垃圾由环卫部门清运处置。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366" w:type="dxa"/>
            <w:tcMar>
              <w:left w:w="28" w:type="dxa"/>
              <w:right w:w="28" w:type="dxa"/>
            </w:tcMar>
            <w:vAlign w:val="center"/>
          </w:tcPr>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运营</w:t>
            </w:r>
          </w:p>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期环</w:t>
            </w:r>
          </w:p>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境影</w:t>
            </w:r>
          </w:p>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响和</w:t>
            </w:r>
          </w:p>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保护</w:t>
            </w:r>
          </w:p>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措施</w:t>
            </w:r>
          </w:p>
        </w:tc>
        <w:tc>
          <w:tcPr>
            <w:tcW w:w="8615" w:type="dxa"/>
          </w:tcPr>
          <w:p>
            <w:pPr>
              <w:numPr>
                <w:ilvl w:val="0"/>
                <w:numId w:val="0"/>
              </w:numPr>
              <w:adjustRightInd w:val="0"/>
              <w:snapToGrid w:val="0"/>
              <w:spacing w:line="360" w:lineRule="auto"/>
              <w:ind w:left="420" w:leftChars="0"/>
              <w:rPr>
                <w:rFonts w:hint="default" w:ascii="Times New Roman" w:hAnsi="Times New Roman" w:eastAsia="宋体" w:cs="Times New Roman"/>
                <w:b/>
                <w:bCs w:val="0"/>
                <w:color w:val="000000"/>
                <w:spacing w:val="-10"/>
                <w:sz w:val="24"/>
                <w:szCs w:val="24"/>
                <w:highlight w:val="none"/>
              </w:rPr>
            </w:pPr>
            <w:r>
              <w:rPr>
                <w:rFonts w:hint="default" w:ascii="Times New Roman" w:hAnsi="Times New Roman" w:eastAsia="宋体" w:cs="Times New Roman"/>
                <w:b/>
                <w:bCs w:val="0"/>
                <w:color w:val="000000"/>
                <w:spacing w:val="-10"/>
                <w:sz w:val="24"/>
                <w:szCs w:val="24"/>
                <w:highlight w:val="none"/>
                <w:lang w:val="en-US" w:eastAsia="zh-CN"/>
              </w:rPr>
              <w:t>二、</w:t>
            </w:r>
            <w:r>
              <w:rPr>
                <w:rFonts w:hint="default" w:ascii="Times New Roman" w:hAnsi="Times New Roman" w:eastAsia="宋体" w:cs="Times New Roman"/>
                <w:b/>
                <w:bCs w:val="0"/>
                <w:color w:val="000000"/>
                <w:spacing w:val="-10"/>
                <w:sz w:val="24"/>
                <w:szCs w:val="24"/>
                <w:highlight w:val="none"/>
              </w:rPr>
              <w:t>运营期废气环境影响及保护措施</w:t>
            </w:r>
          </w:p>
          <w:p>
            <w:pPr>
              <w:numPr>
                <w:ilvl w:val="0"/>
                <w:numId w:val="0"/>
              </w:numPr>
              <w:bidi w:val="0"/>
              <w:spacing w:line="360" w:lineRule="auto"/>
              <w:ind w:left="420" w:leftChars="0"/>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（一）、产排污环节、污染物及污染治理设施</w:t>
            </w:r>
          </w:p>
          <w:p>
            <w:pPr>
              <w:numPr>
                <w:ilvl w:val="0"/>
                <w:numId w:val="0"/>
              </w:numPr>
              <w:bidi w:val="0"/>
              <w:spacing w:line="360" w:lineRule="auto"/>
              <w:ind w:firstLine="480" w:firstLineChars="200"/>
              <w:rPr>
                <w:rFonts w:hint="default"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rPr>
              <w:t>根据《建设项目环境影响报告表编制技术指南（污染影响类）（试行）》</w:t>
            </w:r>
            <w:r>
              <w:rPr>
                <w:rFonts w:hint="eastAsia" w:cs="Times New Roman"/>
                <w:b w:val="0"/>
                <w:bCs w:val="0"/>
                <w:color w:val="000000"/>
                <w:sz w:val="24"/>
                <w:szCs w:val="24"/>
                <w:highlight w:val="none"/>
                <w:lang w:val="en-US" w:eastAsia="zh-CN"/>
              </w:rPr>
              <w:t>，</w:t>
            </w:r>
            <w:r>
              <w:rPr>
                <w:rFonts w:hint="default" w:ascii="Times New Roman" w:hAnsi="Times New Roman" w:eastAsia="宋体" w:cs="Times New Roman"/>
                <w:b w:val="0"/>
                <w:bCs w:val="0"/>
                <w:color w:val="000000"/>
                <w:sz w:val="24"/>
                <w:szCs w:val="24"/>
                <w:highlight w:val="none"/>
                <w:lang w:val="en-US" w:eastAsia="zh-CN"/>
              </w:rPr>
              <w:t>结合《排污许可申请与核发技术规范 总则》（HJ942-2018）</w:t>
            </w:r>
            <w:r>
              <w:rPr>
                <w:rFonts w:hint="eastAsia" w:cs="Times New Roman"/>
                <w:b w:val="0"/>
                <w:bCs w:val="0"/>
                <w:color w:val="000000"/>
                <w:sz w:val="24"/>
                <w:szCs w:val="24"/>
                <w:highlight w:val="none"/>
                <w:lang w:val="en-US" w:eastAsia="zh-CN"/>
              </w:rPr>
              <w:t>，</w:t>
            </w:r>
            <w:r>
              <w:rPr>
                <w:rFonts w:hint="default" w:ascii="Times New Roman" w:hAnsi="Times New Roman" w:eastAsia="宋体" w:cs="Times New Roman"/>
                <w:b w:val="0"/>
                <w:bCs w:val="0"/>
                <w:color w:val="000000"/>
                <w:sz w:val="24"/>
                <w:szCs w:val="24"/>
                <w:highlight w:val="none"/>
                <w:lang w:val="en-US" w:eastAsia="zh-CN"/>
              </w:rPr>
              <w:t>本项目生产单元、生产设施、产污环节、主要污染物项目、排放形式、污染治理设施名称及工艺、排放口类型见表 4-1 所示。</w:t>
            </w:r>
          </w:p>
          <w:p>
            <w:pPr>
              <w:pStyle w:val="26"/>
              <w:keepNext w:val="0"/>
              <w:keepLines w:val="0"/>
              <w:pageBreakBefore w:val="0"/>
              <w:widowControl w:val="0"/>
              <w:kinsoku/>
              <w:wordWrap/>
              <w:overflowPunct/>
              <w:topLinePunct w:val="0"/>
              <w:autoSpaceDE w:val="0"/>
              <w:autoSpaceDN w:val="0"/>
              <w:bidi w:val="0"/>
              <w:adjustRightInd/>
              <w:snapToGrid/>
              <w:spacing w:after="0" w:line="240" w:lineRule="atLeast"/>
              <w:ind w:left="0" w:left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color w:val="000000"/>
                <w:sz w:val="21"/>
                <w:szCs w:val="21"/>
                <w:highlight w:val="none"/>
                <w:lang w:val="en-US" w:eastAsia="zh-CN"/>
              </w:rPr>
              <w:t>表 4-1产排污环节、污染物及污染治理设施</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804"/>
              <w:gridCol w:w="1252"/>
              <w:gridCol w:w="2758"/>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24" w:type="pct"/>
                  <w:vMerge w:val="restart"/>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产污环节</w:t>
                  </w:r>
                </w:p>
              </w:tc>
              <w:tc>
                <w:tcPr>
                  <w:tcW w:w="1075" w:type="pct"/>
                  <w:vMerge w:val="restart"/>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主要污染</w:t>
                  </w:r>
                </w:p>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物项目</w:t>
                  </w:r>
                </w:p>
              </w:tc>
              <w:tc>
                <w:tcPr>
                  <w:tcW w:w="746" w:type="pct"/>
                  <w:vMerge w:val="restart"/>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主要排放形式</w:t>
                  </w:r>
                </w:p>
              </w:tc>
              <w:tc>
                <w:tcPr>
                  <w:tcW w:w="164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主要污染治理设施</w:t>
                  </w:r>
                </w:p>
              </w:tc>
              <w:tc>
                <w:tcPr>
                  <w:tcW w:w="709" w:type="pct"/>
                  <w:vMerge w:val="restart"/>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824" w:type="pct"/>
                  <w:vMerge w:val="continue"/>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075" w:type="pct"/>
                  <w:vMerge w:val="continue"/>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746" w:type="pct"/>
                  <w:vMerge w:val="continue"/>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64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污染治理设施名称及工艺</w:t>
                  </w:r>
                </w:p>
              </w:tc>
              <w:tc>
                <w:tcPr>
                  <w:tcW w:w="709" w:type="pct"/>
                  <w:vMerge w:val="continue"/>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82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000000" w:themeColor="text1"/>
                      <w:sz w:val="21"/>
                      <w:szCs w:val="21"/>
                      <w14:textFill>
                        <w14:solidFill>
                          <w14:schemeClr w14:val="tx1"/>
                        </w14:solidFill>
                      </w14:textFill>
                    </w:rPr>
                    <w:t>AKD蜡融化</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工段</w:t>
                  </w:r>
                </w:p>
              </w:tc>
              <w:tc>
                <w:tcPr>
                  <w:tcW w:w="1075"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非甲烷总烃</w:t>
                  </w:r>
                </w:p>
              </w:tc>
              <w:tc>
                <w:tcPr>
                  <w:tcW w:w="746"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有组织</w:t>
                  </w:r>
                </w:p>
              </w:tc>
              <w:tc>
                <w:tcPr>
                  <w:tcW w:w="1644"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二级活性炭吸附设备+</w:t>
                  </w:r>
                </w:p>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排气筒（15m）</w:t>
                  </w:r>
                </w:p>
              </w:tc>
              <w:tc>
                <w:tcPr>
                  <w:tcW w:w="709" w:type="pct"/>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一般排放口</w:t>
                  </w:r>
                </w:p>
              </w:tc>
            </w:tr>
          </w:tbl>
          <w:p>
            <w:pPr>
              <w:pStyle w:val="45"/>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highlight w:val="none"/>
                <w:lang w:eastAsia="zh-CN"/>
              </w:rPr>
            </w:pPr>
            <w:r>
              <w:rPr>
                <w:rFonts w:hint="default" w:ascii="Times New Roman" w:hAnsi="Times New Roman" w:eastAsia="宋体" w:cs="Times New Roman"/>
                <w:b/>
                <w:bCs/>
                <w:sz w:val="24"/>
                <w:szCs w:val="24"/>
                <w:highlight w:val="none"/>
                <w:lang w:eastAsia="zh-CN"/>
              </w:rPr>
              <w:t>（</w:t>
            </w:r>
            <w:r>
              <w:rPr>
                <w:rFonts w:hint="default" w:ascii="Times New Roman" w:hAnsi="Times New Roman" w:eastAsia="宋体" w:cs="Times New Roman"/>
                <w:b/>
                <w:bCs/>
                <w:sz w:val="24"/>
                <w:szCs w:val="24"/>
                <w:highlight w:val="none"/>
                <w:lang w:val="en-US" w:eastAsia="zh-CN"/>
              </w:rPr>
              <w:t>二</w:t>
            </w:r>
            <w:r>
              <w:rPr>
                <w:rFonts w:hint="default" w:ascii="Times New Roman" w:hAnsi="Times New Roman" w:eastAsia="宋体" w:cs="Times New Roman"/>
                <w:b/>
                <w:bCs/>
                <w:sz w:val="24"/>
                <w:szCs w:val="24"/>
                <w:highlight w:val="none"/>
                <w:lang w:eastAsia="zh-CN"/>
              </w:rPr>
              <w:t>）</w:t>
            </w:r>
            <w:r>
              <w:rPr>
                <w:rFonts w:hint="default" w:ascii="Times New Roman" w:hAnsi="Times New Roman" w:eastAsia="宋体" w:cs="Times New Roman"/>
                <w:b/>
                <w:bCs/>
                <w:sz w:val="24"/>
                <w:szCs w:val="24"/>
                <w:highlight w:val="none"/>
              </w:rPr>
              <w:t>、</w:t>
            </w:r>
            <w:r>
              <w:rPr>
                <w:rFonts w:hint="default" w:ascii="Times New Roman" w:hAnsi="Times New Roman" w:eastAsia="宋体" w:cs="Times New Roman"/>
                <w:b/>
                <w:bCs/>
                <w:sz w:val="24"/>
                <w:szCs w:val="24"/>
                <w:highlight w:val="none"/>
                <w:lang w:eastAsia="zh-CN"/>
              </w:rPr>
              <w:t>废气的</w:t>
            </w:r>
            <w:r>
              <w:rPr>
                <w:rFonts w:hint="default" w:ascii="Times New Roman" w:hAnsi="Times New Roman" w:eastAsia="宋体" w:cs="Times New Roman"/>
                <w:b/>
                <w:bCs/>
                <w:sz w:val="24"/>
                <w:szCs w:val="24"/>
                <w:highlight w:val="none"/>
                <w:lang w:val="en-US" w:eastAsia="zh-CN"/>
              </w:rPr>
              <w:t>产生量</w:t>
            </w:r>
            <w:r>
              <w:rPr>
                <w:rFonts w:hint="default" w:ascii="Times New Roman" w:hAnsi="Times New Roman" w:eastAsia="宋体" w:cs="Times New Roman"/>
                <w:b/>
                <w:bCs/>
                <w:sz w:val="24"/>
                <w:szCs w:val="24"/>
                <w:highlight w:val="none"/>
                <w:lang w:eastAsia="zh-CN"/>
              </w:rPr>
              <w:t>分析</w:t>
            </w:r>
          </w:p>
          <w:p>
            <w:pPr>
              <w:widowControl/>
              <w:spacing w:line="360" w:lineRule="auto"/>
              <w:ind w:firstLine="440" w:firstLineChars="200"/>
              <w:jc w:val="both"/>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pacing w:val="-10"/>
                <w:sz w:val="24"/>
                <w:highlight w:val="none"/>
                <w14:textFill>
                  <w14:solidFill>
                    <w14:schemeClr w14:val="tx1"/>
                  </w14:solidFill>
                </w14:textFill>
              </w:rPr>
              <w:t>项目运营期</w:t>
            </w:r>
            <w:r>
              <w:rPr>
                <w:rFonts w:hint="eastAsia" w:cs="Times New Roman"/>
                <w:color w:val="000000" w:themeColor="text1"/>
                <w:spacing w:val="-10"/>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10"/>
                <w:sz w:val="24"/>
                <w:highlight w:val="none"/>
                <w14:textFill>
                  <w14:solidFill>
                    <w14:schemeClr w14:val="tx1"/>
                  </w14:solidFill>
                </w14:textFill>
              </w:rPr>
              <w:t>项目废气主要为：</w:t>
            </w:r>
            <w:r>
              <w:rPr>
                <w:rFonts w:hint="eastAsia" w:cs="Times New Roman"/>
                <w:b w:val="0"/>
                <w:bCs w:val="0"/>
                <w:color w:val="000000" w:themeColor="text1"/>
                <w:spacing w:val="-10"/>
                <w:sz w:val="24"/>
                <w:highlight w:val="none"/>
                <w:lang w:val="en-US" w:eastAsia="zh-CN"/>
                <w14:textFill>
                  <w14:solidFill>
                    <w14:schemeClr w14:val="tx1"/>
                  </w14:solidFill>
                </w14:textFill>
              </w:rPr>
              <w:t>原料</w:t>
            </w:r>
            <w:r>
              <w:rPr>
                <w:rFonts w:hint="default" w:ascii="Times New Roman" w:hAnsi="Times New Roman" w:eastAsia="宋体" w:cs="Times New Roman"/>
                <w:b w:val="0"/>
                <w:bCs w:val="0"/>
                <w:color w:val="000000" w:themeColor="text1"/>
                <w:sz w:val="24"/>
                <w14:textFill>
                  <w14:solidFill>
                    <w14:schemeClr w14:val="tx1"/>
                  </w14:solidFill>
                </w14:textFill>
              </w:rPr>
              <w:t>AKD蜡融化</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工段产生的非甲烷总烃</w:t>
            </w:r>
            <w:r>
              <w:rPr>
                <w:rFonts w:hint="default" w:ascii="Times New Roman" w:hAnsi="Times New Roman" w:eastAsia="宋体" w:cs="Times New Roman"/>
                <w:b w:val="0"/>
                <w:bCs w:val="0"/>
                <w:color w:val="000000" w:themeColor="text1"/>
                <w:position w:val="2"/>
                <w:sz w:val="24"/>
                <w:highlight w:val="none"/>
                <w:lang w:val="en-US" w:eastAsia="zh-CN"/>
                <w14:textFill>
                  <w14:solidFill>
                    <w14:schemeClr w14:val="tx1"/>
                  </w14:solidFill>
                </w14:textFill>
              </w:rPr>
              <w:t>等</w:t>
            </w:r>
            <w:r>
              <w:rPr>
                <w:rFonts w:hint="default" w:ascii="Times New Roman" w:hAnsi="Times New Roman" w:eastAsia="宋体" w:cs="Times New Roman"/>
                <w:b w:val="0"/>
                <w:bCs w:val="0"/>
                <w:color w:val="000000" w:themeColor="text1"/>
                <w:position w:val="2"/>
                <w:sz w:val="24"/>
                <w:highlight w:val="none"/>
                <w14:textFill>
                  <w14:solidFill>
                    <w14:schemeClr w14:val="tx1"/>
                  </w14:solidFill>
                </w14:textFill>
              </w:rPr>
              <w:t>；具</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体分析如下：</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污染源强分析</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both"/>
              <w:textAlignment w:val="auto"/>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根据项目所使用的原料物理特性：高分子乳化剂、尿素、高含量消泡剂、高含量施胶剂、高含量防水剂为液体。AKD蜡为蜡状固体，硫酸铝、聚丙烯酰胺为晶体物质，比重较大，在投料过程中不会产生粉尘。</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both"/>
              <w:textAlignment w:val="auto"/>
              <w:rPr>
                <w:rFonts w:hint="default" w:ascii="Times New Roman" w:hAnsi="Times New Roman" w:eastAsia="宋体" w:cs="Times New Roman"/>
                <w:color w:val="000000" w:themeColor="text1"/>
                <w:spacing w:val="-10"/>
                <w:sz w:val="24"/>
                <w:highlight w:val="none"/>
                <w14:textFill>
                  <w14:solidFill>
                    <w14:schemeClr w14:val="tx1"/>
                  </w14:solidFill>
                </w14:textFill>
              </w:rPr>
            </w:pPr>
            <w:r>
              <w:rPr>
                <w:rFonts w:hint="default" w:ascii="Times New Roman" w:hAnsi="Times New Roman" w:eastAsia="宋体" w:cs="Times New Roman"/>
                <w:color w:val="000000" w:themeColor="text1"/>
                <w:spacing w:val="-10"/>
                <w:sz w:val="24"/>
                <w:highlight w:val="none"/>
                <w14:textFill>
                  <w14:solidFill>
                    <w14:schemeClr w14:val="tx1"/>
                  </w14:solidFill>
                </w14:textFill>
              </w:rPr>
              <w:t>本项目</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仅在</w:t>
            </w:r>
            <w:r>
              <w:rPr>
                <w:rFonts w:hint="default" w:ascii="Times New Roman" w:hAnsi="Times New Roman" w:eastAsia="宋体" w:cs="Times New Roman"/>
                <w:color w:val="000000" w:themeColor="text1"/>
                <w:spacing w:val="-10"/>
                <w:sz w:val="24"/>
                <w:highlight w:val="none"/>
                <w14:textFill>
                  <w14:solidFill>
                    <w14:schemeClr w14:val="tx1"/>
                  </w14:solidFill>
                </w14:textFill>
              </w:rPr>
              <w:t>AKD乳液生产线</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中将原料</w:t>
            </w:r>
            <w:r>
              <w:rPr>
                <w:rFonts w:hint="default" w:ascii="Times New Roman" w:hAnsi="Times New Roman" w:eastAsia="宋体" w:cs="Times New Roman"/>
                <w:color w:val="000000" w:themeColor="text1"/>
                <w:spacing w:val="-10"/>
                <w:sz w:val="24"/>
                <w:highlight w:val="none"/>
                <w14:textFill>
                  <w14:solidFill>
                    <w14:schemeClr w14:val="tx1"/>
                  </w14:solidFill>
                </w14:textFill>
              </w:rPr>
              <w:t>AKD蜡</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加热</w:t>
            </w:r>
            <w:r>
              <w:rPr>
                <w:rFonts w:hint="default" w:ascii="Times New Roman" w:hAnsi="Times New Roman" w:eastAsia="宋体" w:cs="Times New Roman"/>
                <w:color w:val="000000" w:themeColor="text1"/>
                <w:spacing w:val="-10"/>
                <w:sz w:val="24"/>
                <w:highlight w:val="none"/>
                <w14:textFill>
                  <w14:solidFill>
                    <w14:schemeClr w14:val="tx1"/>
                  </w14:solidFill>
                </w14:textFill>
              </w:rPr>
              <w:t>融化</w:t>
            </w:r>
            <w:r>
              <w:rPr>
                <w:rFonts w:hint="default" w:ascii="Times New Roman" w:hAnsi="Times New Roman" w:eastAsia="宋体" w:cs="Times New Roman"/>
                <w:color w:val="000000" w:themeColor="text1"/>
                <w:spacing w:val="-1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用电提供热源，间接加热，加热</w:t>
            </w:r>
            <w:r>
              <w:rPr>
                <w:rFonts w:hint="default" w:ascii="Times New Roman" w:hAnsi="Times New Roman" w:eastAsia="宋体" w:cs="Times New Roman"/>
                <w:color w:val="000000" w:themeColor="text1"/>
                <w:spacing w:val="-10"/>
                <w:sz w:val="24"/>
                <w:highlight w:val="none"/>
                <w14:textFill>
                  <w14:solidFill>
                    <w14:schemeClr w14:val="tx1"/>
                  </w14:solidFill>
                </w14:textFill>
              </w:rPr>
              <w:t>控制温度在</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pacing w:val="-10"/>
                <w:sz w:val="24"/>
                <w:highlight w:val="none"/>
                <w14:textFill>
                  <w14:solidFill>
                    <w14:schemeClr w14:val="tx1"/>
                  </w14:solidFill>
                </w14:textFill>
              </w:rPr>
              <w:t>℃以下</w:t>
            </w:r>
            <w:r>
              <w:rPr>
                <w:rFonts w:hint="default" w:ascii="Times New Roman" w:hAnsi="Times New Roman" w:eastAsia="宋体" w:cs="Times New Roman"/>
                <w:color w:val="000000" w:themeColor="text1"/>
                <w:spacing w:val="-1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0"/>
                <w:sz w:val="24"/>
                <w:highlight w:val="none"/>
                <w14:textFill>
                  <w14:solidFill>
                    <w14:schemeClr w14:val="tx1"/>
                  </w14:solidFill>
                </w14:textFill>
              </w:rPr>
              <w:t>AKD蜡熔点为46-50℃之间</w:t>
            </w:r>
            <w:r>
              <w:rPr>
                <w:rFonts w:hint="default" w:ascii="Times New Roman" w:hAnsi="Times New Roman" w:eastAsia="宋体" w:cs="Times New Roman"/>
                <w:color w:val="000000" w:themeColor="text1"/>
                <w:spacing w:val="-1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0"/>
                <w:sz w:val="24"/>
                <w:highlight w:val="none"/>
                <w14:textFill>
                  <w14:solidFill>
                    <w14:schemeClr w14:val="tx1"/>
                  </w14:solidFill>
                </w14:textFill>
              </w:rPr>
              <w:t>融化过程会产生少量的有机废气</w:t>
            </w:r>
            <w:r>
              <w:rPr>
                <w:rFonts w:hint="default" w:ascii="Times New Roman" w:hAnsi="Times New Roman" w:eastAsia="宋体" w:cs="Times New Roman"/>
                <w:color w:val="000000" w:themeColor="text1"/>
                <w:spacing w:val="-1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以非甲烷总烃计</w:t>
            </w:r>
            <w:r>
              <w:rPr>
                <w:rFonts w:hint="default" w:ascii="Times New Roman" w:hAnsi="Times New Roman" w:eastAsia="宋体" w:cs="Times New Roman"/>
                <w:color w:val="000000" w:themeColor="text1"/>
                <w:spacing w:val="-1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Times New Roman" w:hAnsi="Times New Roman" w:eastAsia="宋体" w:cs="Times New Roman"/>
                <w:sz w:val="24"/>
              </w:rPr>
            </w:pPr>
            <w:r>
              <w:rPr>
                <w:rFonts w:hint="default" w:ascii="Times New Roman" w:hAnsi="Times New Roman" w:eastAsia="宋体" w:cs="Times New Roman"/>
                <w:b/>
                <w:bCs/>
                <w:color w:val="000000" w:themeColor="text1"/>
                <w:sz w:val="24"/>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14:textFill>
                  <w14:solidFill>
                    <w14:schemeClr w14:val="tx1"/>
                  </w14:solidFill>
                </w14:textFill>
              </w:rPr>
              <w:t>）AKD蜡融化</w:t>
            </w:r>
            <w:r>
              <w:rPr>
                <w:rFonts w:hint="default" w:ascii="Times New Roman" w:hAnsi="Times New Roman" w:eastAsia="宋体" w:cs="Times New Roman"/>
                <w:b/>
                <w:bCs/>
                <w:color w:val="000000" w:themeColor="text1"/>
                <w:sz w:val="24"/>
                <w:lang w:val="en-US" w:eastAsia="zh-CN"/>
                <w14:textFill>
                  <w14:solidFill>
                    <w14:schemeClr w14:val="tx1"/>
                  </w14:solidFill>
                </w14:textFill>
              </w:rPr>
              <w:t>工段产生的</w:t>
            </w:r>
            <w:r>
              <w:rPr>
                <w:rFonts w:hint="default" w:ascii="Times New Roman" w:hAnsi="Times New Roman" w:eastAsia="宋体" w:cs="Times New Roman"/>
                <w:b/>
                <w:bCs/>
                <w:color w:val="000000" w:themeColor="text1"/>
                <w:sz w:val="24"/>
                <w:lang w:val="en-GB"/>
                <w14:textFill>
                  <w14:solidFill>
                    <w14:schemeClr w14:val="tx1"/>
                  </w14:solidFill>
                </w14:textFill>
              </w:rPr>
              <w:t>有机废气</w:t>
            </w:r>
            <w:r>
              <w:rPr>
                <w:rFonts w:hint="default" w:ascii="Times New Roman" w:hAnsi="Times New Roman" w:eastAsia="宋体" w:cs="Times New Roman"/>
                <w:b/>
                <w:bCs/>
                <w:color w:val="000000" w:themeColor="text1"/>
                <w:sz w:val="24"/>
                <w:lang w:val="en-US" w:eastAsia="zh-CN"/>
                <w14:textFill>
                  <w14:solidFill>
                    <w14:schemeClr w14:val="tx1"/>
                  </w14:solidFill>
                </w14:textFill>
              </w:rPr>
              <w:t>非甲烷总烃</w:t>
            </w:r>
          </w:p>
          <w:p>
            <w:pPr>
              <w:pStyle w:val="45"/>
              <w:keepNext w:val="0"/>
              <w:keepLines w:val="0"/>
              <w:pageBreakBefore w:val="0"/>
              <w:widowControl w:val="0"/>
              <w:kinsoku/>
              <w:wordWrap/>
              <w:overflowPunct/>
              <w:topLinePunct w:val="0"/>
              <w:autoSpaceDE/>
              <w:autoSpaceDN/>
              <w:bidi w:val="0"/>
              <w:adjustRightInd/>
              <w:snapToGrid/>
              <w:spacing w:line="360" w:lineRule="auto"/>
              <w:ind w:right="0" w:firstLine="432" w:firstLineChars="200"/>
              <w:jc w:val="both"/>
              <w:textAlignment w:val="auto"/>
              <w:rPr>
                <w:rFonts w:hint="default" w:ascii="Times New Roman" w:hAnsi="Times New Roman" w:eastAsia="宋体" w:cs="Times New Roman"/>
                <w:sz w:val="24"/>
              </w:rPr>
            </w:pPr>
            <w:r>
              <w:rPr>
                <w:rFonts w:hint="default" w:ascii="Times New Roman" w:hAnsi="Times New Roman" w:eastAsia="宋体" w:cs="Times New Roman"/>
                <w:spacing w:val="-12"/>
                <w:sz w:val="24"/>
                <w:lang w:val="en-US" w:eastAsia="zh-CN"/>
              </w:rPr>
              <w:t>①非甲烷总烃产生量</w:t>
            </w:r>
            <w:r>
              <w:rPr>
                <w:rFonts w:hint="default" w:ascii="Times New Roman" w:hAnsi="Times New Roman" w:eastAsia="宋体" w:cs="Times New Roman"/>
                <w:spacing w:val="-12"/>
                <w:sz w:val="24"/>
              </w:rPr>
              <w:t>参考《河北通力化工助剂有限公司年产</w:t>
            </w:r>
            <w:r>
              <w:rPr>
                <w:rFonts w:hint="default" w:ascii="Times New Roman" w:hAnsi="Times New Roman" w:eastAsia="宋体" w:cs="Times New Roman"/>
                <w:sz w:val="24"/>
              </w:rPr>
              <w:t>5</w:t>
            </w:r>
            <w:r>
              <w:rPr>
                <w:rFonts w:hint="default" w:ascii="Times New Roman" w:hAnsi="Times New Roman" w:eastAsia="宋体" w:cs="Times New Roman"/>
                <w:spacing w:val="-21"/>
                <w:sz w:val="24"/>
              </w:rPr>
              <w:t xml:space="preserve">万吨 </w:t>
            </w:r>
            <w:r>
              <w:rPr>
                <w:rFonts w:hint="default" w:ascii="Times New Roman" w:hAnsi="Times New Roman" w:eastAsia="宋体" w:cs="Times New Roman"/>
                <w:sz w:val="24"/>
              </w:rPr>
              <w:t>AKD</w:t>
            </w:r>
            <w:r>
              <w:rPr>
                <w:rFonts w:hint="default" w:ascii="Times New Roman" w:hAnsi="Times New Roman" w:eastAsia="宋体" w:cs="Times New Roman"/>
                <w:spacing w:val="-2"/>
                <w:sz w:val="24"/>
              </w:rPr>
              <w:t>乳液生产线项目验收监测</w:t>
            </w:r>
            <w:r>
              <w:rPr>
                <w:rFonts w:hint="default" w:ascii="Times New Roman" w:hAnsi="Times New Roman" w:eastAsia="宋体" w:cs="Times New Roman"/>
                <w:spacing w:val="-10"/>
                <w:sz w:val="24"/>
              </w:rPr>
              <w:t>报告》</w:t>
            </w:r>
            <w:r>
              <w:rPr>
                <w:rFonts w:hint="default" w:ascii="Times New Roman" w:hAnsi="Times New Roman" w:eastAsia="宋体" w:cs="Times New Roman"/>
                <w:spacing w:val="-3"/>
                <w:sz w:val="24"/>
              </w:rPr>
              <w:t>（</w:t>
            </w:r>
            <w:r>
              <w:rPr>
                <w:rFonts w:hint="default" w:ascii="Times New Roman" w:hAnsi="Times New Roman" w:eastAsia="宋体" w:cs="Times New Roman"/>
                <w:sz w:val="24"/>
              </w:rPr>
              <w:t>晟环测字[2018]</w:t>
            </w:r>
            <w:r>
              <w:rPr>
                <w:rFonts w:hint="default" w:ascii="Times New Roman" w:hAnsi="Times New Roman" w:eastAsia="宋体" w:cs="Times New Roman"/>
                <w:spacing w:val="-30"/>
                <w:sz w:val="24"/>
              </w:rPr>
              <w:t xml:space="preserve">第 </w:t>
            </w:r>
            <w:r>
              <w:rPr>
                <w:rFonts w:hint="default" w:ascii="Times New Roman" w:hAnsi="Times New Roman" w:eastAsia="宋体" w:cs="Times New Roman"/>
                <w:sz w:val="24"/>
              </w:rPr>
              <w:t>619 号</w:t>
            </w:r>
            <w:r>
              <w:rPr>
                <w:rFonts w:hint="default" w:ascii="Times New Roman" w:hAnsi="Times New Roman" w:eastAsia="宋体" w:cs="Times New Roman"/>
                <w:spacing w:val="-16"/>
                <w:sz w:val="24"/>
              </w:rPr>
              <w:t>）</w:t>
            </w:r>
            <w:r>
              <w:rPr>
                <w:rFonts w:hint="eastAsia" w:ascii="Times New Roman" w:hAnsi="Times New Roman" w:cs="Times New Roman"/>
                <w:spacing w:val="-6"/>
                <w:sz w:val="24"/>
                <w:lang w:eastAsia="zh-CN"/>
              </w:rPr>
              <w:t>，</w:t>
            </w:r>
            <w:r>
              <w:rPr>
                <w:rFonts w:hint="default" w:ascii="Times New Roman" w:hAnsi="Times New Roman" w:eastAsia="宋体" w:cs="Times New Roman"/>
                <w:spacing w:val="-6"/>
                <w:sz w:val="24"/>
              </w:rPr>
              <w:t>其生产工艺与本项目生产工艺相同</w:t>
            </w:r>
            <w:r>
              <w:rPr>
                <w:rFonts w:hint="eastAsia" w:ascii="Times New Roman" w:hAnsi="Times New Roman" w:cs="Times New Roman"/>
                <w:spacing w:val="-6"/>
                <w:sz w:val="24"/>
                <w:lang w:eastAsia="zh-CN"/>
              </w:rPr>
              <w:t>，</w:t>
            </w:r>
            <w:r>
              <w:rPr>
                <w:rFonts w:hint="default" w:ascii="Times New Roman" w:hAnsi="Times New Roman" w:eastAsia="宋体" w:cs="Times New Roman"/>
                <w:spacing w:val="-6"/>
                <w:sz w:val="24"/>
              </w:rPr>
              <w:t>本项目与其的可比性分析见</w:t>
            </w:r>
            <w:r>
              <w:rPr>
                <w:rFonts w:hint="default" w:ascii="Times New Roman" w:hAnsi="Times New Roman" w:eastAsia="宋体" w:cs="Times New Roman"/>
                <w:spacing w:val="-6"/>
                <w:sz w:val="24"/>
                <w:lang w:val="en-US" w:eastAsia="zh-CN"/>
              </w:rPr>
              <w:t>下</w:t>
            </w:r>
            <w:r>
              <w:rPr>
                <w:rFonts w:hint="default" w:ascii="Times New Roman" w:hAnsi="Times New Roman" w:eastAsia="宋体" w:cs="Times New Roman"/>
                <w:spacing w:val="-6"/>
                <w:sz w:val="24"/>
              </w:rPr>
              <w:t>表</w:t>
            </w:r>
            <w:r>
              <w:rPr>
                <w:rFonts w:hint="default" w:ascii="Times New Roman" w:hAnsi="Times New Roman" w:eastAsia="宋体" w:cs="Times New Roman"/>
                <w:sz w:val="24"/>
                <w:lang w:val="en-US" w:eastAsia="zh-CN"/>
              </w:rPr>
              <w:t>4-2</w:t>
            </w:r>
            <w:r>
              <w:rPr>
                <w:rFonts w:hint="default" w:ascii="Times New Roman" w:hAnsi="Times New Roman" w:eastAsia="宋体" w:cs="Times New Roman"/>
                <w:sz w:val="24"/>
              </w:rPr>
              <w:t>。</w:t>
            </w:r>
          </w:p>
          <w:p>
            <w:pPr>
              <w:keepNext w:val="0"/>
              <w:keepLines w:val="0"/>
              <w:widowControl/>
              <w:suppressLineNumbers w:val="0"/>
              <w:jc w:val="center"/>
              <w:rPr>
                <w:rFonts w:hint="default" w:ascii="Times New Roman" w:hAnsi="Times New Roman" w:eastAsia="宋体" w:cs="Times New Roman"/>
                <w:b/>
                <w:bCs/>
                <w:color w:val="000000" w:themeColor="text1"/>
                <w:sz w:val="21"/>
                <w:szCs w:val="21"/>
                <w14:textFill>
                  <w14:solidFill>
                    <w14:schemeClr w14:val="tx1"/>
                  </w14:solidFill>
                </w14:textFill>
              </w:rPr>
            </w:pPr>
          </w:p>
          <w:p>
            <w:pPr>
              <w:keepNext w:val="0"/>
              <w:keepLines w:val="0"/>
              <w:widowControl/>
              <w:suppressLineNumbers w:val="0"/>
              <w:jc w:val="center"/>
              <w:rPr>
                <w:rFonts w:hint="default" w:ascii="Times New Roman" w:hAnsi="Times New Roman" w:eastAsia="宋体" w:cs="Times New Roman"/>
                <w:b/>
                <w:bCs/>
                <w:color w:val="000000" w:themeColor="text1"/>
                <w:sz w:val="21"/>
                <w:szCs w:val="21"/>
                <w14:textFill>
                  <w14:solidFill>
                    <w14:schemeClr w14:val="tx1"/>
                  </w14:solidFill>
                </w14:textFill>
              </w:rPr>
            </w:pPr>
          </w:p>
          <w:p>
            <w:pPr>
              <w:keepNext w:val="0"/>
              <w:keepLines w:val="0"/>
              <w:widowControl/>
              <w:suppressLineNumbers w:val="0"/>
              <w:jc w:val="center"/>
              <w:rPr>
                <w:rFonts w:hint="default" w:ascii="Times New Roman" w:hAnsi="Times New Roman" w:eastAsia="宋体" w:cs="Times New Roman"/>
                <w:b/>
                <w:bCs/>
                <w:color w:val="000000" w:themeColor="text1"/>
                <w:sz w:val="21"/>
                <w:szCs w:val="21"/>
                <w14:textFill>
                  <w14:solidFill>
                    <w14:schemeClr w14:val="tx1"/>
                  </w14:solidFill>
                </w14:textFill>
              </w:rPr>
            </w:pPr>
          </w:p>
          <w:p>
            <w:pPr>
              <w:keepNext w:val="0"/>
              <w:keepLines w:val="0"/>
              <w:widowControl/>
              <w:suppressLineNumbers w:val="0"/>
              <w:jc w:val="center"/>
              <w:rPr>
                <w:rFonts w:hint="default" w:ascii="Times New Roman" w:hAnsi="Times New Roman" w:eastAsia="宋体" w:cs="Times New Roman"/>
                <w:b/>
                <w:bCs/>
                <w:color w:val="000000" w:themeColor="text1"/>
                <w:sz w:val="21"/>
                <w:szCs w:val="21"/>
                <w14:textFill>
                  <w14:solidFill>
                    <w14:schemeClr w14:val="tx1"/>
                  </w14:solidFill>
                </w14:textFill>
              </w:rPr>
            </w:pPr>
          </w:p>
          <w:p>
            <w:pPr>
              <w:keepNext w:val="0"/>
              <w:keepLines w:val="0"/>
              <w:widowControl/>
              <w:suppressLineNumbers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r>
              <w:rPr>
                <w:rFonts w:hint="default" w:ascii="Times New Roman" w:hAnsi="Times New Roman" w:eastAsia="宋体" w:cs="Times New Roman"/>
                <w:b/>
                <w:bCs/>
                <w:color w:val="000000"/>
                <w:kern w:val="0"/>
                <w:sz w:val="21"/>
                <w:szCs w:val="21"/>
                <w:lang w:val="en-US" w:eastAsia="zh-CN" w:bidi="ar"/>
              </w:rPr>
              <w:t>项目与所类比项目的可比性分析一览表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6"/>
              <w:gridCol w:w="2197"/>
              <w:gridCol w:w="2118"/>
              <w:gridCol w:w="1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rPr>
                    <w:t>类比对象</w:t>
                  </w:r>
                </w:p>
              </w:tc>
              <w:tc>
                <w:tcPr>
                  <w:tcW w:w="1309"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rPr>
                    <w:t>河北通力化工助剂有限公司年产5 万吨 AKD 乳液生产线项目</w:t>
                  </w:r>
                </w:p>
              </w:tc>
              <w:tc>
                <w:tcPr>
                  <w:tcW w:w="1262"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rPr>
                    <w:t>本项目</w:t>
                  </w:r>
                </w:p>
              </w:tc>
              <w:tc>
                <w:tcPr>
                  <w:tcW w:w="1177"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left="0" w:leftChars="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rPr>
                    <w:t>生产时间</w:t>
                  </w:r>
                </w:p>
              </w:tc>
              <w:tc>
                <w:tcPr>
                  <w:tcW w:w="1309"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sz w:val="21"/>
                      <w:szCs w:val="21"/>
                    </w:rPr>
                    <w:t>300d</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8h/d</w:t>
                  </w:r>
                </w:p>
              </w:tc>
              <w:tc>
                <w:tcPr>
                  <w:tcW w:w="1262"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sz w:val="21"/>
                      <w:szCs w:val="21"/>
                    </w:rPr>
                    <w:t>300d</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8h/d</w:t>
                  </w:r>
                </w:p>
              </w:tc>
              <w:tc>
                <w:tcPr>
                  <w:tcW w:w="1177" w:type="pct"/>
                  <w:vMerge w:val="restart"/>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left="0" w:leftChars="0" w:right="0" w:firstLine="0" w:firstLineChars="0"/>
                    <w:jc w:val="center"/>
                    <w:textAlignment w:val="auto"/>
                    <w:rPr>
                      <w:rFonts w:hint="default" w:ascii="Times New Roman" w:hAnsi="Times New Roman" w:eastAsia="宋体" w:cs="Times New Roman"/>
                      <w:kern w:val="2"/>
                      <w:sz w:val="21"/>
                      <w:szCs w:val="21"/>
                      <w:lang w:val="en-US" w:eastAsia="zh-CN" w:bidi="zh-CN"/>
                    </w:rPr>
                  </w:pPr>
                  <w:r>
                    <w:rPr>
                      <w:rFonts w:hint="default" w:ascii="Times New Roman" w:hAnsi="Times New Roman" w:eastAsia="宋体" w:cs="Times New Roman"/>
                      <w:sz w:val="21"/>
                      <w:szCs w:val="21"/>
                      <w:lang w:val="en-US" w:eastAsia="zh-CN"/>
                    </w:rPr>
                    <w:t>生产时间、生产工艺、生产设备、环保设备</w:t>
                  </w:r>
                  <w:r>
                    <w:rPr>
                      <w:rFonts w:hint="default" w:ascii="Times New Roman" w:hAnsi="Times New Roman" w:eastAsia="宋体" w:cs="Times New Roman"/>
                      <w:sz w:val="21"/>
                      <w:szCs w:val="21"/>
                    </w:rPr>
                    <w:t>类</w:t>
                  </w:r>
                  <w:r>
                    <w:rPr>
                      <w:rFonts w:hint="default" w:ascii="Times New Roman" w:hAnsi="Times New Roman" w:eastAsia="宋体" w:cs="Times New Roman"/>
                      <w:spacing w:val="-9"/>
                      <w:sz w:val="21"/>
                      <w:szCs w:val="21"/>
                    </w:rPr>
                    <w:t>似</w:t>
                  </w:r>
                  <w:r>
                    <w:rPr>
                      <w:rFonts w:hint="eastAsia" w:ascii="Times New Roman" w:hAnsi="Times New Roman" w:cs="Times New Roman"/>
                      <w:spacing w:val="-9"/>
                      <w:sz w:val="21"/>
                      <w:szCs w:val="21"/>
                      <w:lang w:eastAsia="zh-CN"/>
                    </w:rPr>
                    <w:t>，</w:t>
                  </w:r>
                  <w:r>
                    <w:rPr>
                      <w:rFonts w:hint="default" w:ascii="Times New Roman" w:hAnsi="Times New Roman" w:eastAsia="宋体" w:cs="Times New Roman"/>
                      <w:spacing w:val="-9"/>
                      <w:sz w:val="21"/>
                      <w:szCs w:val="21"/>
                    </w:rPr>
                    <w:t>可参</w:t>
                  </w:r>
                  <w:r>
                    <w:rPr>
                      <w:rFonts w:hint="default" w:ascii="Times New Roman" w:hAnsi="Times New Roman" w:eastAsia="宋体" w:cs="Times New Roman"/>
                      <w:sz w:val="21"/>
                      <w:szCs w:val="21"/>
                    </w:rPr>
                    <w:t>考污染</w:t>
                  </w:r>
                  <w:r>
                    <w:rPr>
                      <w:rFonts w:hint="default" w:ascii="Times New Roman" w:hAnsi="Times New Roman" w:eastAsia="宋体" w:cs="Times New Roman"/>
                      <w:spacing w:val="-1"/>
                      <w:w w:val="95"/>
                      <w:sz w:val="21"/>
                      <w:szCs w:val="21"/>
                    </w:rPr>
                    <w:t>物出口</w:t>
                  </w:r>
                  <w:r>
                    <w:rPr>
                      <w:rFonts w:hint="default" w:ascii="Times New Roman" w:hAnsi="Times New Roman" w:eastAsia="宋体" w:cs="Times New Roman"/>
                      <w:sz w:val="21"/>
                      <w:szCs w:val="21"/>
                    </w:rPr>
                    <w:t>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实际</w:t>
                  </w:r>
                </w:p>
                <w:p>
                  <w:pPr>
                    <w:pStyle w:val="4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rPr>
                    <w:t>生产规模</w:t>
                  </w:r>
                </w:p>
              </w:tc>
              <w:tc>
                <w:tcPr>
                  <w:tcW w:w="1309"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sz w:val="21"/>
                      <w:szCs w:val="21"/>
                    </w:rPr>
                    <w:t>年产50000吨AKD 乳液</w:t>
                  </w:r>
                </w:p>
              </w:tc>
              <w:tc>
                <w:tcPr>
                  <w:tcW w:w="1262"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sz w:val="21"/>
                      <w:szCs w:val="21"/>
                    </w:rPr>
                    <w:t>年产</w:t>
                  </w:r>
                  <w:r>
                    <w:rPr>
                      <w:rFonts w:hint="default" w:ascii="Times New Roman" w:hAnsi="Times New Roman" w:eastAsia="宋体" w:cs="Times New Roman"/>
                      <w:sz w:val="21"/>
                      <w:szCs w:val="21"/>
                      <w:lang w:val="en-US" w:eastAsia="zh-CN"/>
                    </w:rPr>
                    <w:t>10000</w:t>
                  </w:r>
                  <w:r>
                    <w:rPr>
                      <w:rFonts w:hint="default" w:ascii="Times New Roman" w:hAnsi="Times New Roman" w:eastAsia="宋体" w:cs="Times New Roman"/>
                      <w:sz w:val="21"/>
                      <w:szCs w:val="21"/>
                    </w:rPr>
                    <w:t>吨的 AKD乳液</w:t>
                  </w:r>
                </w:p>
              </w:tc>
              <w:tc>
                <w:tcPr>
                  <w:tcW w:w="1177" w:type="pct"/>
                  <w:vMerge w:val="continue"/>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left="0" w:leftChars="0" w:right="0" w:firstLine="0" w:firstLineChars="0"/>
                    <w:jc w:val="center"/>
                    <w:textAlignment w:val="auto"/>
                    <w:rPr>
                      <w:rFonts w:hint="default" w:ascii="Times New Roman" w:hAnsi="Times New Roman" w:eastAsia="宋体" w:cs="Times New Roman"/>
                      <w:kern w:val="2"/>
                      <w:sz w:val="21"/>
                      <w:szCs w:val="21"/>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rPr>
                    <w:t>生产工艺</w:t>
                  </w:r>
                </w:p>
              </w:tc>
              <w:tc>
                <w:tcPr>
                  <w:tcW w:w="1309"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sz w:val="21"/>
                      <w:szCs w:val="21"/>
                    </w:rPr>
                    <w:t>加热融化—均质—冷却—复配搅拌—成品</w:t>
                  </w:r>
                </w:p>
              </w:tc>
              <w:tc>
                <w:tcPr>
                  <w:tcW w:w="1262"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val="0"/>
                      <w:color w:val="000000" w:themeColor="text1"/>
                      <w14:textFill>
                        <w14:solidFill>
                          <w14:schemeClr w14:val="tx1"/>
                        </w14:solidFill>
                      </w14:textFill>
                    </w:rPr>
                    <w:t>AKD原料</w:t>
                  </w:r>
                  <w:r>
                    <w:rPr>
                      <w:rFonts w:hint="default" w:ascii="Times New Roman" w:hAnsi="Times New Roman" w:eastAsia="宋体" w:cs="Times New Roman"/>
                      <w:sz w:val="21"/>
                      <w:szCs w:val="21"/>
                    </w:rPr>
                    <w:t>加热融化—均质—冷却—复配搅拌—成品</w:t>
                  </w:r>
                </w:p>
              </w:tc>
              <w:tc>
                <w:tcPr>
                  <w:tcW w:w="1177" w:type="pct"/>
                  <w:vMerge w:val="continue"/>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left="0" w:leftChars="0" w:right="0" w:firstLine="0" w:firstLineChars="0"/>
                    <w:jc w:val="center"/>
                    <w:textAlignment w:val="auto"/>
                    <w:rPr>
                      <w:rFonts w:hint="default" w:ascii="Times New Roman" w:hAnsi="Times New Roman" w:eastAsia="宋体" w:cs="Times New Roman"/>
                      <w:kern w:val="2"/>
                      <w:sz w:val="21"/>
                      <w:szCs w:val="21"/>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left="0" w:leftChars="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rPr>
                    <w:t>生产设备</w:t>
                  </w:r>
                </w:p>
              </w:tc>
              <w:tc>
                <w:tcPr>
                  <w:tcW w:w="1309"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sz w:val="21"/>
                      <w:szCs w:val="21"/>
                    </w:rPr>
                    <w:t>加热融化搅拌锅、</w:t>
                  </w:r>
                  <w:r>
                    <w:rPr>
                      <w:rFonts w:hint="default" w:ascii="Times New Roman" w:hAnsi="Times New Roman" w:eastAsia="宋体" w:cs="Times New Roman"/>
                      <w:sz w:val="21"/>
                      <w:szCs w:val="21"/>
                      <w:lang w:eastAsia="zh-CN"/>
                    </w:rPr>
                    <w:t>剪切机、</w:t>
                  </w:r>
                  <w:r>
                    <w:rPr>
                      <w:rFonts w:hint="default" w:ascii="Times New Roman" w:hAnsi="Times New Roman" w:eastAsia="宋体" w:cs="Times New Roman"/>
                      <w:sz w:val="21"/>
                      <w:szCs w:val="21"/>
                    </w:rPr>
                    <w:t>均质机、冷却</w:t>
                  </w:r>
                  <w:r>
                    <w:rPr>
                      <w:rFonts w:hint="default" w:ascii="Times New Roman" w:hAnsi="Times New Roman" w:eastAsia="宋体" w:cs="Times New Roman"/>
                      <w:sz w:val="21"/>
                      <w:szCs w:val="21"/>
                      <w:lang w:val="en-US" w:eastAsia="zh-CN"/>
                    </w:rPr>
                    <w:t>机</w:t>
                  </w:r>
                </w:p>
              </w:tc>
              <w:tc>
                <w:tcPr>
                  <w:tcW w:w="1262"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sz w:val="21"/>
                      <w:szCs w:val="21"/>
                    </w:rPr>
                    <w:t>AKD融化</w:t>
                  </w:r>
                  <w:r>
                    <w:rPr>
                      <w:rFonts w:hint="default" w:ascii="Times New Roman" w:hAnsi="Times New Roman" w:eastAsia="宋体" w:cs="Times New Roman"/>
                      <w:sz w:val="21"/>
                      <w:szCs w:val="21"/>
                      <w:lang w:val="en-US" w:eastAsia="zh-CN"/>
                    </w:rPr>
                    <w:t>搅拌罐</w:t>
                  </w:r>
                  <w:r>
                    <w:rPr>
                      <w:rFonts w:hint="default" w:ascii="Times New Roman" w:hAnsi="Times New Roman" w:eastAsia="宋体" w:cs="Times New Roman"/>
                      <w:sz w:val="21"/>
                      <w:szCs w:val="21"/>
                    </w:rPr>
                    <w:t>罐、高速乳化搅拌罐</w:t>
                  </w:r>
                  <w:r>
                    <w:rPr>
                      <w:rFonts w:hint="default" w:ascii="Times New Roman" w:hAnsi="Times New Roman" w:eastAsia="宋体" w:cs="Times New Roman"/>
                      <w:sz w:val="21"/>
                      <w:szCs w:val="21"/>
                      <w:lang w:eastAsia="zh-CN"/>
                    </w:rPr>
                    <w:t>、剪切机、</w:t>
                  </w:r>
                  <w:r>
                    <w:rPr>
                      <w:rFonts w:hint="default" w:ascii="Times New Roman" w:hAnsi="Times New Roman" w:eastAsia="宋体" w:cs="Times New Roman"/>
                      <w:sz w:val="21"/>
                      <w:szCs w:val="21"/>
                    </w:rPr>
                    <w:t>均质机、</w:t>
                  </w:r>
                  <w:r>
                    <w:rPr>
                      <w:rFonts w:hint="default" w:ascii="Times New Roman" w:hAnsi="Times New Roman" w:eastAsia="宋体" w:cs="Times New Roman"/>
                      <w:sz w:val="21"/>
                      <w:szCs w:val="21"/>
                      <w:lang w:val="en-US" w:eastAsia="zh-CN"/>
                    </w:rPr>
                    <w:t>智能冷水机</w:t>
                  </w:r>
                </w:p>
              </w:tc>
              <w:tc>
                <w:tcPr>
                  <w:tcW w:w="1177" w:type="pct"/>
                  <w:vMerge w:val="continue"/>
                  <w:vAlign w:val="center"/>
                </w:tcPr>
                <w:p>
                  <w:pPr>
                    <w:pStyle w:val="5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b/>
                      <w:bCs/>
                      <w:sz w:val="21"/>
                      <w:szCs w:val="21"/>
                    </w:rPr>
                  </w:pPr>
                </w:p>
                <w:p>
                  <w:pPr>
                    <w:pStyle w:val="4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处理设施</w:t>
                  </w:r>
                </w:p>
              </w:tc>
              <w:tc>
                <w:tcPr>
                  <w:tcW w:w="1309"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集气罩收集</w:t>
                  </w:r>
                  <w:r>
                    <w:rPr>
                      <w:rFonts w:hint="default" w:ascii="Times New Roman" w:hAnsi="Times New Roman" w:eastAsia="宋体" w:cs="Times New Roman"/>
                      <w:sz w:val="21"/>
                      <w:szCs w:val="21"/>
                    </w:rPr>
                    <w:t>（</w:t>
                  </w:r>
                  <w:r>
                    <w:rPr>
                      <w:rFonts w:hint="default" w:ascii="Times New Roman" w:hAnsi="Times New Roman" w:eastAsia="宋体" w:cs="Times New Roman"/>
                      <w:spacing w:val="-15"/>
                      <w:sz w:val="21"/>
                      <w:szCs w:val="21"/>
                    </w:rPr>
                    <w:t xml:space="preserve">收集率 </w:t>
                  </w:r>
                  <w:r>
                    <w:rPr>
                      <w:rFonts w:hint="default" w:ascii="Times New Roman" w:hAnsi="Times New Roman" w:eastAsia="宋体" w:cs="Times New Roman"/>
                      <w:spacing w:val="-7"/>
                      <w:sz w:val="21"/>
                      <w:szCs w:val="21"/>
                    </w:rPr>
                    <w:t>85%）+</w:t>
                  </w:r>
                  <w:r>
                    <w:rPr>
                      <w:rFonts w:hint="default" w:ascii="Times New Roman" w:hAnsi="Times New Roman" w:eastAsia="宋体" w:cs="Times New Roman"/>
                      <w:sz w:val="21"/>
                      <w:szCs w:val="21"/>
                    </w:rPr>
                    <w:t>活性炭吸</w:t>
                  </w:r>
                  <w:r>
                    <w:rPr>
                      <w:rFonts w:hint="default" w:ascii="Times New Roman" w:hAnsi="Times New Roman" w:eastAsia="宋体" w:cs="Times New Roman"/>
                      <w:spacing w:val="-4"/>
                      <w:sz w:val="21"/>
                      <w:szCs w:val="21"/>
                    </w:rPr>
                    <w:t>附装置</w:t>
                  </w:r>
                  <w:r>
                    <w:rPr>
                      <w:rFonts w:hint="default" w:ascii="Times New Roman" w:hAnsi="Times New Roman" w:eastAsia="宋体" w:cs="Times New Roman"/>
                      <w:sz w:val="21"/>
                      <w:szCs w:val="21"/>
                    </w:rPr>
                    <w:t>（</w:t>
                  </w:r>
                  <w:r>
                    <w:rPr>
                      <w:rFonts w:hint="default" w:ascii="Times New Roman" w:hAnsi="Times New Roman" w:eastAsia="宋体" w:cs="Times New Roman"/>
                      <w:spacing w:val="-18"/>
                      <w:sz w:val="21"/>
                      <w:szCs w:val="21"/>
                    </w:rPr>
                    <w:t xml:space="preserve">去除率 </w:t>
                  </w:r>
                  <w:r>
                    <w:rPr>
                      <w:rFonts w:hint="default" w:ascii="Times New Roman" w:hAnsi="Times New Roman" w:eastAsia="宋体" w:cs="Times New Roman"/>
                      <w:sz w:val="21"/>
                      <w:szCs w:val="21"/>
                    </w:rPr>
                    <w:t>90%）处理+15m排气筒</w:t>
                  </w:r>
                </w:p>
              </w:tc>
              <w:tc>
                <w:tcPr>
                  <w:tcW w:w="1262"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排气口上连接排气管道（收集效率98%）</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二级</w:t>
                  </w:r>
                  <w:r>
                    <w:rPr>
                      <w:rFonts w:hint="default" w:ascii="Times New Roman" w:hAnsi="Times New Roman" w:eastAsia="宋体" w:cs="Times New Roman"/>
                      <w:sz w:val="21"/>
                      <w:szCs w:val="21"/>
                    </w:rPr>
                    <w:t>活性炭吸附装置（</w:t>
                  </w:r>
                  <w:r>
                    <w:rPr>
                      <w:rFonts w:hint="default" w:ascii="Times New Roman" w:hAnsi="Times New Roman" w:eastAsia="宋体" w:cs="Times New Roman"/>
                      <w:spacing w:val="-14"/>
                      <w:sz w:val="21"/>
                      <w:szCs w:val="21"/>
                    </w:rPr>
                    <w:t xml:space="preserve">去除率 </w:t>
                  </w:r>
                  <w:r>
                    <w:rPr>
                      <w:rFonts w:hint="default" w:ascii="Times New Roman" w:hAnsi="Times New Roman" w:eastAsia="宋体" w:cs="Times New Roman"/>
                      <w:sz w:val="21"/>
                      <w:szCs w:val="21"/>
                      <w:lang w:val="en-US" w:eastAsia="zh-CN"/>
                    </w:rPr>
                    <w:t>85</w:t>
                  </w:r>
                  <w:r>
                    <w:rPr>
                      <w:rFonts w:hint="default" w:ascii="Times New Roman" w:hAnsi="Times New Roman" w:eastAsia="宋体" w:cs="Times New Roman"/>
                      <w:sz w:val="21"/>
                      <w:szCs w:val="21"/>
                    </w:rPr>
                    <w:t>%）+15m</w:t>
                  </w:r>
                  <w:r>
                    <w:rPr>
                      <w:rFonts w:hint="default" w:ascii="Times New Roman" w:hAnsi="Times New Roman" w:eastAsia="宋体" w:cs="Times New Roman"/>
                      <w:spacing w:val="-13"/>
                      <w:sz w:val="21"/>
                      <w:szCs w:val="21"/>
                    </w:rPr>
                    <w:t>排</w:t>
                  </w:r>
                  <w:r>
                    <w:rPr>
                      <w:rFonts w:hint="default" w:ascii="Times New Roman" w:hAnsi="Times New Roman" w:eastAsia="宋体" w:cs="Times New Roman"/>
                      <w:sz w:val="21"/>
                      <w:szCs w:val="21"/>
                    </w:rPr>
                    <w:t>气筒</w:t>
                  </w:r>
                </w:p>
              </w:tc>
              <w:tc>
                <w:tcPr>
                  <w:tcW w:w="1177" w:type="pct"/>
                  <w:vMerge w:val="continue"/>
                  <w:vAlign w:val="center"/>
                </w:tcPr>
                <w:p>
                  <w:pPr>
                    <w:pStyle w:val="50"/>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p>
              </w:tc>
            </w:tr>
          </w:tbl>
          <w:p>
            <w:pPr>
              <w:keepNext w:val="0"/>
              <w:keepLines w:val="0"/>
              <w:pageBreakBefore w:val="0"/>
              <w:widowControl w:val="0"/>
              <w:kinsoku/>
              <w:wordWrap/>
              <w:overflowPunct/>
              <w:topLinePunct w:val="0"/>
              <w:bidi w:val="0"/>
              <w:spacing w:line="360" w:lineRule="auto"/>
              <w:ind w:firstLine="480" w:firstLineChars="200"/>
              <w:jc w:val="both"/>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②由《河北通力化工助剂有限公司年产5万吨AKD乳液生产线项目验收监测报告》可知</w:t>
            </w:r>
            <w:r>
              <w:rPr>
                <w:rFonts w:hint="eastAsia"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河北通力化工助剂有限公司年产5万吨AKD乳液生产线项目有组织废气监测结果见表4-3</w:t>
            </w:r>
          </w:p>
          <w:p>
            <w:pPr>
              <w:keepNext w:val="0"/>
              <w:keepLines w:val="0"/>
              <w:widowControl/>
              <w:suppressLineNumbers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表4-3类比项目有组织废气</w:t>
            </w:r>
            <w:r>
              <w:rPr>
                <w:rFonts w:hint="default" w:ascii="Times New Roman" w:hAnsi="Times New Roman" w:eastAsia="宋体" w:cs="Times New Roman"/>
                <w:b/>
                <w:bCs/>
                <w:sz w:val="21"/>
                <w:szCs w:val="21"/>
                <w:highlight w:val="none"/>
                <w:lang w:val="en-US" w:eastAsia="zh-CN"/>
              </w:rPr>
              <w:t>验收</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监测结果</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293"/>
              <w:gridCol w:w="775"/>
              <w:gridCol w:w="763"/>
              <w:gridCol w:w="705"/>
              <w:gridCol w:w="791"/>
              <w:gridCol w:w="876"/>
              <w:gridCol w:w="883"/>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 w:type="pct"/>
                  <w:vMerge w:val="restar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检测点</w:t>
                  </w:r>
                </w:p>
              </w:tc>
              <w:tc>
                <w:tcPr>
                  <w:tcW w:w="770" w:type="pct"/>
                  <w:vMerge w:val="restar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检测项目</w:t>
                  </w:r>
                </w:p>
              </w:tc>
              <w:tc>
                <w:tcPr>
                  <w:tcW w:w="462" w:type="pct"/>
                  <w:vMerge w:val="restar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单位</w:t>
                  </w:r>
                </w:p>
              </w:tc>
              <w:tc>
                <w:tcPr>
                  <w:tcW w:w="1869" w:type="pct"/>
                  <w:gridSpan w:val="4"/>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检测结果</w:t>
                  </w:r>
                </w:p>
              </w:tc>
              <w:tc>
                <w:tcPr>
                  <w:tcW w:w="526" w:type="pct"/>
                  <w:vMerge w:val="restar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标准值</w:t>
                  </w:r>
                </w:p>
              </w:tc>
              <w:tc>
                <w:tcPr>
                  <w:tcW w:w="624" w:type="pct"/>
                  <w:vMerge w:val="restar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47" w:type="pct"/>
                  <w:vMerge w:val="continue"/>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770" w:type="pct"/>
                  <w:vMerge w:val="continue"/>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462" w:type="pct"/>
                  <w:vMerge w:val="continue"/>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454" w:type="pc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420" w:type="pc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471" w:type="pc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p>
              </w:tc>
              <w:tc>
                <w:tcPr>
                  <w:tcW w:w="522" w:type="pc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最大值</w:t>
                  </w:r>
                </w:p>
              </w:tc>
              <w:tc>
                <w:tcPr>
                  <w:tcW w:w="526" w:type="pct"/>
                  <w:vMerge w:val="continue"/>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24" w:type="pct"/>
                  <w:vMerge w:val="continue"/>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 w:type="pct"/>
                  <w:vMerge w:val="restar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排气筒出口</w:t>
                  </w:r>
                </w:p>
              </w:tc>
              <w:tc>
                <w:tcPr>
                  <w:tcW w:w="770" w:type="pc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排气量</w:t>
                  </w:r>
                </w:p>
              </w:tc>
              <w:tc>
                <w:tcPr>
                  <w:tcW w:w="462" w:type="pc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/h</w:t>
                  </w:r>
                </w:p>
              </w:tc>
              <w:tc>
                <w:tcPr>
                  <w:tcW w:w="454" w:type="pc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4800</w:t>
                  </w:r>
                </w:p>
              </w:tc>
              <w:tc>
                <w:tcPr>
                  <w:tcW w:w="420" w:type="pc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4767</w:t>
                  </w:r>
                </w:p>
              </w:tc>
              <w:tc>
                <w:tcPr>
                  <w:tcW w:w="471" w:type="pc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4809</w:t>
                  </w:r>
                </w:p>
              </w:tc>
              <w:tc>
                <w:tcPr>
                  <w:tcW w:w="522" w:type="pc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4809</w:t>
                  </w:r>
                </w:p>
              </w:tc>
              <w:tc>
                <w:tcPr>
                  <w:tcW w:w="526" w:type="pct"/>
                  <w:vMerge w:val="continue"/>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24" w:type="pct"/>
                  <w:vMerge w:val="continue"/>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 w:type="pct"/>
                  <w:vMerge w:val="continue"/>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770" w:type="pc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非甲烷总烃</w:t>
                  </w:r>
                </w:p>
              </w:tc>
              <w:tc>
                <w:tcPr>
                  <w:tcW w:w="462" w:type="pc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p>
              </w:tc>
              <w:tc>
                <w:tcPr>
                  <w:tcW w:w="454" w:type="pc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2.08</w:t>
                  </w:r>
                </w:p>
              </w:tc>
              <w:tc>
                <w:tcPr>
                  <w:tcW w:w="420" w:type="pc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2.60</w:t>
                  </w:r>
                </w:p>
              </w:tc>
              <w:tc>
                <w:tcPr>
                  <w:tcW w:w="471" w:type="pc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2.36</w:t>
                  </w:r>
                </w:p>
              </w:tc>
              <w:tc>
                <w:tcPr>
                  <w:tcW w:w="522" w:type="pc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2.60</w:t>
                  </w:r>
                </w:p>
              </w:tc>
              <w:tc>
                <w:tcPr>
                  <w:tcW w:w="526" w:type="pc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120</w:t>
                  </w:r>
                </w:p>
              </w:tc>
              <w:tc>
                <w:tcPr>
                  <w:tcW w:w="624" w:type="pct"/>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达标</w:t>
                  </w:r>
                </w:p>
              </w:tc>
            </w:tr>
          </w:tbl>
          <w:p>
            <w:pPr>
              <w:keepNext w:val="0"/>
              <w:keepLines w:val="0"/>
              <w:pageBreakBefore w:val="0"/>
              <w:widowControl w:val="0"/>
              <w:kinsoku/>
              <w:wordWrap/>
              <w:overflowPunct/>
              <w:topLinePunct w:val="0"/>
              <w:bidi w:val="0"/>
              <w:spacing w:line="360" w:lineRule="auto"/>
              <w:ind w:firstLine="480" w:firstLineChars="200"/>
              <w:jc w:val="both"/>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val="0"/>
                <w:bCs w:val="0"/>
                <w:sz w:val="24"/>
                <w:szCs w:val="24"/>
                <w:lang w:val="en-US" w:eastAsia="zh-CN"/>
              </w:rPr>
              <w:t>由上表</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类比项目有组织废气</w:t>
            </w:r>
            <w:r>
              <w:rPr>
                <w:rFonts w:hint="default" w:ascii="Times New Roman" w:hAnsi="Times New Roman" w:eastAsia="宋体" w:cs="Times New Roman"/>
                <w:b w:val="0"/>
                <w:bCs w:val="0"/>
                <w:sz w:val="24"/>
                <w:szCs w:val="24"/>
                <w:highlight w:val="none"/>
                <w:lang w:val="en-US" w:eastAsia="zh-CN"/>
              </w:rPr>
              <w:t>验收</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监测</w:t>
            </w:r>
            <w:r>
              <w:rPr>
                <w:rFonts w:hint="default" w:ascii="Times New Roman" w:hAnsi="Times New Roman" w:eastAsia="宋体" w:cs="Times New Roman"/>
                <w:b w:val="0"/>
                <w:bCs w:val="0"/>
                <w:sz w:val="24"/>
                <w:szCs w:val="24"/>
                <w:lang w:val="en-US" w:eastAsia="zh-CN"/>
              </w:rPr>
              <w:t>数据反推可得</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河北通力化工助剂有限公司年产5万吨 AKD 乳液生产线项目产生的非甲烷总烃最大量为0.03t/a。本项目AKD乳液年产10000吨</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则类比可知</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本项目非甲烷总烃产生量为0.006t/a</w:t>
            </w:r>
            <w:r>
              <w:rPr>
                <w:rFonts w:hint="default" w:ascii="Times New Roman" w:hAnsi="Times New Roman" w:eastAsia="宋体" w:cs="Times New Roman"/>
                <w:b w:val="0"/>
                <w:bCs w:val="0"/>
                <w:sz w:val="24"/>
                <w:szCs w:val="24"/>
                <w:highlight w:val="none"/>
                <w:lang w:val="en-US" w:eastAsia="zh-CN"/>
              </w:rPr>
              <w:t>。</w:t>
            </w:r>
          </w:p>
          <w:p>
            <w:pPr>
              <w:keepNext w:val="0"/>
              <w:keepLines w:val="0"/>
              <w:pageBreakBefore w:val="0"/>
              <w:widowControl w:val="0"/>
              <w:kinsoku/>
              <w:wordWrap/>
              <w:overflowPunct/>
              <w:topLinePunct w:val="0"/>
              <w:bidi w:val="0"/>
              <w:spacing w:line="360" w:lineRule="auto"/>
              <w:ind w:firstLine="482" w:firstLineChars="200"/>
              <w:jc w:val="both"/>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①集气效率：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AKD融化罐的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排气口上连接排气管道</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排气管道与活性炭吸附装置连接</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有机废气经排气管道收集后进入活性炭吸附装置</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其</w:t>
            </w:r>
            <w:r>
              <w:rPr>
                <w:rFonts w:hint="default" w:ascii="Times New Roman" w:hAnsi="Times New Roman" w:eastAsia="宋体" w:cs="Times New Roman"/>
                <w:color w:val="000000" w:themeColor="text1"/>
                <w:sz w:val="24"/>
                <w:szCs w:val="24"/>
                <w:highlight w:val="none"/>
                <w14:textFill>
                  <w14:solidFill>
                    <w14:schemeClr w14:val="tx1"/>
                  </w14:solidFill>
                </w14:textFill>
              </w:rPr>
              <w:t>集气效率为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98</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AKD蜡融化</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工段的非甲烷总烃</w:t>
            </w:r>
            <w:r>
              <w:rPr>
                <w:rFonts w:hint="default" w:ascii="Times New Roman" w:hAnsi="Times New Roman" w:eastAsia="宋体" w:cs="Times New Roman"/>
                <w:color w:val="000000" w:themeColor="text1"/>
                <w:sz w:val="24"/>
                <w:szCs w:val="24"/>
                <w:highlight w:val="none"/>
                <w14:textFill>
                  <w14:solidFill>
                    <w14:schemeClr w14:val="tx1"/>
                  </w14:solidFill>
                </w14:textFill>
              </w:rPr>
              <w:t>产生量为</w:t>
            </w:r>
            <w:r>
              <w:rPr>
                <w:rFonts w:hint="default" w:ascii="Times New Roman" w:hAnsi="Times New Roman" w:eastAsia="宋体" w:cs="Times New Roman"/>
                <w:b w:val="0"/>
                <w:bCs w:val="0"/>
                <w:sz w:val="24"/>
                <w:szCs w:val="24"/>
                <w:lang w:val="en-US" w:eastAsia="zh-CN"/>
              </w:rPr>
              <w:t>0.006</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经过排气管道收集后</w:t>
            </w:r>
            <w:r>
              <w:rPr>
                <w:rFonts w:hint="default" w:ascii="Times New Roman" w:hAnsi="Times New Roman" w:eastAsia="宋体" w:cs="Times New Roman"/>
                <w:color w:val="000000" w:themeColor="text1"/>
                <w:sz w:val="24"/>
                <w:szCs w:val="24"/>
                <w:highlight w:val="none"/>
                <w14:textFill>
                  <w14:solidFill>
                    <w14:schemeClr w14:val="tx1"/>
                  </w14:solidFill>
                </w14:textFill>
              </w:rPr>
              <w:t>的产生量为</w:t>
            </w:r>
            <w:r>
              <w:rPr>
                <w:rFonts w:hint="eastAsia" w:cs="Times New Roman"/>
                <w:color w:val="000000" w:themeColor="text1"/>
                <w:sz w:val="24"/>
                <w:szCs w:val="24"/>
                <w:highlight w:val="none"/>
                <w:lang w:val="en-US" w:eastAsia="zh-CN"/>
                <w14:textFill>
                  <w14:solidFill>
                    <w14:schemeClr w14:val="tx1"/>
                  </w14:solidFill>
                </w14:textFill>
              </w:rPr>
              <w:t>0.0059</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风机风量为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2000</w:t>
            </w:r>
            <w:r>
              <w:rPr>
                <w:rFonts w:hint="default" w:ascii="Times New Roman" w:hAnsi="Times New Roman" w:eastAsia="宋体" w:cs="Times New Roman"/>
                <w:color w:val="000000" w:themeColor="text1"/>
                <w:sz w:val="24"/>
                <w:szCs w:val="24"/>
                <w:highlight w:val="none"/>
                <w14:textFill>
                  <w14:solidFill>
                    <w14:schemeClr w14:val="tx1"/>
                  </w14:solidFill>
                </w14:textFill>
              </w:rPr>
              <w:t>m³/h。</w:t>
            </w:r>
          </w:p>
          <w:p>
            <w:pPr>
              <w:keepNext w:val="0"/>
              <w:keepLines w:val="0"/>
              <w:pageBreakBefore w:val="0"/>
              <w:widowControl w:val="0"/>
              <w:kinsoku/>
              <w:wordWrap/>
              <w:overflowPunct/>
              <w:topLinePunct w:val="0"/>
              <w:bidi w:val="0"/>
              <w:spacing w:line="360" w:lineRule="auto"/>
              <w:ind w:firstLine="482" w:firstLineChars="200"/>
              <w:jc w:val="both"/>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②二级活性炭</w:t>
            </w:r>
            <w:r>
              <w:rPr>
                <w:rFonts w:hint="default" w:ascii="Times New Roman" w:hAnsi="Times New Roman" w:eastAsia="宋体" w:cs="Times New Roman"/>
                <w:b/>
                <w:bCs/>
                <w:sz w:val="24"/>
                <w:szCs w:val="24"/>
                <w:highlight w:val="none"/>
              </w:rPr>
              <w:t>活性炭</w:t>
            </w:r>
            <w:r>
              <w:rPr>
                <w:rFonts w:hint="default" w:ascii="Times New Roman" w:hAnsi="Times New Roman" w:eastAsia="宋体" w:cs="Times New Roman"/>
                <w:b/>
                <w:bCs/>
                <w:sz w:val="24"/>
                <w:szCs w:val="24"/>
                <w:highlight w:val="none"/>
                <w:lang w:eastAsia="zh-CN"/>
              </w:rPr>
              <w:t>的</w:t>
            </w:r>
            <w:r>
              <w:rPr>
                <w:rFonts w:hint="default" w:ascii="Times New Roman" w:hAnsi="Times New Roman" w:eastAsia="宋体" w:cs="Times New Roman"/>
                <w:b/>
                <w:bCs/>
                <w:sz w:val="24"/>
                <w:szCs w:val="24"/>
                <w:highlight w:val="none"/>
                <w:lang w:val="en-US" w:eastAsia="zh-CN"/>
              </w:rPr>
              <w:t>处理效率：</w:t>
            </w:r>
            <w:r>
              <w:rPr>
                <w:rFonts w:hint="default" w:ascii="Times New Roman" w:hAnsi="Times New Roman" w:eastAsia="宋体" w:cs="Times New Roman"/>
                <w:sz w:val="24"/>
                <w:szCs w:val="24"/>
                <w:highlight w:val="none"/>
                <w:lang w:val="en-US" w:eastAsia="zh-CN"/>
              </w:rPr>
              <w:t>参照《吸附法工业有机废气治理工程技术规范（HJ2026-2013）》及现行的有机废气治理工艺实况</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在及时更换废活性炭的基础上</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单级活性炭吸附系统吸附率能达到80%左右</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二级活性炭吸附系统吸附率能达到90%以上；</w:t>
            </w:r>
            <w:r>
              <w:rPr>
                <w:rFonts w:hint="default" w:ascii="Times New Roman" w:hAnsi="Times New Roman" w:eastAsia="宋体" w:cs="Times New Roman"/>
                <w:sz w:val="24"/>
                <w:szCs w:val="24"/>
                <w:highlight w:val="none"/>
              </w:rPr>
              <w:t>为保守估计</w:t>
            </w:r>
            <w:r>
              <w:rPr>
                <w:rFonts w:hint="eastAsia" w:cs="Times New Roman"/>
                <w:sz w:val="24"/>
                <w:szCs w:val="24"/>
                <w:highlight w:val="none"/>
                <w:lang w:eastAsia="zh-CN"/>
              </w:rPr>
              <w:t>，</w:t>
            </w:r>
            <w:r>
              <w:rPr>
                <w:rFonts w:hint="default" w:ascii="Times New Roman" w:hAnsi="Times New Roman" w:eastAsia="宋体" w:cs="Times New Roman"/>
                <w:sz w:val="24"/>
                <w:szCs w:val="24"/>
                <w:highlight w:val="none"/>
              </w:rPr>
              <w:t>本次</w:t>
            </w:r>
            <w:r>
              <w:rPr>
                <w:rFonts w:hint="default" w:ascii="Times New Roman" w:hAnsi="Times New Roman" w:eastAsia="宋体" w:cs="Times New Roman"/>
                <w:sz w:val="24"/>
                <w:szCs w:val="24"/>
                <w:highlight w:val="none"/>
                <w:lang w:val="en-US" w:eastAsia="zh-CN"/>
              </w:rPr>
              <w:t>二级活性炭吸附系统吸附率</w:t>
            </w:r>
            <w:r>
              <w:rPr>
                <w:rFonts w:hint="default" w:ascii="Times New Roman" w:hAnsi="Times New Roman" w:eastAsia="宋体" w:cs="Times New Roman"/>
                <w:sz w:val="24"/>
                <w:szCs w:val="24"/>
                <w:highlight w:val="none"/>
              </w:rPr>
              <w:t>的处理效率以</w:t>
            </w:r>
            <w:r>
              <w:rPr>
                <w:rFonts w:hint="default" w:ascii="Times New Roman" w:hAnsi="Times New Roman" w:eastAsia="宋体" w:cs="Times New Roman"/>
                <w:sz w:val="24"/>
                <w:szCs w:val="24"/>
                <w:highlight w:val="none"/>
                <w:lang w:val="en-US" w:eastAsia="zh-CN"/>
              </w:rPr>
              <w:t>85</w:t>
            </w:r>
            <w:r>
              <w:rPr>
                <w:rFonts w:hint="default" w:ascii="Times New Roman" w:hAnsi="Times New Roman" w:eastAsia="宋体" w:cs="Times New Roman"/>
                <w:sz w:val="24"/>
                <w:szCs w:val="24"/>
                <w:highlight w:val="none"/>
              </w:rPr>
              <w:t>%计</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 xml:space="preserve"> </w:t>
            </w:r>
          </w:p>
          <w:p>
            <w:pPr>
              <w:pStyle w:val="50"/>
              <w:ind w:firstLine="48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故项目排放的</w:t>
            </w:r>
            <w:r>
              <w:rPr>
                <w:rFonts w:hint="default" w:ascii="Times New Roman" w:hAnsi="Times New Roman" w:eastAsia="宋体" w:cs="Times New Roman"/>
                <w:color w:val="auto"/>
                <w:highlight w:val="none"/>
                <w:lang w:val="en-US" w:eastAsia="zh-CN"/>
              </w:rPr>
              <w:t>非甲烷总烃</w:t>
            </w:r>
            <w:r>
              <w:rPr>
                <w:rFonts w:hint="default" w:ascii="Times New Roman" w:hAnsi="Times New Roman" w:eastAsia="宋体" w:cs="Times New Roman"/>
                <w:color w:val="auto"/>
                <w:highlight w:val="none"/>
              </w:rPr>
              <w:t>有组织排放量为</w:t>
            </w:r>
            <w:r>
              <w:rPr>
                <w:rFonts w:hint="eastAsia" w:cs="Times New Roman"/>
                <w:color w:val="auto"/>
                <w:highlight w:val="none"/>
                <w:lang w:val="en-US" w:eastAsia="zh-CN"/>
              </w:rPr>
              <w:t>0.0009</w:t>
            </w:r>
            <w:r>
              <w:rPr>
                <w:rFonts w:hint="default" w:ascii="Times New Roman" w:hAnsi="Times New Roman" w:eastAsia="宋体" w:cs="Times New Roman"/>
                <w:color w:val="auto"/>
                <w:highlight w:val="none"/>
              </w:rPr>
              <w:t>t/a</w:t>
            </w:r>
            <w:r>
              <w:rPr>
                <w:rFonts w:hint="eastAsia" w:cs="Times New Roman"/>
                <w:color w:val="auto"/>
                <w:highlight w:val="none"/>
                <w:lang w:eastAsia="zh-CN"/>
              </w:rPr>
              <w:t>，</w:t>
            </w:r>
            <w:r>
              <w:rPr>
                <w:rFonts w:hint="default" w:ascii="Times New Roman" w:hAnsi="Times New Roman" w:eastAsia="宋体" w:cs="Times New Roman"/>
                <w:color w:val="auto"/>
                <w:highlight w:val="none"/>
              </w:rPr>
              <w:t>排放速率为</w:t>
            </w:r>
            <w:r>
              <w:rPr>
                <w:rFonts w:hint="eastAsia" w:cs="Times New Roman"/>
                <w:color w:val="auto"/>
                <w:highlight w:val="none"/>
                <w:lang w:val="en-US" w:eastAsia="zh-CN"/>
              </w:rPr>
              <w:t>0.0004</w:t>
            </w:r>
            <w:r>
              <w:rPr>
                <w:rFonts w:hint="default" w:ascii="Times New Roman" w:hAnsi="Times New Roman" w:eastAsia="宋体" w:cs="Times New Roman"/>
                <w:color w:val="auto"/>
                <w:highlight w:val="none"/>
              </w:rPr>
              <w:t>kg/h</w:t>
            </w:r>
            <w:r>
              <w:rPr>
                <w:rFonts w:hint="eastAsia" w:cs="Times New Roman"/>
                <w:color w:val="auto"/>
                <w:highlight w:val="none"/>
                <w:lang w:eastAsia="zh-CN"/>
              </w:rPr>
              <w:t>，</w:t>
            </w:r>
            <w:r>
              <w:rPr>
                <w:rFonts w:hint="default" w:ascii="Times New Roman" w:hAnsi="Times New Roman" w:eastAsia="宋体" w:cs="Times New Roman"/>
                <w:color w:val="auto"/>
                <w:highlight w:val="none"/>
              </w:rPr>
              <w:t>排放浓度为</w:t>
            </w:r>
            <w:r>
              <w:rPr>
                <w:rFonts w:hint="eastAsia" w:cs="Times New Roman"/>
                <w:color w:val="auto"/>
                <w:highlight w:val="none"/>
                <w:lang w:val="en-US" w:eastAsia="zh-CN"/>
              </w:rPr>
              <w:t>0.2</w:t>
            </w:r>
            <w:r>
              <w:rPr>
                <w:rFonts w:hint="default" w:ascii="Times New Roman" w:hAnsi="Times New Roman" w:eastAsia="宋体" w:cs="Times New Roman"/>
                <w:color w:val="auto"/>
                <w:highlight w:val="none"/>
              </w:rPr>
              <w:t>mg/m³。</w:t>
            </w:r>
            <w:r>
              <w:rPr>
                <w:rFonts w:hint="default" w:ascii="Times New Roman" w:hAnsi="Times New Roman" w:eastAsia="宋体" w:cs="Times New Roman"/>
                <w:color w:val="auto"/>
                <w:spacing w:val="-5"/>
                <w:highlight w:val="none"/>
                <w:lang w:val="en-US"/>
              </w:rPr>
              <w:t>项目工作时间为</w:t>
            </w:r>
            <w:r>
              <w:rPr>
                <w:rFonts w:hint="default" w:ascii="Times New Roman" w:hAnsi="Times New Roman" w:eastAsia="宋体" w:cs="Times New Roman"/>
                <w:color w:val="auto"/>
                <w:spacing w:val="-5"/>
                <w:highlight w:val="none"/>
                <w:lang w:val="en-US" w:eastAsia="zh-CN"/>
              </w:rPr>
              <w:t>8</w:t>
            </w:r>
            <w:r>
              <w:rPr>
                <w:rFonts w:hint="default" w:ascii="Times New Roman" w:hAnsi="Times New Roman" w:eastAsia="宋体" w:cs="Times New Roman"/>
                <w:color w:val="auto"/>
                <w:spacing w:val="-5"/>
                <w:highlight w:val="none"/>
                <w:lang w:val="en-US"/>
              </w:rPr>
              <w:t>h/d</w:t>
            </w:r>
            <w:r>
              <w:rPr>
                <w:rFonts w:hint="eastAsia" w:cs="Times New Roman"/>
                <w:color w:val="auto"/>
                <w:spacing w:val="-5"/>
                <w:highlight w:val="none"/>
                <w:lang w:val="en-US" w:eastAsia="zh-CN"/>
              </w:rPr>
              <w:t>，</w:t>
            </w:r>
            <w:r>
              <w:rPr>
                <w:rFonts w:hint="default" w:ascii="Times New Roman" w:hAnsi="Times New Roman" w:eastAsia="宋体" w:cs="Times New Roman"/>
                <w:color w:val="auto"/>
                <w:spacing w:val="-5"/>
                <w:highlight w:val="none"/>
                <w:lang w:val="en-US"/>
              </w:rPr>
              <w:t>年工作天数为</w:t>
            </w:r>
            <w:r>
              <w:rPr>
                <w:rFonts w:hint="default" w:ascii="Times New Roman" w:hAnsi="Times New Roman" w:eastAsia="宋体" w:cs="Times New Roman"/>
                <w:color w:val="auto"/>
                <w:spacing w:val="-5"/>
                <w:highlight w:val="none"/>
                <w:lang w:val="en-US" w:eastAsia="zh-CN"/>
              </w:rPr>
              <w:t>300</w:t>
            </w:r>
            <w:r>
              <w:rPr>
                <w:rFonts w:hint="default" w:ascii="Times New Roman" w:hAnsi="Times New Roman" w:eastAsia="宋体" w:cs="Times New Roman"/>
                <w:color w:val="auto"/>
                <w:spacing w:val="-5"/>
                <w:highlight w:val="none"/>
                <w:lang w:val="en-US"/>
              </w:rPr>
              <w:t>天</w:t>
            </w:r>
            <w:r>
              <w:rPr>
                <w:rFonts w:hint="eastAsia" w:cs="Times New Roman"/>
                <w:color w:val="auto"/>
                <w:spacing w:val="-5"/>
                <w:highlight w:val="none"/>
                <w:lang w:val="en-US" w:eastAsia="zh-CN"/>
              </w:rPr>
              <w:t>，</w:t>
            </w:r>
            <w:r>
              <w:rPr>
                <w:rFonts w:hint="default" w:ascii="Times New Roman" w:hAnsi="Times New Roman" w:eastAsia="宋体" w:cs="Times New Roman"/>
                <w:color w:val="auto"/>
                <w:highlight w:val="none"/>
                <w:lang w:val="en-US" w:eastAsia="zh-CN"/>
              </w:rPr>
              <w:t>排气管道</w:t>
            </w:r>
            <w:r>
              <w:rPr>
                <w:rFonts w:hint="default" w:ascii="Times New Roman" w:hAnsi="Times New Roman" w:eastAsia="宋体" w:cs="Times New Roman"/>
                <w:color w:val="auto"/>
                <w:highlight w:val="none"/>
              </w:rPr>
              <w:t>未收集的</w:t>
            </w:r>
            <w:r>
              <w:rPr>
                <w:rFonts w:hint="default" w:ascii="Times New Roman" w:hAnsi="Times New Roman" w:eastAsia="宋体" w:cs="Times New Roman"/>
                <w:color w:val="auto"/>
                <w:highlight w:val="none"/>
                <w:lang w:val="en-US" w:eastAsia="zh-CN"/>
              </w:rPr>
              <w:t>非甲烷总烃</w:t>
            </w:r>
            <w:r>
              <w:rPr>
                <w:rFonts w:hint="default" w:ascii="Times New Roman" w:hAnsi="Times New Roman" w:eastAsia="宋体" w:cs="Times New Roman"/>
                <w:color w:val="auto"/>
                <w:highlight w:val="none"/>
              </w:rPr>
              <w:t>呈无组织排放</w:t>
            </w:r>
            <w:r>
              <w:rPr>
                <w:rFonts w:hint="eastAsia" w:cs="Times New Roman"/>
                <w:color w:val="auto"/>
                <w:highlight w:val="none"/>
                <w:lang w:eastAsia="zh-CN"/>
              </w:rPr>
              <w:t>，</w:t>
            </w:r>
            <w:r>
              <w:rPr>
                <w:rFonts w:hint="eastAsia" w:cs="Times New Roman"/>
                <w:color w:val="auto"/>
                <w:highlight w:val="none"/>
                <w:lang w:val="en-US" w:eastAsia="zh-CN"/>
              </w:rPr>
              <w:t>无组织</w:t>
            </w:r>
            <w:r>
              <w:rPr>
                <w:rFonts w:hint="default" w:ascii="Times New Roman" w:hAnsi="Times New Roman" w:eastAsia="宋体" w:cs="Times New Roman"/>
                <w:color w:val="auto"/>
                <w:highlight w:val="none"/>
              </w:rPr>
              <w:t>排放量为</w:t>
            </w:r>
            <w:r>
              <w:rPr>
                <w:rFonts w:hint="eastAsia" w:cs="Times New Roman"/>
                <w:color w:val="auto"/>
                <w:highlight w:val="none"/>
                <w:lang w:val="en-US" w:eastAsia="zh-CN"/>
              </w:rPr>
              <w:t>0.00012</w:t>
            </w:r>
            <w:r>
              <w:rPr>
                <w:rFonts w:hint="default" w:ascii="Times New Roman" w:hAnsi="Times New Roman" w:eastAsia="宋体" w:cs="Times New Roman"/>
                <w:color w:val="auto"/>
                <w:highlight w:val="none"/>
              </w:rPr>
              <w:t>t/a</w:t>
            </w:r>
            <w:r>
              <w:rPr>
                <w:rFonts w:hint="eastAsia" w:cs="Times New Roman"/>
                <w:color w:val="auto"/>
                <w:highlight w:val="none"/>
                <w:lang w:eastAsia="zh-CN"/>
              </w:rPr>
              <w:t>，</w:t>
            </w:r>
            <w:r>
              <w:rPr>
                <w:rFonts w:hint="default" w:ascii="Times New Roman" w:hAnsi="Times New Roman" w:eastAsia="宋体" w:cs="Times New Roman"/>
                <w:color w:val="auto"/>
                <w:highlight w:val="none"/>
              </w:rPr>
              <w:t>排放速率为</w:t>
            </w:r>
            <w:r>
              <w:rPr>
                <w:rFonts w:hint="eastAsia" w:cs="Times New Roman"/>
                <w:color w:val="auto"/>
                <w:highlight w:val="none"/>
                <w:lang w:val="en-US" w:eastAsia="zh-CN"/>
              </w:rPr>
              <w:t>0.00005</w:t>
            </w:r>
            <w:r>
              <w:rPr>
                <w:rFonts w:hint="default" w:ascii="Times New Roman" w:hAnsi="Times New Roman" w:eastAsia="宋体" w:cs="Times New Roman"/>
                <w:color w:val="auto"/>
                <w:highlight w:val="none"/>
              </w:rPr>
              <w:t>kg/h。</w:t>
            </w:r>
          </w:p>
          <w:p>
            <w:pPr>
              <w:spacing w:line="360" w:lineRule="auto"/>
              <w:ind w:firstLine="480" w:firstLineChars="200"/>
              <w:rPr>
                <w:rFonts w:hint="default" w:ascii="Times New Roman" w:hAnsi="Times New Roman" w:eastAsia="宋体" w:cs="Times New Roman"/>
                <w:b/>
                <w:color w:val="0000FF"/>
                <w:szCs w:val="21"/>
              </w:rPr>
            </w:pPr>
            <w:r>
              <w:rPr>
                <w:rFonts w:hint="default" w:ascii="Times New Roman" w:hAnsi="Times New Roman" w:eastAsia="宋体" w:cs="Times New Roman"/>
                <w:color w:val="auto"/>
                <w:kern w:val="0"/>
                <w:sz w:val="24"/>
              </w:rPr>
              <w:t>项目</w:t>
            </w:r>
            <w:r>
              <w:rPr>
                <w:rFonts w:hint="default" w:ascii="Times New Roman" w:hAnsi="Times New Roman" w:eastAsia="宋体" w:cs="Times New Roman"/>
                <w:b w:val="0"/>
                <w:bCs w:val="0"/>
                <w:color w:val="auto"/>
                <w:sz w:val="24"/>
              </w:rPr>
              <w:t>AKD蜡融化</w:t>
            </w:r>
            <w:r>
              <w:rPr>
                <w:rFonts w:hint="default" w:ascii="Times New Roman" w:hAnsi="Times New Roman" w:eastAsia="宋体" w:cs="Times New Roman"/>
                <w:b w:val="0"/>
                <w:bCs w:val="0"/>
                <w:color w:val="auto"/>
                <w:sz w:val="24"/>
                <w:lang w:val="en-US" w:eastAsia="zh-CN"/>
              </w:rPr>
              <w:t>工段产生的非甲烷总烃</w:t>
            </w:r>
            <w:r>
              <w:rPr>
                <w:rFonts w:hint="default" w:ascii="Times New Roman" w:hAnsi="Times New Roman" w:eastAsia="宋体" w:cs="Times New Roman"/>
                <w:color w:val="auto"/>
                <w:kern w:val="0"/>
                <w:sz w:val="24"/>
              </w:rPr>
              <w:t>的产生及排放情况见表4-</w:t>
            </w:r>
            <w:r>
              <w:rPr>
                <w:rFonts w:hint="eastAsia" w:cs="Times New Roman"/>
                <w:color w:val="auto"/>
                <w:kern w:val="0"/>
                <w:sz w:val="24"/>
                <w:lang w:val="en-US" w:eastAsia="zh-CN"/>
              </w:rPr>
              <w:t>4</w:t>
            </w:r>
            <w:r>
              <w:rPr>
                <w:rFonts w:hint="default" w:ascii="Times New Roman" w:hAnsi="Times New Roman" w:eastAsia="宋体" w:cs="Times New Roman"/>
                <w:color w:val="auto"/>
                <w:kern w:val="0"/>
                <w:sz w:val="24"/>
              </w:rPr>
              <w:t>。</w:t>
            </w:r>
          </w:p>
          <w:p>
            <w:pPr>
              <w:pStyle w:val="8"/>
              <w:rPr>
                <w:rFonts w:hint="default" w:ascii="Times New Roman" w:hAnsi="Times New Roman" w:eastAsia="宋体" w:cs="Times New Roman"/>
                <w:bCs w:val="0"/>
                <w:color w:val="auto"/>
              </w:rPr>
            </w:pPr>
            <w:r>
              <w:rPr>
                <w:rFonts w:hint="default" w:ascii="Times New Roman" w:hAnsi="Times New Roman" w:eastAsia="宋体" w:cs="Times New Roman"/>
                <w:bCs w:val="0"/>
                <w:color w:val="auto"/>
              </w:rPr>
              <w:t>表4-</w:t>
            </w:r>
            <w:r>
              <w:rPr>
                <w:rFonts w:hint="eastAsia" w:cs="Times New Roman"/>
                <w:bCs w:val="0"/>
                <w:color w:val="auto"/>
                <w:lang w:val="en-US" w:eastAsia="zh-CN"/>
              </w:rPr>
              <w:t xml:space="preserve">4 </w:t>
            </w:r>
            <w:r>
              <w:rPr>
                <w:rFonts w:hint="default" w:ascii="Times New Roman" w:hAnsi="Times New Roman" w:eastAsia="宋体" w:cs="Times New Roman"/>
                <w:bCs w:val="0"/>
                <w:color w:val="auto"/>
              </w:rPr>
              <w:t xml:space="preserve"> </w:t>
            </w:r>
            <w:r>
              <w:rPr>
                <w:rFonts w:hint="default" w:ascii="Times New Roman" w:hAnsi="Times New Roman" w:eastAsia="宋体" w:cs="Times New Roman"/>
                <w:b/>
                <w:bCs/>
                <w:color w:val="auto"/>
                <w:kern w:val="0"/>
                <w:sz w:val="21"/>
                <w:szCs w:val="21"/>
              </w:rPr>
              <w:t>项目</w:t>
            </w:r>
            <w:r>
              <w:rPr>
                <w:rFonts w:hint="default" w:ascii="Times New Roman" w:hAnsi="Times New Roman" w:eastAsia="宋体" w:cs="Times New Roman"/>
                <w:b/>
                <w:bCs/>
                <w:color w:val="auto"/>
                <w:sz w:val="21"/>
                <w:szCs w:val="21"/>
              </w:rPr>
              <w:t>AKD蜡融化</w:t>
            </w:r>
            <w:r>
              <w:rPr>
                <w:rFonts w:hint="default" w:ascii="Times New Roman" w:hAnsi="Times New Roman" w:eastAsia="宋体" w:cs="Times New Roman"/>
                <w:b/>
                <w:bCs/>
                <w:color w:val="auto"/>
                <w:sz w:val="21"/>
                <w:szCs w:val="21"/>
                <w:lang w:val="en-US" w:eastAsia="zh-CN"/>
              </w:rPr>
              <w:t>工段非甲烷总烃的</w:t>
            </w:r>
            <w:r>
              <w:rPr>
                <w:rFonts w:hint="default" w:ascii="Times New Roman" w:hAnsi="Times New Roman" w:eastAsia="宋体" w:cs="Times New Roman"/>
                <w:b/>
                <w:bCs/>
                <w:color w:val="auto"/>
                <w:sz w:val="21"/>
                <w:szCs w:val="21"/>
              </w:rPr>
              <w:t>产生及排放情况</w:t>
            </w:r>
            <w:r>
              <w:rPr>
                <w:rFonts w:hint="default" w:ascii="Times New Roman" w:hAnsi="Times New Roman" w:eastAsia="宋体" w:cs="Times New Roman"/>
                <w:bCs w:val="0"/>
                <w:color w:val="auto"/>
              </w:rPr>
              <w:t>表</w:t>
            </w:r>
          </w:p>
          <w:tbl>
            <w:tblPr>
              <w:tblStyle w:val="27"/>
              <w:tblW w:w="494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571"/>
              <w:gridCol w:w="571"/>
              <w:gridCol w:w="590"/>
              <w:gridCol w:w="911"/>
              <w:gridCol w:w="695"/>
              <w:gridCol w:w="673"/>
              <w:gridCol w:w="1856"/>
              <w:gridCol w:w="718"/>
              <w:gridCol w:w="829"/>
              <w:gridCol w:w="8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24" w:hRule="atLeast"/>
                <w:jc w:val="center"/>
              </w:trPr>
              <w:tc>
                <w:tcPr>
                  <w:tcW w:w="571" w:type="dxa"/>
                  <w:tcBorders>
                    <w:top w:val="single" w:color="auto" w:sz="4" w:space="0"/>
                    <w:left w:val="single" w:color="auto" w:sz="4" w:space="0"/>
                    <w:bottom w:val="single" w:color="auto" w:sz="4" w:space="0"/>
                  </w:tcBorders>
                  <w:vAlign w:val="center"/>
                </w:tcPr>
                <w:p>
                  <w:pPr>
                    <w:pStyle w:val="45"/>
                    <w:autoSpaceDE w:val="0"/>
                    <w:autoSpaceDN w:val="0"/>
                    <w:spacing w:line="240" w:lineRule="atLeast"/>
                    <w:rPr>
                      <w:rFonts w:hint="default" w:ascii="Times New Roman" w:hAnsi="Times New Roman" w:eastAsia="宋体" w:cs="Times New Roman"/>
                      <w:color w:val="auto"/>
                      <w:szCs w:val="21"/>
                    </w:rPr>
                  </w:pPr>
                </w:p>
                <w:p>
                  <w:pPr>
                    <w:pStyle w:val="45"/>
                    <w:autoSpaceDE w:val="0"/>
                    <w:autoSpaceDN w:val="0"/>
                    <w:spacing w:line="240" w:lineRule="atLeast"/>
                    <w:rPr>
                      <w:rFonts w:hint="default" w:ascii="Times New Roman" w:hAnsi="Times New Roman" w:eastAsia="宋体" w:cs="Times New Roman"/>
                      <w:color w:val="auto"/>
                      <w:kern w:val="0"/>
                      <w:szCs w:val="21"/>
                      <w:lang w:val="en-US"/>
                    </w:rPr>
                  </w:pPr>
                  <w:r>
                    <w:rPr>
                      <w:rFonts w:hint="default" w:ascii="Times New Roman" w:hAnsi="Times New Roman" w:eastAsia="宋体" w:cs="Times New Roman"/>
                      <w:color w:val="auto"/>
                      <w:szCs w:val="21"/>
                    </w:rPr>
                    <w:t>污染源</w:t>
                  </w:r>
                </w:p>
              </w:tc>
              <w:tc>
                <w:tcPr>
                  <w:tcW w:w="571" w:type="dxa"/>
                  <w:tcBorders>
                    <w:top w:val="single" w:color="auto" w:sz="4" w:space="0"/>
                    <w:left w:val="single" w:color="auto" w:sz="4" w:space="0"/>
                    <w:bottom w:val="single" w:color="auto" w:sz="4" w:space="0"/>
                  </w:tcBorders>
                  <w:vAlign w:val="center"/>
                </w:tcPr>
                <w:p>
                  <w:pPr>
                    <w:pStyle w:val="45"/>
                    <w:autoSpaceDE w:val="0"/>
                    <w:autoSpaceDN w:val="0"/>
                    <w:spacing w:line="240" w:lineRule="atLeast"/>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污染物</w:t>
                  </w:r>
                </w:p>
              </w:tc>
              <w:tc>
                <w:tcPr>
                  <w:tcW w:w="590" w:type="dxa"/>
                  <w:tcBorders>
                    <w:bottom w:val="single" w:color="auto" w:sz="4" w:space="0"/>
                  </w:tcBorders>
                  <w:vAlign w:val="center"/>
                </w:tcPr>
                <w:p>
                  <w:pPr>
                    <w:pStyle w:val="45"/>
                    <w:autoSpaceDE w:val="0"/>
                    <w:autoSpaceDN w:val="0"/>
                    <w:spacing w:line="24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排放方</w:t>
                  </w:r>
                </w:p>
                <w:p>
                  <w:pPr>
                    <w:pStyle w:val="45"/>
                    <w:autoSpaceDE w:val="0"/>
                    <w:autoSpaceDN w:val="0"/>
                    <w:spacing w:line="240" w:lineRule="atLeast"/>
                    <w:rPr>
                      <w:rFonts w:hint="default" w:ascii="Times New Roman" w:hAnsi="Times New Roman" w:eastAsia="宋体" w:cs="Times New Roman"/>
                      <w:color w:val="auto"/>
                      <w:spacing w:val="-30"/>
                      <w:szCs w:val="21"/>
                    </w:rPr>
                  </w:pPr>
                  <w:r>
                    <w:rPr>
                      <w:rFonts w:hint="default" w:ascii="Times New Roman" w:hAnsi="Times New Roman" w:eastAsia="宋体" w:cs="Times New Roman"/>
                      <w:color w:val="auto"/>
                      <w:szCs w:val="21"/>
                    </w:rPr>
                    <w:t>式</w:t>
                  </w:r>
                </w:p>
              </w:tc>
              <w:tc>
                <w:tcPr>
                  <w:tcW w:w="912" w:type="dxa"/>
                  <w:vAlign w:val="center"/>
                </w:tcPr>
                <w:p>
                  <w:pPr>
                    <w:pStyle w:val="45"/>
                    <w:autoSpaceDE w:val="0"/>
                    <w:autoSpaceDN w:val="0"/>
                    <w:spacing w:line="24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w:t>
                  </w:r>
                </w:p>
                <w:p>
                  <w:pPr>
                    <w:pStyle w:val="45"/>
                    <w:autoSpaceDE w:val="0"/>
                    <w:autoSpaceDN w:val="0"/>
                    <w:spacing w:line="24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30"/>
                      <w:szCs w:val="21"/>
                    </w:rPr>
                    <w:t xml:space="preserve">量 </w:t>
                  </w:r>
                  <w:r>
                    <w:rPr>
                      <w:rFonts w:hint="default" w:ascii="Times New Roman" w:hAnsi="Times New Roman" w:eastAsia="宋体" w:cs="Times New Roman"/>
                      <w:color w:val="auto"/>
                      <w:szCs w:val="21"/>
                    </w:rPr>
                    <w:t>t/a</w:t>
                  </w:r>
                </w:p>
              </w:tc>
              <w:tc>
                <w:tcPr>
                  <w:tcW w:w="696" w:type="dxa"/>
                  <w:vAlign w:val="center"/>
                </w:tcPr>
                <w:p>
                  <w:pPr>
                    <w:pStyle w:val="45"/>
                    <w:autoSpaceDE w:val="0"/>
                    <w:autoSpaceDN w:val="0"/>
                    <w:spacing w:line="24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产生速</w:t>
                  </w:r>
                </w:p>
                <w:p>
                  <w:pPr>
                    <w:pStyle w:val="45"/>
                    <w:autoSpaceDE w:val="0"/>
                    <w:autoSpaceDN w:val="0"/>
                    <w:spacing w:line="24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32"/>
                      <w:szCs w:val="21"/>
                    </w:rPr>
                    <w:t xml:space="preserve">率 </w:t>
                  </w:r>
                  <w:r>
                    <w:rPr>
                      <w:rFonts w:hint="default" w:ascii="Times New Roman" w:hAnsi="Times New Roman" w:eastAsia="宋体" w:cs="Times New Roman"/>
                      <w:color w:val="auto"/>
                      <w:szCs w:val="21"/>
                    </w:rPr>
                    <w:t>kg/h</w:t>
                  </w:r>
                </w:p>
              </w:tc>
              <w:tc>
                <w:tcPr>
                  <w:tcW w:w="673" w:type="dxa"/>
                  <w:vAlign w:val="center"/>
                </w:tcPr>
                <w:p>
                  <w:pPr>
                    <w:pStyle w:val="45"/>
                    <w:autoSpaceDE w:val="0"/>
                    <w:autoSpaceDN w:val="0"/>
                    <w:spacing w:line="240" w:lineRule="atLeast"/>
                    <w:rPr>
                      <w:rFonts w:hint="default" w:ascii="Times New Roman" w:hAnsi="Times New Roman" w:eastAsia="宋体" w:cs="Times New Roman"/>
                      <w:color w:val="auto"/>
                      <w:spacing w:val="-32"/>
                      <w:szCs w:val="21"/>
                    </w:rPr>
                  </w:pPr>
                  <w:r>
                    <w:rPr>
                      <w:rFonts w:hint="default" w:ascii="Times New Roman" w:hAnsi="Times New Roman" w:eastAsia="宋体" w:cs="Times New Roman"/>
                      <w:color w:val="auto"/>
                      <w:szCs w:val="21"/>
                      <w:lang w:val="en-US"/>
                    </w:rPr>
                    <w:t>产生浓度</w:t>
                  </w:r>
                  <w:r>
                    <w:rPr>
                      <w:rFonts w:hint="default" w:ascii="Times New Roman" w:hAnsi="Times New Roman" w:eastAsia="宋体" w:cs="Times New Roman"/>
                      <w:color w:val="auto"/>
                      <w:szCs w:val="21"/>
                    </w:rPr>
                    <w:t>mg/m</w:t>
                  </w:r>
                  <w:r>
                    <w:rPr>
                      <w:rFonts w:hint="default" w:ascii="Times New Roman" w:hAnsi="Times New Roman" w:eastAsia="宋体" w:cs="Times New Roman"/>
                      <w:color w:val="auto"/>
                      <w:szCs w:val="21"/>
                      <w:vertAlign w:val="superscript"/>
                    </w:rPr>
                    <w:t>3</w:t>
                  </w:r>
                </w:p>
              </w:tc>
              <w:tc>
                <w:tcPr>
                  <w:tcW w:w="1857" w:type="dxa"/>
                  <w:vAlign w:val="center"/>
                </w:tcPr>
                <w:p>
                  <w:pPr>
                    <w:pStyle w:val="45"/>
                    <w:autoSpaceDE w:val="0"/>
                    <w:autoSpaceDN w:val="0"/>
                    <w:spacing w:line="240" w:lineRule="atLeast"/>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处理设施</w:t>
                  </w:r>
                </w:p>
              </w:tc>
              <w:tc>
                <w:tcPr>
                  <w:tcW w:w="719" w:type="dxa"/>
                  <w:vAlign w:val="center"/>
                </w:tcPr>
                <w:p>
                  <w:pPr>
                    <w:pStyle w:val="45"/>
                    <w:autoSpaceDE w:val="0"/>
                    <w:autoSpaceDN w:val="0"/>
                    <w:spacing w:line="24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w:t>
                  </w:r>
                </w:p>
                <w:p>
                  <w:pPr>
                    <w:pStyle w:val="45"/>
                    <w:autoSpaceDE w:val="0"/>
                    <w:autoSpaceDN w:val="0"/>
                    <w:spacing w:line="240" w:lineRule="atLeast"/>
                    <w:rPr>
                      <w:rFonts w:hint="default" w:ascii="Times New Roman" w:hAnsi="Times New Roman" w:eastAsia="宋体" w:cs="Times New Roman"/>
                      <w:color w:val="auto"/>
                      <w:spacing w:val="-32"/>
                      <w:szCs w:val="21"/>
                    </w:rPr>
                  </w:pPr>
                  <w:r>
                    <w:rPr>
                      <w:rFonts w:hint="default" w:ascii="Times New Roman" w:hAnsi="Times New Roman" w:eastAsia="宋体" w:cs="Times New Roman"/>
                      <w:color w:val="auto"/>
                      <w:spacing w:val="-30"/>
                      <w:szCs w:val="21"/>
                    </w:rPr>
                    <w:t xml:space="preserve">量 </w:t>
                  </w:r>
                  <w:r>
                    <w:rPr>
                      <w:rFonts w:hint="default" w:ascii="Times New Roman" w:hAnsi="Times New Roman" w:eastAsia="宋体" w:cs="Times New Roman"/>
                      <w:color w:val="auto"/>
                      <w:szCs w:val="21"/>
                    </w:rPr>
                    <w:t>t/a</w:t>
                  </w:r>
                </w:p>
              </w:tc>
              <w:tc>
                <w:tcPr>
                  <w:tcW w:w="830" w:type="dxa"/>
                  <w:vAlign w:val="center"/>
                </w:tcPr>
                <w:p>
                  <w:pPr>
                    <w:pStyle w:val="45"/>
                    <w:autoSpaceDE w:val="0"/>
                    <w:autoSpaceDN w:val="0"/>
                    <w:spacing w:line="24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排放速</w:t>
                  </w:r>
                </w:p>
                <w:p>
                  <w:pPr>
                    <w:pStyle w:val="45"/>
                    <w:autoSpaceDE w:val="0"/>
                    <w:autoSpaceDN w:val="0"/>
                    <w:spacing w:line="24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32"/>
                      <w:szCs w:val="21"/>
                    </w:rPr>
                    <w:t xml:space="preserve">率 </w:t>
                  </w:r>
                  <w:r>
                    <w:rPr>
                      <w:rFonts w:hint="default" w:ascii="Times New Roman" w:hAnsi="Times New Roman" w:eastAsia="宋体" w:cs="Times New Roman"/>
                      <w:color w:val="auto"/>
                      <w:szCs w:val="21"/>
                    </w:rPr>
                    <w:t>kg/h</w:t>
                  </w:r>
                </w:p>
              </w:tc>
              <w:tc>
                <w:tcPr>
                  <w:tcW w:w="881" w:type="dxa"/>
                  <w:vAlign w:val="center"/>
                </w:tcPr>
                <w:p>
                  <w:pPr>
                    <w:pStyle w:val="45"/>
                    <w:autoSpaceDE w:val="0"/>
                    <w:autoSpaceDN w:val="0"/>
                    <w:spacing w:line="240" w:lineRule="atLeast"/>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排放浓度</w:t>
                  </w:r>
                </w:p>
                <w:p>
                  <w:pPr>
                    <w:pStyle w:val="45"/>
                    <w:autoSpaceDE w:val="0"/>
                    <w:autoSpaceDN w:val="0"/>
                    <w:spacing w:line="24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rPr>
                    <w:t>mg/m</w:t>
                  </w:r>
                  <w:r>
                    <w:rPr>
                      <w:rFonts w:hint="default" w:ascii="Times New Roman" w:hAnsi="Times New Roman" w:eastAsia="宋体" w:cs="Times New Roman"/>
                      <w:color w:val="auto"/>
                      <w:szCs w:val="21"/>
                      <w:vertAlign w:val="superscript"/>
                      <w:lang w:val="en-US"/>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571" w:type="dxa"/>
                  <w:vMerge w:val="restart"/>
                  <w:tcBorders>
                    <w:top w:val="single" w:color="auto" w:sz="4" w:space="0"/>
                    <w:left w:val="single" w:color="auto" w:sz="4" w:space="0"/>
                    <w:bottom w:val="single" w:color="auto" w:sz="4" w:space="0"/>
                    <w:right w:val="single" w:color="auto" w:sz="4" w:space="0"/>
                  </w:tcBorders>
                  <w:vAlign w:val="center"/>
                </w:tcPr>
                <w:p>
                  <w:pPr>
                    <w:pStyle w:val="45"/>
                    <w:autoSpaceDE w:val="0"/>
                    <w:autoSpaceDN w:val="0"/>
                    <w:spacing w:line="240" w:lineRule="atLeast"/>
                    <w:rPr>
                      <w:rFonts w:hint="default" w:ascii="Times New Roman" w:hAnsi="Times New Roman" w:eastAsia="宋体" w:cs="Times New Roman"/>
                      <w:color w:val="auto"/>
                      <w:szCs w:val="21"/>
                      <w:lang w:val="en-US"/>
                    </w:rPr>
                  </w:pPr>
                  <w:r>
                    <w:rPr>
                      <w:rFonts w:hint="default" w:ascii="Times New Roman" w:hAnsi="Times New Roman" w:eastAsia="宋体" w:cs="Times New Roman"/>
                      <w:b w:val="0"/>
                      <w:bCs w:val="0"/>
                      <w:color w:val="auto"/>
                      <w:sz w:val="21"/>
                      <w:szCs w:val="21"/>
                    </w:rPr>
                    <w:t>AKD蜡融化</w:t>
                  </w:r>
                  <w:r>
                    <w:rPr>
                      <w:rFonts w:hint="default" w:ascii="Times New Roman" w:hAnsi="Times New Roman" w:eastAsia="宋体" w:cs="Times New Roman"/>
                      <w:b w:val="0"/>
                      <w:bCs w:val="0"/>
                      <w:color w:val="auto"/>
                      <w:sz w:val="21"/>
                      <w:szCs w:val="21"/>
                      <w:lang w:val="en-US" w:eastAsia="zh-CN"/>
                    </w:rPr>
                    <w:t>工段</w:t>
                  </w:r>
                </w:p>
              </w:tc>
              <w:tc>
                <w:tcPr>
                  <w:tcW w:w="571" w:type="dxa"/>
                  <w:vMerge w:val="restart"/>
                  <w:tcBorders>
                    <w:top w:val="single" w:color="auto" w:sz="4" w:space="0"/>
                    <w:left w:val="single" w:color="auto" w:sz="4" w:space="0"/>
                    <w:right w:val="single" w:color="auto" w:sz="4" w:space="0"/>
                  </w:tcBorders>
                  <w:vAlign w:val="center"/>
                </w:tcPr>
                <w:p>
                  <w:pPr>
                    <w:pStyle w:val="45"/>
                    <w:spacing w:line="24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6"/>
                      <w:szCs w:val="21"/>
                      <w:lang w:val="en-US" w:eastAsia="zh-CN"/>
                    </w:rPr>
                    <w:t>挥发性有机物（以</w:t>
                  </w:r>
                  <w:r>
                    <w:rPr>
                      <w:rFonts w:hint="default" w:ascii="Times New Roman" w:hAnsi="Times New Roman" w:eastAsia="宋体" w:cs="Times New Roman"/>
                      <w:color w:val="auto"/>
                      <w:spacing w:val="-6"/>
                      <w:szCs w:val="21"/>
                    </w:rPr>
                    <w:t>非甲</w:t>
                  </w:r>
                </w:p>
                <w:p>
                  <w:pPr>
                    <w:pStyle w:val="45"/>
                    <w:autoSpaceDE w:val="0"/>
                    <w:autoSpaceDN w:val="0"/>
                    <w:spacing w:line="24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烷总烃</w:t>
                  </w:r>
                  <w:r>
                    <w:rPr>
                      <w:rFonts w:hint="default" w:ascii="Times New Roman" w:hAnsi="Times New Roman" w:eastAsia="宋体" w:cs="Times New Roman"/>
                      <w:color w:val="auto"/>
                      <w:szCs w:val="21"/>
                      <w:lang w:val="en-US" w:eastAsia="zh-CN"/>
                    </w:rPr>
                    <w:t>计</w:t>
                  </w:r>
                  <w:r>
                    <w:rPr>
                      <w:rFonts w:hint="default" w:ascii="Times New Roman" w:hAnsi="Times New Roman" w:eastAsia="宋体" w:cs="Times New Roman"/>
                      <w:color w:val="auto"/>
                      <w:spacing w:val="-6"/>
                      <w:szCs w:val="21"/>
                      <w:lang w:val="en-US" w:eastAsia="zh-CN"/>
                    </w:rPr>
                    <w:t>）</w:t>
                  </w:r>
                </w:p>
                <w:p>
                  <w:pPr>
                    <w:autoSpaceDE w:val="0"/>
                    <w:autoSpaceDN w:val="0"/>
                    <w:spacing w:line="240" w:lineRule="atLeast"/>
                    <w:jc w:val="center"/>
                    <w:rPr>
                      <w:rFonts w:hint="default" w:ascii="Times New Roman" w:hAnsi="Times New Roman" w:eastAsia="宋体" w:cs="Times New Roman"/>
                      <w:color w:val="auto"/>
                      <w:szCs w:val="21"/>
                    </w:rPr>
                  </w:pPr>
                </w:p>
              </w:tc>
              <w:tc>
                <w:tcPr>
                  <w:tcW w:w="590" w:type="dxa"/>
                  <w:tcBorders>
                    <w:top w:val="single" w:color="auto" w:sz="4" w:space="0"/>
                    <w:left w:val="single" w:color="auto" w:sz="4" w:space="0"/>
                    <w:bottom w:val="single" w:color="auto" w:sz="4" w:space="0"/>
                    <w:right w:val="single" w:color="auto" w:sz="4" w:space="0"/>
                  </w:tcBorders>
                  <w:vAlign w:val="center"/>
                </w:tcPr>
                <w:p>
                  <w:pPr>
                    <w:pStyle w:val="45"/>
                    <w:autoSpaceDE w:val="0"/>
                    <w:autoSpaceDN w:val="0"/>
                    <w:spacing w:line="240" w:lineRule="atLeast"/>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rPr>
                    <w:t>有组织</w:t>
                  </w:r>
                </w:p>
              </w:tc>
              <w:tc>
                <w:tcPr>
                  <w:tcW w:w="912" w:type="dxa"/>
                  <w:tcBorders>
                    <w:left w:val="single" w:color="auto" w:sz="4" w:space="0"/>
                    <w:bottom w:val="single" w:color="auto" w:sz="4" w:space="0"/>
                  </w:tcBorders>
                  <w:vAlign w:val="center"/>
                </w:tcPr>
                <w:p>
                  <w:pPr>
                    <w:pStyle w:val="45"/>
                    <w:autoSpaceDE w:val="0"/>
                    <w:autoSpaceDN w:val="0"/>
                    <w:spacing w:line="240" w:lineRule="atLeast"/>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0.0059</w:t>
                  </w:r>
                </w:p>
              </w:tc>
              <w:tc>
                <w:tcPr>
                  <w:tcW w:w="696" w:type="dxa"/>
                  <w:tcBorders>
                    <w:bottom w:val="single" w:color="auto" w:sz="4" w:space="0"/>
                  </w:tcBorders>
                  <w:vAlign w:val="center"/>
                </w:tcPr>
                <w:p>
                  <w:pPr>
                    <w:pStyle w:val="45"/>
                    <w:autoSpaceDE w:val="0"/>
                    <w:autoSpaceDN w:val="0"/>
                    <w:spacing w:line="240" w:lineRule="atLeast"/>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0.0025</w:t>
                  </w:r>
                </w:p>
              </w:tc>
              <w:tc>
                <w:tcPr>
                  <w:tcW w:w="673" w:type="dxa"/>
                  <w:tcBorders>
                    <w:bottom w:val="single" w:color="auto" w:sz="4" w:space="0"/>
                  </w:tcBorders>
                  <w:vAlign w:val="center"/>
                </w:tcPr>
                <w:p>
                  <w:pPr>
                    <w:pStyle w:val="45"/>
                    <w:autoSpaceDE w:val="0"/>
                    <w:autoSpaceDN w:val="0"/>
                    <w:spacing w:line="240" w:lineRule="atLeast"/>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1.25</w:t>
                  </w:r>
                </w:p>
              </w:tc>
              <w:tc>
                <w:tcPr>
                  <w:tcW w:w="1857" w:type="dxa"/>
                  <w:vAlign w:val="center"/>
                </w:tcPr>
                <w:p>
                  <w:pPr>
                    <w:pStyle w:val="45"/>
                    <w:autoSpaceDE w:val="0"/>
                    <w:autoSpaceDN w:val="0"/>
                    <w:spacing w:line="24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排气口上连接排气管道（收集效率98%）</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二级</w:t>
                  </w:r>
                  <w:r>
                    <w:rPr>
                      <w:rFonts w:hint="default" w:ascii="Times New Roman" w:hAnsi="Times New Roman" w:eastAsia="宋体" w:cs="Times New Roman"/>
                      <w:color w:val="auto"/>
                      <w:sz w:val="21"/>
                      <w:szCs w:val="21"/>
                    </w:rPr>
                    <w:t>活性炭吸附装置（</w:t>
                  </w:r>
                  <w:r>
                    <w:rPr>
                      <w:rFonts w:hint="default" w:ascii="Times New Roman" w:hAnsi="Times New Roman" w:eastAsia="宋体" w:cs="Times New Roman"/>
                      <w:color w:val="auto"/>
                      <w:spacing w:val="-14"/>
                      <w:sz w:val="21"/>
                      <w:szCs w:val="21"/>
                    </w:rPr>
                    <w:t xml:space="preserve">去除率 </w:t>
                  </w:r>
                  <w:r>
                    <w:rPr>
                      <w:rFonts w:hint="default" w:ascii="Times New Roman" w:hAnsi="Times New Roman" w:eastAsia="宋体" w:cs="Times New Roman"/>
                      <w:color w:val="auto"/>
                      <w:sz w:val="21"/>
                      <w:szCs w:val="21"/>
                      <w:lang w:val="en-US" w:eastAsia="zh-CN"/>
                    </w:rPr>
                    <w:t>85</w:t>
                  </w:r>
                  <w:r>
                    <w:rPr>
                      <w:rFonts w:hint="default" w:ascii="Times New Roman" w:hAnsi="Times New Roman" w:eastAsia="宋体" w:cs="Times New Roman"/>
                      <w:color w:val="auto"/>
                      <w:sz w:val="21"/>
                      <w:szCs w:val="21"/>
                    </w:rPr>
                    <w:t>%）+15m</w:t>
                  </w:r>
                  <w:r>
                    <w:rPr>
                      <w:rFonts w:hint="default" w:ascii="Times New Roman" w:hAnsi="Times New Roman" w:eastAsia="宋体" w:cs="Times New Roman"/>
                      <w:color w:val="auto"/>
                      <w:spacing w:val="-13"/>
                      <w:sz w:val="21"/>
                      <w:szCs w:val="21"/>
                    </w:rPr>
                    <w:t>排</w:t>
                  </w:r>
                  <w:r>
                    <w:rPr>
                      <w:rFonts w:hint="default" w:ascii="Times New Roman" w:hAnsi="Times New Roman" w:eastAsia="宋体" w:cs="Times New Roman"/>
                      <w:color w:val="auto"/>
                      <w:sz w:val="21"/>
                      <w:szCs w:val="21"/>
                    </w:rPr>
                    <w:t>气筒</w:t>
                  </w:r>
                  <w:r>
                    <w:rPr>
                      <w:rStyle w:val="34"/>
                      <w:rFonts w:hint="eastAsia" w:ascii="Times New Roman" w:hAnsi="Times New Roman" w:cs="Times New Roman"/>
                      <w:color w:val="auto"/>
                      <w:sz w:val="24"/>
                      <w:szCs w:val="20"/>
                      <w:lang w:eastAsia="zh-CN"/>
                    </w:rPr>
                    <w:t>，</w:t>
                  </w:r>
                  <w:r>
                    <w:rPr>
                      <w:rFonts w:hint="default" w:ascii="Times New Roman" w:hAnsi="Times New Roman" w:eastAsia="宋体" w:cs="Times New Roman"/>
                      <w:color w:val="auto"/>
                    </w:rPr>
                    <w:t>风机风量为</w:t>
                  </w:r>
                  <w:r>
                    <w:rPr>
                      <w:rFonts w:hint="default" w:ascii="Times New Roman" w:hAnsi="Times New Roman" w:eastAsia="宋体" w:cs="Times New Roman"/>
                      <w:color w:val="auto"/>
                      <w:lang w:val="en-US" w:eastAsia="zh-CN"/>
                    </w:rPr>
                    <w:t>2000</w:t>
                  </w:r>
                  <w:r>
                    <w:rPr>
                      <w:rFonts w:hint="default" w:ascii="Times New Roman" w:hAnsi="Times New Roman" w:eastAsia="宋体" w:cs="Times New Roman"/>
                      <w:color w:val="auto"/>
                    </w:rPr>
                    <w:t>m³/h</w:t>
                  </w:r>
                </w:p>
              </w:tc>
              <w:tc>
                <w:tcPr>
                  <w:tcW w:w="719" w:type="dxa"/>
                  <w:vAlign w:val="center"/>
                </w:tcPr>
                <w:p>
                  <w:pPr>
                    <w:pStyle w:val="45"/>
                    <w:autoSpaceDE w:val="0"/>
                    <w:autoSpaceDN w:val="0"/>
                    <w:spacing w:line="240" w:lineRule="atLeast"/>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0.0009</w:t>
                  </w:r>
                </w:p>
              </w:tc>
              <w:tc>
                <w:tcPr>
                  <w:tcW w:w="830" w:type="dxa"/>
                  <w:vAlign w:val="center"/>
                </w:tcPr>
                <w:p>
                  <w:pPr>
                    <w:pStyle w:val="45"/>
                    <w:autoSpaceDE w:val="0"/>
                    <w:autoSpaceDN w:val="0"/>
                    <w:spacing w:line="240" w:lineRule="atLeast"/>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0.0004</w:t>
                  </w:r>
                </w:p>
              </w:tc>
              <w:tc>
                <w:tcPr>
                  <w:tcW w:w="881" w:type="dxa"/>
                  <w:vAlign w:val="center"/>
                </w:tcPr>
                <w:p>
                  <w:pPr>
                    <w:pStyle w:val="45"/>
                    <w:autoSpaceDE w:val="0"/>
                    <w:autoSpaceDN w:val="0"/>
                    <w:spacing w:line="240" w:lineRule="atLeast"/>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79" w:hRule="atLeast"/>
                <w:jc w:val="center"/>
              </w:trPr>
              <w:tc>
                <w:tcPr>
                  <w:tcW w:w="571"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hint="default" w:ascii="Times New Roman" w:hAnsi="Times New Roman" w:eastAsia="宋体" w:cs="Times New Roman"/>
                      <w:color w:val="auto"/>
                      <w:szCs w:val="21"/>
                    </w:rPr>
                  </w:pPr>
                </w:p>
              </w:tc>
              <w:tc>
                <w:tcPr>
                  <w:tcW w:w="571" w:type="dxa"/>
                  <w:vMerge w:val="continue"/>
                  <w:tcBorders>
                    <w:left w:val="single" w:color="auto" w:sz="4" w:space="0"/>
                    <w:bottom w:val="single" w:color="auto" w:sz="4" w:space="0"/>
                    <w:right w:val="single" w:color="auto" w:sz="4" w:space="0"/>
                  </w:tcBorders>
                  <w:vAlign w:val="center"/>
                </w:tcPr>
                <w:p>
                  <w:pPr>
                    <w:autoSpaceDE w:val="0"/>
                    <w:autoSpaceDN w:val="0"/>
                    <w:spacing w:line="240" w:lineRule="atLeast"/>
                    <w:jc w:val="center"/>
                    <w:rPr>
                      <w:rFonts w:hint="default" w:ascii="Times New Roman" w:hAnsi="Times New Roman" w:eastAsia="宋体" w:cs="Times New Roman"/>
                      <w:color w:val="auto"/>
                      <w:szCs w:val="21"/>
                    </w:rPr>
                  </w:pPr>
                </w:p>
              </w:tc>
              <w:tc>
                <w:tcPr>
                  <w:tcW w:w="590" w:type="dxa"/>
                  <w:tcBorders>
                    <w:top w:val="single" w:color="auto" w:sz="4" w:space="0"/>
                    <w:left w:val="single" w:color="auto" w:sz="4" w:space="0"/>
                    <w:bottom w:val="single" w:color="auto" w:sz="4" w:space="0"/>
                    <w:right w:val="single" w:color="auto" w:sz="4" w:space="0"/>
                  </w:tcBorders>
                  <w:vAlign w:val="center"/>
                </w:tcPr>
                <w:p>
                  <w:pPr>
                    <w:pStyle w:val="45"/>
                    <w:autoSpaceDE w:val="0"/>
                    <w:autoSpaceDN w:val="0"/>
                    <w:spacing w:line="240" w:lineRule="atLeast"/>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rPr>
                    <w:t>无组织</w:t>
                  </w:r>
                </w:p>
              </w:tc>
              <w:tc>
                <w:tcPr>
                  <w:tcW w:w="912" w:type="dxa"/>
                  <w:tcBorders>
                    <w:top w:val="single" w:color="auto" w:sz="4" w:space="0"/>
                    <w:left w:val="single" w:color="auto" w:sz="4" w:space="0"/>
                    <w:bottom w:val="single" w:color="auto" w:sz="4" w:space="0"/>
                    <w:right w:val="single" w:color="auto" w:sz="4" w:space="0"/>
                  </w:tcBorders>
                  <w:vAlign w:val="center"/>
                </w:tcPr>
                <w:p>
                  <w:pPr>
                    <w:pStyle w:val="45"/>
                    <w:autoSpaceDE w:val="0"/>
                    <w:autoSpaceDN w:val="0"/>
                    <w:spacing w:line="240" w:lineRule="atLeast"/>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0.00012</w:t>
                  </w:r>
                </w:p>
              </w:tc>
              <w:tc>
                <w:tcPr>
                  <w:tcW w:w="696" w:type="dxa"/>
                  <w:tcBorders>
                    <w:top w:val="single" w:color="auto" w:sz="4" w:space="0"/>
                    <w:left w:val="single" w:color="auto" w:sz="4" w:space="0"/>
                    <w:bottom w:val="single" w:color="auto" w:sz="4" w:space="0"/>
                    <w:right w:val="single" w:color="auto" w:sz="4" w:space="0"/>
                  </w:tcBorders>
                  <w:vAlign w:val="center"/>
                </w:tcPr>
                <w:p>
                  <w:pPr>
                    <w:pStyle w:val="45"/>
                    <w:autoSpaceDE w:val="0"/>
                    <w:autoSpaceDN w:val="0"/>
                    <w:spacing w:line="240" w:lineRule="atLeast"/>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0.00005</w:t>
                  </w:r>
                </w:p>
              </w:tc>
              <w:tc>
                <w:tcPr>
                  <w:tcW w:w="673" w:type="dxa"/>
                  <w:tcBorders>
                    <w:top w:val="single" w:color="auto" w:sz="4" w:space="0"/>
                    <w:left w:val="single" w:color="auto" w:sz="4" w:space="0"/>
                    <w:right w:val="single" w:color="auto" w:sz="4" w:space="0"/>
                  </w:tcBorders>
                  <w:vAlign w:val="center"/>
                </w:tcPr>
                <w:p>
                  <w:pPr>
                    <w:autoSpaceDE w:val="0"/>
                    <w:autoSpaceDN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857" w:type="dxa"/>
                  <w:tcBorders>
                    <w:left w:val="single" w:color="auto" w:sz="4" w:space="0"/>
                  </w:tcBorders>
                  <w:vAlign w:val="center"/>
                </w:tcPr>
                <w:p>
                  <w:pPr>
                    <w:pStyle w:val="45"/>
                    <w:autoSpaceDE w:val="0"/>
                    <w:autoSpaceDN w:val="0"/>
                    <w:spacing w:line="240" w:lineRule="atLeast"/>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经过空气稀释扩散</w:t>
                  </w:r>
                </w:p>
              </w:tc>
              <w:tc>
                <w:tcPr>
                  <w:tcW w:w="719" w:type="dxa"/>
                  <w:vAlign w:val="center"/>
                </w:tcPr>
                <w:p>
                  <w:pPr>
                    <w:pStyle w:val="45"/>
                    <w:autoSpaceDE w:val="0"/>
                    <w:autoSpaceDN w:val="0"/>
                    <w:spacing w:line="240" w:lineRule="atLeast"/>
                    <w:rPr>
                      <w:rFonts w:hint="default" w:ascii="Times New Roman" w:hAnsi="Times New Roman" w:eastAsia="宋体" w:cs="Times New Roman"/>
                      <w:color w:val="auto"/>
                      <w:szCs w:val="21"/>
                      <w:lang w:val="en-US"/>
                    </w:rPr>
                  </w:pPr>
                  <w:r>
                    <w:rPr>
                      <w:rFonts w:hint="eastAsia" w:ascii="Times New Roman" w:hAnsi="Times New Roman" w:cs="Times New Roman"/>
                      <w:color w:val="auto"/>
                      <w:szCs w:val="21"/>
                      <w:lang w:val="en-US" w:eastAsia="zh-CN"/>
                    </w:rPr>
                    <w:t>0.00012</w:t>
                  </w:r>
                </w:p>
              </w:tc>
              <w:tc>
                <w:tcPr>
                  <w:tcW w:w="830" w:type="dxa"/>
                  <w:vAlign w:val="center"/>
                </w:tcPr>
                <w:p>
                  <w:pPr>
                    <w:pStyle w:val="45"/>
                    <w:autoSpaceDE w:val="0"/>
                    <w:autoSpaceDN w:val="0"/>
                    <w:spacing w:line="240" w:lineRule="atLeast"/>
                    <w:rPr>
                      <w:rFonts w:hint="default" w:ascii="Times New Roman" w:hAnsi="Times New Roman" w:eastAsia="宋体" w:cs="Times New Roman"/>
                      <w:color w:val="auto"/>
                      <w:szCs w:val="21"/>
                      <w:lang w:val="en-US"/>
                    </w:rPr>
                  </w:pPr>
                  <w:r>
                    <w:rPr>
                      <w:rFonts w:hint="eastAsia" w:ascii="Times New Roman" w:hAnsi="Times New Roman" w:cs="Times New Roman"/>
                      <w:color w:val="auto"/>
                      <w:szCs w:val="21"/>
                      <w:lang w:val="en-US" w:eastAsia="zh-CN"/>
                    </w:rPr>
                    <w:t>0.00005</w:t>
                  </w:r>
                </w:p>
              </w:tc>
              <w:tc>
                <w:tcPr>
                  <w:tcW w:w="881" w:type="dxa"/>
                  <w:vAlign w:val="center"/>
                </w:tcPr>
                <w:p>
                  <w:pPr>
                    <w:pStyle w:val="45"/>
                    <w:autoSpaceDE w:val="0"/>
                    <w:autoSpaceDN w:val="0"/>
                    <w:spacing w:line="24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bl>
          <w:p>
            <w:pPr>
              <w:spacing w:line="360" w:lineRule="auto"/>
              <w:ind w:firstLine="480" w:firstLineChars="200"/>
              <w:rPr>
                <w:rFonts w:hint="default" w:ascii="Times New Roman" w:hAnsi="Times New Roman" w:eastAsia="宋体" w:cs="Times New Roman"/>
                <w:color w:val="0000FF"/>
                <w:kern w:val="0"/>
                <w:sz w:val="24"/>
                <w:szCs w:val="24"/>
                <w:lang w:eastAsia="zh-CN"/>
              </w:rPr>
            </w:pPr>
            <w:r>
              <w:rPr>
                <w:rFonts w:hint="default" w:ascii="Times New Roman" w:hAnsi="Times New Roman" w:eastAsia="宋体" w:cs="Times New Roman"/>
                <w:color w:val="auto"/>
                <w:kern w:val="0"/>
                <w:sz w:val="24"/>
              </w:rPr>
              <w:t>从表 4-</w:t>
            </w:r>
            <w:r>
              <w:rPr>
                <w:rFonts w:hint="default" w:ascii="Times New Roman" w:hAnsi="Times New Roman" w:eastAsia="宋体" w:cs="Times New Roman"/>
                <w:color w:val="auto"/>
                <w:kern w:val="0"/>
                <w:sz w:val="24"/>
                <w:lang w:val="en-US" w:eastAsia="zh-CN"/>
              </w:rPr>
              <w:t>3</w:t>
            </w:r>
            <w:r>
              <w:rPr>
                <w:rFonts w:hint="default" w:ascii="Times New Roman" w:hAnsi="Times New Roman" w:eastAsia="宋体" w:cs="Times New Roman"/>
                <w:color w:val="auto"/>
                <w:kern w:val="0"/>
                <w:sz w:val="24"/>
              </w:rPr>
              <w:t xml:space="preserve"> 可以看出</w:t>
            </w:r>
            <w:r>
              <w:rPr>
                <w:rFonts w:hint="eastAsia" w:cs="Times New Roman"/>
                <w:color w:val="auto"/>
                <w:kern w:val="0"/>
                <w:sz w:val="24"/>
                <w:lang w:eastAsia="zh-CN"/>
              </w:rPr>
              <w:t>，</w:t>
            </w:r>
            <w:r>
              <w:rPr>
                <w:rFonts w:hint="default" w:ascii="Times New Roman" w:hAnsi="Times New Roman" w:eastAsia="宋体" w:cs="Times New Roman"/>
                <w:color w:val="auto"/>
                <w:kern w:val="0"/>
                <w:sz w:val="24"/>
              </w:rPr>
              <w:t>项目</w:t>
            </w:r>
            <w:r>
              <w:rPr>
                <w:rFonts w:hint="default" w:ascii="Times New Roman" w:hAnsi="Times New Roman" w:eastAsia="宋体" w:cs="Times New Roman"/>
                <w:b w:val="0"/>
                <w:bCs w:val="0"/>
                <w:color w:val="auto"/>
                <w:sz w:val="24"/>
              </w:rPr>
              <w:t>AKD蜡融化</w:t>
            </w:r>
            <w:r>
              <w:rPr>
                <w:rFonts w:hint="default" w:ascii="Times New Roman" w:hAnsi="Times New Roman" w:eastAsia="宋体" w:cs="Times New Roman"/>
                <w:b w:val="0"/>
                <w:bCs w:val="0"/>
                <w:color w:val="auto"/>
                <w:sz w:val="24"/>
                <w:lang w:val="en-US" w:eastAsia="zh-CN"/>
              </w:rPr>
              <w:t>工段</w:t>
            </w:r>
            <w:r>
              <w:rPr>
                <w:rFonts w:hint="default" w:ascii="Times New Roman" w:hAnsi="Times New Roman" w:eastAsia="宋体" w:cs="Times New Roman"/>
                <w:color w:val="auto"/>
                <w:kern w:val="0"/>
                <w:sz w:val="24"/>
              </w:rPr>
              <w:t>产生的非甲烷总烃计收集后经</w:t>
            </w:r>
            <w:r>
              <w:rPr>
                <w:rFonts w:hint="default" w:ascii="Times New Roman" w:hAnsi="Times New Roman" w:eastAsia="宋体" w:cs="Times New Roman"/>
                <w:color w:val="auto"/>
                <w:kern w:val="0"/>
                <w:sz w:val="24"/>
                <w:lang w:val="en-US" w:eastAsia="zh-CN"/>
              </w:rPr>
              <w:t>二级</w:t>
            </w:r>
            <w:r>
              <w:rPr>
                <w:rFonts w:hint="default" w:ascii="Times New Roman" w:hAnsi="Times New Roman" w:eastAsia="宋体" w:cs="Times New Roman"/>
                <w:color w:val="auto"/>
                <w:kern w:val="0"/>
                <w:sz w:val="24"/>
              </w:rPr>
              <w:t>活性炭吸附设备</w:t>
            </w:r>
            <w:r>
              <w:rPr>
                <w:rFonts w:hint="default" w:ascii="Times New Roman" w:hAnsi="Times New Roman" w:eastAsia="宋体" w:cs="Times New Roman"/>
                <w:color w:val="auto"/>
                <w:kern w:val="0"/>
                <w:sz w:val="24"/>
                <w:lang w:val="en-US" w:eastAsia="zh-CN"/>
              </w:rPr>
              <w:t>处理</w:t>
            </w:r>
            <w:r>
              <w:rPr>
                <w:rFonts w:hint="default" w:ascii="Times New Roman" w:hAnsi="Times New Roman" w:eastAsia="宋体" w:cs="Times New Roman"/>
                <w:color w:val="auto"/>
                <w:kern w:val="0"/>
                <w:sz w:val="24"/>
              </w:rPr>
              <w:t>后</w:t>
            </w:r>
            <w:r>
              <w:rPr>
                <w:rFonts w:hint="eastAsia" w:cs="Times New Roman"/>
                <w:color w:val="auto"/>
                <w:kern w:val="0"/>
                <w:sz w:val="24"/>
                <w:lang w:eastAsia="zh-CN"/>
              </w:rPr>
              <w:t>，</w:t>
            </w:r>
            <w:r>
              <w:rPr>
                <w:rFonts w:hint="default" w:ascii="Times New Roman" w:hAnsi="Times New Roman" w:eastAsia="宋体" w:cs="Times New Roman"/>
                <w:color w:val="auto"/>
                <w:kern w:val="0"/>
                <w:sz w:val="24"/>
              </w:rPr>
              <w:t>非甲烷总烃</w:t>
            </w:r>
            <w:r>
              <w:rPr>
                <w:rFonts w:hint="default" w:ascii="Times New Roman" w:hAnsi="Times New Roman" w:eastAsia="宋体" w:cs="Times New Roman"/>
                <w:color w:val="auto"/>
                <w:kern w:val="0"/>
                <w:sz w:val="24"/>
                <w:lang w:eastAsia="zh-CN"/>
              </w:rPr>
              <w:t>的</w:t>
            </w:r>
            <w:r>
              <w:rPr>
                <w:rFonts w:hint="default" w:ascii="Times New Roman" w:hAnsi="Times New Roman" w:eastAsia="宋体" w:cs="Times New Roman"/>
                <w:color w:val="auto"/>
                <w:kern w:val="0"/>
                <w:sz w:val="24"/>
              </w:rPr>
              <w:t>排放浓度及</w:t>
            </w:r>
            <w:r>
              <w:rPr>
                <w:rFonts w:hint="default" w:ascii="Times New Roman" w:hAnsi="Times New Roman" w:eastAsia="宋体" w:cs="Times New Roman"/>
                <w:color w:val="auto"/>
                <w:kern w:val="0"/>
                <w:sz w:val="24"/>
                <w:szCs w:val="24"/>
              </w:rPr>
              <w:t>排放速率能达到</w:t>
            </w:r>
            <w:r>
              <w:rPr>
                <w:rFonts w:hint="default" w:ascii="Times New Roman" w:hAnsi="Times New Roman" w:eastAsia="宋体" w:cs="Times New Roman"/>
                <w:color w:val="000000" w:themeColor="text1"/>
                <w:sz w:val="24"/>
                <w:szCs w:val="24"/>
                <w14:textFill>
                  <w14:solidFill>
                    <w14:schemeClr w14:val="tx1"/>
                  </w14:solidFill>
                </w14:textFill>
              </w:rPr>
              <w:t>《大气污染物综合排放标准》（GB16297—1996）表2中二级标准限值要求</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即非甲烷总烃排放浓度≦120mg/m³</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排放速率≦</w:t>
            </w:r>
            <w:r>
              <w:rPr>
                <w:rFonts w:hint="eastAsia"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kg/h</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spacing w:line="360" w:lineRule="auto"/>
              <w:ind w:firstLine="482" w:firstLineChars="200"/>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w:t>
            </w:r>
            <w:r>
              <w:rPr>
                <w:rFonts w:hint="eastAsia" w:cs="Times New Roman"/>
                <w:b/>
                <w:bCs/>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4"/>
                <w14:textFill>
                  <w14:solidFill>
                    <w14:schemeClr w14:val="tx1"/>
                  </w14:solidFill>
                </w14:textFill>
              </w:rPr>
              <w:t>）食堂油烟</w:t>
            </w:r>
          </w:p>
          <w:p>
            <w:pPr>
              <w:pStyle w:val="50"/>
              <w:ind w:firstLine="480"/>
              <w:jc w:val="both"/>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根据建设单位提供资料</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本项目劳动定员</w:t>
            </w:r>
            <w:r>
              <w:rPr>
                <w:rFonts w:hint="default" w:ascii="Times New Roman" w:hAnsi="Times New Roman" w:eastAsia="宋体" w:cs="Times New Roman"/>
                <w:color w:val="000000" w:themeColor="text1"/>
                <w:lang w:val="en-US" w:eastAsia="zh-CN"/>
                <w14:textFill>
                  <w14:solidFill>
                    <w14:schemeClr w14:val="tx1"/>
                  </w14:solidFill>
                </w14:textFill>
              </w:rPr>
              <w:t>30</w:t>
            </w:r>
            <w:r>
              <w:rPr>
                <w:rFonts w:hint="default" w:ascii="Times New Roman" w:hAnsi="Times New Roman" w:eastAsia="宋体" w:cs="Times New Roman"/>
                <w:color w:val="000000" w:themeColor="text1"/>
                <w14:textFill>
                  <w14:solidFill>
                    <w14:schemeClr w14:val="tx1"/>
                  </w14:solidFill>
                </w14:textFill>
              </w:rPr>
              <w:t>人</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食堂主要提供员工一日三餐。厨房每天炒制运行时间约为3h/d</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服务天数300天/年。根据类比调查</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人均食用油消耗量以30g/人计</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则本项目总食用油消耗量</w:t>
            </w:r>
            <w:r>
              <w:rPr>
                <w:rFonts w:hint="default" w:ascii="Times New Roman" w:hAnsi="Times New Roman" w:eastAsia="宋体" w:cs="Times New Roman"/>
                <w:color w:val="000000" w:themeColor="text1"/>
                <w:lang w:val="en-US" w:eastAsia="zh-CN"/>
                <w14:textFill>
                  <w14:solidFill>
                    <w14:schemeClr w14:val="tx1"/>
                  </w14:solidFill>
                </w14:textFill>
              </w:rPr>
              <w:t>1.5</w:t>
            </w:r>
            <w:r>
              <w:rPr>
                <w:rFonts w:hint="default" w:ascii="Times New Roman" w:hAnsi="Times New Roman" w:eastAsia="宋体" w:cs="Times New Roman"/>
                <w:color w:val="000000" w:themeColor="text1"/>
                <w14:textFill>
                  <w14:solidFill>
                    <w14:schemeClr w14:val="tx1"/>
                  </w14:solidFill>
                </w14:textFill>
              </w:rPr>
              <w:t>kg/d</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由于烹饪时会有少量油类分解、挥发</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据类比估计</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分解、挥发量按2.83%计算</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则食堂油烟产生量0.0</w:t>
            </w:r>
            <w:r>
              <w:rPr>
                <w:rFonts w:hint="default" w:ascii="Times New Roman" w:hAnsi="Times New Roman" w:eastAsia="宋体" w:cs="Times New Roman"/>
                <w:color w:val="000000" w:themeColor="text1"/>
                <w:lang w:val="en-US" w:eastAsia="zh-CN"/>
                <w14:textFill>
                  <w14:solidFill>
                    <w14:schemeClr w14:val="tx1"/>
                  </w14:solidFill>
                </w14:textFill>
              </w:rPr>
              <w:t>42</w:t>
            </w:r>
            <w:r>
              <w:rPr>
                <w:rFonts w:hint="default" w:ascii="Times New Roman" w:hAnsi="Times New Roman" w:eastAsia="宋体" w:cs="Times New Roman"/>
                <w:color w:val="000000" w:themeColor="text1"/>
                <w14:textFill>
                  <w14:solidFill>
                    <w14:schemeClr w14:val="tx1"/>
                  </w14:solidFill>
                </w14:textFill>
              </w:rPr>
              <w:t>kg/d</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12.6</w:t>
            </w:r>
            <w:r>
              <w:rPr>
                <w:rFonts w:hint="default" w:ascii="Times New Roman" w:hAnsi="Times New Roman" w:eastAsia="宋体" w:cs="Times New Roman"/>
                <w:color w:val="000000" w:themeColor="text1"/>
                <w14:textFill>
                  <w14:solidFill>
                    <w14:schemeClr w14:val="tx1"/>
                  </w14:solidFill>
                </w14:textFill>
              </w:rPr>
              <w:t>kg/a。油烟经油烟净化器处理后通过油烟管道排放</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风机风量为2000m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/h</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处理效率为60%</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则油烟排放量为</w:t>
            </w:r>
            <w:r>
              <w:rPr>
                <w:rFonts w:hint="default" w:ascii="Times New Roman" w:hAnsi="Times New Roman" w:eastAsia="宋体"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t>kg/a</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排放速率为</w:t>
            </w:r>
            <w:r>
              <w:rPr>
                <w:rFonts w:hint="default" w:ascii="Times New Roman" w:hAnsi="Times New Roman" w:eastAsia="宋体" w:cs="Times New Roman"/>
                <w:color w:val="000000" w:themeColor="text1"/>
                <w:lang w:val="en-US" w:eastAsia="zh-CN"/>
                <w14:textFill>
                  <w14:solidFill>
                    <w14:schemeClr w14:val="tx1"/>
                  </w14:solidFill>
                </w14:textFill>
              </w:rPr>
              <w:t>0.006</w:t>
            </w:r>
            <w:r>
              <w:rPr>
                <w:rFonts w:hint="default" w:ascii="Times New Roman" w:hAnsi="Times New Roman" w:eastAsia="宋体" w:cs="Times New Roman"/>
                <w:color w:val="000000" w:themeColor="text1"/>
                <w:lang w:val="en-US"/>
                <w14:textFill>
                  <w14:solidFill>
                    <w14:schemeClr w14:val="tx1"/>
                  </w14:solidFill>
                </w14:textFill>
              </w:rPr>
              <w:t>kg/h</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14:textFill>
                  <w14:solidFill>
                    <w14:schemeClr w14:val="tx1"/>
                  </w14:solidFill>
                </w14:textFill>
              </w:rPr>
              <w:t>排放浓度为</w:t>
            </w:r>
            <w:r>
              <w:rPr>
                <w:rFonts w:hint="default" w:ascii="Times New Roman" w:hAnsi="Times New Roman" w:eastAsia="宋体" w:cs="Times New Roman"/>
                <w:color w:val="000000" w:themeColor="text1"/>
                <w:lang w:val="en-US" w:eastAsia="zh-CN"/>
                <w14:textFill>
                  <w14:solidFill>
                    <w14:schemeClr w14:val="tx1"/>
                  </w14:solidFill>
                </w14:textFill>
              </w:rPr>
              <w:t>0.12</w:t>
            </w:r>
            <w:r>
              <w:rPr>
                <w:rFonts w:hint="default" w:ascii="Times New Roman" w:hAnsi="Times New Roman" w:eastAsia="宋体" w:cs="Times New Roman"/>
                <w:color w:val="000000" w:themeColor="text1"/>
                <w14:textFill>
                  <w14:solidFill>
                    <w14:schemeClr w14:val="tx1"/>
                  </w14:solidFill>
                </w14:textFill>
              </w:rPr>
              <w:t>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可达《饮食业油烟排放标准（试行）》（GB18483-2001）小型规模标准要求</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食堂油烟废气排气筒高度应高于自身建筑1.5m</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排气筒出口朝向应避开人群活动密集的区域。</w:t>
            </w:r>
          </w:p>
          <w:p>
            <w:pPr>
              <w:pStyle w:val="50"/>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食堂油烟通过油烟净化装置处理后</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油烟能够满足GB18483-2001《饮食业油烟排放标准》中的小型标准</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即净化效率≧60%</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排放浓度≦2mg/</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/m³</w:t>
            </w:r>
          </w:p>
          <w:p>
            <w:pPr>
              <w:pStyle w:val="50"/>
              <w:ind w:firstLine="48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项目废气主要污染物排放情况如下表4-</w:t>
            </w:r>
            <w:r>
              <w:rPr>
                <w:rFonts w:hint="default" w:ascii="Times New Roman" w:hAnsi="Times New Roman" w:eastAsia="宋体"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t>所示。</w:t>
            </w:r>
          </w:p>
          <w:p>
            <w:pPr>
              <w:pStyle w:val="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w:t>
            </w:r>
            <w:r>
              <w:rPr>
                <w:rFonts w:hint="default" w:ascii="Times New Roman" w:hAnsi="Times New Roman" w:eastAsia="宋体"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t>项目废气主要污染物排放情况表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749"/>
              <w:gridCol w:w="544"/>
              <w:gridCol w:w="834"/>
              <w:gridCol w:w="830"/>
              <w:gridCol w:w="1525"/>
              <w:gridCol w:w="913"/>
              <w:gridCol w:w="850"/>
              <w:gridCol w:w="798"/>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restart"/>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排放源</w:t>
                  </w:r>
                </w:p>
              </w:tc>
              <w:tc>
                <w:tcPr>
                  <w:tcW w:w="446" w:type="pct"/>
                  <w:vMerge w:val="restart"/>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w:t>
                  </w:r>
                </w:p>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名称</w:t>
                  </w:r>
                </w:p>
              </w:tc>
              <w:tc>
                <w:tcPr>
                  <w:tcW w:w="1316" w:type="pct"/>
                  <w:gridSpan w:val="3"/>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产生情况</w:t>
                  </w:r>
                </w:p>
              </w:tc>
              <w:tc>
                <w:tcPr>
                  <w:tcW w:w="908" w:type="pct"/>
                  <w:vMerge w:val="restart"/>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治理措施</w:t>
                  </w:r>
                </w:p>
              </w:tc>
              <w:tc>
                <w:tcPr>
                  <w:tcW w:w="1526" w:type="pct"/>
                  <w:gridSpan w:val="3"/>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排放情况</w:t>
                  </w:r>
                </w:p>
              </w:tc>
              <w:tc>
                <w:tcPr>
                  <w:tcW w:w="386" w:type="pct"/>
                  <w:vMerge w:val="restart"/>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w:t>
                  </w:r>
                </w:p>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3" w:hRule="atLeast"/>
                <w:jc w:val="center"/>
              </w:trPr>
              <w:tc>
                <w:tcPr>
                  <w:tcW w:w="416" w:type="pct"/>
                  <w:vMerge w:val="continue"/>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p>
              </w:tc>
              <w:tc>
                <w:tcPr>
                  <w:tcW w:w="446" w:type="pct"/>
                  <w:vMerge w:val="continue"/>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p>
              </w:tc>
              <w:tc>
                <w:tcPr>
                  <w:tcW w:w="324" w:type="pct"/>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产生量t/a</w:t>
                  </w:r>
                </w:p>
              </w:tc>
              <w:tc>
                <w:tcPr>
                  <w:tcW w:w="497" w:type="pct"/>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产生速率</w:t>
                  </w:r>
                </w:p>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494" w:type="pct"/>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产生</w:t>
                  </w:r>
                </w:p>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浓度mg/m³</w:t>
                  </w:r>
                </w:p>
              </w:tc>
              <w:tc>
                <w:tcPr>
                  <w:tcW w:w="908" w:type="pct"/>
                  <w:vMerge w:val="continue"/>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p>
              </w:tc>
              <w:tc>
                <w:tcPr>
                  <w:tcW w:w="544" w:type="pct"/>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排放量t/a</w:t>
                  </w:r>
                </w:p>
              </w:tc>
              <w:tc>
                <w:tcPr>
                  <w:tcW w:w="506" w:type="pct"/>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w:t>
                  </w:r>
                </w:p>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速率</w:t>
                  </w:r>
                </w:p>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475" w:type="pct"/>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w:t>
                  </w:r>
                </w:p>
                <w:p>
                  <w:pPr>
                    <w:pStyle w:val="49"/>
                    <w:spacing w:beforeLines="0" w:afterLines="0" w:line="360" w:lineRule="auto"/>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浓度mg/m</w:t>
                  </w:r>
                  <w:r>
                    <w:rPr>
                      <w:rFonts w:hint="eastAsia" w:ascii="Times New Roman" w:cs="Times New Roman"/>
                      <w:color w:val="000000" w:themeColor="text1"/>
                      <w:vertAlign w:val="superscript"/>
                      <w:lang w:val="en-US" w:eastAsia="zh-CN"/>
                      <w14:textFill>
                        <w14:solidFill>
                          <w14:schemeClr w14:val="tx1"/>
                        </w14:solidFill>
                      </w14:textFill>
                    </w:rPr>
                    <w:t>3</w:t>
                  </w:r>
                </w:p>
              </w:tc>
              <w:tc>
                <w:tcPr>
                  <w:tcW w:w="386" w:type="pct"/>
                  <w:vMerge w:val="continue"/>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16" w:type="pct"/>
                  <w:vMerge w:val="restart"/>
                  <w:vAlign w:val="center"/>
                </w:tcPr>
                <w:p>
                  <w:pPr>
                    <w:pStyle w:val="49"/>
                    <w:spacing w:beforeLines="0" w:afterLines="0" w:line="360" w:lineRule="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DA001排气筒</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AKD蜡融化工段</w:t>
                  </w:r>
                  <w:r>
                    <w:rPr>
                      <w:rFonts w:hint="default" w:ascii="Times New Roman" w:hAnsi="Times New Roman" w:eastAsia="宋体" w:cs="Times New Roman"/>
                      <w:color w:val="000000" w:themeColor="text1"/>
                      <w:lang w:eastAsia="zh-CN"/>
                      <w14:textFill>
                        <w14:solidFill>
                          <w14:schemeClr w14:val="tx1"/>
                        </w14:solidFill>
                      </w14:textFill>
                    </w:rPr>
                    <w:t>）</w:t>
                  </w:r>
                </w:p>
              </w:tc>
              <w:tc>
                <w:tcPr>
                  <w:tcW w:w="446" w:type="pct"/>
                  <w:vMerge w:val="restart"/>
                  <w:vAlign w:val="center"/>
                </w:tcPr>
                <w:p>
                  <w:pPr>
                    <w:pStyle w:val="49"/>
                    <w:spacing w:beforeLines="0" w:afterLines="0" w:line="360" w:lineRule="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非甲烷总烃</w:t>
                  </w:r>
                </w:p>
              </w:tc>
              <w:tc>
                <w:tcPr>
                  <w:tcW w:w="324" w:type="pct"/>
                  <w:vAlign w:val="center"/>
                </w:tcPr>
                <w:p>
                  <w:pPr>
                    <w:pStyle w:val="49"/>
                    <w:spacing w:beforeLines="0" w:afterLines="0" w:line="36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0.0059</w:t>
                  </w:r>
                </w:p>
              </w:tc>
              <w:tc>
                <w:tcPr>
                  <w:tcW w:w="497" w:type="pct"/>
                  <w:vAlign w:val="center"/>
                </w:tcPr>
                <w:p>
                  <w:pPr>
                    <w:pStyle w:val="49"/>
                    <w:spacing w:beforeLines="0" w:afterLines="0" w:line="36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0.0025</w:t>
                  </w:r>
                </w:p>
              </w:tc>
              <w:tc>
                <w:tcPr>
                  <w:tcW w:w="494" w:type="pct"/>
                  <w:vAlign w:val="center"/>
                </w:tcPr>
                <w:p>
                  <w:pPr>
                    <w:pStyle w:val="49"/>
                    <w:spacing w:beforeLines="0" w:afterLines="0" w:line="36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1.25</w:t>
                  </w:r>
                </w:p>
              </w:tc>
              <w:tc>
                <w:tcPr>
                  <w:tcW w:w="908" w:type="pct"/>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sz w:val="21"/>
                      <w:szCs w:val="21"/>
                      <w:lang w:val="en-US" w:eastAsia="zh-CN"/>
                    </w:rPr>
                    <w:t>排气口上连接排气管道（收集效率98%）</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二级</w:t>
                  </w:r>
                  <w:r>
                    <w:rPr>
                      <w:rFonts w:hint="default" w:ascii="Times New Roman" w:hAnsi="Times New Roman" w:eastAsia="宋体" w:cs="Times New Roman"/>
                      <w:sz w:val="21"/>
                      <w:szCs w:val="21"/>
                    </w:rPr>
                    <w:t>活性炭吸附装置（</w:t>
                  </w:r>
                  <w:r>
                    <w:rPr>
                      <w:rFonts w:hint="default" w:ascii="Times New Roman" w:hAnsi="Times New Roman" w:eastAsia="宋体" w:cs="Times New Roman"/>
                      <w:spacing w:val="-14"/>
                      <w:sz w:val="21"/>
                      <w:szCs w:val="21"/>
                    </w:rPr>
                    <w:t xml:space="preserve">去除率 </w:t>
                  </w:r>
                  <w:r>
                    <w:rPr>
                      <w:rFonts w:hint="default" w:ascii="Times New Roman" w:hAnsi="Times New Roman" w:eastAsia="宋体" w:cs="Times New Roman"/>
                      <w:sz w:val="21"/>
                      <w:szCs w:val="21"/>
                      <w:lang w:val="en-US" w:eastAsia="zh-CN"/>
                    </w:rPr>
                    <w:t>85</w:t>
                  </w:r>
                  <w:r>
                    <w:rPr>
                      <w:rFonts w:hint="default" w:ascii="Times New Roman" w:hAnsi="Times New Roman" w:eastAsia="宋体" w:cs="Times New Roman"/>
                      <w:sz w:val="21"/>
                      <w:szCs w:val="21"/>
                    </w:rPr>
                    <w:t>%）+15m</w:t>
                  </w:r>
                  <w:r>
                    <w:rPr>
                      <w:rFonts w:hint="default" w:ascii="Times New Roman" w:hAnsi="Times New Roman" w:eastAsia="宋体" w:cs="Times New Roman"/>
                      <w:spacing w:val="-13"/>
                      <w:sz w:val="21"/>
                      <w:szCs w:val="21"/>
                    </w:rPr>
                    <w:t>排</w:t>
                  </w:r>
                  <w:r>
                    <w:rPr>
                      <w:rFonts w:hint="default" w:ascii="Times New Roman" w:hAnsi="Times New Roman" w:eastAsia="宋体" w:cs="Times New Roman"/>
                      <w:sz w:val="21"/>
                      <w:szCs w:val="21"/>
                    </w:rPr>
                    <w:t>气筒</w:t>
                  </w:r>
                  <w:r>
                    <w:rPr>
                      <w:rFonts w:hint="default" w:ascii="Times New Roman" w:hAnsi="Times New Roman" w:eastAsia="宋体" w:cs="Times New Roman"/>
                      <w:color w:val="000000" w:themeColor="text1"/>
                      <w14:textFill>
                        <w14:solidFill>
                          <w14:schemeClr w14:val="tx1"/>
                        </w14:solidFill>
                      </w14:textFill>
                    </w:rPr>
                    <w:t>（DA001）</w:t>
                  </w:r>
                </w:p>
              </w:tc>
              <w:tc>
                <w:tcPr>
                  <w:tcW w:w="544" w:type="pct"/>
                  <w:vAlign w:val="center"/>
                </w:tcPr>
                <w:p>
                  <w:pPr>
                    <w:pStyle w:val="49"/>
                    <w:spacing w:beforeLines="0" w:afterLines="0" w:line="36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0.0009</w:t>
                  </w:r>
                </w:p>
              </w:tc>
              <w:tc>
                <w:tcPr>
                  <w:tcW w:w="506" w:type="pct"/>
                  <w:vAlign w:val="center"/>
                </w:tcPr>
                <w:p>
                  <w:pPr>
                    <w:pStyle w:val="49"/>
                    <w:spacing w:beforeLines="0" w:afterLines="0" w:line="36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0.0004</w:t>
                  </w:r>
                </w:p>
              </w:tc>
              <w:tc>
                <w:tcPr>
                  <w:tcW w:w="475" w:type="pct"/>
                  <w:vAlign w:val="center"/>
                </w:tcPr>
                <w:p>
                  <w:pPr>
                    <w:pStyle w:val="49"/>
                    <w:spacing w:beforeLines="0" w:afterLines="0" w:line="36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0.2</w:t>
                  </w:r>
                </w:p>
              </w:tc>
              <w:tc>
                <w:tcPr>
                  <w:tcW w:w="386" w:type="pct"/>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6" w:type="pct"/>
                  <w:vMerge w:val="continue"/>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p>
              </w:tc>
              <w:tc>
                <w:tcPr>
                  <w:tcW w:w="446" w:type="pct"/>
                  <w:vMerge w:val="continue"/>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p>
              </w:tc>
              <w:tc>
                <w:tcPr>
                  <w:tcW w:w="324" w:type="pct"/>
                  <w:vAlign w:val="center"/>
                </w:tcPr>
                <w:p>
                  <w:pPr>
                    <w:pStyle w:val="49"/>
                    <w:spacing w:beforeLines="0" w:afterLines="0" w:line="36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0.00012</w:t>
                  </w:r>
                </w:p>
              </w:tc>
              <w:tc>
                <w:tcPr>
                  <w:tcW w:w="497" w:type="pct"/>
                  <w:vAlign w:val="center"/>
                </w:tcPr>
                <w:p>
                  <w:pPr>
                    <w:pStyle w:val="49"/>
                    <w:spacing w:beforeLines="0" w:afterLines="0" w:line="36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0.00005</w:t>
                  </w:r>
                </w:p>
              </w:tc>
              <w:tc>
                <w:tcPr>
                  <w:tcW w:w="494" w:type="pct"/>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908" w:type="pct"/>
                  <w:vAlign w:val="center"/>
                </w:tcPr>
                <w:p>
                  <w:pPr>
                    <w:pStyle w:val="49"/>
                    <w:spacing w:beforeLines="0" w:afterLines="0" w:line="360" w:lineRule="auto"/>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cs="Times New Roman"/>
                      <w:color w:val="000000" w:themeColor="text1"/>
                      <w:lang w:eastAsia="zh-CN"/>
                      <w14:textFill>
                        <w14:solidFill>
                          <w14:schemeClr w14:val="tx1"/>
                        </w14:solidFill>
                      </w14:textFill>
                    </w:rPr>
                    <w:t>经过空气稀释扩散</w:t>
                  </w:r>
                </w:p>
              </w:tc>
              <w:tc>
                <w:tcPr>
                  <w:tcW w:w="544" w:type="pct"/>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0.18</w:t>
                  </w:r>
                </w:p>
              </w:tc>
              <w:tc>
                <w:tcPr>
                  <w:tcW w:w="506" w:type="pct"/>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0.075</w:t>
                  </w:r>
                </w:p>
              </w:tc>
              <w:tc>
                <w:tcPr>
                  <w:tcW w:w="475" w:type="pct"/>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386" w:type="pct"/>
                  <w:vAlign w:val="center"/>
                </w:tcPr>
                <w:p>
                  <w:pPr>
                    <w:pStyle w:val="49"/>
                    <w:spacing w:beforeLines="0" w:afterLines="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无组织</w:t>
                  </w:r>
                </w:p>
              </w:tc>
            </w:tr>
          </w:tbl>
          <w:p>
            <w:pPr>
              <w:spacing w:line="360" w:lineRule="auto"/>
              <w:ind w:firstLine="480" w:firstLineChars="200"/>
              <w:jc w:val="both"/>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rPr>
              <w:t>采取上述措施治理后</w:t>
            </w:r>
            <w:r>
              <w:rPr>
                <w:rFonts w:hint="default" w:ascii="Times New Roman" w:hAnsi="Times New Roman" w:eastAsia="宋体" w:cs="Times New Roman"/>
                <w:color w:val="000000"/>
                <w:sz w:val="24"/>
                <w:szCs w:val="24"/>
                <w:highlight w:val="none"/>
                <w:lang w:eastAsia="zh-CN"/>
              </w:rPr>
              <w:t>：</w:t>
            </w:r>
          </w:p>
          <w:p>
            <w:pPr>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GB"/>
                <w14:textFill>
                  <w14:solidFill>
                    <w14:schemeClr w14:val="tx1"/>
                  </w14:solidFill>
                </w14:textFill>
              </w:rPr>
            </w:pPr>
            <w:r>
              <w:rPr>
                <w:rFonts w:hint="default" w:ascii="Times New Roman" w:hAnsi="Times New Roman" w:eastAsia="宋体" w:cs="Times New Roman"/>
                <w:sz w:val="24"/>
                <w:szCs w:val="24"/>
                <w:highlight w:val="none"/>
              </w:rPr>
              <w:t>①DA00</w:t>
            </w:r>
            <w:r>
              <w:rPr>
                <w:rFonts w:hint="default" w:ascii="Times New Roman" w:hAnsi="Times New Roman" w:eastAsia="宋体" w:cs="Times New Roman"/>
                <w:sz w:val="24"/>
                <w:szCs w:val="24"/>
                <w:highlight w:val="none"/>
                <w:lang w:val="en-US" w:eastAsia="zh-CN"/>
              </w:rPr>
              <w:t>1排气筒排放的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4"/>
                <w:szCs w:val="24"/>
                <w:highlight w:val="none"/>
                <w:lang w:val="en-GB" w:eastAsia="zh-CN"/>
                <w14:textFill>
                  <w14:solidFill>
                    <w14:schemeClr w14:val="tx1"/>
                  </w14:solidFill>
                </w14:textFill>
              </w:rPr>
              <w:t>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排放</w:t>
            </w:r>
            <w:r>
              <w:rPr>
                <w:rFonts w:hint="default" w:ascii="Times New Roman" w:hAnsi="Times New Roman" w:eastAsia="宋体" w:cs="Times New Roman"/>
                <w:color w:val="000000" w:themeColor="text1"/>
                <w:sz w:val="24"/>
                <w:szCs w:val="24"/>
                <w:highlight w:val="none"/>
                <w:lang w:val="en-GB"/>
                <w14:textFill>
                  <w14:solidFill>
                    <w14:schemeClr w14:val="tx1"/>
                  </w14:solidFill>
                </w14:textFill>
              </w:rPr>
              <w:t>浓度及排放速率均能达到《大气污染物综合排放标准》（GB16297-1996）要求</w:t>
            </w:r>
            <w:r>
              <w:rPr>
                <w:rFonts w:hint="eastAsia" w:cs="Times New Roman"/>
                <w:color w:val="000000" w:themeColor="text1"/>
                <w:sz w:val="24"/>
                <w:szCs w:val="24"/>
                <w:highlight w:val="none"/>
                <w:lang w:val="en-GB"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即非甲烷总烃排放浓度≦120mg/m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排放速率≦</w:t>
            </w:r>
            <w:r>
              <w:rPr>
                <w:rFonts w:hint="eastAsia"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kg/h；</w:t>
            </w:r>
          </w:p>
          <w:p>
            <w:pPr>
              <w:pStyle w:val="50"/>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4</w:t>
            </w:r>
            <w:r>
              <w:rPr>
                <w:rFonts w:hint="default" w:ascii="Times New Roman" w:hAnsi="Times New Roman" w:eastAsia="宋体" w:cs="Times New Roman"/>
                <w:b/>
                <w:bCs/>
                <w:color w:val="000000" w:themeColor="text1"/>
                <w:lang w:val="en-US" w:eastAsia="zh-CN"/>
                <w14:textFill>
                  <w14:solidFill>
                    <w14:schemeClr w14:val="tx1"/>
                  </w14:solidFill>
                </w14:textFill>
              </w:rPr>
              <w:t>）、</w:t>
            </w:r>
            <w:r>
              <w:rPr>
                <w:rFonts w:hint="default" w:ascii="Times New Roman" w:hAnsi="Times New Roman" w:eastAsia="宋体" w:cs="Times New Roman"/>
                <w:b/>
                <w:bCs/>
                <w:color w:val="000000" w:themeColor="text1"/>
                <w14:textFill>
                  <w14:solidFill>
                    <w14:schemeClr w14:val="tx1"/>
                  </w14:solidFill>
                </w14:textFill>
              </w:rPr>
              <w:t>治理措施可行性分析</w:t>
            </w:r>
          </w:p>
          <w:p>
            <w:pPr>
              <w:pStyle w:val="50"/>
              <w:ind w:firstLine="482"/>
              <w:rPr>
                <w:rFonts w:hint="default" w:ascii="Times New Roman" w:hAnsi="Times New Roman" w:eastAsia="宋体" w:cs="Times New Roman"/>
                <w:b/>
                <w:bCs/>
                <w:color w:val="000000" w:themeColor="text1"/>
                <w14:textFill>
                  <w14:solidFill>
                    <w14:schemeClr w14:val="tx1"/>
                  </w14:solidFill>
                </w14:textFill>
              </w:rPr>
            </w:pPr>
            <w:bookmarkStart w:id="27" w:name="_Toc30749"/>
            <w:bookmarkStart w:id="28" w:name="_Toc3275"/>
            <w:bookmarkStart w:id="29" w:name="_Toc26373"/>
            <w:bookmarkStart w:id="30" w:name="_Toc24337"/>
            <w:r>
              <w:rPr>
                <w:rFonts w:hint="default" w:ascii="Times New Roman" w:hAnsi="Times New Roman" w:eastAsia="宋体" w:cs="Times New Roman"/>
                <w:b/>
                <w:bCs/>
                <w:color w:val="000000" w:themeColor="text1"/>
                <w:lang w:val="en-US" w:eastAsia="zh-CN"/>
                <w14:textFill>
                  <w14:solidFill>
                    <w14:schemeClr w14:val="tx1"/>
                  </w14:solidFill>
                </w14:textFill>
              </w:rPr>
              <w:t>1、</w:t>
            </w:r>
            <w:r>
              <w:rPr>
                <w:rFonts w:hint="default" w:ascii="Times New Roman" w:hAnsi="Times New Roman" w:eastAsia="宋体" w:cs="Times New Roman"/>
                <w:b/>
                <w:bCs/>
                <w:color w:val="000000" w:themeColor="text1"/>
                <w14:textFill>
                  <w14:solidFill>
                    <w14:schemeClr w14:val="tx1"/>
                  </w14:solidFill>
                </w14:textFill>
              </w:rPr>
              <w:t>采用活性炭吸附有机废气的可行性分析</w:t>
            </w:r>
            <w:bookmarkEnd w:id="27"/>
            <w:bookmarkEnd w:id="28"/>
          </w:p>
          <w:p>
            <w:pPr>
              <w:pStyle w:val="50"/>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由于活性炭固体表面上存在着未平衡和未饱和的分子引力或化学键力</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因此当此固体表面与气体接触时</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就能吸引气体分子</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使其浓聚并保持在固体表面</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利用固体表面的吸附能力</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使废气与大表面的多孔性固体物质相接触</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废气中的污染物被吸附在固体表面上</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使其与气体混合物分离</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达到净化目的</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净化效率可达90%以上。由于活性炭不溶于有机溶剂</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利用活性炭吸附有机溶剂不会产生二次污染</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且项目有机废气产生量较小</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对活性炭的需求量较小</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因此</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从处理效果和经济角度看</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采用活性炭吸附项目产生的有机废气是可行性分析。</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sz w:val="24"/>
                <w:szCs w:val="21"/>
                <w:highlight w:val="none"/>
                <w:lang w:val="zh-CN" w:eastAsia="zh-CN" w:bidi="zh-CN"/>
              </w:rPr>
            </w:pPr>
            <w:r>
              <w:rPr>
                <w:rFonts w:hint="default" w:ascii="Times New Roman" w:hAnsi="Times New Roman" w:eastAsia="宋体" w:cs="Times New Roman"/>
                <w:sz w:val="24"/>
                <w:szCs w:val="21"/>
                <w:highlight w:val="none"/>
                <w:lang w:val="en-US" w:eastAsia="zh-CN" w:bidi="zh-CN"/>
              </w:rPr>
              <w:t>①项目</w:t>
            </w:r>
            <w:r>
              <w:rPr>
                <w:rFonts w:hint="default" w:ascii="Times New Roman" w:hAnsi="Times New Roman" w:eastAsia="宋体" w:cs="Times New Roman"/>
                <w:sz w:val="24"/>
                <w:szCs w:val="24"/>
                <w:highlight w:val="none"/>
                <w:lang w:val="en-US" w:eastAsia="zh-CN" w:bidi="zh-CN"/>
              </w:rPr>
              <w:t>有机废气处理采用</w:t>
            </w:r>
            <w:r>
              <w:rPr>
                <w:rFonts w:hint="default" w:ascii="Times New Roman" w:hAnsi="Times New Roman" w:eastAsia="宋体" w:cs="Times New Roman"/>
                <w:sz w:val="24"/>
                <w:szCs w:val="24"/>
                <w:highlight w:val="none"/>
                <w:lang w:val="en-US" w:eastAsia="zh-CN"/>
              </w:rPr>
              <w:t>二级活性炭吸附装置</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活性炭需定期更换</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每年更换</w:t>
            </w:r>
            <w:r>
              <w:rPr>
                <w:rFonts w:hint="eastAsia" w:cs="Times New Roman"/>
                <w:sz w:val="24"/>
                <w:szCs w:val="24"/>
                <w:highlight w:val="none"/>
                <w:lang w:val="en-US" w:eastAsia="zh-CN" w:bidi="zh-CN"/>
              </w:rPr>
              <w:t>2</w:t>
            </w:r>
            <w:r>
              <w:rPr>
                <w:rFonts w:hint="default" w:ascii="Times New Roman" w:hAnsi="Times New Roman" w:eastAsia="宋体" w:cs="Times New Roman"/>
                <w:sz w:val="24"/>
                <w:szCs w:val="24"/>
                <w:highlight w:val="none"/>
                <w:lang w:val="en-US" w:eastAsia="zh-CN" w:bidi="zh-CN"/>
              </w:rPr>
              <w:t>次</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根据《简明通风设计手册》P510页</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活性炭有效吸附量：qe=0.24kg/kg活性炭</w:t>
            </w:r>
            <w:r>
              <w:rPr>
                <w:rFonts w:hint="eastAsia" w:cs="Times New Roman"/>
                <w:sz w:val="24"/>
                <w:szCs w:val="24"/>
                <w:highlight w:val="none"/>
                <w:lang w:val="en-US" w:eastAsia="zh-CN" w:bidi="zh-CN"/>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AKD蜡融化工段</w:t>
            </w:r>
            <w:r>
              <w:rPr>
                <w:rFonts w:hint="default" w:ascii="Times New Roman" w:hAnsi="Times New Roman" w:eastAsia="宋体" w:cs="Times New Roman"/>
                <w:sz w:val="24"/>
                <w:szCs w:val="24"/>
                <w:highlight w:val="none"/>
                <w:lang w:val="en-US" w:eastAsia="zh-CN" w:bidi="zh-CN"/>
              </w:rPr>
              <w:t>废气产生量为</w:t>
            </w:r>
            <w:r>
              <w:rPr>
                <w:rFonts w:hint="eastAsia" w:ascii="Times New Roman" w:cs="Times New Roman"/>
                <w:color w:val="000000" w:themeColor="text1"/>
                <w:sz w:val="24"/>
                <w:szCs w:val="24"/>
                <w:lang w:val="en-US" w:eastAsia="zh-CN"/>
                <w14:textFill>
                  <w14:solidFill>
                    <w14:schemeClr w14:val="tx1"/>
                  </w14:solidFill>
                </w14:textFill>
              </w:rPr>
              <w:t>0.0059</w:t>
            </w:r>
            <w:r>
              <w:rPr>
                <w:rFonts w:hint="default" w:ascii="Times New Roman" w:hAnsi="Times New Roman" w:eastAsia="宋体" w:cs="Times New Roman"/>
                <w:sz w:val="24"/>
                <w:szCs w:val="24"/>
                <w:highlight w:val="none"/>
                <w:lang w:val="en-US" w:eastAsia="zh-CN" w:bidi="zh-CN"/>
              </w:rPr>
              <w:t>t/a</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因此本项目产生废活性炭量约为</w:t>
            </w:r>
            <w:r>
              <w:rPr>
                <w:rFonts w:hint="eastAsia" w:cs="Times New Roman"/>
                <w:sz w:val="24"/>
                <w:szCs w:val="24"/>
                <w:highlight w:val="none"/>
                <w:lang w:val="en-US" w:eastAsia="zh-CN" w:bidi="zh-CN"/>
              </w:rPr>
              <w:t>0.025</w:t>
            </w:r>
            <w:r>
              <w:rPr>
                <w:rFonts w:hint="default" w:ascii="Times New Roman" w:hAnsi="Times New Roman" w:eastAsia="宋体" w:cs="Times New Roman"/>
                <w:sz w:val="24"/>
                <w:szCs w:val="24"/>
                <w:highlight w:val="none"/>
                <w:lang w:val="en-US" w:eastAsia="zh-CN" w:bidi="zh-CN"/>
              </w:rPr>
              <w:t>t/a</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根据《国家危险废物名录》（2021版）</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废活性</w:t>
            </w:r>
            <w:r>
              <w:rPr>
                <w:rFonts w:hint="default" w:ascii="Times New Roman" w:hAnsi="Times New Roman" w:eastAsia="宋体" w:cs="Times New Roman"/>
                <w:sz w:val="24"/>
                <w:szCs w:val="21"/>
                <w:highlight w:val="none"/>
                <w:lang w:val="en-US" w:eastAsia="zh-CN" w:bidi="zh-CN"/>
              </w:rPr>
              <w:t>炭属于HW49其他废物</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废物代码为900-039-49</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烟气、VOCs治理过程中（不包括餐饮行业油 烟治理过程）产生的废活性炭</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 xml:space="preserve">化学原料和化学制品脱色（不包括有机合成食品添加剂脱色）、除杂、净化过程产生的废活性炭。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sz w:val="24"/>
                <w:szCs w:val="21"/>
                <w:highlight w:val="none"/>
                <w:lang w:val="zh-CN" w:eastAsia="zh-CN" w:bidi="zh-CN"/>
              </w:rPr>
            </w:pPr>
            <w:r>
              <w:rPr>
                <w:rFonts w:hint="default" w:ascii="Times New Roman" w:hAnsi="Times New Roman" w:eastAsia="宋体" w:cs="Times New Roman"/>
                <w:sz w:val="24"/>
                <w:szCs w:val="21"/>
                <w:highlight w:val="none"/>
                <w:lang w:val="en-US" w:eastAsia="zh-CN" w:bidi="zh-CN"/>
              </w:rPr>
              <w:t>②活性炭更换频率：</w:t>
            </w:r>
            <w:r>
              <w:rPr>
                <w:rFonts w:hint="default" w:ascii="Times New Roman" w:hAnsi="Times New Roman" w:eastAsia="宋体" w:cs="Times New Roman"/>
                <w:sz w:val="24"/>
                <w:szCs w:val="24"/>
                <w:highlight w:val="none"/>
                <w:lang w:val="en-US" w:eastAsia="zh-CN"/>
              </w:rPr>
              <w:t>二级活性炭吸附装置</w:t>
            </w:r>
            <w:r>
              <w:rPr>
                <w:rFonts w:hint="default" w:ascii="Times New Roman" w:hAnsi="Times New Roman" w:eastAsia="宋体" w:cs="Times New Roman"/>
                <w:sz w:val="24"/>
                <w:szCs w:val="24"/>
                <w:highlight w:val="none"/>
                <w:lang w:val="en-US" w:eastAsia="zh-CN" w:bidi="zh-CN"/>
              </w:rPr>
              <w:t>一</w:t>
            </w:r>
            <w:r>
              <w:rPr>
                <w:rFonts w:hint="default" w:ascii="Times New Roman" w:hAnsi="Times New Roman" w:eastAsia="宋体" w:cs="Times New Roman"/>
                <w:sz w:val="24"/>
                <w:szCs w:val="21"/>
                <w:highlight w:val="none"/>
                <w:lang w:val="en-US" w:eastAsia="zh-CN" w:bidi="zh-CN"/>
              </w:rPr>
              <w:t>次炭填充量为</w:t>
            </w:r>
            <w:r>
              <w:rPr>
                <w:rFonts w:hint="eastAsia" w:cs="Times New Roman"/>
                <w:sz w:val="24"/>
                <w:szCs w:val="21"/>
                <w:highlight w:val="none"/>
                <w:lang w:val="en-US" w:eastAsia="zh-CN" w:bidi="zh-CN"/>
              </w:rPr>
              <w:t>0.5</w:t>
            </w:r>
            <w:r>
              <w:rPr>
                <w:rFonts w:hint="default" w:ascii="Times New Roman" w:hAnsi="Times New Roman" w:eastAsia="宋体" w:cs="Times New Roman"/>
                <w:sz w:val="24"/>
                <w:szCs w:val="21"/>
                <w:highlight w:val="none"/>
                <w:lang w:val="en-US" w:eastAsia="zh-CN" w:bidi="zh-CN"/>
              </w:rPr>
              <w:t>m</w:t>
            </w:r>
            <w:r>
              <w:rPr>
                <w:rFonts w:hint="default" w:ascii="Times New Roman" w:hAnsi="Times New Roman" w:eastAsia="宋体" w:cs="Times New Roman"/>
                <w:sz w:val="24"/>
                <w:szCs w:val="21"/>
                <w:highlight w:val="none"/>
                <w:vertAlign w:val="superscript"/>
                <w:lang w:val="en-US" w:eastAsia="zh-CN" w:bidi="zh-CN"/>
              </w:rPr>
              <w:t>3</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即</w:t>
            </w:r>
            <w:r>
              <w:rPr>
                <w:rFonts w:hint="eastAsia" w:cs="Times New Roman"/>
                <w:sz w:val="24"/>
                <w:szCs w:val="21"/>
                <w:highlight w:val="none"/>
                <w:lang w:val="en-US" w:eastAsia="zh-CN" w:bidi="zh-CN"/>
              </w:rPr>
              <w:t>150</w:t>
            </w:r>
            <w:r>
              <w:rPr>
                <w:rFonts w:hint="default" w:ascii="Times New Roman" w:hAnsi="Times New Roman" w:eastAsia="宋体" w:cs="Times New Roman"/>
                <w:sz w:val="24"/>
                <w:szCs w:val="21"/>
                <w:highlight w:val="none"/>
                <w:lang w:val="en-US" w:eastAsia="zh-CN" w:bidi="zh-CN"/>
              </w:rPr>
              <w:t>kg</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本项目年工作时间为2400h/a</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本项目使用的废活性炭为</w:t>
            </w:r>
            <w:r>
              <w:rPr>
                <w:rFonts w:hint="eastAsia" w:cs="Times New Roman"/>
                <w:sz w:val="24"/>
                <w:szCs w:val="21"/>
                <w:highlight w:val="none"/>
                <w:lang w:val="en-US" w:eastAsia="zh-CN" w:bidi="zh-CN"/>
              </w:rPr>
              <w:t>25</w:t>
            </w:r>
            <w:r>
              <w:rPr>
                <w:rFonts w:hint="default" w:ascii="Times New Roman" w:hAnsi="Times New Roman" w:eastAsia="宋体" w:cs="Times New Roman"/>
                <w:sz w:val="24"/>
                <w:szCs w:val="21"/>
                <w:highlight w:val="none"/>
                <w:lang w:val="en-US" w:eastAsia="zh-CN" w:bidi="zh-CN"/>
              </w:rPr>
              <w:t>kg/a</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则生产</w:t>
            </w:r>
            <w:r>
              <w:rPr>
                <w:rFonts w:hint="eastAsia" w:cs="Times New Roman"/>
                <w:sz w:val="24"/>
                <w:szCs w:val="21"/>
                <w:highlight w:val="none"/>
                <w:lang w:val="en-US" w:eastAsia="zh-CN" w:bidi="zh-CN"/>
              </w:rPr>
              <w:t>1200</w:t>
            </w:r>
            <w:r>
              <w:rPr>
                <w:rFonts w:hint="default" w:ascii="Times New Roman" w:hAnsi="Times New Roman" w:eastAsia="宋体" w:cs="Times New Roman"/>
                <w:sz w:val="24"/>
                <w:szCs w:val="21"/>
                <w:highlight w:val="none"/>
                <w:lang w:val="en-US" w:eastAsia="zh-CN" w:bidi="zh-CN"/>
              </w:rPr>
              <w:t>h须更换1次活性炭。则活性炭吸附设备1年至少更换</w:t>
            </w:r>
            <w:r>
              <w:rPr>
                <w:rFonts w:hint="eastAsia" w:cs="Times New Roman"/>
                <w:sz w:val="24"/>
                <w:szCs w:val="21"/>
                <w:highlight w:val="none"/>
                <w:lang w:val="en-US" w:eastAsia="zh-CN" w:bidi="zh-CN"/>
              </w:rPr>
              <w:t>2</w:t>
            </w:r>
            <w:r>
              <w:rPr>
                <w:rFonts w:hint="default" w:ascii="Times New Roman" w:hAnsi="Times New Roman" w:eastAsia="宋体" w:cs="Times New Roman"/>
                <w:sz w:val="24"/>
                <w:szCs w:val="21"/>
                <w:highlight w:val="none"/>
                <w:lang w:val="en-US" w:eastAsia="zh-CN" w:bidi="zh-CN"/>
              </w:rPr>
              <w:t>次</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活性炭暂存</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定期委托有资质的单位进行处置</w:t>
            </w:r>
            <w:r>
              <w:rPr>
                <w:rFonts w:hint="eastAsia" w:cs="Times New Roman"/>
                <w:sz w:val="24"/>
                <w:szCs w:val="21"/>
                <w:highlight w:val="none"/>
                <w:lang w:val="en-US" w:eastAsia="zh-CN" w:bidi="zh-CN"/>
              </w:rPr>
              <w:t>。</w:t>
            </w:r>
          </w:p>
          <w:p>
            <w:pPr>
              <w:spacing w:line="360" w:lineRule="auto"/>
              <w:ind w:firstLine="482"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4"/>
                <w14:textFill>
                  <w14:solidFill>
                    <w14:schemeClr w14:val="tx1"/>
                  </w14:solidFill>
                </w14:textFill>
              </w:rPr>
              <w:t>排放废气达标分析</w:t>
            </w:r>
          </w:p>
          <w:p>
            <w:pPr>
              <w:pStyle w:val="50"/>
              <w:ind w:firstLine="48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fldChar w:fldCharType="begin"/>
            </w:r>
            <w:r>
              <w:rPr>
                <w:rFonts w:hint="default" w:ascii="Times New Roman" w:hAnsi="Times New Roman" w:eastAsia="宋体" w:cs="Times New Roman"/>
                <w:b/>
                <w:bCs/>
                <w:color w:val="000000" w:themeColor="text1"/>
                <w14:textFill>
                  <w14:solidFill>
                    <w14:schemeClr w14:val="tx1"/>
                  </w14:solidFill>
                </w14:textFill>
              </w:rPr>
              <w:instrText xml:space="preserve"> = 1 \* GB3 \* MERGEFORMAT </w:instrText>
            </w:r>
            <w:r>
              <w:rPr>
                <w:rFonts w:hint="default" w:ascii="Times New Roman" w:hAnsi="Times New Roman" w:eastAsia="宋体" w:cs="Times New Roman"/>
                <w:b/>
                <w:bCs/>
                <w:color w:val="000000" w:themeColor="text1"/>
                <w14:textFill>
                  <w14:solidFill>
                    <w14:schemeClr w14:val="tx1"/>
                  </w14:solidFill>
                </w14:textFill>
              </w:rPr>
              <w:fldChar w:fldCharType="separate"/>
            </w:r>
            <w:r>
              <w:rPr>
                <w:rFonts w:hint="default" w:ascii="Times New Roman" w:hAnsi="Times New Roman" w:eastAsia="宋体" w:cs="Times New Roman"/>
                <w:b/>
                <w:bCs/>
                <w:color w:val="000000" w:themeColor="text1"/>
                <w14:textFill>
                  <w14:solidFill>
                    <w14:schemeClr w14:val="tx1"/>
                  </w14:solidFill>
                </w14:textFill>
              </w:rPr>
              <w:t>①</w:t>
            </w:r>
            <w:r>
              <w:rPr>
                <w:rFonts w:hint="default" w:ascii="Times New Roman" w:hAnsi="Times New Roman" w:eastAsia="宋体" w:cs="Times New Roman"/>
                <w:b/>
                <w:bCs/>
                <w:color w:val="000000" w:themeColor="text1"/>
                <w14:textFill>
                  <w14:solidFill>
                    <w14:schemeClr w14:val="tx1"/>
                  </w14:solidFill>
                </w14:textFill>
              </w:rPr>
              <w:fldChar w:fldCharType="end"/>
            </w:r>
            <w:r>
              <w:rPr>
                <w:rFonts w:hint="default" w:ascii="Times New Roman" w:hAnsi="Times New Roman" w:eastAsia="宋体" w:cs="Times New Roman"/>
                <w:b/>
                <w:bCs/>
                <w:color w:val="000000" w:themeColor="text1"/>
                <w14:textFill>
                  <w14:solidFill>
                    <w14:schemeClr w14:val="tx1"/>
                  </w14:solidFill>
                </w14:textFill>
              </w:rPr>
              <w:t>本项目</w:t>
            </w:r>
            <w:r>
              <w:rPr>
                <w:rFonts w:hint="eastAsia" w:cs="Times New Roman"/>
                <w:b/>
                <w:bCs/>
                <w:color w:val="000000" w:themeColor="text1"/>
                <w:lang w:val="en-US" w:eastAsia="zh-CN"/>
                <w14:textFill>
                  <w14:solidFill>
                    <w14:schemeClr w14:val="tx1"/>
                  </w14:solidFill>
                </w14:textFill>
              </w:rPr>
              <w:t>原料</w:t>
            </w:r>
            <w:r>
              <w:rPr>
                <w:rFonts w:hint="default" w:ascii="Times New Roman" w:hAnsi="Times New Roman" w:eastAsia="宋体" w:cs="Times New Roman"/>
                <w:b/>
                <w:bCs/>
                <w:color w:val="000000" w:themeColor="text1"/>
                <w:szCs w:val="21"/>
                <w:lang w:val="en-US" w:eastAsia="zh-CN"/>
                <w14:textFill>
                  <w14:solidFill>
                    <w14:schemeClr w14:val="tx1"/>
                  </w14:solidFill>
                </w14:textFill>
              </w:rPr>
              <w:t>AKD蜡融化工段</w:t>
            </w:r>
            <w:r>
              <w:rPr>
                <w:rFonts w:hint="default" w:ascii="Times New Roman" w:hAnsi="Times New Roman" w:eastAsia="宋体" w:cs="Times New Roman"/>
                <w:b/>
                <w:bCs/>
                <w:color w:val="000000" w:themeColor="text1"/>
                <w14:textFill>
                  <w14:solidFill>
                    <w14:schemeClr w14:val="tx1"/>
                  </w14:solidFill>
                </w14:textFill>
              </w:rPr>
              <w:t>排气筒</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14:textFill>
                  <w14:solidFill>
                    <w14:schemeClr w14:val="tx1"/>
                  </w14:solidFill>
                </w14:textFill>
              </w:rPr>
              <w:t>DA001</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14:textFill>
                  <w14:solidFill>
                    <w14:schemeClr w14:val="tx1"/>
                  </w14:solidFill>
                </w14:textFill>
              </w:rPr>
              <w:t>排放的</w:t>
            </w:r>
            <w:r>
              <w:rPr>
                <w:rFonts w:hint="default" w:ascii="Times New Roman" w:hAnsi="Times New Roman" w:eastAsia="宋体" w:cs="Times New Roman"/>
                <w:b/>
                <w:bCs/>
                <w:color w:val="000000" w:themeColor="text1"/>
                <w:lang w:val="en-US" w:eastAsia="zh-CN"/>
                <w14:textFill>
                  <w14:solidFill>
                    <w14:schemeClr w14:val="tx1"/>
                  </w14:solidFill>
                </w14:textFill>
              </w:rPr>
              <w:t>非甲烷总烃</w:t>
            </w:r>
            <w:r>
              <w:rPr>
                <w:rFonts w:hint="default" w:ascii="Times New Roman" w:hAnsi="Times New Roman" w:eastAsia="宋体" w:cs="Times New Roman"/>
                <w:b/>
                <w:bCs/>
                <w:color w:val="000000" w:themeColor="text1"/>
                <w14:textFill>
                  <w14:solidFill>
                    <w14:schemeClr w14:val="tx1"/>
                  </w14:solidFill>
                </w14:textFill>
              </w:rPr>
              <w:t>浓度以及排放速率：</w:t>
            </w:r>
          </w:p>
          <w:p>
            <w:pPr>
              <w:pStyle w:val="50"/>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DA001排气筒排放的</w:t>
            </w:r>
            <w:r>
              <w:rPr>
                <w:rFonts w:hint="default" w:ascii="Times New Roman" w:hAnsi="Times New Roman" w:eastAsia="宋体" w:cs="Times New Roman"/>
                <w:b w:val="0"/>
                <w:bCs w:val="0"/>
                <w:color w:val="000000" w:themeColor="text1"/>
                <w:lang w:val="en-US" w:eastAsia="zh-CN"/>
                <w14:textFill>
                  <w14:solidFill>
                    <w14:schemeClr w14:val="tx1"/>
                  </w14:solidFill>
                </w14:textFill>
              </w:rPr>
              <w:t>非甲烷</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总烃</w:t>
            </w:r>
            <w:r>
              <w:rPr>
                <w:rFonts w:hint="eastAsia"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通过</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设置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一套</w:t>
            </w:r>
            <w:r>
              <w:rPr>
                <w:rFonts w:hint="default" w:ascii="Times New Roman" w:hAnsi="Times New Roman" w:eastAsia="宋体" w:cs="Times New Roman"/>
                <w:sz w:val="24"/>
                <w:szCs w:val="24"/>
                <w:lang w:val="en-US" w:eastAsia="zh-CN"/>
              </w:rPr>
              <w:t>二级</w:t>
            </w:r>
            <w:r>
              <w:rPr>
                <w:rFonts w:hint="default" w:ascii="Times New Roman" w:hAnsi="Times New Roman" w:eastAsia="宋体" w:cs="Times New Roman"/>
                <w:sz w:val="24"/>
                <w:szCs w:val="24"/>
              </w:rPr>
              <w:t>活性炭吸附装置</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+15m</w:t>
            </w:r>
            <w:r>
              <w:rPr>
                <w:rFonts w:hint="default" w:ascii="Times New Roman" w:hAnsi="Times New Roman" w:eastAsia="宋体" w:cs="Times New Roman"/>
                <w:b w:val="0"/>
                <w:bCs w:val="0"/>
                <w:color w:val="000000" w:themeColor="text1"/>
                <w:lang w:eastAsia="zh-CN"/>
                <w14:textFill>
                  <w14:solidFill>
                    <w14:schemeClr w14:val="tx1"/>
                  </w14:solidFill>
                </w14:textFill>
              </w:rPr>
              <w:t>高排气筒（DA001）排</w:t>
            </w:r>
            <w:r>
              <w:rPr>
                <w:rFonts w:hint="default" w:ascii="Times New Roman" w:hAnsi="Times New Roman" w:eastAsia="宋体" w:cs="Times New Roman"/>
                <w:b w:val="0"/>
                <w:bCs w:val="0"/>
                <w:color w:val="000000" w:themeColor="text1"/>
                <w:lang w:val="en-US" w:eastAsia="zh-CN"/>
                <w14:textFill>
                  <w14:solidFill>
                    <w14:schemeClr w14:val="tx1"/>
                  </w14:solidFill>
                </w14:textFill>
              </w:rPr>
              <w:t>放</w:t>
            </w:r>
            <w:r>
              <w:rPr>
                <w:rFonts w:hint="default" w:ascii="Times New Roman" w:hAnsi="Times New Roman" w:eastAsia="宋体"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非甲烷总烃</w:t>
            </w:r>
            <w:r>
              <w:rPr>
                <w:rFonts w:hint="default" w:ascii="Times New Roman" w:hAnsi="Times New Roman" w:eastAsia="宋体" w:cs="Times New Roman"/>
                <w:color w:val="000000" w:themeColor="text1"/>
                <w14:textFill>
                  <w14:solidFill>
                    <w14:schemeClr w14:val="tx1"/>
                  </w14:solidFill>
                </w14:textFill>
              </w:rPr>
              <w:t>的排放浓度为：</w:t>
            </w:r>
            <w:r>
              <w:rPr>
                <w:rFonts w:hint="eastAsia" w:cs="Times New Roman"/>
                <w:color w:val="000000" w:themeColor="text1"/>
                <w:lang w:val="en-US" w:eastAsia="zh-CN"/>
                <w14:textFill>
                  <w14:solidFill>
                    <w14:schemeClr w14:val="tx1"/>
                  </w14:solidFill>
                </w14:textFill>
              </w:rPr>
              <w:t>0.2</w:t>
            </w:r>
            <w:r>
              <w:rPr>
                <w:rFonts w:hint="default" w:ascii="Times New Roman" w:hAnsi="Times New Roman" w:eastAsia="宋体" w:cs="Times New Roman"/>
                <w:color w:val="000000" w:themeColor="text1"/>
                <w14:textFill>
                  <w14:solidFill>
                    <w14:schemeClr w14:val="tx1"/>
                  </w14:solidFill>
                </w14:textFill>
              </w:rPr>
              <w:t>mg/m³</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排放速率为：</w:t>
            </w:r>
            <w:r>
              <w:rPr>
                <w:rFonts w:hint="eastAsia" w:cs="Times New Roman"/>
                <w:color w:val="000000" w:themeColor="text1"/>
                <w:lang w:val="en-US" w:eastAsia="zh-CN"/>
                <w14:textFill>
                  <w14:solidFill>
                    <w14:schemeClr w14:val="tx1"/>
                  </w14:solidFill>
                </w14:textFill>
              </w:rPr>
              <w:t>0.0004</w:t>
            </w:r>
            <w:r>
              <w:rPr>
                <w:rFonts w:hint="default" w:ascii="Times New Roman" w:hAnsi="Times New Roman" w:eastAsia="宋体" w:cs="Times New Roman"/>
                <w:color w:val="000000" w:themeColor="text1"/>
                <w14:textFill>
                  <w14:solidFill>
                    <w14:schemeClr w14:val="tx1"/>
                  </w14:solidFill>
                </w14:textFill>
              </w:rPr>
              <w:t>kg/h。</w:t>
            </w:r>
            <w:r>
              <w:rPr>
                <w:rFonts w:hint="eastAsia" w:cs="Times New Roman"/>
                <w:color w:val="000000" w:themeColor="text1"/>
                <w:lang w:val="en-US" w:eastAsia="zh-CN"/>
                <w14:textFill>
                  <w14:solidFill>
                    <w14:schemeClr w14:val="tx1"/>
                  </w14:solidFill>
                </w14:textFill>
              </w:rPr>
              <w:t>所以</w:t>
            </w:r>
            <w:r>
              <w:rPr>
                <w:rFonts w:hint="default" w:ascii="Times New Roman" w:hAnsi="Times New Roman" w:eastAsia="宋体" w:cs="Times New Roman"/>
                <w:color w:val="000000" w:themeColor="text1"/>
                <w14:textFill>
                  <w14:solidFill>
                    <w14:schemeClr w14:val="tx1"/>
                  </w14:solidFill>
                </w14:textFill>
              </w:rPr>
              <w:t>DA001排气筒所产生废气的浓度以及排放速率可以达到《大气污染物综合排放标准》（GB16297—1996）表2中二级标准限值要求</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即非甲烷总烃排放浓度≦120mg/m³</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排放速率≦</w:t>
            </w:r>
            <w:r>
              <w:rPr>
                <w:rFonts w:hint="eastAsia" w:cs="Times New Roman"/>
                <w:color w:val="000000" w:themeColor="text1"/>
                <w:lang w:val="en-US" w:eastAsia="zh-CN"/>
                <w14:textFill>
                  <w14:solidFill>
                    <w14:schemeClr w14:val="tx1"/>
                  </w14:solidFill>
                </w14:textFill>
              </w:rPr>
              <w:t>10</w:t>
            </w:r>
            <w:r>
              <w:rPr>
                <w:rFonts w:hint="default" w:ascii="Times New Roman" w:hAnsi="Times New Roman" w:eastAsia="宋体" w:cs="Times New Roman"/>
                <w:color w:val="000000" w:themeColor="text1"/>
                <w14:textFill>
                  <w14:solidFill>
                    <w14:schemeClr w14:val="tx1"/>
                  </w14:solidFill>
                </w14:textFill>
              </w:rPr>
              <w:t>kg/h</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根据前文分析</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项目所在区域属于环境空气质量达标区。废气对周边环境存在一定的影响。由于废气源强较小</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均满足达标排放</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总体对环境影响不大。为了进一步降低生产废气排放对周围环境空气的影响</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必须杜绝项目废气的非正常排放</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本次评价提出以下建议措施：</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①加强管理</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明确岗位责任制</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定期检查、维修、保养设备及构件</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确保各种工艺、电气、设备的正常运转。</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②定期对“活性炭吸附装置”进行检查</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如若发现故障情况应及时终止相关生产设备运行并维修环保设备</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待“活性炭吸附装置”正常投入使用时方可生产</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避免非正常排放废气对环境的影响。</w:t>
            </w:r>
          </w:p>
          <w:p>
            <w:pPr>
              <w:spacing w:line="360" w:lineRule="auto"/>
              <w:ind w:firstLine="482"/>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14:textFill>
                  <w14:solidFill>
                    <w14:schemeClr w14:val="tx1"/>
                  </w14:solidFill>
                </w14:textFill>
              </w:rPr>
              <w:t>、非正常排放情况下的分析</w:t>
            </w:r>
          </w:p>
          <w:p>
            <w:pPr>
              <w:keepNext w:val="0"/>
              <w:keepLines w:val="0"/>
              <w:widowControl/>
              <w:suppressLineNumbers w:val="0"/>
              <w:ind w:firstLine="2168" w:firstLineChars="900"/>
              <w:jc w:val="left"/>
              <w:rPr>
                <w:rFonts w:hint="default" w:ascii="Times New Roman" w:hAnsi="Times New Roman" w:eastAsia="宋体" w:cs="Times New Roman"/>
                <w:highlight w:val="none"/>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bCs/>
                <w:sz w:val="24"/>
                <w:highlight w:val="none"/>
                <w:lang w:val="en-US" w:eastAsia="zh-CN"/>
              </w:rPr>
              <w:t>4-</w:t>
            </w:r>
            <w:r>
              <w:rPr>
                <w:rFonts w:hint="eastAsia" w:cs="Times New Roman"/>
                <w:b/>
                <w:bCs/>
                <w:sz w:val="24"/>
                <w:highlight w:val="none"/>
                <w:lang w:val="en-US" w:eastAsia="zh-CN"/>
              </w:rPr>
              <w:t>6</w:t>
            </w:r>
            <w:r>
              <w:rPr>
                <w:rFonts w:hint="default" w:ascii="Times New Roman" w:hAnsi="Times New Roman" w:eastAsia="宋体" w:cs="Times New Roman"/>
                <w:b/>
                <w:bCs/>
                <w:sz w:val="24"/>
                <w:highlight w:val="none"/>
                <w:lang w:val="en-US" w:eastAsia="zh-CN"/>
              </w:rPr>
              <w:t xml:space="preserve">      </w:t>
            </w:r>
            <w:r>
              <w:rPr>
                <w:rFonts w:hint="default" w:ascii="Times New Roman" w:hAnsi="Times New Roman" w:eastAsia="宋体" w:cs="Times New Roman"/>
                <w:b/>
                <w:bCs/>
                <w:color w:val="000000"/>
                <w:kern w:val="0"/>
                <w:sz w:val="21"/>
                <w:szCs w:val="21"/>
                <w:highlight w:val="none"/>
                <w:lang w:val="en-US" w:eastAsia="zh-CN" w:bidi="ar"/>
              </w:rPr>
              <w:t xml:space="preserve">废气非正常情况排放一览表 </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922"/>
              <w:gridCol w:w="1667"/>
              <w:gridCol w:w="1326"/>
              <w:gridCol w:w="1032"/>
              <w:gridCol w:w="1113"/>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632" w:type="pct"/>
                  <w:vAlign w:val="center"/>
                </w:tcPr>
                <w:p>
                  <w:pPr>
                    <w:pStyle w:val="49"/>
                    <w:ind w:firstLine="0" w:firstLineChars="0"/>
                    <w:jc w:val="center"/>
                    <w:rPr>
                      <w:rFonts w:hint="default" w:ascii="Times New Roman" w:hAnsi="Times New Roman" w:eastAsia="宋体" w:cs="Times New Roman"/>
                      <w:color w:val="000000"/>
                      <w:kern w:val="2"/>
                      <w:szCs w:val="21"/>
                      <w:highlight w:val="none"/>
                      <w:lang w:val="en-US" w:eastAsia="zh-CN"/>
                    </w:rPr>
                  </w:pPr>
                  <w:r>
                    <w:rPr>
                      <w:rFonts w:hint="default" w:ascii="Times New Roman" w:hAnsi="Times New Roman" w:eastAsia="宋体" w:cs="Times New Roman"/>
                      <w:color w:val="000000"/>
                      <w:kern w:val="2"/>
                      <w:szCs w:val="21"/>
                      <w:highlight w:val="none"/>
                      <w:lang w:val="en-US" w:eastAsia="zh-CN"/>
                    </w:rPr>
                    <w:t>排放口编号</w:t>
                  </w:r>
                </w:p>
              </w:tc>
              <w:tc>
                <w:tcPr>
                  <w:tcW w:w="549" w:type="pct"/>
                  <w:vAlign w:val="center"/>
                </w:tcPr>
                <w:p>
                  <w:pPr>
                    <w:pStyle w:val="49"/>
                    <w:ind w:firstLine="0" w:firstLineChars="0"/>
                    <w:jc w:val="center"/>
                    <w:rPr>
                      <w:rFonts w:hint="default" w:ascii="Times New Roman" w:hAnsi="Times New Roman" w:eastAsia="宋体" w:cs="Times New Roman"/>
                      <w:color w:val="000000"/>
                      <w:kern w:val="2"/>
                      <w:szCs w:val="21"/>
                      <w:highlight w:val="none"/>
                      <w:lang w:val="en-US" w:eastAsia="zh-CN"/>
                    </w:rPr>
                  </w:pPr>
                  <w:r>
                    <w:rPr>
                      <w:rFonts w:hint="default" w:ascii="Times New Roman" w:hAnsi="Times New Roman" w:eastAsia="宋体" w:cs="Times New Roman"/>
                      <w:color w:val="000000"/>
                      <w:kern w:val="2"/>
                      <w:szCs w:val="21"/>
                      <w:highlight w:val="none"/>
                      <w:lang w:val="en-US" w:eastAsia="zh-CN"/>
                    </w:rPr>
                    <w:t>污染物名称</w:t>
                  </w:r>
                </w:p>
              </w:tc>
              <w:tc>
                <w:tcPr>
                  <w:tcW w:w="993" w:type="pct"/>
                  <w:vAlign w:val="center"/>
                </w:tcPr>
                <w:p>
                  <w:pPr>
                    <w:pStyle w:val="49"/>
                    <w:ind w:firstLine="0" w:firstLineChars="0"/>
                    <w:jc w:val="center"/>
                    <w:rPr>
                      <w:rFonts w:hint="default" w:ascii="Times New Roman" w:hAnsi="Times New Roman" w:eastAsia="宋体" w:cs="Times New Roman"/>
                      <w:color w:val="000000"/>
                      <w:kern w:val="2"/>
                      <w:szCs w:val="21"/>
                      <w:highlight w:val="none"/>
                      <w:lang w:val="en-US" w:eastAsia="zh-CN"/>
                    </w:rPr>
                  </w:pPr>
                  <w:r>
                    <w:rPr>
                      <w:rFonts w:hint="default" w:ascii="Times New Roman" w:hAnsi="Times New Roman" w:eastAsia="宋体" w:cs="Times New Roman"/>
                      <w:color w:val="000000"/>
                      <w:kern w:val="2"/>
                      <w:szCs w:val="21"/>
                      <w:highlight w:val="none"/>
                      <w:lang w:val="en-US" w:eastAsia="zh-CN"/>
                    </w:rPr>
                    <w:t>非正常情况</w:t>
                  </w:r>
                </w:p>
              </w:tc>
              <w:tc>
                <w:tcPr>
                  <w:tcW w:w="790" w:type="pct"/>
                  <w:vAlign w:val="center"/>
                </w:tcPr>
                <w:p>
                  <w:pPr>
                    <w:pStyle w:val="49"/>
                    <w:ind w:firstLine="0" w:firstLineChars="0"/>
                    <w:jc w:val="center"/>
                    <w:rPr>
                      <w:rFonts w:hint="default" w:ascii="Times New Roman" w:hAnsi="Times New Roman" w:eastAsia="宋体" w:cs="Times New Roman"/>
                      <w:color w:val="000000"/>
                      <w:kern w:val="2"/>
                      <w:szCs w:val="21"/>
                      <w:highlight w:val="none"/>
                      <w:lang w:val="en-US" w:eastAsia="zh-CN"/>
                    </w:rPr>
                  </w:pPr>
                  <w:r>
                    <w:rPr>
                      <w:rFonts w:hint="default" w:ascii="Times New Roman" w:hAnsi="Times New Roman" w:eastAsia="宋体" w:cs="Times New Roman"/>
                      <w:color w:val="000000"/>
                      <w:kern w:val="2"/>
                      <w:szCs w:val="21"/>
                      <w:highlight w:val="none"/>
                      <w:lang w:val="en-US" w:eastAsia="zh-CN"/>
                    </w:rPr>
                    <w:t xml:space="preserve">正常情况污染物产生量 </w:t>
                  </w:r>
                  <w:r>
                    <w:rPr>
                      <w:rFonts w:hint="default" w:ascii="Times New Roman" w:hAnsi="Times New Roman" w:eastAsia="宋体" w:cs="Times New Roman"/>
                      <w:kern w:val="2"/>
                      <w:sz w:val="21"/>
                      <w:szCs w:val="21"/>
                      <w:highlight w:val="none"/>
                      <w:lang w:val="en-US" w:eastAsia="zh-CN"/>
                    </w:rPr>
                    <w:t>t/a</w:t>
                  </w:r>
                </w:p>
                <w:p>
                  <w:pPr>
                    <w:pStyle w:val="49"/>
                    <w:ind w:firstLine="0" w:firstLineChars="0"/>
                    <w:jc w:val="center"/>
                    <w:rPr>
                      <w:rFonts w:hint="default" w:ascii="Times New Roman" w:hAnsi="Times New Roman" w:eastAsia="宋体" w:cs="Times New Roman"/>
                      <w:color w:val="000000"/>
                      <w:kern w:val="2"/>
                      <w:szCs w:val="21"/>
                      <w:highlight w:val="none"/>
                      <w:lang w:val="en-US" w:eastAsia="zh-CN"/>
                    </w:rPr>
                  </w:pPr>
                </w:p>
              </w:tc>
              <w:tc>
                <w:tcPr>
                  <w:tcW w:w="615" w:type="pct"/>
                  <w:vAlign w:val="center"/>
                </w:tcPr>
                <w:p>
                  <w:pPr>
                    <w:pStyle w:val="49"/>
                    <w:ind w:firstLine="0" w:firstLineChars="0"/>
                    <w:jc w:val="center"/>
                    <w:rPr>
                      <w:rFonts w:hint="default" w:ascii="Times New Roman" w:hAnsi="Times New Roman" w:eastAsia="宋体" w:cs="Times New Roman"/>
                      <w:color w:val="000000"/>
                      <w:kern w:val="2"/>
                      <w:szCs w:val="21"/>
                      <w:highlight w:val="none"/>
                      <w:lang w:val="en-US" w:eastAsia="zh-CN"/>
                    </w:rPr>
                  </w:pPr>
                  <w:r>
                    <w:rPr>
                      <w:rFonts w:hint="default" w:ascii="Times New Roman" w:hAnsi="Times New Roman" w:eastAsia="宋体" w:cs="Times New Roman"/>
                      <w:color w:val="000000"/>
                      <w:kern w:val="2"/>
                      <w:szCs w:val="21"/>
                      <w:highlight w:val="none"/>
                      <w:lang w:val="en-US" w:eastAsia="zh-CN"/>
                    </w:rPr>
                    <w:t xml:space="preserve">正常情况污染物排放量 </w:t>
                  </w:r>
                  <w:r>
                    <w:rPr>
                      <w:rFonts w:hint="default" w:ascii="Times New Roman" w:hAnsi="Times New Roman" w:eastAsia="宋体" w:cs="Times New Roman"/>
                      <w:kern w:val="2"/>
                      <w:sz w:val="21"/>
                      <w:szCs w:val="21"/>
                      <w:highlight w:val="none"/>
                      <w:lang w:val="en-US" w:eastAsia="zh-CN"/>
                    </w:rPr>
                    <w:t>t/a</w:t>
                  </w:r>
                </w:p>
              </w:tc>
              <w:tc>
                <w:tcPr>
                  <w:tcW w:w="663" w:type="pct"/>
                  <w:vAlign w:val="center"/>
                </w:tcPr>
                <w:p>
                  <w:pPr>
                    <w:pStyle w:val="49"/>
                    <w:ind w:firstLine="0" w:firstLineChars="0"/>
                    <w:jc w:val="center"/>
                    <w:rPr>
                      <w:rFonts w:hint="default" w:ascii="Times New Roman" w:hAnsi="Times New Roman" w:eastAsia="宋体" w:cs="Times New Roman"/>
                      <w:color w:val="000000"/>
                      <w:kern w:val="2"/>
                      <w:szCs w:val="21"/>
                      <w:highlight w:val="none"/>
                      <w:lang w:val="en-US" w:eastAsia="zh-CN"/>
                    </w:rPr>
                  </w:pPr>
                  <w:r>
                    <w:rPr>
                      <w:rFonts w:hint="default" w:ascii="Times New Roman" w:hAnsi="Times New Roman" w:eastAsia="宋体" w:cs="Times New Roman"/>
                      <w:color w:val="000000"/>
                      <w:kern w:val="2"/>
                      <w:szCs w:val="21"/>
                      <w:highlight w:val="none"/>
                      <w:lang w:val="en-US" w:eastAsia="zh-CN"/>
                    </w:rPr>
                    <w:t>非正常情况污染物排放量</w:t>
                  </w:r>
                  <w:r>
                    <w:rPr>
                      <w:rFonts w:hint="default" w:ascii="Times New Roman" w:hAnsi="Times New Roman" w:eastAsia="宋体" w:cs="Times New Roman"/>
                      <w:kern w:val="2"/>
                      <w:sz w:val="21"/>
                      <w:szCs w:val="21"/>
                      <w:highlight w:val="none"/>
                      <w:lang w:val="en-US" w:eastAsia="zh-CN"/>
                    </w:rPr>
                    <w:t>t/a</w:t>
                  </w:r>
                </w:p>
              </w:tc>
              <w:tc>
                <w:tcPr>
                  <w:tcW w:w="754" w:type="pct"/>
                  <w:vAlign w:val="center"/>
                </w:tcPr>
                <w:p>
                  <w:pPr>
                    <w:pStyle w:val="45"/>
                    <w:jc w:val="center"/>
                    <w:rPr>
                      <w:rFonts w:hint="default" w:ascii="Times New Roman" w:hAnsi="Times New Roman" w:eastAsia="宋体" w:cs="Times New Roman"/>
                      <w:color w:val="000000"/>
                      <w:kern w:val="2"/>
                      <w:sz w:val="21"/>
                      <w:szCs w:val="21"/>
                      <w:highlight w:val="none"/>
                      <w:lang w:val="en-US" w:eastAsia="zh-CN" w:bidi="zh-CN"/>
                    </w:rPr>
                  </w:pPr>
                  <w:r>
                    <w:rPr>
                      <w:rFonts w:hint="default" w:ascii="Times New Roman" w:hAnsi="Times New Roman" w:eastAsia="宋体" w:cs="Times New Roman"/>
                      <w:color w:val="000000"/>
                      <w:kern w:val="2"/>
                      <w:sz w:val="21"/>
                      <w:szCs w:val="21"/>
                      <w:highlight w:val="none"/>
                      <w:lang w:val="en-US" w:eastAsia="zh-CN" w:bidi="zh-CN"/>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632" w:type="pct"/>
                  <w:vAlign w:val="center"/>
                </w:tcPr>
                <w:p>
                  <w:pPr>
                    <w:pStyle w:val="49"/>
                    <w:ind w:firstLine="0" w:firstLineChars="0"/>
                    <w:jc w:val="center"/>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DA001</w:t>
                  </w:r>
                </w:p>
              </w:tc>
              <w:tc>
                <w:tcPr>
                  <w:tcW w:w="549" w:type="pct"/>
                  <w:vAlign w:val="center"/>
                </w:tcPr>
                <w:p>
                  <w:pPr>
                    <w:pStyle w:val="49"/>
                    <w:ind w:firstLine="0" w:firstLineChars="0"/>
                    <w:jc w:val="center"/>
                    <w:rPr>
                      <w:rFonts w:hint="default" w:ascii="Times New Roman" w:hAnsi="Times New Roman" w:eastAsia="宋体" w:cs="Times New Roman"/>
                      <w:color w:val="auto"/>
                      <w:kern w:val="2"/>
                      <w:szCs w:val="21"/>
                      <w:highlight w:val="none"/>
                    </w:rPr>
                  </w:pPr>
                  <w:r>
                    <w:rPr>
                      <w:rFonts w:hint="default" w:ascii="Times New Roman" w:hAnsi="Times New Roman" w:eastAsia="宋体" w:cs="Times New Roman"/>
                      <w:color w:val="auto"/>
                      <w:kern w:val="2"/>
                      <w:szCs w:val="21"/>
                      <w:highlight w:val="none"/>
                      <w:lang w:val="en-US" w:eastAsia="zh-CN"/>
                    </w:rPr>
                    <w:t>非甲烷总烃</w:t>
                  </w:r>
                </w:p>
              </w:tc>
              <w:tc>
                <w:tcPr>
                  <w:tcW w:w="993" w:type="pct"/>
                  <w:vAlign w:val="center"/>
                </w:tcPr>
                <w:p>
                  <w:pPr>
                    <w:keepNext w:val="0"/>
                    <w:keepLines w:val="0"/>
                    <w:widowControl/>
                    <w:suppressLineNumbers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二级活性炭吸附效率由85%下降至25%</w:t>
                  </w:r>
                </w:p>
                <w:p>
                  <w:pPr>
                    <w:keepNext w:val="0"/>
                    <w:keepLines w:val="0"/>
                    <w:widowControl/>
                    <w:suppressLineNumbers w:val="0"/>
                    <w:jc w:val="center"/>
                    <w:rPr>
                      <w:rFonts w:hint="default" w:ascii="Times New Roman" w:hAnsi="Times New Roman" w:eastAsia="宋体" w:cs="Times New Roman"/>
                      <w:color w:val="auto"/>
                      <w:kern w:val="2"/>
                      <w:szCs w:val="21"/>
                      <w:highlight w:val="none"/>
                    </w:rPr>
                  </w:pPr>
                  <w:r>
                    <w:rPr>
                      <w:rFonts w:hint="default" w:ascii="Times New Roman" w:hAnsi="Times New Roman" w:eastAsia="宋体" w:cs="Times New Roman"/>
                      <w:color w:val="auto"/>
                      <w:kern w:val="0"/>
                      <w:sz w:val="21"/>
                      <w:szCs w:val="21"/>
                      <w:highlight w:val="none"/>
                      <w:lang w:val="en-US" w:eastAsia="zh-CN" w:bidi="ar"/>
                    </w:rPr>
                    <w:t>（风量</w:t>
                  </w:r>
                  <w:r>
                    <w:rPr>
                      <w:rFonts w:hint="eastAsia" w:cs="Times New Roman"/>
                      <w:color w:val="auto"/>
                      <w:kern w:val="0"/>
                      <w:sz w:val="21"/>
                      <w:szCs w:val="21"/>
                      <w:highlight w:val="none"/>
                      <w:lang w:val="en-US" w:eastAsia="zh-CN" w:bidi="ar"/>
                    </w:rPr>
                    <w:t>2000</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/h）</w:t>
                  </w:r>
                </w:p>
              </w:tc>
              <w:tc>
                <w:tcPr>
                  <w:tcW w:w="790" w:type="pct"/>
                  <w:vAlign w:val="center"/>
                </w:tcPr>
                <w:p>
                  <w:pPr>
                    <w:pStyle w:val="49"/>
                    <w:ind w:firstLine="0" w:firstLineChars="0"/>
                    <w:jc w:val="center"/>
                    <w:rPr>
                      <w:rFonts w:hint="default" w:ascii="Times New Roman" w:hAnsi="Times New Roman" w:eastAsia="宋体" w:cs="Times New Roman"/>
                      <w:color w:val="auto"/>
                      <w:kern w:val="2"/>
                      <w:szCs w:val="21"/>
                      <w:highlight w:val="none"/>
                      <w:lang w:val="en-US" w:eastAsia="zh-CN"/>
                    </w:rPr>
                  </w:pPr>
                  <w:r>
                    <w:rPr>
                      <w:rFonts w:hint="eastAsia" w:ascii="Times New Roman" w:cs="Times New Roman"/>
                      <w:color w:val="auto"/>
                      <w:sz w:val="21"/>
                      <w:szCs w:val="21"/>
                      <w:highlight w:val="none"/>
                      <w:lang w:val="en-US" w:eastAsia="zh-CN"/>
                    </w:rPr>
                    <w:t>0.0059</w:t>
                  </w:r>
                </w:p>
              </w:tc>
              <w:tc>
                <w:tcPr>
                  <w:tcW w:w="615" w:type="pct"/>
                  <w:vAlign w:val="center"/>
                </w:tcPr>
                <w:p>
                  <w:pPr>
                    <w:pStyle w:val="49"/>
                    <w:ind w:firstLine="0" w:firstLineChars="0"/>
                    <w:jc w:val="center"/>
                    <w:rPr>
                      <w:rFonts w:hint="default" w:ascii="Times New Roman" w:hAnsi="Times New Roman" w:eastAsia="宋体" w:cs="Times New Roman"/>
                      <w:color w:val="auto"/>
                      <w:kern w:val="2"/>
                      <w:szCs w:val="21"/>
                      <w:highlight w:val="none"/>
                      <w:lang w:val="en-US"/>
                    </w:rPr>
                  </w:pPr>
                  <w:r>
                    <w:rPr>
                      <w:rFonts w:hint="eastAsia" w:ascii="Times New Roman" w:cs="Times New Roman"/>
                      <w:color w:val="auto"/>
                      <w:kern w:val="2"/>
                      <w:szCs w:val="21"/>
                      <w:highlight w:val="none"/>
                      <w:lang w:val="en-US" w:eastAsia="zh-CN"/>
                    </w:rPr>
                    <w:t>0.0009</w:t>
                  </w:r>
                </w:p>
              </w:tc>
              <w:tc>
                <w:tcPr>
                  <w:tcW w:w="663" w:type="pct"/>
                  <w:vAlign w:val="center"/>
                </w:tcPr>
                <w:p>
                  <w:pPr>
                    <w:pStyle w:val="49"/>
                    <w:ind w:firstLine="0" w:firstLineChars="0"/>
                    <w:jc w:val="center"/>
                    <w:rPr>
                      <w:rFonts w:hint="default" w:ascii="Times New Roman" w:hAnsi="Times New Roman" w:eastAsia="宋体" w:cs="Times New Roman"/>
                      <w:color w:val="auto"/>
                      <w:kern w:val="2"/>
                      <w:szCs w:val="21"/>
                      <w:highlight w:val="none"/>
                      <w:lang w:val="en-US" w:eastAsia="zh-CN"/>
                    </w:rPr>
                  </w:pPr>
                  <w:r>
                    <w:rPr>
                      <w:rFonts w:hint="eastAsia" w:ascii="Times New Roman" w:cs="Times New Roman"/>
                      <w:color w:val="auto"/>
                      <w:kern w:val="2"/>
                      <w:szCs w:val="21"/>
                      <w:highlight w:val="none"/>
                      <w:lang w:val="en-US" w:eastAsia="zh-CN"/>
                    </w:rPr>
                    <w:t>0.0044</w:t>
                  </w:r>
                </w:p>
              </w:tc>
              <w:tc>
                <w:tcPr>
                  <w:tcW w:w="754" w:type="pct"/>
                  <w:vAlign w:val="center"/>
                </w:tcPr>
                <w:p>
                  <w:pPr>
                    <w:pStyle w:val="45"/>
                    <w:spacing w:line="242" w:lineRule="auto"/>
                    <w:ind w:right="114" w:rightChars="0"/>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立即停产维修</w:t>
                  </w:r>
                  <w:r>
                    <w:rPr>
                      <w:rFonts w:hint="eastAsia" w:ascii="Times New Roman" w:hAnsi="Times New Roman" w:cs="Times New Roman"/>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恢复正常后方可生产</w:t>
                  </w:r>
                </w:p>
              </w:tc>
            </w:tr>
          </w:tbl>
          <w:p>
            <w:pPr>
              <w:pStyle w:val="11"/>
              <w:spacing w:line="360" w:lineRule="auto"/>
              <w:ind w:firstLine="480" w:firstLineChars="200"/>
              <w:jc w:val="both"/>
              <w:rPr>
                <w:rFonts w:hint="default" w:ascii="Times New Roman" w:hAnsi="Times New Roman" w:eastAsia="宋体" w:cs="Times New Roman"/>
                <w:sz w:val="24"/>
                <w:szCs w:val="24"/>
                <w:highlight w:val="none"/>
                <w:lang w:val="zh-CN" w:bidi="zh-CN"/>
              </w:rPr>
            </w:pPr>
            <w:r>
              <w:rPr>
                <w:rFonts w:hint="default" w:ascii="Times New Roman" w:hAnsi="Times New Roman" w:eastAsia="宋体" w:cs="Times New Roman"/>
                <w:color w:val="000000" w:themeColor="text1"/>
                <w:sz w:val="24"/>
                <w:szCs w:val="24"/>
                <w:highlight w:val="none"/>
                <w:lang w:val="zh-CN" w:bidi="zh-CN"/>
                <w14:textFill>
                  <w14:solidFill>
                    <w14:schemeClr w14:val="tx1"/>
                  </w14:solidFill>
                </w14:textFill>
              </w:rPr>
              <w:t>操作人员凭操作参数的变化可以判断发生故障</w:t>
            </w:r>
            <w:r>
              <w:rPr>
                <w:rFonts w:hint="eastAsia" w:cs="Times New Roman"/>
                <w:color w:val="000000" w:themeColor="text1"/>
                <w:sz w:val="24"/>
                <w:szCs w:val="24"/>
                <w:highlight w:val="none"/>
                <w:lang w:val="zh-CN" w:bidi="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CN" w:bidi="zh-CN"/>
                <w14:textFill>
                  <w14:solidFill>
                    <w14:schemeClr w14:val="tx1"/>
                  </w14:solidFill>
                </w14:textFill>
              </w:rPr>
              <w:t>企业</w:t>
            </w:r>
            <w:r>
              <w:rPr>
                <w:rFonts w:hint="default" w:ascii="Times New Roman" w:hAnsi="Times New Roman" w:eastAsia="宋体" w:cs="Times New Roman"/>
                <w:color w:val="000000" w:themeColor="text1"/>
                <w:sz w:val="24"/>
                <w:szCs w:val="24"/>
                <w:highlight w:val="none"/>
                <w:lang w:val="en-US" w:bidi="zh-CN"/>
                <w14:textFill>
                  <w14:solidFill>
                    <w14:schemeClr w14:val="tx1"/>
                  </w14:solidFill>
                </w14:textFill>
              </w:rPr>
              <w:t>应进行</w:t>
            </w:r>
            <w:r>
              <w:rPr>
                <w:rFonts w:hint="default" w:ascii="Times New Roman" w:hAnsi="Times New Roman" w:eastAsia="宋体" w:cs="Times New Roman"/>
                <w:color w:val="000000" w:themeColor="text1"/>
                <w:sz w:val="24"/>
                <w:szCs w:val="24"/>
                <w:highlight w:val="none"/>
                <w:lang w:val="zh-CN" w:bidi="zh-CN"/>
                <w14:textFill>
                  <w14:solidFill>
                    <w14:schemeClr w14:val="tx1"/>
                  </w14:solidFill>
                </w14:textFill>
              </w:rPr>
              <w:t>日常检修</w:t>
            </w:r>
            <w:r>
              <w:rPr>
                <w:rFonts w:hint="eastAsia" w:cs="Times New Roman"/>
                <w:color w:val="000000" w:themeColor="text1"/>
                <w:sz w:val="24"/>
                <w:szCs w:val="24"/>
                <w:highlight w:val="none"/>
                <w:lang w:val="zh-CN" w:bidi="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bidi="zh-CN"/>
                <w14:textFill>
                  <w14:solidFill>
                    <w14:schemeClr w14:val="tx1"/>
                  </w14:solidFill>
                </w14:textFill>
              </w:rPr>
              <w:t>降低</w:t>
            </w:r>
            <w:r>
              <w:rPr>
                <w:rFonts w:hint="default" w:ascii="Times New Roman" w:hAnsi="Times New Roman" w:eastAsia="宋体" w:cs="Times New Roman"/>
                <w:color w:val="000000" w:themeColor="text1"/>
                <w:sz w:val="24"/>
                <w:szCs w:val="24"/>
                <w:highlight w:val="none"/>
                <w:lang w:val="zh-CN" w:bidi="zh-CN"/>
                <w14:textFill>
                  <w14:solidFill>
                    <w14:schemeClr w14:val="tx1"/>
                  </w14:solidFill>
                </w14:textFill>
              </w:rPr>
              <w:t>活性炭吸附设备</w:t>
            </w:r>
            <w:r>
              <w:rPr>
                <w:rFonts w:hint="default" w:ascii="Times New Roman" w:hAnsi="Times New Roman" w:eastAsia="宋体" w:cs="Times New Roman"/>
                <w:color w:val="000000" w:themeColor="text1"/>
                <w:sz w:val="24"/>
                <w:szCs w:val="24"/>
                <w:highlight w:val="none"/>
                <w:lang w:val="en-US" w:bidi="zh-CN"/>
                <w14:textFill>
                  <w14:solidFill>
                    <w14:schemeClr w14:val="tx1"/>
                  </w14:solidFill>
                </w14:textFill>
              </w:rPr>
              <w:t>的</w:t>
            </w:r>
            <w:r>
              <w:rPr>
                <w:rFonts w:hint="default" w:ascii="Times New Roman" w:hAnsi="Times New Roman" w:eastAsia="宋体" w:cs="Times New Roman"/>
                <w:color w:val="000000" w:themeColor="text1"/>
                <w:sz w:val="24"/>
                <w:szCs w:val="24"/>
                <w:highlight w:val="none"/>
                <w:lang w:val="zh-CN" w:bidi="zh-CN"/>
                <w14:textFill>
                  <w14:solidFill>
                    <w14:schemeClr w14:val="tx1"/>
                  </w14:solidFill>
                </w14:textFill>
              </w:rPr>
              <w:t>故障概</w:t>
            </w:r>
            <w:r>
              <w:rPr>
                <w:rFonts w:hint="default" w:ascii="Times New Roman" w:hAnsi="Times New Roman" w:eastAsia="宋体" w:cs="Times New Roman"/>
                <w:sz w:val="24"/>
                <w:szCs w:val="24"/>
                <w:highlight w:val="none"/>
                <w:lang w:val="zh-CN" w:bidi="zh-CN"/>
              </w:rPr>
              <w:t>率。</w:t>
            </w:r>
            <w:r>
              <w:rPr>
                <w:rFonts w:hint="default" w:ascii="Times New Roman" w:hAnsi="Times New Roman" w:eastAsia="宋体" w:cs="Times New Roman"/>
                <w:highlight w:val="none"/>
                <w:lang w:val="en-US" w:eastAsia="zh-CN"/>
              </w:rPr>
              <w:t>在发生非正常工况时</w:t>
            </w:r>
            <w:r>
              <w:rPr>
                <w:rFonts w:hint="eastAsia" w:cs="Times New Roman"/>
                <w:sz w:val="24"/>
                <w:szCs w:val="24"/>
                <w:highlight w:val="none"/>
                <w:lang w:val="zh-CN" w:bidi="zh-CN"/>
              </w:rPr>
              <w:t>，</w:t>
            </w:r>
            <w:r>
              <w:rPr>
                <w:rFonts w:hint="default" w:ascii="Times New Roman" w:hAnsi="Times New Roman" w:eastAsia="宋体" w:cs="Times New Roman"/>
                <w:sz w:val="24"/>
                <w:szCs w:val="24"/>
                <w:highlight w:val="none"/>
                <w:lang w:val="zh-CN" w:bidi="zh-CN"/>
              </w:rPr>
              <w:t>应及时停止生产系统的运行</w:t>
            </w:r>
            <w:r>
              <w:rPr>
                <w:rFonts w:hint="eastAsia" w:cs="Times New Roman"/>
                <w:sz w:val="24"/>
                <w:szCs w:val="24"/>
                <w:highlight w:val="none"/>
                <w:lang w:val="zh-CN" w:bidi="zh-CN"/>
              </w:rPr>
              <w:t>，</w:t>
            </w:r>
            <w:r>
              <w:rPr>
                <w:rFonts w:hint="default" w:ascii="Times New Roman" w:hAnsi="Times New Roman" w:eastAsia="宋体" w:cs="Times New Roman"/>
                <w:highlight w:val="none"/>
                <w:lang w:val="en-US" w:eastAsia="zh-CN"/>
              </w:rPr>
              <w:t>切断污染源</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及时进行维修</w:t>
            </w:r>
            <w:r>
              <w:rPr>
                <w:rFonts w:hint="default" w:ascii="Times New Roman" w:hAnsi="Times New Roman" w:eastAsia="宋体" w:cs="Times New Roman"/>
                <w:sz w:val="24"/>
                <w:szCs w:val="24"/>
                <w:highlight w:val="none"/>
                <w:lang w:val="en-US" w:bidi="zh-CN"/>
              </w:rPr>
              <w:t>或者</w:t>
            </w:r>
            <w:r>
              <w:rPr>
                <w:rFonts w:hint="default" w:ascii="Times New Roman" w:hAnsi="Times New Roman" w:eastAsia="宋体" w:cs="Times New Roman"/>
                <w:sz w:val="24"/>
                <w:szCs w:val="24"/>
                <w:highlight w:val="none"/>
                <w:lang w:val="zh-CN" w:bidi="zh-CN"/>
              </w:rPr>
              <w:t>更换维修废气处理设施</w:t>
            </w:r>
            <w:r>
              <w:rPr>
                <w:rFonts w:hint="eastAsia" w:cs="Times New Roman"/>
                <w:sz w:val="24"/>
                <w:szCs w:val="24"/>
                <w:highlight w:val="none"/>
                <w:lang w:val="zh-CN" w:bidi="zh-CN"/>
              </w:rPr>
              <w:t>，</w:t>
            </w:r>
            <w:r>
              <w:rPr>
                <w:rFonts w:hint="default" w:ascii="Times New Roman" w:hAnsi="Times New Roman" w:eastAsia="宋体" w:cs="Times New Roman"/>
                <w:sz w:val="24"/>
                <w:szCs w:val="24"/>
                <w:highlight w:val="none"/>
                <w:lang w:val="zh-CN" w:bidi="zh-CN"/>
              </w:rPr>
              <w:t>确保“活性炭吸附装置”正常后方可复产。为了进一步降低生产废气排放对周围环境空气的影响</w:t>
            </w:r>
            <w:r>
              <w:rPr>
                <w:rFonts w:hint="eastAsia" w:cs="Times New Roman"/>
                <w:sz w:val="24"/>
                <w:szCs w:val="24"/>
                <w:highlight w:val="none"/>
                <w:lang w:val="zh-CN" w:bidi="zh-CN"/>
              </w:rPr>
              <w:t>，</w:t>
            </w:r>
            <w:r>
              <w:rPr>
                <w:rFonts w:hint="default" w:ascii="Times New Roman" w:hAnsi="Times New Roman" w:eastAsia="宋体" w:cs="Times New Roman"/>
                <w:sz w:val="24"/>
                <w:szCs w:val="24"/>
                <w:highlight w:val="none"/>
                <w:lang w:val="zh-CN" w:bidi="zh-CN"/>
              </w:rPr>
              <w:t>必须杜绝项目废气的非正常排放</w:t>
            </w:r>
            <w:r>
              <w:rPr>
                <w:rFonts w:hint="eastAsia" w:cs="Times New Roman"/>
                <w:sz w:val="24"/>
                <w:szCs w:val="24"/>
                <w:highlight w:val="none"/>
                <w:lang w:val="zh-CN" w:bidi="zh-CN"/>
              </w:rPr>
              <w:t>，</w:t>
            </w:r>
            <w:r>
              <w:rPr>
                <w:rFonts w:hint="default" w:ascii="Times New Roman" w:hAnsi="Times New Roman" w:eastAsia="宋体" w:cs="Times New Roman"/>
                <w:sz w:val="24"/>
                <w:szCs w:val="24"/>
                <w:highlight w:val="none"/>
                <w:lang w:val="zh-CN" w:bidi="zh-CN"/>
              </w:rPr>
              <w:t>本次评价提出以下建议措施：</w:t>
            </w:r>
          </w:p>
          <w:p>
            <w:pPr>
              <w:pStyle w:val="12"/>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80" w:firstLineChars="200"/>
              <w:textAlignment w:val="auto"/>
              <w:rPr>
                <w:rFonts w:hint="default" w:ascii="Times New Roman" w:hAnsi="Times New Roman" w:eastAsia="宋体" w:cs="Times New Roman"/>
                <w:sz w:val="24"/>
                <w:szCs w:val="24"/>
                <w:highlight w:val="none"/>
                <w:lang w:val="zh-CN" w:bidi="zh-CN"/>
              </w:rPr>
            </w:pPr>
            <w:r>
              <w:rPr>
                <w:rFonts w:hint="default" w:ascii="Times New Roman" w:hAnsi="Times New Roman" w:eastAsia="宋体" w:cs="Times New Roman"/>
                <w:sz w:val="24"/>
                <w:szCs w:val="24"/>
                <w:highlight w:val="none"/>
                <w:lang w:val="zh-CN" w:bidi="zh-CN"/>
              </w:rPr>
              <w:t>加强管理</w:t>
            </w:r>
            <w:r>
              <w:rPr>
                <w:rFonts w:hint="eastAsia" w:cs="Times New Roman"/>
                <w:sz w:val="24"/>
                <w:szCs w:val="24"/>
                <w:highlight w:val="none"/>
                <w:lang w:val="zh-CN" w:bidi="zh-CN"/>
              </w:rPr>
              <w:t>，</w:t>
            </w:r>
            <w:r>
              <w:rPr>
                <w:rFonts w:hint="default" w:ascii="Times New Roman" w:hAnsi="Times New Roman" w:eastAsia="宋体" w:cs="Times New Roman"/>
                <w:sz w:val="24"/>
                <w:szCs w:val="24"/>
                <w:highlight w:val="none"/>
                <w:lang w:val="zh-CN" w:bidi="zh-CN"/>
              </w:rPr>
              <w:t>明确岗位责任制</w:t>
            </w:r>
            <w:r>
              <w:rPr>
                <w:rFonts w:hint="eastAsia" w:cs="Times New Roman"/>
                <w:sz w:val="24"/>
                <w:szCs w:val="24"/>
                <w:highlight w:val="none"/>
                <w:lang w:val="zh-CN" w:bidi="zh-CN"/>
              </w:rPr>
              <w:t>，</w:t>
            </w:r>
            <w:r>
              <w:rPr>
                <w:rFonts w:hint="default" w:ascii="Times New Roman" w:hAnsi="Times New Roman" w:eastAsia="宋体" w:cs="Times New Roman"/>
                <w:sz w:val="24"/>
                <w:szCs w:val="24"/>
                <w:highlight w:val="none"/>
                <w:lang w:val="zh-CN" w:bidi="zh-CN"/>
              </w:rPr>
              <w:t>定期检查、维修、保养设备及构件</w:t>
            </w:r>
            <w:r>
              <w:rPr>
                <w:rFonts w:hint="eastAsia" w:cs="Times New Roman"/>
                <w:sz w:val="24"/>
                <w:szCs w:val="24"/>
                <w:highlight w:val="none"/>
                <w:lang w:val="zh-CN" w:bidi="zh-CN"/>
              </w:rPr>
              <w:t>，</w:t>
            </w:r>
            <w:r>
              <w:rPr>
                <w:rFonts w:hint="default" w:ascii="Times New Roman" w:hAnsi="Times New Roman" w:eastAsia="宋体" w:cs="Times New Roman"/>
                <w:sz w:val="24"/>
                <w:szCs w:val="24"/>
                <w:highlight w:val="none"/>
                <w:lang w:val="zh-CN" w:bidi="zh-CN"/>
              </w:rPr>
              <w:t>确保各种工艺、电器、设备的正常运转。若出现非正常情况</w:t>
            </w:r>
            <w:r>
              <w:rPr>
                <w:rFonts w:hint="eastAsia" w:cs="Times New Roman"/>
                <w:sz w:val="24"/>
                <w:szCs w:val="24"/>
                <w:highlight w:val="none"/>
                <w:lang w:val="zh-CN" w:bidi="zh-CN"/>
              </w:rPr>
              <w:t>，</w:t>
            </w:r>
            <w:r>
              <w:rPr>
                <w:rFonts w:hint="default" w:ascii="Times New Roman" w:hAnsi="Times New Roman" w:eastAsia="宋体" w:cs="Times New Roman"/>
                <w:sz w:val="24"/>
                <w:szCs w:val="24"/>
                <w:highlight w:val="none"/>
                <w:lang w:val="zh-CN" w:bidi="zh-CN"/>
              </w:rPr>
              <w:t>应及时停产维修</w:t>
            </w:r>
            <w:r>
              <w:rPr>
                <w:rFonts w:hint="eastAsia" w:cs="Times New Roman"/>
                <w:sz w:val="24"/>
                <w:szCs w:val="24"/>
                <w:highlight w:val="none"/>
                <w:lang w:val="zh-CN" w:bidi="zh-CN"/>
              </w:rPr>
              <w:t>，</w:t>
            </w:r>
            <w:r>
              <w:rPr>
                <w:rFonts w:hint="default" w:ascii="Times New Roman" w:hAnsi="Times New Roman" w:eastAsia="宋体" w:cs="Times New Roman"/>
                <w:sz w:val="24"/>
                <w:szCs w:val="24"/>
                <w:highlight w:val="none"/>
                <w:lang w:val="zh-CN" w:bidi="zh-CN"/>
              </w:rPr>
              <w:t>减少废气对大气环境的影响</w:t>
            </w:r>
          </w:p>
          <w:bookmarkEnd w:id="29"/>
          <w:bookmarkEnd w:id="30"/>
          <w:p>
            <w:pPr>
              <w:pStyle w:val="50"/>
              <w:ind w:firstLine="482"/>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排放口基本情况</w:t>
            </w:r>
          </w:p>
          <w:p>
            <w:pPr>
              <w:pStyle w:val="50"/>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项目排放口基本情况见下表4-</w:t>
            </w:r>
            <w:r>
              <w:rPr>
                <w:rFonts w:hint="eastAsia" w:cs="Times New Roman"/>
                <w:color w:val="000000" w:themeColor="text1"/>
                <w:lang w:val="en-US" w:eastAsia="zh-CN"/>
                <w14:textFill>
                  <w14:solidFill>
                    <w14:schemeClr w14:val="tx1"/>
                  </w14:solidFill>
                </w14:textFill>
              </w:rPr>
              <w:t>7</w:t>
            </w:r>
            <w:r>
              <w:rPr>
                <w:rFonts w:hint="default" w:ascii="Times New Roman" w:hAnsi="Times New Roman" w:eastAsia="宋体" w:cs="Times New Roman"/>
                <w:color w:val="000000" w:themeColor="text1"/>
                <w14:textFill>
                  <w14:solidFill>
                    <w14:schemeClr w14:val="tx1"/>
                  </w14:solidFill>
                </w14:textFill>
              </w:rPr>
              <w:t>。</w:t>
            </w:r>
          </w:p>
          <w:p>
            <w:pPr>
              <w:pStyle w:val="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7</w:t>
            </w:r>
            <w:r>
              <w:rPr>
                <w:rFonts w:hint="default" w:ascii="Times New Roman" w:hAnsi="Times New Roman" w:eastAsia="宋体" w:cs="Times New Roman"/>
                <w:color w:val="000000" w:themeColor="text1"/>
                <w14:textFill>
                  <w14:solidFill>
                    <w14:schemeClr w14:val="tx1"/>
                  </w14:solidFill>
                </w14:textFill>
              </w:rPr>
              <w:t xml:space="preserve"> 排放口基本情况表</w:t>
            </w:r>
          </w:p>
          <w:tbl>
            <w:tblPr>
              <w:tblStyle w:val="2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524"/>
              <w:gridCol w:w="1766"/>
              <w:gridCol w:w="787"/>
              <w:gridCol w:w="1040"/>
              <w:gridCol w:w="78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62" w:type="pct"/>
                  <w:vMerge w:val="restar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排气筒编号及名称</w:t>
                  </w:r>
                </w:p>
              </w:tc>
              <w:tc>
                <w:tcPr>
                  <w:tcW w:w="1962" w:type="pct"/>
                  <w:gridSpan w:val="2"/>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地理坐标</w:t>
                  </w:r>
                </w:p>
              </w:tc>
              <w:tc>
                <w:tcPr>
                  <w:tcW w:w="469" w:type="pct"/>
                  <w:vMerge w:val="restar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高度（m）</w:t>
                  </w:r>
                </w:p>
              </w:tc>
              <w:tc>
                <w:tcPr>
                  <w:tcW w:w="620" w:type="pct"/>
                  <w:vMerge w:val="restar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排气筒内径（m）</w:t>
                  </w:r>
                </w:p>
              </w:tc>
              <w:tc>
                <w:tcPr>
                  <w:tcW w:w="470" w:type="pct"/>
                  <w:vMerge w:val="restar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温度（℃）</w:t>
                  </w:r>
                </w:p>
              </w:tc>
              <w:tc>
                <w:tcPr>
                  <w:tcW w:w="815" w:type="pct"/>
                  <w:vMerge w:val="restar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62" w:type="pct"/>
                  <w:vMerge w:val="continue"/>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p>
              </w:tc>
              <w:tc>
                <w:tcPr>
                  <w:tcW w:w="909"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经度（度）</w:t>
                  </w:r>
                </w:p>
              </w:tc>
              <w:tc>
                <w:tcPr>
                  <w:tcW w:w="1053"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纬度（度）</w:t>
                  </w:r>
                </w:p>
              </w:tc>
              <w:tc>
                <w:tcPr>
                  <w:tcW w:w="469" w:type="pct"/>
                  <w:vMerge w:val="continue"/>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p>
              </w:tc>
              <w:tc>
                <w:tcPr>
                  <w:tcW w:w="620" w:type="pct"/>
                  <w:vMerge w:val="continue"/>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p>
              </w:tc>
              <w:tc>
                <w:tcPr>
                  <w:tcW w:w="470" w:type="pct"/>
                  <w:vMerge w:val="continue"/>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p>
              </w:tc>
              <w:tc>
                <w:tcPr>
                  <w:tcW w:w="815" w:type="pct"/>
                  <w:vMerge w:val="continue"/>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2" w:type="pct"/>
                  <w:vAlign w:val="center"/>
                </w:tcPr>
                <w:p>
                  <w:pPr>
                    <w:pStyle w:val="49"/>
                    <w:spacing w:before="24" w:after="24"/>
                    <w:rPr>
                      <w:rFonts w:hint="default" w:ascii="Times New Roman" w:hAnsi="Times New Roman" w:eastAsia="宋体" w:cs="Times New Roman"/>
                      <w:color w:val="auto"/>
                    </w:rPr>
                  </w:pPr>
                  <w:r>
                    <w:rPr>
                      <w:rFonts w:hint="default" w:ascii="Times New Roman" w:hAnsi="Times New Roman" w:eastAsia="宋体" w:cs="Times New Roman"/>
                      <w:color w:val="auto"/>
                    </w:rPr>
                    <w:t>DA001</w:t>
                  </w:r>
                </w:p>
              </w:tc>
              <w:tc>
                <w:tcPr>
                  <w:tcW w:w="909" w:type="pct"/>
                  <w:vAlign w:val="center"/>
                </w:tcPr>
                <w:p>
                  <w:pPr>
                    <w:pStyle w:val="45"/>
                    <w:autoSpaceDE w:val="0"/>
                    <w:autoSpaceDN w:val="0"/>
                    <w:spacing w:line="240" w:lineRule="atLeast"/>
                    <w:rPr>
                      <w:rFonts w:hint="default" w:ascii="Times New Roman" w:hAnsi="Times New Roman" w:eastAsia="宋体" w:cs="Times New Roman"/>
                      <w:color w:val="auto"/>
                    </w:rPr>
                  </w:pPr>
                  <w:r>
                    <w:rPr>
                      <w:rFonts w:hint="default" w:ascii="Times New Roman" w:hAnsi="Times New Roman" w:eastAsia="宋体" w:cs="Times New Roman"/>
                      <w:bCs/>
                      <w:color w:val="auto"/>
                      <w:szCs w:val="21"/>
                      <w:lang w:val="en-US"/>
                    </w:rPr>
                    <w:t>24</w:t>
                  </w:r>
                  <w:r>
                    <w:rPr>
                      <w:rFonts w:hint="default" w:ascii="Times New Roman" w:hAnsi="Times New Roman" w:eastAsia="宋体" w:cs="Times New Roman"/>
                      <w:color w:val="auto"/>
                      <w:szCs w:val="21"/>
                    </w:rPr>
                    <w:t>°</w:t>
                  </w:r>
                  <w:r>
                    <w:rPr>
                      <w:rFonts w:hint="default" w:ascii="Times New Roman" w:hAnsi="Times New Roman" w:eastAsia="宋体" w:cs="Times New Roman"/>
                      <w:bCs/>
                      <w:color w:val="auto"/>
                      <w:szCs w:val="21"/>
                      <w:lang w:val="en-US"/>
                    </w:rPr>
                    <w:t>41</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rPr>
                    <w:t>41.87</w:t>
                  </w:r>
                  <w:r>
                    <w:rPr>
                      <w:rFonts w:hint="eastAsia" w:ascii="Times New Roman" w:hAnsi="Times New Roman" w:cs="Times New Roman"/>
                      <w:color w:val="auto"/>
                      <w:szCs w:val="21"/>
                      <w:lang w:val="en-US" w:eastAsia="zh-CN"/>
                    </w:rPr>
                    <w:t>5</w:t>
                  </w:r>
                  <w:r>
                    <w:rPr>
                      <w:rFonts w:hint="default" w:ascii="Times New Roman" w:hAnsi="Times New Roman" w:eastAsia="宋体" w:cs="Times New Roman"/>
                      <w:color w:val="auto"/>
                      <w:szCs w:val="21"/>
                    </w:rPr>
                    <w:t>″</w:t>
                  </w:r>
                </w:p>
              </w:tc>
              <w:tc>
                <w:tcPr>
                  <w:tcW w:w="1053" w:type="pct"/>
                  <w:vAlign w:val="center"/>
                </w:tcPr>
                <w:p>
                  <w:pPr>
                    <w:pStyle w:val="45"/>
                    <w:autoSpaceDE w:val="0"/>
                    <w:autoSpaceDN w:val="0"/>
                    <w:spacing w:line="240" w:lineRule="atLeast"/>
                    <w:rPr>
                      <w:rFonts w:hint="default" w:ascii="Times New Roman" w:hAnsi="Times New Roman" w:eastAsia="宋体" w:cs="Times New Roman"/>
                      <w:color w:val="auto"/>
                    </w:rPr>
                  </w:pPr>
                  <w:r>
                    <w:rPr>
                      <w:rFonts w:hint="default" w:ascii="Times New Roman" w:hAnsi="Times New Roman" w:eastAsia="宋体" w:cs="Times New Roman"/>
                      <w:bCs/>
                      <w:color w:val="auto"/>
                      <w:szCs w:val="21"/>
                      <w:lang w:val="en-US"/>
                    </w:rPr>
                    <w:t>102</w:t>
                  </w:r>
                  <w:r>
                    <w:rPr>
                      <w:rFonts w:hint="default" w:ascii="Times New Roman" w:hAnsi="Times New Roman" w:eastAsia="宋体" w:cs="Times New Roman"/>
                      <w:color w:val="auto"/>
                      <w:szCs w:val="21"/>
                    </w:rPr>
                    <w:t>°</w:t>
                  </w:r>
                  <w:r>
                    <w:rPr>
                      <w:rFonts w:hint="default" w:ascii="Times New Roman" w:hAnsi="Times New Roman" w:eastAsia="宋体" w:cs="Times New Roman"/>
                      <w:bCs/>
                      <w:color w:val="auto"/>
                      <w:szCs w:val="21"/>
                      <w:lang w:val="en-US"/>
                    </w:rPr>
                    <w:t>30</w:t>
                  </w:r>
                  <w:r>
                    <w:rPr>
                      <w:rFonts w:hint="default" w:ascii="Times New Roman" w:hAnsi="Times New Roman" w:eastAsia="宋体" w:cs="Times New Roman"/>
                      <w:color w:val="auto"/>
                      <w:szCs w:val="21"/>
                    </w:rPr>
                    <w:t>′</w:t>
                  </w:r>
                  <w:r>
                    <w:rPr>
                      <w:rFonts w:hint="default" w:ascii="Times New Roman" w:hAnsi="Times New Roman" w:eastAsia="宋体" w:cs="Times New Roman"/>
                      <w:bCs/>
                      <w:color w:val="auto"/>
                      <w:szCs w:val="21"/>
                      <w:lang w:val="en-US"/>
                    </w:rPr>
                    <w:t>50.238</w:t>
                  </w:r>
                  <w:r>
                    <w:rPr>
                      <w:rFonts w:hint="default" w:ascii="Times New Roman" w:hAnsi="Times New Roman" w:eastAsia="宋体" w:cs="Times New Roman"/>
                      <w:color w:val="auto"/>
                      <w:szCs w:val="21"/>
                    </w:rPr>
                    <w:t>″</w:t>
                  </w:r>
                </w:p>
              </w:tc>
              <w:tc>
                <w:tcPr>
                  <w:tcW w:w="469"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15</w:t>
                  </w:r>
                </w:p>
              </w:tc>
              <w:tc>
                <w:tcPr>
                  <w:tcW w:w="620" w:type="pct"/>
                  <w:vAlign w:val="center"/>
                </w:tcPr>
                <w:p>
                  <w:pPr>
                    <w:pStyle w:val="49"/>
                    <w:spacing w:before="24" w:after="24"/>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w:t>
                  </w:r>
                </w:p>
              </w:tc>
              <w:tc>
                <w:tcPr>
                  <w:tcW w:w="470" w:type="pct"/>
                  <w:vAlign w:val="center"/>
                </w:tcPr>
                <w:p>
                  <w:pPr>
                    <w:pStyle w:val="49"/>
                    <w:spacing w:before="24" w:after="24"/>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45</w:t>
                  </w:r>
                </w:p>
              </w:tc>
              <w:tc>
                <w:tcPr>
                  <w:tcW w:w="815"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一般排放口</w:t>
                  </w:r>
                </w:p>
              </w:tc>
            </w:tr>
          </w:tbl>
          <w:p>
            <w:pPr>
              <w:pStyle w:val="50"/>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6</w:t>
            </w:r>
            <w:r>
              <w:rPr>
                <w:rFonts w:hint="default" w:ascii="Times New Roman" w:hAnsi="Times New Roman" w:eastAsia="宋体" w:cs="Times New Roman"/>
                <w:b/>
                <w:bCs/>
                <w:color w:val="000000" w:themeColor="text1"/>
                <w:lang w:val="en-US" w:eastAsia="zh-CN"/>
                <w14:textFill>
                  <w14:solidFill>
                    <w14:schemeClr w14:val="tx1"/>
                  </w14:solidFill>
                </w14:textFill>
              </w:rPr>
              <w:t>）</w:t>
            </w:r>
            <w:r>
              <w:rPr>
                <w:rFonts w:hint="default" w:ascii="Times New Roman" w:hAnsi="Times New Roman" w:eastAsia="宋体" w:cs="Times New Roman"/>
                <w:b/>
                <w:bCs/>
                <w:color w:val="000000" w:themeColor="text1"/>
                <w14:textFill>
                  <w14:solidFill>
                    <w14:schemeClr w14:val="tx1"/>
                  </w14:solidFill>
                </w14:textFill>
              </w:rPr>
              <w:t>监测要求</w:t>
            </w:r>
          </w:p>
          <w:p>
            <w:pPr>
              <w:pStyle w:val="50"/>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根据《排污单位自行监测技术指南总则》（HJ819-2017）制定本次监测计划</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监测计划如下4-</w:t>
            </w:r>
            <w:r>
              <w:rPr>
                <w:rFonts w:hint="eastAsia"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14:textFill>
                  <w14:solidFill>
                    <w14:schemeClr w14:val="tx1"/>
                  </w14:solidFill>
                </w14:textFill>
              </w:rPr>
              <w:t>。</w:t>
            </w:r>
          </w:p>
          <w:p>
            <w:pPr>
              <w:pStyle w:val="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14:textFill>
                  <w14:solidFill>
                    <w14:schemeClr w14:val="tx1"/>
                  </w14:solidFill>
                </w14:textFill>
              </w:rPr>
              <w:t xml:space="preserve"> 运营期大气环境监测计划表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2003"/>
              <w:gridCol w:w="1636"/>
              <w:gridCol w:w="856"/>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19"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w:t>
                  </w:r>
                </w:p>
              </w:tc>
              <w:tc>
                <w:tcPr>
                  <w:tcW w:w="1194"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监测点位</w:t>
                  </w:r>
                </w:p>
              </w:tc>
              <w:tc>
                <w:tcPr>
                  <w:tcW w:w="975"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监测项目</w:t>
                  </w:r>
                </w:p>
              </w:tc>
              <w:tc>
                <w:tcPr>
                  <w:tcW w:w="510"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监测频次</w:t>
                  </w:r>
                </w:p>
              </w:tc>
              <w:tc>
                <w:tcPr>
                  <w:tcW w:w="1800"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4" w:hRule="atLeast"/>
                <w:jc w:val="center"/>
              </w:trPr>
              <w:tc>
                <w:tcPr>
                  <w:tcW w:w="519"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w:t>
                  </w:r>
                  <w:r>
                    <w:rPr>
                      <w:rFonts w:hint="default" w:ascii="Times New Roman" w:hAnsi="Times New Roman" w:eastAsia="宋体" w:cs="Times New Roman"/>
                      <w:color w:val="000000" w:themeColor="text1"/>
                      <w:lang w:val="en-US" w:eastAsia="zh-CN"/>
                      <w14:textFill>
                        <w14:solidFill>
                          <w14:schemeClr w14:val="tx1"/>
                        </w14:solidFill>
                      </w14:textFill>
                    </w:rPr>
                    <w:t>界</w:t>
                  </w:r>
                  <w:r>
                    <w:rPr>
                      <w:rFonts w:hint="default" w:ascii="Times New Roman" w:hAnsi="Times New Roman" w:eastAsia="宋体" w:cs="Times New Roman"/>
                      <w:color w:val="000000" w:themeColor="text1"/>
                      <w14:textFill>
                        <w14:solidFill>
                          <w14:schemeClr w14:val="tx1"/>
                        </w14:solidFill>
                      </w14:textFill>
                    </w:rPr>
                    <w:t xml:space="preserve">无组织废气 </w:t>
                  </w:r>
                </w:p>
              </w:tc>
              <w:tc>
                <w:tcPr>
                  <w:tcW w:w="1194"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在厂界上风向20m处设1个参照点</w:t>
                  </w:r>
                  <w:r>
                    <w:rPr>
                      <w:rFonts w:hint="eastAsia" w:ascii="Times New Roman"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厂界下风向设3个监测点</w:t>
                  </w:r>
                </w:p>
              </w:tc>
              <w:tc>
                <w:tcPr>
                  <w:tcW w:w="975"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挥发性有机物（以非甲烷总烃计）</w:t>
                  </w:r>
                </w:p>
              </w:tc>
              <w:tc>
                <w:tcPr>
                  <w:tcW w:w="510"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每年监测一次</w:t>
                  </w:r>
                </w:p>
              </w:tc>
              <w:tc>
                <w:tcPr>
                  <w:tcW w:w="1800"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执行GB16297-1996《大气污染物综合排放标准》（表2）二级排放标准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厂区内无组织挥发性有机物</w:t>
                  </w:r>
                </w:p>
              </w:tc>
              <w:tc>
                <w:tcPr>
                  <w:tcW w:w="1194"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厂房门窗距离地面1.5m以上位置处进行监测1个点</w:t>
                  </w:r>
                  <w:r>
                    <w:rPr>
                      <w:rFonts w:hint="eastAsia" w:ascii="Times New Roman"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共1个监测点位</w:t>
                  </w:r>
                </w:p>
              </w:tc>
              <w:tc>
                <w:tcPr>
                  <w:tcW w:w="975"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挥发性有机物</w:t>
                  </w:r>
                </w:p>
              </w:tc>
              <w:tc>
                <w:tcPr>
                  <w:tcW w:w="510"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每年监测一次</w:t>
                  </w:r>
                </w:p>
              </w:tc>
              <w:tc>
                <w:tcPr>
                  <w:tcW w:w="1800"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《挥发性有机物无组织排放控制标准》（GB37822-2019）无组织排放限值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519"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 xml:space="preserve">有组织废气 </w:t>
                  </w:r>
                </w:p>
              </w:tc>
              <w:tc>
                <w:tcPr>
                  <w:tcW w:w="1194"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DA001排气筒</w:t>
                  </w:r>
                </w:p>
              </w:tc>
              <w:tc>
                <w:tcPr>
                  <w:tcW w:w="975" w:type="pct"/>
                  <w:vAlign w:val="center"/>
                </w:tcPr>
                <w:p>
                  <w:pPr>
                    <w:pStyle w:val="49"/>
                    <w:spacing w:before="24" w:after="24"/>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非甲烷总烃</w:t>
                  </w:r>
                </w:p>
              </w:tc>
              <w:tc>
                <w:tcPr>
                  <w:tcW w:w="510"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每年监测一次</w:t>
                  </w:r>
                </w:p>
              </w:tc>
              <w:tc>
                <w:tcPr>
                  <w:tcW w:w="1800" w:type="pct"/>
                  <w:vAlign w:val="center"/>
                </w:tcPr>
                <w:p>
                  <w:pPr>
                    <w:pStyle w:val="49"/>
                    <w:spacing w:before="24" w:after="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GB16297-1996《大气污染物综合排放标准》（表2）二级排放标准</w:t>
                  </w:r>
                </w:p>
              </w:tc>
            </w:tr>
          </w:tbl>
          <w:p>
            <w:pPr>
              <w:pStyle w:val="2"/>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eastAsia" w:ascii="Times New Roman" w:hAnsi="Times New Roman" w:cs="Times New Roman"/>
                <w:b/>
                <w:bCs/>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废水</w:t>
            </w:r>
          </w:p>
          <w:p>
            <w:pPr>
              <w:keepNext w:val="0"/>
              <w:keepLines w:val="0"/>
              <w:pageBreakBefore w:val="0"/>
              <w:widowControl w:val="0"/>
              <w:kinsoku/>
              <w:wordWrap/>
              <w:overflowPunct/>
              <w:topLinePunct w:val="0"/>
              <w:autoSpaceDE w:val="0"/>
              <w:autoSpaceDN w:val="0"/>
              <w:bidi w:val="0"/>
              <w:adjustRightInd/>
              <w:snapToGrid/>
              <w:spacing w:line="360" w:lineRule="auto"/>
              <w:ind w:firstLine="456" w:firstLineChars="200"/>
              <w:jc w:val="both"/>
              <w:textAlignment w:val="auto"/>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1、生产用水</w:t>
            </w:r>
          </w:p>
          <w:p>
            <w:pPr>
              <w:keepNext w:val="0"/>
              <w:keepLines w:val="0"/>
              <w:pageBreakBefore w:val="0"/>
              <w:widowControl w:val="0"/>
              <w:kinsoku/>
              <w:wordWrap/>
              <w:overflowPunct/>
              <w:topLinePunct w:val="0"/>
              <w:autoSpaceDE w:val="0"/>
              <w:autoSpaceDN w:val="0"/>
              <w:bidi w:val="0"/>
              <w:adjustRightInd/>
              <w:snapToGrid/>
              <w:spacing w:line="360" w:lineRule="auto"/>
              <w:ind w:firstLine="684" w:firstLineChars="300"/>
              <w:jc w:val="both"/>
              <w:textAlignment w:val="auto"/>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①AKD乳液稀释用水、纸用增强剂稀释用水、其他复配型造纸助剂（施胶剂、消泡剂、防水剂等）稀释用水。</w:t>
            </w:r>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本项目</w:t>
            </w:r>
            <w:r>
              <w:rPr>
                <w:rFonts w:hint="default" w:ascii="Times New Roman" w:hAnsi="Times New Roman" w:eastAsia="宋体" w:cs="Times New Roman"/>
                <w:sz w:val="24"/>
                <w:lang w:val="en-US" w:eastAsia="zh-CN"/>
              </w:rPr>
              <w:t>生产</w:t>
            </w:r>
            <w:r>
              <w:rPr>
                <w:rFonts w:hint="default" w:ascii="Times New Roman" w:hAnsi="Times New Roman" w:eastAsia="宋体" w:cs="Times New Roman"/>
                <w:sz w:val="24"/>
              </w:rPr>
              <w:t>工序</w:t>
            </w:r>
            <w:r>
              <w:rPr>
                <w:rFonts w:hint="default" w:ascii="Times New Roman" w:hAnsi="Times New Roman" w:eastAsia="宋体" w:cs="Times New Roman"/>
                <w:sz w:val="24"/>
                <w:lang w:val="en-US" w:eastAsia="zh-CN"/>
              </w:rPr>
              <w:t>需要</w:t>
            </w:r>
            <w:r>
              <w:rPr>
                <w:rFonts w:hint="default" w:ascii="Times New Roman" w:hAnsi="Times New Roman" w:eastAsia="宋体" w:cs="Times New Roman"/>
                <w:sz w:val="24"/>
              </w:rPr>
              <w:t>采用</w:t>
            </w:r>
            <w:r>
              <w:rPr>
                <w:rFonts w:hint="default" w:ascii="Times New Roman" w:hAnsi="Times New Roman" w:eastAsia="宋体" w:cs="Times New Roman"/>
                <w:sz w:val="24"/>
                <w:lang w:val="en-US" w:eastAsia="zh-CN"/>
              </w:rPr>
              <w:t>自来水作为</w:t>
            </w:r>
            <w:r>
              <w:rPr>
                <w:rFonts w:hint="default" w:ascii="Times New Roman" w:hAnsi="Times New Roman" w:eastAsia="宋体" w:cs="Times New Roman"/>
                <w:sz w:val="24"/>
              </w:rPr>
              <w:t>稀释剂</w:t>
            </w:r>
            <w:r>
              <w:rPr>
                <w:rFonts w:hint="eastAsia" w:cs="Times New Roman"/>
                <w:sz w:val="24"/>
                <w:lang w:eastAsia="zh-CN"/>
              </w:rPr>
              <w:t>，</w:t>
            </w:r>
            <w:r>
              <w:rPr>
                <w:rFonts w:hint="default" w:ascii="Times New Roman" w:hAnsi="Times New Roman" w:eastAsia="宋体" w:cs="Times New Roman"/>
                <w:sz w:val="24"/>
              </w:rPr>
              <w:t>根据业主提供的资料AKD乳液</w:t>
            </w:r>
            <w:r>
              <w:rPr>
                <w:rFonts w:hint="default" w:ascii="Times New Roman" w:hAnsi="Times New Roman" w:eastAsia="宋体" w:cs="Times New Roman"/>
                <w:sz w:val="24"/>
                <w:lang w:val="en-US" w:eastAsia="zh-CN"/>
              </w:rPr>
              <w:t>需要自来水</w:t>
            </w:r>
            <w:r>
              <w:rPr>
                <w:rFonts w:hint="default" w:ascii="Times New Roman" w:hAnsi="Times New Roman" w:eastAsia="宋体" w:cs="Times New Roman"/>
                <w:sz w:val="24"/>
              </w:rPr>
              <w:t>9000t/a、纸用增强剂</w:t>
            </w:r>
            <w:r>
              <w:rPr>
                <w:rFonts w:hint="default" w:ascii="Times New Roman" w:hAnsi="Times New Roman" w:eastAsia="宋体" w:cs="Times New Roman"/>
                <w:sz w:val="24"/>
                <w:lang w:val="en-US" w:eastAsia="zh-CN"/>
              </w:rPr>
              <w:t>需要自来水</w:t>
            </w:r>
            <w:r>
              <w:rPr>
                <w:rFonts w:hint="default" w:ascii="Times New Roman" w:hAnsi="Times New Roman" w:eastAsia="宋体" w:cs="Times New Roman"/>
                <w:sz w:val="24"/>
              </w:rPr>
              <w:t>3500t/a、其他复配型造纸助剂（施胶剂、消泡剂、防水剂等）</w:t>
            </w:r>
            <w:r>
              <w:rPr>
                <w:rFonts w:hint="default" w:ascii="Times New Roman" w:hAnsi="Times New Roman" w:eastAsia="宋体" w:cs="Times New Roman"/>
                <w:sz w:val="24"/>
                <w:lang w:val="en-US" w:eastAsia="zh-CN"/>
              </w:rPr>
              <w:t>需要自来水</w:t>
            </w:r>
            <w:r>
              <w:rPr>
                <w:rFonts w:hint="default" w:ascii="Times New Roman" w:hAnsi="Times New Roman" w:eastAsia="宋体" w:cs="Times New Roman"/>
                <w:sz w:val="24"/>
              </w:rPr>
              <w:t>450t/a</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则本项目</w:t>
            </w:r>
            <w:r>
              <w:rPr>
                <w:rFonts w:hint="default" w:ascii="Times New Roman" w:hAnsi="Times New Roman" w:eastAsia="宋体" w:cs="Times New Roman"/>
                <w:color w:val="000000" w:themeColor="text1"/>
                <w:kern w:val="0"/>
                <w:sz w:val="24"/>
                <w:lang w:eastAsia="zh-CN"/>
                <w14:textFill>
                  <w14:solidFill>
                    <w14:schemeClr w14:val="tx1"/>
                  </w14:solidFill>
                </w14:textFill>
              </w:rPr>
              <w:t>造纸添加剂</w:t>
            </w:r>
            <w:r>
              <w:rPr>
                <w:rFonts w:hint="default" w:ascii="Times New Roman" w:hAnsi="Times New Roman" w:eastAsia="宋体" w:cs="Times New Roman"/>
                <w:sz w:val="24"/>
                <w:lang w:val="en-US" w:eastAsia="zh-CN"/>
              </w:rPr>
              <w:t>一年共需要12950吨的自来水。</w:t>
            </w:r>
          </w:p>
          <w:p>
            <w:pPr>
              <w:keepNext w:val="0"/>
              <w:keepLines w:val="0"/>
              <w:pageBreakBefore w:val="0"/>
              <w:widowControl w:val="0"/>
              <w:kinsoku/>
              <w:wordWrap/>
              <w:overflowPunct/>
              <w:topLinePunct w:val="0"/>
              <w:autoSpaceDE w:val="0"/>
              <w:autoSpaceDN w:val="0"/>
              <w:bidi w:val="0"/>
              <w:adjustRightInd/>
              <w:snapToGrid/>
              <w:spacing w:line="360" w:lineRule="auto"/>
              <w:ind w:firstLine="684" w:firstLineChars="300"/>
              <w:jc w:val="both"/>
              <w:textAlignment w:val="auto"/>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②</w:t>
            </w:r>
            <w:r>
              <w:rPr>
                <w:rFonts w:hint="default" w:ascii="Times New Roman" w:hAnsi="Times New Roman" w:eastAsia="宋体" w:cs="Times New Roman"/>
                <w:color w:val="000000" w:themeColor="text1"/>
                <w:sz w:val="24"/>
                <w14:textFill>
                  <w14:solidFill>
                    <w14:schemeClr w14:val="tx1"/>
                  </w14:solidFill>
                </w14:textFill>
              </w:rPr>
              <w:t>AKD乳液</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产品间接冷却水</w:t>
            </w:r>
          </w:p>
          <w:p>
            <w:pPr>
              <w:pStyle w:val="7"/>
              <w:adjustRightInd/>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项目生产过程中</w:t>
            </w:r>
            <w:r>
              <w:rPr>
                <w:rFonts w:hint="default" w:ascii="Times New Roman" w:hAnsi="Times New Roman" w:eastAsia="宋体" w:cs="Times New Roman"/>
                <w:color w:val="000000" w:themeColor="text1"/>
                <w:sz w:val="24"/>
                <w:szCs w:val="24"/>
                <w:lang w:val="en-US" w:eastAsia="zh-CN" w:bidi="zh-CN"/>
                <w14:textFill>
                  <w14:solidFill>
                    <w14:schemeClr w14:val="tx1"/>
                  </w14:solidFill>
                </w14:textFill>
              </w:rPr>
              <w:t>需要冷却水对AKD乳液产品进行冷却降温</w:t>
            </w:r>
            <w:r>
              <w:rPr>
                <w:rFonts w:hint="eastAsia" w:ascii="Times New Roman" w:hAnsi="Times New Roman" w:cs="Times New Roman"/>
                <w:color w:val="000000" w:themeColor="text1"/>
                <w:sz w:val="24"/>
                <w:szCs w:val="24"/>
                <w:lang w:val="en-US" w:eastAsia="zh-CN" w:bidi="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bidi="zh-CN"/>
                <w14:textFill>
                  <w14:solidFill>
                    <w14:schemeClr w14:val="tx1"/>
                  </w14:solidFill>
                </w14:textFill>
              </w:rPr>
              <w:t>本项目采用1套冷却循环系统智能冷水机进行间接冷却</w:t>
            </w:r>
            <w:r>
              <w:rPr>
                <w:rFonts w:hint="eastAsia" w:ascii="Times New Roman" w:hAnsi="Times New Roman" w:cs="Times New Roman"/>
                <w:color w:val="000000" w:themeColor="text1"/>
                <w:sz w:val="24"/>
                <w:szCs w:val="24"/>
                <w:lang w:val="zh-CN" w:eastAsia="zh-CN" w:bidi="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bidi="zh-CN"/>
                <w14:textFill>
                  <w14:solidFill>
                    <w14:schemeClr w14:val="tx1"/>
                  </w14:solidFill>
                </w14:textFill>
              </w:rPr>
              <w:t>循环用水不外排</w:t>
            </w:r>
            <w:r>
              <w:rPr>
                <w:rFonts w:hint="eastAsia" w:ascii="Times New Roman" w:hAnsi="Times New Roman" w:cs="Times New Roman"/>
                <w:color w:val="000000" w:themeColor="text1"/>
                <w:sz w:val="24"/>
                <w:szCs w:val="24"/>
                <w:lang w:val="en-US" w:eastAsia="zh-CN" w:bidi="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bidi="zh-CN"/>
                <w14:textFill>
                  <w14:solidFill>
                    <w14:schemeClr w14:val="tx1"/>
                  </w14:solidFill>
                </w14:textFill>
              </w:rPr>
              <w:t>使用自来水定期补充。根据业主提供资料</w:t>
            </w:r>
            <w:r>
              <w:rPr>
                <w:rFonts w:hint="eastAsia" w:ascii="Times New Roman" w:hAnsi="Times New Roman" w:cs="Times New Roman"/>
                <w:color w:val="000000" w:themeColor="text1"/>
                <w:sz w:val="24"/>
                <w:szCs w:val="24"/>
                <w:lang w:val="en-US" w:eastAsia="zh-CN" w:bidi="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bidi="zh-CN"/>
                <w14:textFill>
                  <w14:solidFill>
                    <w14:schemeClr w14:val="tx1"/>
                  </w14:solidFill>
                </w14:textFill>
              </w:rPr>
              <w:t>冷却设备容积约为2m</w:t>
            </w:r>
            <w:r>
              <w:rPr>
                <w:rFonts w:hint="default" w:ascii="Times New Roman" w:hAnsi="Times New Roman" w:eastAsia="宋体" w:cs="Times New Roman"/>
                <w:color w:val="000000" w:themeColor="text1"/>
                <w:sz w:val="24"/>
                <w:szCs w:val="24"/>
                <w:vertAlign w:val="superscript"/>
                <w:lang w:val="en-US" w:eastAsia="zh-CN" w:bidi="zh-CN"/>
                <w14:textFill>
                  <w14:solidFill>
                    <w14:schemeClr w14:val="tx1"/>
                  </w14:solidFill>
                </w14:textFill>
              </w:rPr>
              <w:t>3</w:t>
            </w:r>
            <w:r>
              <w:rPr>
                <w:rFonts w:hint="eastAsia" w:ascii="Times New Roman" w:hAnsi="Times New Roman" w:cs="Times New Roman"/>
                <w:color w:val="000000" w:themeColor="text1"/>
                <w:sz w:val="24"/>
                <w:szCs w:val="24"/>
                <w:lang w:val="en-US" w:eastAsia="zh-CN" w:bidi="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冷却水在使用过程中会产生一定量的损耗</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每天需补充约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14:textFill>
                  <w14:solidFill>
                    <w14:schemeClr w14:val="tx1"/>
                  </w14:solidFill>
                </w14:textFill>
              </w:rPr>
              <w:t>%的</w:t>
            </w:r>
            <w:r>
              <w:rPr>
                <w:rFonts w:hint="default" w:ascii="Times New Roman" w:hAnsi="Times New Roman" w:eastAsia="宋体" w:cs="Times New Roman"/>
                <w:color w:val="000000" w:themeColor="text1"/>
                <w:sz w:val="24"/>
                <w:szCs w:val="24"/>
                <w14:textFill>
                  <w14:solidFill>
                    <w14:schemeClr w14:val="tx1"/>
                  </w14:solidFill>
                </w14:textFill>
              </w:rPr>
              <w:t>水</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则每日添加用水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0.1</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年生产300天</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则年补充</w:t>
            </w:r>
            <w:r>
              <w:rPr>
                <w:rFonts w:hint="default" w:ascii="Times New Roman" w:hAnsi="Times New Roman" w:eastAsia="宋体" w:cs="Times New Roman"/>
                <w:color w:val="000000" w:themeColor="text1"/>
                <w:sz w:val="24"/>
                <w:szCs w:val="24"/>
                <w14:textFill>
                  <w14:solidFill>
                    <w14:schemeClr w14:val="tx1"/>
                  </w14:solidFill>
                </w14:textFill>
              </w:rPr>
              <w:t>用水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56" w:firstLineChars="200"/>
              <w:jc w:val="both"/>
              <w:textAlignment w:val="auto"/>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③产品包装罐外表清洗废水</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本项目的产品为液体产品</w:t>
            </w:r>
            <w:r>
              <w:rPr>
                <w:rFonts w:hint="eastAsia" w:cs="Times New Roman"/>
                <w:color w:val="000000" w:themeColor="text1"/>
                <w:spacing w:val="-6"/>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根据客户需求</w:t>
            </w:r>
            <w:r>
              <w:rPr>
                <w:rFonts w:hint="eastAsia" w:cs="Times New Roman"/>
                <w:color w:val="000000" w:themeColor="text1"/>
                <w:spacing w:val="-6"/>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产品包装采用2t、1t、25kg的产品罐装</w:t>
            </w:r>
            <w:r>
              <w:rPr>
                <w:rFonts w:hint="eastAsia" w:cs="Times New Roman"/>
                <w:color w:val="000000" w:themeColor="text1"/>
                <w:spacing w:val="-6"/>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成品外售前需要采用高压水枪冲洗罐体表面</w:t>
            </w:r>
            <w:r>
              <w:rPr>
                <w:rFonts w:hint="default" w:ascii="Times New Roman" w:hAnsi="Times New Roman" w:eastAsia="宋体" w:cs="Times New Roman"/>
                <w:sz w:val="24"/>
              </w:rPr>
              <w:t>的灰尘等杂质</w:t>
            </w:r>
            <w:r>
              <w:rPr>
                <w:rFonts w:hint="eastAsia" w:cs="Times New Roman"/>
                <w:sz w:val="24"/>
                <w:lang w:eastAsia="zh-CN"/>
              </w:rPr>
              <w:t>，</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不添加任何清洗剂。每次冲洗水量约0.2</w:t>
            </w:r>
            <w:r>
              <w:rPr>
                <w:rFonts w:hint="default" w:ascii="Times New Roman" w:hAnsi="Times New Roman" w:eastAsia="宋体" w:cs="Times New Roman"/>
                <w:sz w:val="24"/>
                <w:szCs w:val="24"/>
                <w:lang w:val="en-US"/>
              </w:rPr>
              <w:t>m</w:t>
            </w:r>
            <w:r>
              <w:rPr>
                <w:rFonts w:hint="default" w:ascii="Times New Roman" w:hAnsi="Times New Roman" w:eastAsia="宋体" w:cs="Times New Roman"/>
                <w:sz w:val="24"/>
                <w:szCs w:val="24"/>
                <w:vertAlign w:val="superscript"/>
                <w:lang w:val="en-US"/>
              </w:rPr>
              <w:t>3</w:t>
            </w:r>
            <w:r>
              <w:rPr>
                <w:rFonts w:hint="default" w:ascii="Times New Roman" w:hAnsi="Times New Roman" w:eastAsia="宋体" w:cs="Times New Roman"/>
                <w:sz w:val="24"/>
                <w:szCs w:val="24"/>
                <w:lang w:val="en-US"/>
              </w:rPr>
              <w:t>/d</w:t>
            </w:r>
            <w:r>
              <w:rPr>
                <w:rFonts w:hint="eastAsia" w:cs="Times New Roman"/>
                <w:color w:val="000000" w:themeColor="text1"/>
                <w:spacing w:val="-6"/>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预计本项目需进行清洗的包装桶个数为5000个/年</w:t>
            </w:r>
            <w:r>
              <w:rPr>
                <w:rFonts w:hint="eastAsia" w:cs="Times New Roman"/>
                <w:color w:val="000000" w:themeColor="text1"/>
                <w:spacing w:val="-6"/>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则产品罐清洗用水量约为1000m</w:t>
            </w:r>
            <w:r>
              <w:rPr>
                <w:rFonts w:hint="default" w:ascii="Times New Roman" w:hAnsi="Times New Roman" w:eastAsia="宋体" w:cs="Times New Roman"/>
                <w:color w:val="000000" w:themeColor="text1"/>
                <w:spacing w:val="-6"/>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/a</w:t>
            </w:r>
            <w:r>
              <w:rPr>
                <w:rFonts w:hint="eastAsia" w:cs="Times New Roman"/>
                <w:color w:val="000000" w:themeColor="text1"/>
                <w:spacing w:val="-6"/>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3.33m</w:t>
            </w:r>
            <w:r>
              <w:rPr>
                <w:rFonts w:hint="default" w:ascii="Times New Roman" w:hAnsi="Times New Roman" w:eastAsia="宋体" w:cs="Times New Roman"/>
                <w:color w:val="000000" w:themeColor="text1"/>
                <w:spacing w:val="-6"/>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/d</w:t>
            </w:r>
            <w:r>
              <w:rPr>
                <w:rFonts w:hint="eastAsia" w:cs="Times New Roman"/>
                <w:color w:val="000000" w:themeColor="text1"/>
                <w:spacing w:val="-6"/>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清洗废水损耗系数按20%计算</w:t>
            </w:r>
            <w:r>
              <w:rPr>
                <w:rFonts w:hint="eastAsia" w:cs="Times New Roman"/>
                <w:color w:val="000000" w:themeColor="text1"/>
                <w:spacing w:val="-6"/>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则每天耗损的水量为0.6m</w:t>
            </w:r>
            <w:r>
              <w:rPr>
                <w:rFonts w:hint="default" w:ascii="Times New Roman" w:hAnsi="Times New Roman" w:eastAsia="宋体" w:cs="Times New Roman"/>
                <w:color w:val="000000" w:themeColor="text1"/>
                <w:spacing w:val="-6"/>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/d</w:t>
            </w:r>
            <w:r>
              <w:rPr>
                <w:rFonts w:hint="eastAsia" w:cs="Times New Roman"/>
                <w:color w:val="000000" w:themeColor="text1"/>
                <w:spacing w:val="-6"/>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sz w:val="24"/>
                <w:szCs w:val="24"/>
                <w:lang w:val="en-US" w:eastAsia="zh-CN"/>
              </w:rPr>
              <w:t>清洗废水的成分较简单</w:t>
            </w:r>
            <w:r>
              <w:rPr>
                <w:rFonts w:hint="eastAsia"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主要污染物为SS。清洗废水流入沉淀槽经静置沉淀后</w:t>
            </w:r>
            <w:r>
              <w:rPr>
                <w:rFonts w:hint="eastAsia" w:cs="Times New Roman"/>
                <w:color w:val="000000"/>
                <w:sz w:val="24"/>
                <w:szCs w:val="24"/>
                <w:lang w:val="en-US" w:eastAsia="zh-CN"/>
              </w:rPr>
              <w:t>，</w:t>
            </w:r>
            <w:r>
              <w:rPr>
                <w:rFonts w:hint="default" w:ascii="Times New Roman" w:hAnsi="Times New Roman" w:eastAsia="宋体" w:cs="Times New Roman"/>
                <w:sz w:val="24"/>
              </w:rPr>
              <w:t>上层清液</w:t>
            </w:r>
            <w:r>
              <w:rPr>
                <w:rFonts w:hint="default" w:ascii="Times New Roman" w:hAnsi="Times New Roman" w:eastAsia="宋体" w:cs="Times New Roman"/>
                <w:sz w:val="24"/>
                <w:lang w:val="en-US" w:eastAsia="zh-CN"/>
              </w:rPr>
              <w:t>作为下次的清洗用水</w:t>
            </w:r>
            <w:r>
              <w:rPr>
                <w:rFonts w:hint="default" w:ascii="Times New Roman" w:hAnsi="Times New Roman" w:eastAsia="宋体" w:cs="Times New Roman"/>
                <w:color w:val="000000"/>
                <w:sz w:val="24"/>
                <w:szCs w:val="24"/>
                <w:lang w:val="en-US" w:eastAsia="zh-CN"/>
              </w:rPr>
              <w:t>循环使用</w:t>
            </w:r>
            <w:r>
              <w:rPr>
                <w:rFonts w:hint="eastAsia" w:cs="Times New Roman"/>
                <w:sz w:val="24"/>
                <w:lang w:eastAsia="zh-CN"/>
              </w:rPr>
              <w:t>，</w:t>
            </w:r>
            <w:r>
              <w:rPr>
                <w:rFonts w:hint="default" w:ascii="Times New Roman" w:hAnsi="Times New Roman" w:eastAsia="宋体" w:cs="Times New Roman"/>
                <w:sz w:val="24"/>
              </w:rPr>
              <w:t>下层</w:t>
            </w:r>
            <w:r>
              <w:rPr>
                <w:rFonts w:hint="default" w:ascii="Times New Roman" w:hAnsi="Times New Roman" w:eastAsia="宋体" w:cs="Times New Roman"/>
                <w:sz w:val="24"/>
                <w:lang w:val="en-US" w:eastAsia="zh-CN"/>
              </w:rPr>
              <w:t>沉淀物</w:t>
            </w:r>
            <w:r>
              <w:rPr>
                <w:rFonts w:hint="default" w:ascii="Times New Roman" w:hAnsi="Times New Roman" w:eastAsia="宋体" w:cs="Times New Roman"/>
                <w:sz w:val="24"/>
              </w:rPr>
              <w:t>结块后捞出作为固废处置</w:t>
            </w:r>
            <w:r>
              <w:rPr>
                <w:rFonts w:hint="default" w:ascii="Times New Roman" w:hAnsi="Times New Roman" w:eastAsia="宋体" w:cs="Times New Roman"/>
                <w:color w:val="000000"/>
                <w:sz w:val="24"/>
                <w:szCs w:val="24"/>
                <w:lang w:val="en-US" w:eastAsia="zh-CN"/>
              </w:rPr>
              <w:t>。</w:t>
            </w:r>
          </w:p>
          <w:p>
            <w:pPr>
              <w:spacing w:line="360" w:lineRule="auto"/>
              <w:ind w:firstLine="456" w:firstLineChars="200"/>
              <w:rPr>
                <w:rFonts w:hint="default" w:ascii="Times New Roman" w:hAnsi="Times New Roman" w:eastAsia="宋体" w:cs="Times New Roman"/>
                <w:color w:val="000000" w:themeColor="text1"/>
                <w:spacing w:val="-6"/>
                <w:kern w:val="2"/>
                <w:sz w:val="24"/>
                <w:szCs w:val="24"/>
                <w:highlight w:val="none"/>
                <w:lang w:val="en-GB"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fldChar w:fldCharType="begin"/>
            </w:r>
            <m:oMath>
              <m:r>
                <m:rPr>
                  <m:sty m:val="p"/>
                </m:rPr>
                <w:rPr>
                  <w:rFonts w:hint="default" w:ascii="Cambria Math" w:hAnsi="Cambria Math" w:eastAsia="宋体" w:cs="Times New Roman"/>
                  <w:color w:val="000000" w:themeColor="text1"/>
                  <w:spacing w:val="-6"/>
                  <w:kern w:val="2"/>
                  <w:sz w:val="24"/>
                  <w:szCs w:val="24"/>
                  <w:highlight w:val="none"/>
                  <w:lang w:val="en-US" w:eastAsia="zh-CN" w:bidi="ar-SA"/>
                  <w14:textFill>
                    <w14:solidFill>
                      <w14:schemeClr w14:val="tx1"/>
                    </w14:solidFill>
                  </w14:textFill>
                </w:rPr>
                <m:t xml:space="preserve"> = 4 \∗ GB3 \∗ MERGEFORMAT </m:t>
              </m:r>
            </m:oMath>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④</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spacing w:val="-6"/>
                <w:kern w:val="2"/>
                <w:sz w:val="24"/>
                <w:szCs w:val="24"/>
                <w:highlight w:val="none"/>
                <w:lang w:val="en-GB" w:eastAsia="zh-CN" w:bidi="ar-SA"/>
                <w14:textFill>
                  <w14:solidFill>
                    <w14:schemeClr w14:val="tx1"/>
                  </w14:solidFill>
                </w14:textFill>
              </w:rPr>
              <w:t>生活用水</w:t>
            </w:r>
          </w:p>
          <w:p>
            <w:pPr>
              <w:pStyle w:val="2"/>
              <w:spacing w:line="360" w:lineRule="auto"/>
              <w:ind w:firstLine="456" w:firstLineChars="200"/>
              <w:rPr>
                <w:rFonts w:hint="default" w:ascii="Times New Roman" w:hAnsi="Times New Roman" w:eastAsia="宋体" w:cs="Times New Roman"/>
                <w:color w:val="000000" w:themeColor="text1"/>
                <w:spacing w:val="-6"/>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项目投入运营后每天的厂区工作人员约</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人</w:t>
            </w:r>
            <w:r>
              <w:rPr>
                <w:rFonts w:hint="eastAsia" w:ascii="Times New Roman" w:hAnsi="Times New Roman" w:cs="Times New Roman"/>
                <w:color w:val="000000" w:themeColor="text1"/>
                <w:spacing w:val="-6"/>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均在</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项目区内</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食宿</w:t>
            </w:r>
            <w:r>
              <w:rPr>
                <w:rFonts w:hint="eastAsia" w:ascii="Times New Roman" w:hAnsi="Times New Roman" w:cs="Times New Roman"/>
                <w:color w:val="000000" w:themeColor="text1"/>
                <w:spacing w:val="-6"/>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生活用水参考GB53/T168-2019《云南省地方标准用水定额》标准</w:t>
            </w:r>
            <w:r>
              <w:rPr>
                <w:rFonts w:hint="eastAsia" w:ascii="Times New Roman" w:hAnsi="Times New Roman" w:cs="Times New Roman"/>
                <w:color w:val="000000" w:themeColor="text1"/>
                <w:spacing w:val="-6"/>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职工生活用水量按每人每天100L计（其他生活用水占80%</w:t>
            </w:r>
            <w:r>
              <w:rPr>
                <w:rFonts w:hint="eastAsia" w:ascii="Times New Roman" w:hAnsi="Times New Roman" w:cs="Times New Roman"/>
                <w:color w:val="000000" w:themeColor="text1"/>
                <w:spacing w:val="-6"/>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食堂用水占20%）</w:t>
            </w:r>
            <w:r>
              <w:rPr>
                <w:rFonts w:hint="eastAsia" w:ascii="Times New Roman" w:hAnsi="Times New Roman" w:cs="Times New Roman"/>
                <w:color w:val="000000" w:themeColor="text1"/>
                <w:spacing w:val="-6"/>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年生产天数按300天计</w:t>
            </w:r>
            <w:r>
              <w:rPr>
                <w:rFonts w:hint="eastAsia" w:ascii="Times New Roman" w:hAnsi="Times New Roman" w:cs="Times New Roman"/>
                <w:color w:val="000000" w:themeColor="text1"/>
                <w:spacing w:val="-6"/>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则总用水量为</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m</w:t>
            </w:r>
            <w:r>
              <w:rPr>
                <w:rFonts w:hint="default" w:ascii="Times New Roman" w:hAnsi="Times New Roman" w:eastAsia="宋体" w:cs="Times New Roman"/>
                <w:color w:val="000000" w:themeColor="text1"/>
                <w:spacing w:val="-6"/>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/d（</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900</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m</w:t>
            </w:r>
            <w:r>
              <w:rPr>
                <w:rFonts w:hint="default" w:ascii="Times New Roman" w:hAnsi="Times New Roman" w:eastAsia="宋体" w:cs="Times New Roman"/>
                <w:color w:val="000000" w:themeColor="text1"/>
                <w:spacing w:val="-6"/>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/a）。</w:t>
            </w:r>
          </w:p>
          <w:p>
            <w:pPr>
              <w:pStyle w:val="2"/>
              <w:spacing w:line="360" w:lineRule="auto"/>
              <w:ind w:firstLine="456" w:firstLineChars="200"/>
              <w:rPr>
                <w:rFonts w:hint="default" w:ascii="Times New Roman" w:hAnsi="Times New Roman" w:eastAsia="宋体" w:cs="Times New Roman"/>
                <w:color w:val="000000" w:themeColor="text1"/>
                <w:spacing w:val="-6"/>
                <w:sz w:val="24"/>
                <w:szCs w:val="24"/>
                <w14:textFill>
                  <w14:solidFill>
                    <w14:schemeClr w14:val="tx1"/>
                  </w14:solidFill>
                </w14:textFill>
              </w:rPr>
            </w:pPr>
            <w:r>
              <w:rPr>
                <w:rFonts w:hint="default" w:ascii="Times New Roman" w:hAnsi="Times New Roman" w:eastAsia="宋体" w:cs="Times New Roman"/>
                <w:color w:val="000000" w:themeColor="text1"/>
                <w:spacing w:val="-6"/>
                <w:sz w:val="24"/>
                <w:szCs w:val="24"/>
                <w14:textFill>
                  <w14:solidFill>
                    <w14:schemeClr w14:val="tx1"/>
                  </w14:solidFill>
                </w14:textFill>
              </w:rPr>
              <w:t>其中生活用水量为</w:t>
            </w:r>
            <w:r>
              <w:rPr>
                <w:rFonts w:hint="default" w:ascii="Times New Roman" w:hAnsi="Times New Roman" w:eastAsia="宋体" w:cs="Times New Roman"/>
                <w:color w:val="000000" w:themeColor="text1"/>
                <w:spacing w:val="-6"/>
                <w:sz w:val="24"/>
                <w:szCs w:val="24"/>
                <w:lang w:val="en-US" w:eastAsia="zh-CN"/>
                <w14:textFill>
                  <w14:solidFill>
                    <w14:schemeClr w14:val="tx1"/>
                  </w14:solidFill>
                </w14:textFill>
              </w:rPr>
              <w:t>2.4</w:t>
            </w:r>
            <w:r>
              <w:rPr>
                <w:rFonts w:hint="default" w:ascii="Times New Roman" w:hAnsi="Times New Roman" w:eastAsia="宋体" w:cs="Times New Roman"/>
                <w:color w:val="000000" w:themeColor="text1"/>
                <w:spacing w:val="-6"/>
                <w:sz w:val="24"/>
                <w:szCs w:val="24"/>
                <w14:textFill>
                  <w14:solidFill>
                    <w14:schemeClr w14:val="tx1"/>
                  </w14:solidFill>
                </w14:textFill>
              </w:rPr>
              <w:t>m</w:t>
            </w:r>
            <w:r>
              <w:rPr>
                <w:rFonts w:hint="default" w:ascii="Times New Roman" w:hAnsi="Times New Roman" w:eastAsia="宋体" w:cs="Times New Roman"/>
                <w:color w:val="000000" w:themeColor="text1"/>
                <w:spacing w:val="-6"/>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6"/>
                <w:sz w:val="24"/>
                <w:szCs w:val="24"/>
                <w14:textFill>
                  <w14:solidFill>
                    <w14:schemeClr w14:val="tx1"/>
                  </w14:solidFill>
                </w14:textFill>
              </w:rPr>
              <w:t>/d（</w:t>
            </w:r>
            <w:r>
              <w:rPr>
                <w:rFonts w:hint="default" w:ascii="Times New Roman" w:hAnsi="Times New Roman" w:eastAsia="宋体" w:cs="Times New Roman"/>
                <w:color w:val="000000" w:themeColor="text1"/>
                <w:spacing w:val="-6"/>
                <w:sz w:val="24"/>
                <w:szCs w:val="24"/>
                <w:lang w:val="en-US" w:eastAsia="zh-CN"/>
                <w14:textFill>
                  <w14:solidFill>
                    <w14:schemeClr w14:val="tx1"/>
                  </w14:solidFill>
                </w14:textFill>
              </w:rPr>
              <w:t>720</w:t>
            </w:r>
            <w:r>
              <w:rPr>
                <w:rFonts w:hint="default" w:ascii="Times New Roman" w:hAnsi="Times New Roman" w:eastAsia="宋体" w:cs="Times New Roman"/>
                <w:color w:val="000000" w:themeColor="text1"/>
                <w:spacing w:val="-6"/>
                <w:sz w:val="24"/>
                <w:szCs w:val="24"/>
                <w14:textFill>
                  <w14:solidFill>
                    <w14:schemeClr w14:val="tx1"/>
                  </w14:solidFill>
                </w14:textFill>
              </w:rPr>
              <w:t>m</w:t>
            </w:r>
            <w:r>
              <w:rPr>
                <w:rFonts w:hint="default" w:ascii="Times New Roman" w:hAnsi="Times New Roman" w:eastAsia="宋体" w:cs="Times New Roman"/>
                <w:color w:val="000000" w:themeColor="text1"/>
                <w:spacing w:val="-6"/>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6"/>
                <w:sz w:val="24"/>
                <w:szCs w:val="24"/>
                <w14:textFill>
                  <w14:solidFill>
                    <w14:schemeClr w14:val="tx1"/>
                  </w14:solidFill>
                </w14:textFill>
              </w:rPr>
              <w:t>/a）。生活污水产污系数按照0.8计</w:t>
            </w:r>
            <w:r>
              <w:rPr>
                <w:rFonts w:hint="eastAsia" w:ascii="Times New Roman" w:hAnsi="Times New Roman" w:cs="Times New Roman"/>
                <w:color w:val="000000" w:themeColor="text1"/>
                <w:spacing w:val="-6"/>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14:textFill>
                  <w14:solidFill>
                    <w14:schemeClr w14:val="tx1"/>
                  </w14:solidFill>
                </w14:textFill>
              </w:rPr>
              <w:t>则职工生活污水产生量为</w:t>
            </w:r>
            <w:r>
              <w:rPr>
                <w:rFonts w:hint="default" w:ascii="Times New Roman" w:hAnsi="Times New Roman" w:eastAsia="宋体" w:cs="Times New Roman"/>
                <w:color w:val="000000" w:themeColor="text1"/>
                <w:spacing w:val="-6"/>
                <w:sz w:val="24"/>
                <w:szCs w:val="24"/>
                <w:lang w:val="en-US" w:eastAsia="zh-CN"/>
                <w14:textFill>
                  <w14:solidFill>
                    <w14:schemeClr w14:val="tx1"/>
                  </w14:solidFill>
                </w14:textFill>
              </w:rPr>
              <w:t>1.92</w:t>
            </w:r>
            <w:r>
              <w:rPr>
                <w:rFonts w:hint="default" w:ascii="Times New Roman" w:hAnsi="Times New Roman" w:eastAsia="宋体" w:cs="Times New Roman"/>
                <w:color w:val="000000" w:themeColor="text1"/>
                <w:spacing w:val="-6"/>
                <w:sz w:val="24"/>
                <w:szCs w:val="24"/>
                <w14:textFill>
                  <w14:solidFill>
                    <w14:schemeClr w14:val="tx1"/>
                  </w14:solidFill>
                </w14:textFill>
              </w:rPr>
              <w:t>m</w:t>
            </w:r>
            <w:r>
              <w:rPr>
                <w:rFonts w:hint="default" w:ascii="Times New Roman" w:hAnsi="Times New Roman" w:eastAsia="宋体" w:cs="Times New Roman"/>
                <w:color w:val="000000" w:themeColor="text1"/>
                <w:spacing w:val="-6"/>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6"/>
                <w:sz w:val="24"/>
                <w:szCs w:val="24"/>
                <w14:textFill>
                  <w14:solidFill>
                    <w14:schemeClr w14:val="tx1"/>
                  </w14:solidFill>
                </w14:textFill>
              </w:rPr>
              <w:t>/d（</w:t>
            </w:r>
            <w:r>
              <w:rPr>
                <w:rFonts w:hint="default" w:ascii="Times New Roman" w:hAnsi="Times New Roman" w:eastAsia="宋体" w:cs="Times New Roman"/>
                <w:color w:val="000000" w:themeColor="text1"/>
                <w:spacing w:val="-6"/>
                <w:sz w:val="24"/>
                <w:szCs w:val="24"/>
                <w:lang w:val="en-US" w:eastAsia="zh-CN"/>
                <w14:textFill>
                  <w14:solidFill>
                    <w14:schemeClr w14:val="tx1"/>
                  </w14:solidFill>
                </w14:textFill>
              </w:rPr>
              <w:t>576</w:t>
            </w:r>
            <w:r>
              <w:rPr>
                <w:rFonts w:hint="default" w:ascii="Times New Roman" w:hAnsi="Times New Roman" w:eastAsia="宋体" w:cs="Times New Roman"/>
                <w:color w:val="000000" w:themeColor="text1"/>
                <w:spacing w:val="-6"/>
                <w:sz w:val="24"/>
                <w:szCs w:val="24"/>
                <w14:textFill>
                  <w14:solidFill>
                    <w14:schemeClr w14:val="tx1"/>
                  </w14:solidFill>
                </w14:textFill>
              </w:rPr>
              <w:t>m</w:t>
            </w:r>
            <w:r>
              <w:rPr>
                <w:rFonts w:hint="default" w:ascii="Times New Roman" w:hAnsi="Times New Roman" w:eastAsia="宋体" w:cs="Times New Roman"/>
                <w:color w:val="000000" w:themeColor="text1"/>
                <w:spacing w:val="-6"/>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6"/>
                <w:sz w:val="24"/>
                <w:szCs w:val="24"/>
                <w14:textFill>
                  <w14:solidFill>
                    <w14:schemeClr w14:val="tx1"/>
                  </w14:solidFill>
                </w14:textFill>
              </w:rPr>
              <w:t>/a）。</w:t>
            </w:r>
          </w:p>
          <w:p>
            <w:pPr>
              <w:pStyle w:val="2"/>
              <w:spacing w:line="360" w:lineRule="auto"/>
              <w:ind w:firstLine="456" w:firstLineChars="200"/>
              <w:rPr>
                <w:rFonts w:hint="default" w:ascii="Times New Roman" w:hAnsi="Times New Roman" w:eastAsia="宋体" w:cs="Times New Roman"/>
                <w:color w:val="000000" w:themeColor="text1"/>
                <w:spacing w:val="-6"/>
                <w:sz w:val="24"/>
                <w:szCs w:val="24"/>
                <w14:textFill>
                  <w14:solidFill>
                    <w14:schemeClr w14:val="tx1"/>
                  </w14:solidFill>
                </w14:textFill>
              </w:rPr>
            </w:pPr>
            <w:r>
              <w:rPr>
                <w:rFonts w:hint="default" w:ascii="Times New Roman" w:hAnsi="Times New Roman" w:eastAsia="宋体" w:cs="Times New Roman"/>
                <w:color w:val="000000" w:themeColor="text1"/>
                <w:spacing w:val="-6"/>
                <w:sz w:val="24"/>
                <w:szCs w:val="24"/>
                <w14:textFill>
                  <w14:solidFill>
                    <w14:schemeClr w14:val="tx1"/>
                  </w14:solidFill>
                </w14:textFill>
              </w:rPr>
              <w:t>其中食堂用水量为</w:t>
            </w:r>
            <w:r>
              <w:rPr>
                <w:rFonts w:hint="default" w:ascii="Times New Roman" w:hAnsi="Times New Roman" w:eastAsia="宋体" w:cs="Times New Roman"/>
                <w:color w:val="000000" w:themeColor="text1"/>
                <w:spacing w:val="-6"/>
                <w:sz w:val="24"/>
                <w:szCs w:val="24"/>
                <w:lang w:val="en-US" w:eastAsia="zh-CN"/>
                <w14:textFill>
                  <w14:solidFill>
                    <w14:schemeClr w14:val="tx1"/>
                  </w14:solidFill>
                </w14:textFill>
              </w:rPr>
              <w:t>0.6</w:t>
            </w:r>
            <w:r>
              <w:rPr>
                <w:rFonts w:hint="default" w:ascii="Times New Roman" w:hAnsi="Times New Roman" w:eastAsia="宋体" w:cs="Times New Roman"/>
                <w:color w:val="000000" w:themeColor="text1"/>
                <w:spacing w:val="-6"/>
                <w:sz w:val="24"/>
                <w:szCs w:val="24"/>
                <w14:textFill>
                  <w14:solidFill>
                    <w14:schemeClr w14:val="tx1"/>
                  </w14:solidFill>
                </w14:textFill>
              </w:rPr>
              <w:t>m</w:t>
            </w:r>
            <w:r>
              <w:rPr>
                <w:rFonts w:hint="default" w:ascii="Times New Roman" w:hAnsi="Times New Roman" w:eastAsia="宋体" w:cs="Times New Roman"/>
                <w:color w:val="000000" w:themeColor="text1"/>
                <w:spacing w:val="-6"/>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6"/>
                <w:sz w:val="24"/>
                <w:szCs w:val="24"/>
                <w14:textFill>
                  <w14:solidFill>
                    <w14:schemeClr w14:val="tx1"/>
                  </w14:solidFill>
                </w14:textFill>
              </w:rPr>
              <w:t>/d（</w:t>
            </w:r>
            <w:r>
              <w:rPr>
                <w:rFonts w:hint="default" w:ascii="Times New Roman" w:hAnsi="Times New Roman" w:eastAsia="宋体" w:cs="Times New Roman"/>
                <w:color w:val="000000" w:themeColor="text1"/>
                <w:spacing w:val="-6"/>
                <w:sz w:val="24"/>
                <w:szCs w:val="24"/>
                <w:lang w:val="en-US" w:eastAsia="zh-CN"/>
                <w14:textFill>
                  <w14:solidFill>
                    <w14:schemeClr w14:val="tx1"/>
                  </w14:solidFill>
                </w14:textFill>
              </w:rPr>
              <w:t>180</w:t>
            </w:r>
            <w:r>
              <w:rPr>
                <w:rFonts w:hint="default" w:ascii="Times New Roman" w:hAnsi="Times New Roman" w:eastAsia="宋体" w:cs="Times New Roman"/>
                <w:color w:val="000000" w:themeColor="text1"/>
                <w:spacing w:val="-6"/>
                <w:sz w:val="24"/>
                <w:szCs w:val="24"/>
                <w14:textFill>
                  <w14:solidFill>
                    <w14:schemeClr w14:val="tx1"/>
                  </w14:solidFill>
                </w14:textFill>
              </w:rPr>
              <w:t>m</w:t>
            </w:r>
            <w:r>
              <w:rPr>
                <w:rFonts w:hint="default" w:ascii="Times New Roman" w:hAnsi="Times New Roman" w:eastAsia="宋体" w:cs="Times New Roman"/>
                <w:color w:val="000000" w:themeColor="text1"/>
                <w:spacing w:val="-6"/>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6"/>
                <w:sz w:val="24"/>
                <w:szCs w:val="24"/>
                <w14:textFill>
                  <w14:solidFill>
                    <w14:schemeClr w14:val="tx1"/>
                  </w14:solidFill>
                </w14:textFill>
              </w:rPr>
              <w:t>/a）。食堂污水的产污系数按照0.8计</w:t>
            </w:r>
            <w:r>
              <w:rPr>
                <w:rFonts w:hint="eastAsia" w:ascii="Times New Roman" w:hAnsi="Times New Roman" w:cs="Times New Roman"/>
                <w:color w:val="000000" w:themeColor="text1"/>
                <w:spacing w:val="-6"/>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14:textFill>
                  <w14:solidFill>
                    <w14:schemeClr w14:val="tx1"/>
                  </w14:solidFill>
                </w14:textFill>
              </w:rPr>
              <w:t>则食堂用水为</w:t>
            </w:r>
            <w:r>
              <w:rPr>
                <w:rFonts w:hint="default" w:ascii="Times New Roman" w:hAnsi="Times New Roman" w:eastAsia="宋体" w:cs="Times New Roman"/>
                <w:color w:val="000000" w:themeColor="text1"/>
                <w:spacing w:val="-6"/>
                <w:sz w:val="24"/>
                <w:szCs w:val="24"/>
                <w:lang w:val="en-US" w:eastAsia="zh-CN"/>
                <w14:textFill>
                  <w14:solidFill>
                    <w14:schemeClr w14:val="tx1"/>
                  </w14:solidFill>
                </w14:textFill>
              </w:rPr>
              <w:t>0.48</w:t>
            </w:r>
            <w:r>
              <w:rPr>
                <w:rFonts w:hint="default" w:ascii="Times New Roman" w:hAnsi="Times New Roman" w:eastAsia="宋体" w:cs="Times New Roman"/>
                <w:color w:val="000000" w:themeColor="text1"/>
                <w:spacing w:val="-6"/>
                <w:sz w:val="24"/>
                <w:szCs w:val="24"/>
                <w14:textFill>
                  <w14:solidFill>
                    <w14:schemeClr w14:val="tx1"/>
                  </w14:solidFill>
                </w14:textFill>
              </w:rPr>
              <w:t>m</w:t>
            </w:r>
            <w:r>
              <w:rPr>
                <w:rFonts w:hint="default" w:ascii="Times New Roman" w:hAnsi="Times New Roman" w:eastAsia="宋体" w:cs="Times New Roman"/>
                <w:color w:val="000000" w:themeColor="text1"/>
                <w:spacing w:val="-6"/>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6"/>
                <w:sz w:val="24"/>
                <w:szCs w:val="24"/>
                <w14:textFill>
                  <w14:solidFill>
                    <w14:schemeClr w14:val="tx1"/>
                  </w14:solidFill>
                </w14:textFill>
              </w:rPr>
              <w:t>/d（</w:t>
            </w:r>
            <w:r>
              <w:rPr>
                <w:rFonts w:hint="default" w:ascii="Times New Roman" w:hAnsi="Times New Roman" w:eastAsia="宋体" w:cs="Times New Roman"/>
                <w:color w:val="000000" w:themeColor="text1"/>
                <w:spacing w:val="-6"/>
                <w:sz w:val="24"/>
                <w:szCs w:val="24"/>
                <w:lang w:val="en-US" w:eastAsia="zh-CN"/>
                <w14:textFill>
                  <w14:solidFill>
                    <w14:schemeClr w14:val="tx1"/>
                  </w14:solidFill>
                </w14:textFill>
              </w:rPr>
              <w:t>144</w:t>
            </w:r>
            <w:r>
              <w:rPr>
                <w:rFonts w:hint="default" w:ascii="Times New Roman" w:hAnsi="Times New Roman" w:eastAsia="宋体" w:cs="Times New Roman"/>
                <w:color w:val="000000" w:themeColor="text1"/>
                <w:spacing w:val="-6"/>
                <w:sz w:val="24"/>
                <w:szCs w:val="24"/>
                <w14:textFill>
                  <w14:solidFill>
                    <w14:schemeClr w14:val="tx1"/>
                  </w14:solidFill>
                </w14:textFill>
              </w:rPr>
              <w:t>m</w:t>
            </w:r>
            <w:r>
              <w:rPr>
                <w:rFonts w:hint="default" w:ascii="Times New Roman" w:hAnsi="Times New Roman" w:eastAsia="宋体" w:cs="Times New Roman"/>
                <w:color w:val="000000" w:themeColor="text1"/>
                <w:spacing w:val="-6"/>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6"/>
                <w:sz w:val="24"/>
                <w:szCs w:val="24"/>
                <w14:textFill>
                  <w14:solidFill>
                    <w14:schemeClr w14:val="tx1"/>
                  </w14:solidFill>
                </w14:textFill>
              </w:rPr>
              <w:t>/a）。</w:t>
            </w:r>
          </w:p>
          <w:p>
            <w:pPr>
              <w:pStyle w:val="2"/>
              <w:spacing w:line="360" w:lineRule="auto"/>
              <w:ind w:firstLine="456"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6"/>
                <w:sz w:val="24"/>
                <w:szCs w:val="24"/>
                <w14:textFill>
                  <w14:solidFill>
                    <w14:schemeClr w14:val="tx1"/>
                  </w14:solidFill>
                </w14:textFill>
              </w:rPr>
              <w:t>食堂废水先经隔油池处理后与其他职工生活</w:t>
            </w:r>
            <w:r>
              <w:rPr>
                <w:rFonts w:hint="default" w:ascii="Times New Roman" w:hAnsi="Times New Roman" w:eastAsia="宋体" w:cs="Times New Roman"/>
                <w:color w:val="000000" w:themeColor="text1"/>
                <w:sz w:val="24"/>
                <w:szCs w:val="24"/>
                <w14:textFill>
                  <w14:solidFill>
                    <w14:schemeClr w14:val="tx1"/>
                  </w14:solidFill>
                </w14:textFill>
              </w:rPr>
              <w:t>污水</w:t>
            </w:r>
            <w:r>
              <w:rPr>
                <w:rFonts w:hint="default" w:ascii="Times New Roman" w:hAnsi="Times New Roman" w:eastAsia="宋体" w:cs="Times New Roman"/>
                <w:color w:val="000000" w:themeColor="text1"/>
                <w:spacing w:val="-6"/>
                <w:sz w:val="24"/>
                <w:szCs w:val="24"/>
                <w14:textFill>
                  <w14:solidFill>
                    <w14:schemeClr w14:val="tx1"/>
                  </w14:solidFill>
                </w14:textFill>
              </w:rPr>
              <w:t>排入依托</w:t>
            </w:r>
            <w:r>
              <w:rPr>
                <w:rFonts w:hint="default" w:ascii="Times New Roman" w:hAnsi="Times New Roman" w:eastAsia="宋体" w:cs="Times New Roman"/>
                <w:color w:val="000000" w:themeColor="text1"/>
                <w:sz w:val="24"/>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sz w:val="24"/>
                <w14:textFill>
                  <w14:solidFill>
                    <w14:schemeClr w14:val="tx1"/>
                  </w14:solidFill>
                </w14:textFill>
              </w:rPr>
              <w:t>的</w:t>
            </w:r>
            <w:r>
              <w:rPr>
                <w:rFonts w:hint="default" w:ascii="Times New Roman" w:hAnsi="Times New Roman" w:eastAsia="宋体" w:cs="Times New Roman"/>
                <w:color w:val="000000" w:themeColor="text1"/>
                <w:spacing w:val="-6"/>
                <w:sz w:val="24"/>
                <w:szCs w:val="24"/>
                <w14:textFill>
                  <w14:solidFill>
                    <w14:schemeClr w14:val="tx1"/>
                  </w14:solidFill>
                </w14:textFill>
              </w:rPr>
              <w:t>化粪池处理</w:t>
            </w:r>
            <w:r>
              <w:rPr>
                <w:rFonts w:hint="eastAsia" w:ascii="Times New Roman" w:hAnsi="Times New Roman" w:cs="Times New Roman"/>
                <w:color w:val="000000" w:themeColor="text1"/>
                <w:spacing w:val="-6"/>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项目废水主要是生</w:t>
            </w:r>
            <w:r>
              <w:rPr>
                <w:rFonts w:hint="default" w:ascii="Times New Roman" w:hAnsi="Times New Roman" w:eastAsia="宋体" w:cs="Times New Roman"/>
                <w:color w:val="000000" w:themeColor="text1"/>
                <w:spacing w:val="-6"/>
                <w:sz w:val="24"/>
                <w:szCs w:val="24"/>
                <w14:textFill>
                  <w14:solidFill>
                    <w14:schemeClr w14:val="tx1"/>
                  </w14:solidFill>
                </w14:textFill>
              </w:rPr>
              <w:t>活污水</w:t>
            </w:r>
            <w:r>
              <w:rPr>
                <w:rFonts w:hint="eastAsia" w:ascii="Times New Roman" w:hAnsi="Times New Roman" w:cs="Times New Roman"/>
                <w:color w:val="000000" w:themeColor="text1"/>
                <w:spacing w:val="-6"/>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含有的污染物主要是CODcr、BOD</w:t>
            </w:r>
            <w:r>
              <w:rPr>
                <w:rFonts w:hint="default" w:ascii="Times New Roman" w:hAnsi="Times New Roman" w:eastAsia="宋体" w:cs="Times New Roman"/>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、SS、氨氮、动植物油和总磷</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根据《我国城市生活污水水质统计数据》</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各种污染物的产生浓度分别为CODcr：400mg/L</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BOD</w:t>
            </w:r>
            <w:r>
              <w:rPr>
                <w:rFonts w:hint="default" w:ascii="Times New Roman" w:hAnsi="Times New Roman" w:eastAsia="宋体" w:cs="Times New Roman"/>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：220mg/L</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SS：300mg/L</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NH</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-N：20mg/L</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动植物油：50mg/L</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TP：7mg/L</w:t>
            </w:r>
            <w:r>
              <w:rPr>
                <w:rFonts w:hint="default" w:ascii="Times New Roman" w:hAnsi="Times New Roman" w:eastAsia="宋体" w:cs="Times New Roman"/>
                <w:color w:val="000000" w:themeColor="text1"/>
                <w:spacing w:val="-6"/>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项目排水情况见表4-</w:t>
            </w:r>
            <w:r>
              <w:rPr>
                <w:rFonts w:hint="eastAsia" w:ascii="Times New Roman" w:hAnsi="Times New Roman"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9</w:t>
            </w:r>
            <w:r>
              <w:rPr>
                <w:rFonts w:hint="default" w:ascii="Times New Roman" w:hAnsi="Times New Roman" w:eastAsia="宋体" w:cs="Times New Roman"/>
                <w:color w:val="000000" w:themeColor="text1"/>
                <w14:textFill>
                  <w14:solidFill>
                    <w14:schemeClr w14:val="tx1"/>
                  </w14:solidFill>
                </w14:textFill>
              </w:rPr>
              <w:t xml:space="preserve">  项目排水情况一览表（单位：m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/d）</w:t>
            </w:r>
          </w:p>
          <w:tbl>
            <w:tblPr>
              <w:tblStyle w:val="27"/>
              <w:tblW w:w="4998"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777"/>
              <w:gridCol w:w="1819"/>
              <w:gridCol w:w="1678"/>
              <w:gridCol w:w="1428"/>
              <w:gridCol w:w="1261"/>
              <w:gridCol w:w="1423"/>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59" w:hRule="atLeast"/>
                <w:jc w:val="center"/>
              </w:trPr>
              <w:tc>
                <w:tcPr>
                  <w:tcW w:w="2488" w:type="dxa"/>
                  <w:gridSpan w:val="2"/>
                  <w:tcBorders>
                    <w:bottom w:val="single" w:color="auto" w:sz="4" w:space="0"/>
                    <w:right w:val="single" w:color="000000"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项目</w:t>
                  </w:r>
                </w:p>
              </w:tc>
              <w:tc>
                <w:tcPr>
                  <w:tcW w:w="1608" w:type="dxa"/>
                  <w:tcBorders>
                    <w:left w:val="single" w:color="000000" w:sz="4" w:space="0"/>
                    <w:bottom w:val="single" w:color="auto" w:sz="4" w:space="0"/>
                    <w:right w:val="single" w:color="000000"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使用面或人数</w:t>
                  </w:r>
                </w:p>
              </w:tc>
              <w:tc>
                <w:tcPr>
                  <w:tcW w:w="1368" w:type="dxa"/>
                  <w:tcBorders>
                    <w:left w:val="single" w:color="000000" w:sz="4" w:space="0"/>
                    <w:bottom w:val="single" w:color="auto" w:sz="4" w:space="0"/>
                    <w:right w:val="single" w:color="000000"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用量标准</w:t>
                  </w:r>
                </w:p>
              </w:tc>
              <w:tc>
                <w:tcPr>
                  <w:tcW w:w="1208" w:type="dxa"/>
                  <w:tcBorders>
                    <w:left w:val="single" w:color="000000" w:sz="4" w:space="0"/>
                    <w:bottom w:val="single" w:color="auto" w:sz="4" w:space="0"/>
                    <w:right w:val="single" w:color="000000"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总用水量</w:t>
                  </w:r>
                </w:p>
              </w:tc>
              <w:tc>
                <w:tcPr>
                  <w:tcW w:w="1364" w:type="dxa"/>
                  <w:tcBorders>
                    <w:left w:val="single" w:color="000000" w:sz="4" w:space="0"/>
                    <w:bottom w:val="single" w:color="auto"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废水量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48" w:hRule="atLeast"/>
                <w:jc w:val="center"/>
              </w:trPr>
              <w:tc>
                <w:tcPr>
                  <w:tcW w:w="745" w:type="dxa"/>
                  <w:vMerge w:val="restart"/>
                  <w:tcBorders>
                    <w:top w:val="single" w:color="auto" w:sz="4" w:space="0"/>
                    <w:right w:val="single" w:color="auto"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生活用水</w:t>
                  </w:r>
                </w:p>
              </w:tc>
              <w:tc>
                <w:tcPr>
                  <w:tcW w:w="1743" w:type="dxa"/>
                  <w:tcBorders>
                    <w:top w:val="single" w:color="auto" w:sz="4" w:space="0"/>
                    <w:left w:val="single" w:color="auto" w:sz="4" w:space="0"/>
                    <w:bottom w:val="single" w:color="auto" w:sz="4" w:space="0"/>
                    <w:right w:val="single" w:color="000000"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其他生活用水</w:t>
                  </w:r>
                </w:p>
              </w:tc>
              <w:tc>
                <w:tcPr>
                  <w:tcW w:w="1608" w:type="dxa"/>
                  <w:tcBorders>
                    <w:top w:val="single" w:color="000000" w:sz="4" w:space="0"/>
                    <w:left w:val="single" w:color="000000" w:sz="4" w:space="0"/>
                    <w:bottom w:val="single" w:color="auto" w:sz="4" w:space="0"/>
                    <w:right w:val="single" w:color="000000"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30</w:t>
                  </w:r>
                  <w:r>
                    <w:rPr>
                      <w:rFonts w:hint="default" w:ascii="Times New Roman" w:hAnsi="Times New Roman" w:eastAsia="宋体" w:cs="Times New Roman"/>
                      <w:bCs/>
                      <w:color w:val="000000" w:themeColor="text1"/>
                      <w:szCs w:val="21"/>
                      <w14:textFill>
                        <w14:solidFill>
                          <w14:schemeClr w14:val="tx1"/>
                        </w14:solidFill>
                      </w14:textFill>
                    </w:rPr>
                    <w:t>人</w:t>
                  </w:r>
                </w:p>
              </w:tc>
              <w:tc>
                <w:tcPr>
                  <w:tcW w:w="1368" w:type="dxa"/>
                  <w:tcBorders>
                    <w:top w:val="single" w:color="000000" w:sz="4" w:space="0"/>
                    <w:left w:val="single" w:color="000000" w:sz="4" w:space="0"/>
                    <w:bottom w:val="single" w:color="auto" w:sz="4" w:space="0"/>
                    <w:right w:val="single" w:color="000000"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80L/（人·d）</w:t>
                  </w:r>
                </w:p>
              </w:tc>
              <w:tc>
                <w:tcPr>
                  <w:tcW w:w="1208" w:type="dxa"/>
                  <w:tcBorders>
                    <w:top w:val="single" w:color="000000" w:sz="4" w:space="0"/>
                    <w:left w:val="single" w:color="000000" w:sz="4" w:space="0"/>
                    <w:bottom w:val="single" w:color="auto" w:sz="4" w:space="0"/>
                    <w:right w:val="single" w:color="000000"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2.4</w:t>
                  </w:r>
                </w:p>
              </w:tc>
              <w:tc>
                <w:tcPr>
                  <w:tcW w:w="1364" w:type="dxa"/>
                  <w:tcBorders>
                    <w:top w:val="single" w:color="000000" w:sz="4" w:space="0"/>
                    <w:left w:val="single" w:color="000000" w:sz="4" w:space="0"/>
                    <w:bottom w:val="single" w:color="auto"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1.92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9" w:hRule="atLeast"/>
                <w:jc w:val="center"/>
              </w:trPr>
              <w:tc>
                <w:tcPr>
                  <w:tcW w:w="745" w:type="dxa"/>
                  <w:vMerge w:val="continue"/>
                  <w:tcBorders>
                    <w:bottom w:val="single" w:color="auto" w:sz="4" w:space="0"/>
                    <w:right w:val="single" w:color="auto"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14:textFill>
                        <w14:solidFill>
                          <w14:schemeClr w14:val="tx1"/>
                        </w14:solidFill>
                      </w14:textFill>
                    </w:rPr>
                  </w:pPr>
                </w:p>
              </w:tc>
              <w:tc>
                <w:tcPr>
                  <w:tcW w:w="1743" w:type="dxa"/>
                  <w:tcBorders>
                    <w:top w:val="single" w:color="auto" w:sz="4" w:space="0"/>
                    <w:left w:val="single" w:color="auto" w:sz="4" w:space="0"/>
                    <w:bottom w:val="single" w:color="auto" w:sz="4" w:space="0"/>
                    <w:right w:val="single" w:color="000000"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食堂用水</w:t>
                  </w:r>
                </w:p>
              </w:tc>
              <w:tc>
                <w:tcPr>
                  <w:tcW w:w="1608" w:type="dxa"/>
                  <w:tcBorders>
                    <w:top w:val="single" w:color="auto" w:sz="4" w:space="0"/>
                    <w:left w:val="single" w:color="000000" w:sz="4" w:space="0"/>
                    <w:bottom w:val="single" w:color="auto" w:sz="4" w:space="0"/>
                    <w:right w:val="single" w:color="000000"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30</w:t>
                  </w:r>
                  <w:r>
                    <w:rPr>
                      <w:rFonts w:hint="default" w:ascii="Times New Roman" w:hAnsi="Times New Roman" w:eastAsia="宋体" w:cs="Times New Roman"/>
                      <w:bCs/>
                      <w:color w:val="000000" w:themeColor="text1"/>
                      <w:szCs w:val="21"/>
                      <w14:textFill>
                        <w14:solidFill>
                          <w14:schemeClr w14:val="tx1"/>
                        </w14:solidFill>
                      </w14:textFill>
                    </w:rPr>
                    <w:t>人</w:t>
                  </w:r>
                </w:p>
              </w:tc>
              <w:tc>
                <w:tcPr>
                  <w:tcW w:w="1368" w:type="dxa"/>
                  <w:tcBorders>
                    <w:top w:val="single" w:color="auto" w:sz="4" w:space="0"/>
                    <w:left w:val="single" w:color="000000" w:sz="4" w:space="0"/>
                    <w:bottom w:val="single" w:color="auto" w:sz="4" w:space="0"/>
                    <w:right w:val="single" w:color="000000"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20L/（人·d）</w:t>
                  </w:r>
                </w:p>
              </w:tc>
              <w:tc>
                <w:tcPr>
                  <w:tcW w:w="1208" w:type="dxa"/>
                  <w:tcBorders>
                    <w:top w:val="single" w:color="auto" w:sz="4" w:space="0"/>
                    <w:left w:val="single" w:color="000000" w:sz="4" w:space="0"/>
                    <w:bottom w:val="single" w:color="auto" w:sz="4" w:space="0"/>
                    <w:right w:val="single" w:color="000000"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0.6</w:t>
                  </w:r>
                </w:p>
              </w:tc>
              <w:tc>
                <w:tcPr>
                  <w:tcW w:w="1364" w:type="dxa"/>
                  <w:tcBorders>
                    <w:top w:val="single" w:color="auto" w:sz="4" w:space="0"/>
                    <w:left w:val="single" w:color="000000" w:sz="4" w:space="0"/>
                    <w:bottom w:val="single" w:color="000000"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0.48</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86" w:hRule="atLeast"/>
                <w:jc w:val="center"/>
              </w:trPr>
              <w:tc>
                <w:tcPr>
                  <w:tcW w:w="2488" w:type="dxa"/>
                  <w:gridSpan w:val="2"/>
                  <w:tcBorders>
                    <w:top w:val="single" w:color="000000" w:sz="4" w:space="0"/>
                    <w:right w:val="single" w:color="000000"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合计</w:t>
                  </w:r>
                </w:p>
              </w:tc>
              <w:tc>
                <w:tcPr>
                  <w:tcW w:w="1608" w:type="dxa"/>
                  <w:tcBorders>
                    <w:top w:val="single" w:color="000000" w:sz="4" w:space="0"/>
                    <w:left w:val="single" w:color="000000" w:sz="4" w:space="0"/>
                    <w:right w:val="single" w:color="000000"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w:t>
                  </w:r>
                </w:p>
              </w:tc>
              <w:tc>
                <w:tcPr>
                  <w:tcW w:w="1368" w:type="dxa"/>
                  <w:tcBorders>
                    <w:top w:val="single" w:color="000000" w:sz="4" w:space="0"/>
                    <w:left w:val="single" w:color="000000" w:sz="4" w:space="0"/>
                    <w:right w:val="single" w:color="000000"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w:t>
                  </w:r>
                </w:p>
              </w:tc>
              <w:tc>
                <w:tcPr>
                  <w:tcW w:w="1208" w:type="dxa"/>
                  <w:tcBorders>
                    <w:top w:val="single" w:color="000000" w:sz="4" w:space="0"/>
                    <w:left w:val="single" w:color="000000" w:sz="4" w:space="0"/>
                    <w:right w:val="single" w:color="000000"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3</w:t>
                  </w:r>
                </w:p>
              </w:tc>
              <w:tc>
                <w:tcPr>
                  <w:tcW w:w="1364" w:type="dxa"/>
                  <w:tcBorders>
                    <w:top w:val="single" w:color="000000" w:sz="4" w:space="0"/>
                    <w:left w:val="single" w:color="000000" w:sz="4" w:space="0"/>
                  </w:tcBorders>
                  <w:tcMar>
                    <w:left w:w="108" w:type="dxa"/>
                    <w:right w:w="108" w:type="dxa"/>
                  </w:tcMar>
                  <w:vAlign w:val="center"/>
                </w:tcPr>
                <w:p>
                  <w:pPr>
                    <w:pStyle w:val="49"/>
                    <w:spacing w:beforeLines="0" w:afterLines="0" w:line="240" w:lineRule="atLeast"/>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2.4</w:t>
                  </w:r>
                </w:p>
              </w:tc>
            </w:tr>
          </w:tbl>
          <w:p>
            <w:pPr>
              <w:pStyle w:val="12"/>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综上所述</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本项目总用水量约为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900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/a；本项目污水产生量为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720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p>
          <w:p>
            <w:pPr>
              <w:pStyle w:val="11"/>
              <w:spacing w:line="360" w:lineRule="auto"/>
              <w:ind w:firstLine="480" w:firstLineChars="200"/>
              <w:jc w:val="both"/>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项目产生的食堂废水先经隔油池处理后与其他生活污水一同排入</w:t>
            </w:r>
            <w:r>
              <w:rPr>
                <w:rFonts w:hint="default" w:ascii="Times New Roman" w:hAnsi="Times New Roman" w:eastAsia="宋体" w:cs="Times New Roman"/>
                <w:color w:val="000000" w:themeColor="text1"/>
                <w:spacing w:val="-6"/>
                <w:szCs w:val="24"/>
                <w14:textFill>
                  <w14:solidFill>
                    <w14:schemeClr w14:val="tx1"/>
                  </w14:solidFill>
                </w14:textFill>
              </w:rPr>
              <w:t>依托</w:t>
            </w:r>
            <w:r>
              <w:rPr>
                <w:rFonts w:hint="default" w:ascii="Times New Roman" w:hAnsi="Times New Roman" w:eastAsia="宋体" w:cs="Times New Roman"/>
                <w:color w:val="000000" w:themeColor="text1"/>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14:textFill>
                  <w14:solidFill>
                    <w14:schemeClr w14:val="tx1"/>
                  </w14:solidFill>
                </w14:textFill>
              </w:rPr>
              <w:t>的化粪池处理</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经处理后</w:t>
            </w:r>
            <w:r>
              <w:rPr>
                <w:rFonts w:hint="default" w:ascii="Times New Roman" w:hAnsi="Times New Roman" w:eastAsia="宋体" w:cs="Times New Roman"/>
                <w:color w:val="000000" w:themeColor="text1"/>
                <w:szCs w:val="24"/>
                <w14:textFill>
                  <w14:solidFill>
                    <w14:schemeClr w14:val="tx1"/>
                  </w14:solidFill>
                </w14:textFill>
              </w:rPr>
              <w:t>可满足《污水排入城镇下水道水质标准》（GB/T31962-2015）</w:t>
            </w:r>
            <w:r>
              <w:rPr>
                <w:rFonts w:hint="default" w:ascii="Times New Roman" w:hAnsi="Times New Roman" w:eastAsia="宋体" w:cs="Times New Roman"/>
                <w:color w:val="000000" w:themeColor="text1"/>
                <w14:textFill>
                  <w14:solidFill>
                    <w14:schemeClr w14:val="tx1"/>
                  </w14:solidFill>
                </w14:textFill>
              </w:rPr>
              <w:t>表1中A级标准</w:t>
            </w:r>
            <w:r>
              <w:rPr>
                <w:rFonts w:hint="default" w:ascii="Times New Roman" w:hAnsi="Times New Roman" w:eastAsia="宋体" w:cs="Times New Roman"/>
                <w:color w:val="000000" w:themeColor="text1"/>
                <w:szCs w:val="24"/>
                <w14:textFill>
                  <w14:solidFill>
                    <w14:schemeClr w14:val="tx1"/>
                  </w14:solidFill>
                </w14:textFill>
              </w:rPr>
              <w:t>后排入园区管网</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最终进入</w:t>
            </w:r>
            <w:r>
              <w:rPr>
                <w:rFonts w:hint="default" w:ascii="Times New Roman" w:hAnsi="Times New Roman" w:eastAsia="宋体" w:cs="Times New Roman"/>
                <w:color w:val="000000" w:themeColor="text1"/>
                <w:szCs w:val="24"/>
                <w:lang w:eastAsia="zh-CN"/>
                <w14:textFill>
                  <w14:solidFill>
                    <w14:schemeClr w14:val="tx1"/>
                  </w14:solidFill>
                </w14:textFill>
              </w:rPr>
              <w:t>晋宁县工业园区二街片区生活污水处理厂</w:t>
            </w:r>
            <w:r>
              <w:rPr>
                <w:rFonts w:hint="default" w:ascii="Times New Roman" w:hAnsi="Times New Roman" w:eastAsia="宋体" w:cs="Times New Roman"/>
                <w:color w:val="000000" w:themeColor="text1"/>
                <w:szCs w:val="24"/>
                <w14:textFill>
                  <w14:solidFill>
                    <w14:schemeClr w14:val="tx1"/>
                  </w14:solidFill>
                </w14:textFill>
              </w:rPr>
              <w:t>处理。</w:t>
            </w:r>
          </w:p>
          <w:p>
            <w:pPr>
              <w:pStyle w:val="12"/>
              <w:spacing w:line="240" w:lineRule="auto"/>
              <w:ind w:firstLine="480" w:firstLineChars="200"/>
              <w:jc w:val="both"/>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项目运营期水平衡见图4-</w:t>
            </w:r>
            <w:r>
              <w:rPr>
                <w:rFonts w:hint="eastAsia" w:cs="Times New Roman"/>
                <w:sz w:val="24"/>
                <w:szCs w:val="24"/>
                <w:highlight w:val="none"/>
                <w:lang w:val="en-US" w:eastAsia="zh-CN"/>
              </w:rPr>
              <w:t>10</w:t>
            </w:r>
          </w:p>
          <w:p>
            <w:pPr>
              <w:pStyle w:val="12"/>
              <w:spacing w:line="240" w:lineRule="auto"/>
              <w:jc w:val="both"/>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val="en-US" w:eastAsia="zh-CN"/>
              </w:rPr>
              <w:object>
                <v:shape id="_x0000_i1029" o:spt="75" type="#_x0000_t75" style="height:274.05pt;width:419.7pt;" o:ole="t" filled="f" o:preferrelative="t" stroked="f" coordsize="21600,21600">
                  <v:path/>
                  <v:fill on="f" focussize="0,0"/>
                  <v:stroke on="f"/>
                  <v:imagedata r:id="rId19" o:title=""/>
                  <o:lock v:ext="edit" aspectratio="f"/>
                  <w10:wrap type="none"/>
                  <w10:anchorlock/>
                </v:shape>
                <o:OLEObject Type="Embed" ProgID="Visio.Drawing.15" ShapeID="_x0000_i1029" DrawAspect="Content" ObjectID="_1468075729" r:id="rId18">
                  <o:LockedField>false</o:LockedField>
                </o:OLEObject>
              </w:objec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val="en-US"/>
              </w:rPr>
              <w:t>图 4-</w:t>
            </w:r>
            <w:r>
              <w:rPr>
                <w:rFonts w:hint="eastAsia" w:cs="Times New Roman"/>
                <w:sz w:val="24"/>
                <w:szCs w:val="24"/>
                <w:highlight w:val="none"/>
                <w:lang w:val="en-US" w:eastAsia="zh-CN"/>
              </w:rPr>
              <w:t>10</w:t>
            </w:r>
            <w:r>
              <w:rPr>
                <w:rFonts w:hint="default" w:ascii="Times New Roman" w:hAnsi="Times New Roman" w:eastAsia="宋体" w:cs="Times New Roman"/>
                <w:sz w:val="24"/>
                <w:szCs w:val="24"/>
                <w:highlight w:val="none"/>
                <w:lang w:val="en-US"/>
              </w:rPr>
              <w:t xml:space="preserve"> </w:t>
            </w:r>
            <w:r>
              <w:rPr>
                <w:rFonts w:hint="default" w:ascii="Times New Roman" w:hAnsi="Times New Roman" w:eastAsia="宋体" w:cs="Times New Roman"/>
                <w:sz w:val="24"/>
                <w:szCs w:val="24"/>
                <w:highlight w:val="none"/>
                <w:lang w:val="en-US" w:eastAsia="zh-CN"/>
              </w:rPr>
              <w:t>项目水量</w:t>
            </w:r>
            <w:r>
              <w:rPr>
                <w:rFonts w:hint="default" w:ascii="Times New Roman" w:hAnsi="Times New Roman" w:eastAsia="宋体" w:cs="Times New Roman"/>
                <w:sz w:val="24"/>
                <w:szCs w:val="24"/>
                <w:highlight w:val="none"/>
                <w:lang w:val="en-US"/>
              </w:rPr>
              <w:t>平衡图m³/d</w:t>
            </w:r>
          </w:p>
          <w:p>
            <w:pPr>
              <w:pStyle w:val="12"/>
              <w:keepNext w:val="0"/>
              <w:keepLines w:val="0"/>
              <w:pageBreakBefore w:val="0"/>
              <w:kinsoku/>
              <w:wordWrap/>
              <w:overflowPunct/>
              <w:topLinePunct w:val="0"/>
              <w:autoSpaceDE/>
              <w:autoSpaceDN/>
              <w:bidi w:val="0"/>
              <w:snapToGrid w:val="0"/>
              <w:spacing w:before="0" w:after="0" w:line="360" w:lineRule="auto"/>
              <w:ind w:left="0" w:right="0" w:firstLine="482" w:firstLineChars="200"/>
              <w:jc w:val="both"/>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lang w:val="en-US"/>
              </w:rPr>
              <w:t>2、</w:t>
            </w:r>
            <w:r>
              <w:rPr>
                <w:rFonts w:hint="default" w:ascii="Times New Roman" w:hAnsi="Times New Roman" w:eastAsia="宋体" w:cs="Times New Roman"/>
                <w:b/>
                <w:bCs/>
                <w:sz w:val="24"/>
                <w:szCs w:val="24"/>
                <w:highlight w:val="none"/>
              </w:rPr>
              <w:t>源强及达标排放情况</w:t>
            </w:r>
          </w:p>
          <w:p>
            <w:pPr>
              <w:pStyle w:val="11"/>
              <w:spacing w:line="360" w:lineRule="auto"/>
              <w:ind w:firstLine="480" w:firstLineChars="200"/>
              <w:jc w:val="both"/>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sz w:val="24"/>
                <w:szCs w:val="24"/>
                <w:highlight w:val="none"/>
              </w:rPr>
              <w:t>项目区生活污水产生量约</w:t>
            </w:r>
            <w:r>
              <w:rPr>
                <w:rFonts w:hint="default" w:ascii="Times New Roman" w:hAnsi="Times New Roman" w:eastAsia="宋体" w:cs="Times New Roman"/>
                <w:sz w:val="24"/>
                <w:szCs w:val="24"/>
                <w:highlight w:val="none"/>
                <w:lang w:val="en-US" w:eastAsia="zh-CN"/>
              </w:rPr>
              <w:t>2.4</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/d</w:t>
            </w:r>
            <w:r>
              <w:rPr>
                <w:rFonts w:hint="eastAsia"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720</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/a</w:t>
            </w:r>
            <w:r>
              <w:rPr>
                <w:rFonts w:hint="eastAsia" w:cs="Times New Roman"/>
                <w:sz w:val="24"/>
                <w:szCs w:val="24"/>
                <w:highlight w:val="none"/>
                <w:lang w:eastAsia="zh-CN"/>
              </w:rPr>
              <w:t>，</w:t>
            </w:r>
            <w:r>
              <w:rPr>
                <w:rFonts w:hint="default" w:ascii="Times New Roman" w:hAnsi="Times New Roman" w:eastAsia="宋体" w:cs="Times New Roman"/>
                <w:sz w:val="24"/>
                <w:szCs w:val="24"/>
                <w:highlight w:val="none"/>
              </w:rPr>
              <w:t>主</w:t>
            </w:r>
            <w:r>
              <w:rPr>
                <w:rFonts w:hint="default" w:ascii="Times New Roman" w:hAnsi="Times New Roman" w:eastAsia="宋体" w:cs="Times New Roman"/>
                <w:spacing w:val="-9"/>
                <w:position w:val="2"/>
                <w:sz w:val="24"/>
                <w:szCs w:val="24"/>
                <w:highlight w:val="none"/>
              </w:rPr>
              <w:t xml:space="preserve">要污染物为 </w:t>
            </w:r>
            <w:r>
              <w:rPr>
                <w:rFonts w:hint="default" w:ascii="Times New Roman" w:hAnsi="Times New Roman" w:eastAsia="宋体" w:cs="Times New Roman"/>
                <w:position w:val="2"/>
                <w:sz w:val="24"/>
                <w:szCs w:val="24"/>
                <w:highlight w:val="none"/>
              </w:rPr>
              <w:t>COD</w:t>
            </w:r>
            <w:r>
              <w:rPr>
                <w:rFonts w:hint="default" w:ascii="Times New Roman" w:hAnsi="Times New Roman" w:eastAsia="宋体" w:cs="Times New Roman"/>
                <w:sz w:val="24"/>
                <w:szCs w:val="24"/>
                <w:highlight w:val="none"/>
              </w:rPr>
              <w:t>cr</w:t>
            </w:r>
            <w:r>
              <w:rPr>
                <w:rFonts w:hint="default" w:ascii="Times New Roman" w:hAnsi="Times New Roman" w:eastAsia="宋体" w:cs="Times New Roman"/>
                <w:spacing w:val="-48"/>
                <w:position w:val="2"/>
                <w:sz w:val="24"/>
                <w:szCs w:val="24"/>
                <w:highlight w:val="none"/>
              </w:rPr>
              <w:t>、</w:t>
            </w:r>
            <w:r>
              <w:rPr>
                <w:rFonts w:hint="default" w:ascii="Times New Roman" w:hAnsi="Times New Roman" w:eastAsia="宋体" w:cs="Times New Roman"/>
                <w:position w:val="2"/>
                <w:sz w:val="24"/>
                <w:szCs w:val="24"/>
                <w:highlight w:val="none"/>
              </w:rPr>
              <w:t>BOD</w:t>
            </w:r>
            <w:r>
              <w:rPr>
                <w:rFonts w:hint="default" w:ascii="Times New Roman" w:hAnsi="Times New Roman" w:eastAsia="宋体" w:cs="Times New Roman"/>
                <w:position w:val="2"/>
                <w:sz w:val="24"/>
                <w:szCs w:val="24"/>
                <w:highlight w:val="none"/>
                <w:vertAlign w:val="subscript"/>
              </w:rPr>
              <w:t>5</w:t>
            </w:r>
            <w:r>
              <w:rPr>
                <w:rFonts w:hint="default" w:ascii="Times New Roman" w:hAnsi="Times New Roman" w:eastAsia="宋体" w:cs="Times New Roman"/>
                <w:spacing w:val="-48"/>
                <w:position w:val="2"/>
                <w:sz w:val="24"/>
                <w:szCs w:val="24"/>
                <w:highlight w:val="none"/>
              </w:rPr>
              <w:t>、</w:t>
            </w:r>
            <w:r>
              <w:rPr>
                <w:rFonts w:hint="default" w:ascii="Times New Roman" w:hAnsi="Times New Roman" w:eastAsia="宋体" w:cs="Times New Roman"/>
                <w:position w:val="2"/>
                <w:sz w:val="24"/>
                <w:szCs w:val="24"/>
                <w:highlight w:val="none"/>
              </w:rPr>
              <w:t>SS</w:t>
            </w:r>
            <w:r>
              <w:rPr>
                <w:rFonts w:hint="default" w:ascii="Times New Roman" w:hAnsi="Times New Roman" w:eastAsia="宋体" w:cs="Times New Roman"/>
                <w:spacing w:val="-16"/>
                <w:position w:val="2"/>
                <w:sz w:val="24"/>
                <w:szCs w:val="24"/>
                <w:highlight w:val="none"/>
              </w:rPr>
              <w:t>、氨氮、</w:t>
            </w:r>
            <w:r>
              <w:rPr>
                <w:rFonts w:hint="default" w:ascii="Times New Roman" w:hAnsi="Times New Roman" w:eastAsia="宋体" w:cs="Times New Roman"/>
                <w:spacing w:val="-7"/>
                <w:sz w:val="24"/>
                <w:szCs w:val="24"/>
                <w:highlight w:val="none"/>
              </w:rPr>
              <w:t>总磷、动植物</w:t>
            </w:r>
            <w:r>
              <w:rPr>
                <w:rFonts w:hint="default" w:ascii="Times New Roman" w:hAnsi="Times New Roman" w:eastAsia="宋体" w:cs="Times New Roman"/>
                <w:color w:val="000000"/>
                <w:sz w:val="24"/>
                <w:szCs w:val="24"/>
                <w:highlight w:val="none"/>
                <w:lang w:val="zh-CN" w:eastAsia="zh-CN" w:bidi="zh-CN"/>
              </w:rPr>
              <w:t>油。</w:t>
            </w:r>
            <w:r>
              <w:rPr>
                <w:rFonts w:hint="default" w:ascii="Times New Roman" w:hAnsi="Times New Roman" w:eastAsia="宋体" w:cs="Times New Roman"/>
                <w:color w:val="000000" w:themeColor="text1"/>
                <w14:textFill>
                  <w14:solidFill>
                    <w14:schemeClr w14:val="tx1"/>
                  </w14:solidFill>
                </w14:textFill>
              </w:rPr>
              <w:t>项目产生的食堂废水先经隔油池处理后与其他生活污水一同排入</w:t>
            </w:r>
            <w:r>
              <w:rPr>
                <w:rFonts w:hint="default" w:ascii="Times New Roman" w:hAnsi="Times New Roman" w:eastAsia="宋体" w:cs="Times New Roman"/>
                <w:color w:val="000000" w:themeColor="text1"/>
                <w:spacing w:val="-6"/>
                <w:szCs w:val="24"/>
                <w14:textFill>
                  <w14:solidFill>
                    <w14:schemeClr w14:val="tx1"/>
                  </w14:solidFill>
                </w14:textFill>
              </w:rPr>
              <w:t>依托</w:t>
            </w:r>
            <w:r>
              <w:rPr>
                <w:rFonts w:hint="default" w:ascii="Times New Roman" w:hAnsi="Times New Roman" w:eastAsia="宋体" w:cs="Times New Roman"/>
                <w:color w:val="000000" w:themeColor="text1"/>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14:textFill>
                  <w14:solidFill>
                    <w14:schemeClr w14:val="tx1"/>
                  </w14:solidFill>
                </w14:textFill>
              </w:rPr>
              <w:t>的化粪池处理</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经处理后</w:t>
            </w:r>
            <w:r>
              <w:rPr>
                <w:rFonts w:hint="default" w:ascii="Times New Roman" w:hAnsi="Times New Roman" w:eastAsia="宋体" w:cs="Times New Roman"/>
                <w:color w:val="000000" w:themeColor="text1"/>
                <w:szCs w:val="24"/>
                <w14:textFill>
                  <w14:solidFill>
                    <w14:schemeClr w14:val="tx1"/>
                  </w14:solidFill>
                </w14:textFill>
              </w:rPr>
              <w:t>可满足《污水排入城镇下水道水质标准》（GB/T31962-2015）</w:t>
            </w:r>
            <w:r>
              <w:rPr>
                <w:rFonts w:hint="default" w:ascii="Times New Roman" w:hAnsi="Times New Roman" w:eastAsia="宋体" w:cs="Times New Roman"/>
                <w:color w:val="000000" w:themeColor="text1"/>
                <w14:textFill>
                  <w14:solidFill>
                    <w14:schemeClr w14:val="tx1"/>
                  </w14:solidFill>
                </w14:textFill>
              </w:rPr>
              <w:t>表1中A级标准</w:t>
            </w:r>
            <w:r>
              <w:rPr>
                <w:rFonts w:hint="default" w:ascii="Times New Roman" w:hAnsi="Times New Roman" w:eastAsia="宋体" w:cs="Times New Roman"/>
                <w:color w:val="000000" w:themeColor="text1"/>
                <w:szCs w:val="24"/>
                <w14:textFill>
                  <w14:solidFill>
                    <w14:schemeClr w14:val="tx1"/>
                  </w14:solidFill>
                </w14:textFill>
              </w:rPr>
              <w:t>后排入园区管网</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最终进入</w:t>
            </w:r>
            <w:r>
              <w:rPr>
                <w:rFonts w:hint="default" w:ascii="Times New Roman" w:hAnsi="Times New Roman" w:eastAsia="宋体" w:cs="Times New Roman"/>
                <w:color w:val="000000" w:themeColor="text1"/>
                <w:szCs w:val="24"/>
                <w:lang w:eastAsia="zh-CN"/>
                <w14:textFill>
                  <w14:solidFill>
                    <w14:schemeClr w14:val="tx1"/>
                  </w14:solidFill>
                </w14:textFill>
              </w:rPr>
              <w:t>晋宁县工业园区二街片区生活污水处理厂</w:t>
            </w:r>
            <w:r>
              <w:rPr>
                <w:rFonts w:hint="default" w:ascii="Times New Roman" w:hAnsi="Times New Roman" w:eastAsia="宋体" w:cs="Times New Roman"/>
                <w:color w:val="000000" w:themeColor="text1"/>
                <w:szCs w:val="24"/>
                <w14:textFill>
                  <w14:solidFill>
                    <w14:schemeClr w14:val="tx1"/>
                  </w14:solidFill>
                </w14:textFill>
              </w:rPr>
              <w:t>处理。</w:t>
            </w:r>
          </w:p>
          <w:p>
            <w:pPr>
              <w:pStyle w:val="45"/>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根据《我国城市生活污水水质统计数据》</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各种污染物的浓度分别为CODcr：400mg/L</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BOD</w:t>
            </w:r>
            <w:r>
              <w:rPr>
                <w:rFonts w:hint="default" w:ascii="Times New Roman" w:hAnsi="Times New Roman" w:eastAsia="宋体" w:cs="Times New Roman"/>
                <w:color w:val="000000"/>
                <w:sz w:val="24"/>
                <w:szCs w:val="24"/>
                <w:highlight w:val="none"/>
                <w:vertAlign w:val="subscript"/>
              </w:rPr>
              <w:t>5</w:t>
            </w:r>
            <w:r>
              <w:rPr>
                <w:rFonts w:hint="default" w:ascii="Times New Roman" w:hAnsi="Times New Roman" w:eastAsia="宋体" w:cs="Times New Roman"/>
                <w:color w:val="000000"/>
                <w:sz w:val="24"/>
                <w:szCs w:val="24"/>
                <w:highlight w:val="none"/>
              </w:rPr>
              <w:t>：220mg/L</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SS：300mg/L</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NH</w:t>
            </w:r>
            <w:r>
              <w:rPr>
                <w:rFonts w:hint="default" w:ascii="Times New Roman" w:hAnsi="Times New Roman" w:eastAsia="宋体" w:cs="Times New Roman"/>
                <w:color w:val="000000"/>
                <w:sz w:val="24"/>
                <w:szCs w:val="24"/>
                <w:highlight w:val="none"/>
                <w:vertAlign w:val="subscript"/>
              </w:rPr>
              <w:t>3</w:t>
            </w:r>
            <w:r>
              <w:rPr>
                <w:rFonts w:hint="default" w:ascii="Times New Roman" w:hAnsi="Times New Roman" w:eastAsia="宋体" w:cs="Times New Roman"/>
                <w:color w:val="000000"/>
                <w:sz w:val="24"/>
                <w:szCs w:val="24"/>
                <w:highlight w:val="none"/>
              </w:rPr>
              <w:t>-N：20mg/L</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动植物油：50mg/L</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TP：7mg/L</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依据《城镇生活源产排污系数手册》</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生活污水经化粪池处理效率为CODcr：20.82</w:t>
            </w:r>
            <w:r>
              <w:rPr>
                <w:rFonts w:hint="default" w:ascii="Times New Roman" w:hAnsi="Times New Roman" w:eastAsia="宋体" w:cs="Times New Roman"/>
                <w:color w:val="000000"/>
                <w:sz w:val="24"/>
                <w:szCs w:val="24"/>
                <w:highlight w:val="none"/>
                <w:lang w:val="en-US"/>
              </w:rPr>
              <w:t>%</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BOD</w:t>
            </w:r>
            <w:r>
              <w:rPr>
                <w:rFonts w:hint="default" w:ascii="Times New Roman" w:hAnsi="Times New Roman" w:eastAsia="宋体" w:cs="Times New Roman"/>
                <w:color w:val="000000"/>
                <w:sz w:val="24"/>
                <w:szCs w:val="24"/>
                <w:highlight w:val="none"/>
                <w:vertAlign w:val="subscript"/>
              </w:rPr>
              <w:t>5</w:t>
            </w:r>
            <w:r>
              <w:rPr>
                <w:rFonts w:hint="default" w:ascii="Times New Roman" w:hAnsi="Times New Roman" w:eastAsia="宋体" w:cs="Times New Roman"/>
                <w:color w:val="000000"/>
                <w:sz w:val="24"/>
                <w:szCs w:val="24"/>
                <w:highlight w:val="none"/>
              </w:rPr>
              <w:t>：17.39</w:t>
            </w:r>
            <w:r>
              <w:rPr>
                <w:rFonts w:hint="default" w:ascii="Times New Roman" w:hAnsi="Times New Roman" w:eastAsia="宋体" w:cs="Times New Roman"/>
                <w:color w:val="000000"/>
                <w:sz w:val="24"/>
                <w:szCs w:val="24"/>
                <w:highlight w:val="none"/>
                <w:lang w:val="en-US"/>
              </w:rPr>
              <w:t>%</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NH</w:t>
            </w:r>
            <w:r>
              <w:rPr>
                <w:rFonts w:hint="default" w:ascii="Times New Roman" w:hAnsi="Times New Roman" w:eastAsia="宋体" w:cs="Times New Roman"/>
                <w:color w:val="000000"/>
                <w:sz w:val="24"/>
                <w:szCs w:val="24"/>
                <w:highlight w:val="none"/>
                <w:vertAlign w:val="subscript"/>
              </w:rPr>
              <w:t>3</w:t>
            </w:r>
            <w:r>
              <w:rPr>
                <w:rFonts w:hint="default" w:ascii="Times New Roman" w:hAnsi="Times New Roman" w:eastAsia="宋体" w:cs="Times New Roman"/>
                <w:color w:val="000000"/>
                <w:sz w:val="24"/>
                <w:szCs w:val="24"/>
                <w:highlight w:val="none"/>
              </w:rPr>
              <w:t>-N：15.71</w:t>
            </w:r>
            <w:r>
              <w:rPr>
                <w:rFonts w:hint="default" w:ascii="Times New Roman" w:hAnsi="Times New Roman" w:eastAsia="宋体" w:cs="Times New Roman"/>
                <w:color w:val="000000"/>
                <w:sz w:val="24"/>
                <w:szCs w:val="24"/>
                <w:highlight w:val="none"/>
                <w:lang w:val="en-US"/>
              </w:rPr>
              <w:t>%</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SS：60</w:t>
            </w:r>
            <w:r>
              <w:rPr>
                <w:rFonts w:hint="default" w:ascii="Times New Roman" w:hAnsi="Times New Roman" w:eastAsia="宋体" w:cs="Times New Roman"/>
                <w:color w:val="000000"/>
                <w:sz w:val="24"/>
                <w:szCs w:val="24"/>
                <w:highlight w:val="none"/>
                <w:lang w:val="en-US"/>
              </w:rPr>
              <w:t>%</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TP：14.9</w:t>
            </w:r>
            <w:r>
              <w:rPr>
                <w:rFonts w:hint="default" w:ascii="Times New Roman" w:hAnsi="Times New Roman" w:eastAsia="宋体" w:cs="Times New Roman"/>
                <w:color w:val="000000"/>
                <w:sz w:val="24"/>
                <w:szCs w:val="24"/>
                <w:highlight w:val="none"/>
                <w:lang w:val="en-US"/>
              </w:rPr>
              <w:t>%</w:t>
            </w:r>
            <w:r>
              <w:rPr>
                <w:rFonts w:hint="default" w:ascii="Times New Roman" w:hAnsi="Times New Roman" w:eastAsia="宋体" w:cs="Times New Roman"/>
                <w:color w:val="000000"/>
                <w:sz w:val="24"/>
                <w:szCs w:val="24"/>
                <w:highlight w:val="none"/>
              </w:rPr>
              <w:t>。根据分析</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项目水污染物产生及排放量汇总见表4-</w:t>
            </w:r>
            <w:r>
              <w:rPr>
                <w:rFonts w:hint="default" w:ascii="Times New Roman" w:hAnsi="Times New Roman" w:eastAsia="宋体" w:cs="Times New Roman"/>
                <w:color w:val="000000"/>
                <w:sz w:val="24"/>
                <w:szCs w:val="24"/>
                <w:highlight w:val="none"/>
                <w:lang w:val="en-US" w:eastAsia="zh-CN"/>
              </w:rPr>
              <w:t>1</w:t>
            </w:r>
            <w:r>
              <w:rPr>
                <w:rFonts w:hint="eastAsia" w:ascii="Times New Roman" w:hAnsi="Times New Roman" w:cs="Times New Roman"/>
                <w:color w:val="000000"/>
                <w:sz w:val="24"/>
                <w:szCs w:val="24"/>
                <w:highlight w:val="none"/>
                <w:lang w:val="en-US" w:eastAsia="zh-CN"/>
              </w:rPr>
              <w:t>1</w:t>
            </w:r>
            <w:r>
              <w:rPr>
                <w:rFonts w:hint="default" w:ascii="Times New Roman" w:hAnsi="Times New Roman" w:eastAsia="宋体" w:cs="Times New Roman"/>
                <w:color w:val="000000"/>
                <w:sz w:val="24"/>
                <w:szCs w:val="24"/>
                <w:highlight w:val="none"/>
              </w:rPr>
              <w:t>。</w:t>
            </w:r>
          </w:p>
          <w:p>
            <w:pPr>
              <w:pStyle w:val="8"/>
              <w:rPr>
                <w:rFonts w:hint="default" w:ascii="Times New Roman" w:hAnsi="Times New Roman" w:eastAsia="宋体" w:cs="Times New Roman"/>
                <w:sz w:val="24"/>
                <w:highlight w:val="none"/>
              </w:rPr>
            </w:pPr>
            <w:r>
              <w:rPr>
                <w:rFonts w:hint="default" w:ascii="Times New Roman" w:hAnsi="Times New Roman" w:eastAsia="宋体" w:cs="Times New Roman"/>
                <w:color w:val="000000"/>
                <w:highlight w:val="none"/>
              </w:rPr>
              <w:t>表4-</w:t>
            </w:r>
            <w:r>
              <w:rPr>
                <w:rFonts w:hint="default" w:ascii="Times New Roman" w:hAnsi="Times New Roman" w:eastAsia="宋体" w:cs="Times New Roman"/>
                <w:color w:val="000000"/>
                <w:highlight w:val="none"/>
                <w:lang w:val="en-US" w:eastAsia="zh-CN"/>
              </w:rPr>
              <w:t>1</w:t>
            </w:r>
            <w:r>
              <w:rPr>
                <w:rFonts w:hint="eastAsia" w:cs="Times New Roman"/>
                <w:color w:val="000000"/>
                <w:highlight w:val="none"/>
                <w:lang w:val="en-US" w:eastAsia="zh-CN"/>
              </w:rPr>
              <w:t>1</w:t>
            </w:r>
            <w:r>
              <w:rPr>
                <w:rFonts w:hint="default" w:ascii="Times New Roman" w:hAnsi="Times New Roman" w:eastAsia="宋体" w:cs="Times New Roman"/>
                <w:color w:val="000000"/>
                <w:highlight w:val="none"/>
              </w:rPr>
              <w:t>项目水污染物产生及排放量</w:t>
            </w:r>
          </w:p>
          <w:tbl>
            <w:tblPr>
              <w:tblStyle w:val="27"/>
              <w:tblW w:w="48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192"/>
              <w:gridCol w:w="1524"/>
              <w:gridCol w:w="1496"/>
              <w:gridCol w:w="1526"/>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restar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排放源</w:t>
                  </w:r>
                </w:p>
              </w:tc>
              <w:tc>
                <w:tcPr>
                  <w:tcW w:w="725" w:type="pct"/>
                  <w:vMerge w:val="restar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污染物名称</w:t>
                  </w:r>
                </w:p>
              </w:tc>
              <w:tc>
                <w:tcPr>
                  <w:tcW w:w="1837" w:type="pct"/>
                  <w:gridSpan w:val="2"/>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处理前</w:t>
                  </w:r>
                </w:p>
              </w:tc>
              <w:tc>
                <w:tcPr>
                  <w:tcW w:w="1965" w:type="pct"/>
                  <w:gridSpan w:val="2"/>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处理后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7"/>
                    <w:rPr>
                      <w:rFonts w:hint="default" w:ascii="Times New Roman" w:hAnsi="Times New Roman" w:eastAsia="宋体" w:cs="Times New Roman"/>
                      <w:b w:val="0"/>
                      <w:bCs w:val="0"/>
                      <w:color w:val="auto"/>
                      <w:highlight w:val="none"/>
                    </w:rPr>
                  </w:pPr>
                </w:p>
              </w:tc>
              <w:tc>
                <w:tcPr>
                  <w:tcW w:w="725" w:type="pct"/>
                  <w:vMerge w:val="continue"/>
                  <w:tcBorders>
                    <w:tl2br w:val="nil"/>
                    <w:tr2bl w:val="nil"/>
                  </w:tcBorders>
                  <w:vAlign w:val="center"/>
                </w:tcPr>
                <w:p>
                  <w:pPr>
                    <w:pStyle w:val="47"/>
                    <w:rPr>
                      <w:rFonts w:hint="default" w:ascii="Times New Roman" w:hAnsi="Times New Roman" w:eastAsia="宋体" w:cs="Times New Roman"/>
                      <w:b w:val="0"/>
                      <w:bCs w:val="0"/>
                      <w:color w:val="auto"/>
                      <w:highlight w:val="none"/>
                    </w:rPr>
                  </w:pPr>
                </w:p>
              </w:tc>
              <w:tc>
                <w:tcPr>
                  <w:tcW w:w="927"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产生浓度</w:t>
                  </w:r>
                </w:p>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（mg/L）</w:t>
                  </w:r>
                </w:p>
              </w:tc>
              <w:tc>
                <w:tcPr>
                  <w:tcW w:w="909"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产生量</w:t>
                  </w:r>
                </w:p>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（t/a）</w:t>
                  </w:r>
                </w:p>
              </w:tc>
              <w:tc>
                <w:tcPr>
                  <w:tcW w:w="928"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排放浓度</w:t>
                  </w:r>
                </w:p>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（mg/L）</w:t>
                  </w:r>
                </w:p>
              </w:tc>
              <w:tc>
                <w:tcPr>
                  <w:tcW w:w="1036"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排放量</w:t>
                  </w:r>
                </w:p>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restar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生活</w:t>
                  </w:r>
                </w:p>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污水</w:t>
                  </w:r>
                </w:p>
              </w:tc>
              <w:tc>
                <w:tcPr>
                  <w:tcW w:w="725"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废水量</w:t>
                  </w:r>
                </w:p>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（m</w:t>
                  </w:r>
                  <w:r>
                    <w:rPr>
                      <w:rFonts w:hint="default" w:ascii="Times New Roman" w:hAnsi="Times New Roman" w:eastAsia="宋体" w:cs="Times New Roman"/>
                      <w:b w:val="0"/>
                      <w:bCs w:val="0"/>
                      <w:color w:val="auto"/>
                      <w:highlight w:val="none"/>
                      <w:vertAlign w:val="superscript"/>
                    </w:rPr>
                    <w:t>3</w:t>
                  </w:r>
                  <w:r>
                    <w:rPr>
                      <w:rFonts w:hint="default" w:ascii="Times New Roman" w:hAnsi="Times New Roman" w:eastAsia="宋体" w:cs="Times New Roman"/>
                      <w:b w:val="0"/>
                      <w:bCs w:val="0"/>
                      <w:color w:val="auto"/>
                      <w:highlight w:val="none"/>
                    </w:rPr>
                    <w:t>/a）</w:t>
                  </w:r>
                </w:p>
              </w:tc>
              <w:tc>
                <w:tcPr>
                  <w:tcW w:w="1837" w:type="pct"/>
                  <w:gridSpan w:val="2"/>
                  <w:tcBorders>
                    <w:tl2br w:val="nil"/>
                    <w:tr2bl w:val="nil"/>
                  </w:tcBorders>
                  <w:vAlign w:val="center"/>
                </w:tcPr>
                <w:p>
                  <w:pPr>
                    <w:pStyle w:val="47"/>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720</w:t>
                  </w:r>
                </w:p>
              </w:tc>
              <w:tc>
                <w:tcPr>
                  <w:tcW w:w="1965" w:type="pct"/>
                  <w:gridSpan w:val="2"/>
                  <w:tcBorders>
                    <w:tl2br w:val="nil"/>
                    <w:tr2bl w:val="nil"/>
                  </w:tcBorders>
                  <w:vAlign w:val="center"/>
                </w:tcPr>
                <w:p>
                  <w:pPr>
                    <w:pStyle w:val="47"/>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7"/>
                    <w:rPr>
                      <w:rFonts w:hint="default" w:ascii="Times New Roman" w:hAnsi="Times New Roman" w:eastAsia="宋体" w:cs="Times New Roman"/>
                      <w:b w:val="0"/>
                      <w:bCs w:val="0"/>
                      <w:color w:val="auto"/>
                      <w:highlight w:val="none"/>
                    </w:rPr>
                  </w:pPr>
                </w:p>
              </w:tc>
              <w:tc>
                <w:tcPr>
                  <w:tcW w:w="725"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COD</w:t>
                  </w:r>
                  <w:r>
                    <w:rPr>
                      <w:rFonts w:hint="default" w:ascii="Times New Roman" w:hAnsi="Times New Roman" w:eastAsia="宋体" w:cs="Times New Roman"/>
                      <w:b w:val="0"/>
                      <w:bCs w:val="0"/>
                      <w:color w:val="auto"/>
                      <w:highlight w:val="none"/>
                      <w:vertAlign w:val="subscript"/>
                    </w:rPr>
                    <w:t>cr</w:t>
                  </w:r>
                </w:p>
              </w:tc>
              <w:tc>
                <w:tcPr>
                  <w:tcW w:w="927"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400</w:t>
                  </w:r>
                </w:p>
              </w:tc>
              <w:tc>
                <w:tcPr>
                  <w:tcW w:w="1525" w:type="dxa"/>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 xml:space="preserve">0.288 </w:t>
                  </w:r>
                </w:p>
              </w:tc>
              <w:tc>
                <w:tcPr>
                  <w:tcW w:w="928"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317</w:t>
                  </w:r>
                </w:p>
              </w:tc>
              <w:tc>
                <w:tcPr>
                  <w:tcW w:w="1738" w:type="dxa"/>
                  <w:tcBorders>
                    <w:tl2br w:val="nil"/>
                    <w:tr2bl w:val="nil"/>
                  </w:tcBorders>
                  <w:vAlign w:val="center"/>
                </w:tcPr>
                <w:p>
                  <w:pPr>
                    <w:pStyle w:val="47"/>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0.228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471" w:type="pct"/>
                  <w:vMerge w:val="continue"/>
                  <w:tcBorders>
                    <w:tl2br w:val="nil"/>
                    <w:tr2bl w:val="nil"/>
                  </w:tcBorders>
                  <w:vAlign w:val="center"/>
                </w:tcPr>
                <w:p>
                  <w:pPr>
                    <w:pStyle w:val="47"/>
                    <w:rPr>
                      <w:rFonts w:hint="default" w:ascii="Times New Roman" w:hAnsi="Times New Roman" w:eastAsia="宋体" w:cs="Times New Roman"/>
                      <w:b w:val="0"/>
                      <w:bCs w:val="0"/>
                      <w:color w:val="auto"/>
                      <w:highlight w:val="none"/>
                    </w:rPr>
                  </w:pPr>
                </w:p>
              </w:tc>
              <w:tc>
                <w:tcPr>
                  <w:tcW w:w="725"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BOD</w:t>
                  </w:r>
                  <w:r>
                    <w:rPr>
                      <w:rFonts w:hint="default" w:ascii="Times New Roman" w:hAnsi="Times New Roman" w:eastAsia="宋体" w:cs="Times New Roman"/>
                      <w:b w:val="0"/>
                      <w:bCs w:val="0"/>
                      <w:color w:val="auto"/>
                      <w:highlight w:val="none"/>
                      <w:vertAlign w:val="subscript"/>
                    </w:rPr>
                    <w:t>5</w:t>
                  </w:r>
                </w:p>
              </w:tc>
              <w:tc>
                <w:tcPr>
                  <w:tcW w:w="927"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220</w:t>
                  </w:r>
                </w:p>
              </w:tc>
              <w:tc>
                <w:tcPr>
                  <w:tcW w:w="1525" w:type="dxa"/>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 xml:space="preserve">0.158 </w:t>
                  </w:r>
                </w:p>
              </w:tc>
              <w:tc>
                <w:tcPr>
                  <w:tcW w:w="928"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182</w:t>
                  </w:r>
                </w:p>
              </w:tc>
              <w:tc>
                <w:tcPr>
                  <w:tcW w:w="1738" w:type="dxa"/>
                  <w:tcBorders>
                    <w:tl2br w:val="nil"/>
                    <w:tr2bl w:val="nil"/>
                  </w:tcBorders>
                  <w:vAlign w:val="center"/>
                </w:tcPr>
                <w:p>
                  <w:pPr>
                    <w:pStyle w:val="47"/>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0.131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7"/>
                    <w:rPr>
                      <w:rFonts w:hint="default" w:ascii="Times New Roman" w:hAnsi="Times New Roman" w:eastAsia="宋体" w:cs="Times New Roman"/>
                      <w:b w:val="0"/>
                      <w:bCs w:val="0"/>
                      <w:color w:val="auto"/>
                      <w:highlight w:val="none"/>
                    </w:rPr>
                  </w:pPr>
                </w:p>
              </w:tc>
              <w:tc>
                <w:tcPr>
                  <w:tcW w:w="725"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氨氮</w:t>
                  </w:r>
                </w:p>
              </w:tc>
              <w:tc>
                <w:tcPr>
                  <w:tcW w:w="927"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20</w:t>
                  </w:r>
                </w:p>
              </w:tc>
              <w:tc>
                <w:tcPr>
                  <w:tcW w:w="1525" w:type="dxa"/>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 xml:space="preserve">0.014 </w:t>
                  </w:r>
                </w:p>
              </w:tc>
              <w:tc>
                <w:tcPr>
                  <w:tcW w:w="928"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17</w:t>
                  </w:r>
                </w:p>
              </w:tc>
              <w:tc>
                <w:tcPr>
                  <w:tcW w:w="1738" w:type="dxa"/>
                  <w:tcBorders>
                    <w:tl2br w:val="nil"/>
                    <w:tr2bl w:val="nil"/>
                  </w:tcBorders>
                  <w:vAlign w:val="center"/>
                </w:tcPr>
                <w:p>
                  <w:pPr>
                    <w:pStyle w:val="47"/>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0.012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7"/>
                    <w:rPr>
                      <w:rFonts w:hint="default" w:ascii="Times New Roman" w:hAnsi="Times New Roman" w:eastAsia="宋体" w:cs="Times New Roman"/>
                      <w:b w:val="0"/>
                      <w:bCs w:val="0"/>
                      <w:color w:val="auto"/>
                      <w:highlight w:val="none"/>
                    </w:rPr>
                  </w:pPr>
                </w:p>
              </w:tc>
              <w:tc>
                <w:tcPr>
                  <w:tcW w:w="725"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总磷</w:t>
                  </w:r>
                </w:p>
              </w:tc>
              <w:tc>
                <w:tcPr>
                  <w:tcW w:w="927"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7</w:t>
                  </w:r>
                </w:p>
              </w:tc>
              <w:tc>
                <w:tcPr>
                  <w:tcW w:w="1525" w:type="dxa"/>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 xml:space="preserve">0.005 </w:t>
                  </w:r>
                </w:p>
              </w:tc>
              <w:tc>
                <w:tcPr>
                  <w:tcW w:w="928"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6</w:t>
                  </w:r>
                </w:p>
              </w:tc>
              <w:tc>
                <w:tcPr>
                  <w:tcW w:w="1738" w:type="dxa"/>
                  <w:tcBorders>
                    <w:tl2br w:val="nil"/>
                    <w:tr2bl w:val="nil"/>
                  </w:tcBorders>
                  <w:vAlign w:val="center"/>
                </w:tcPr>
                <w:p>
                  <w:pPr>
                    <w:pStyle w:val="47"/>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71" w:type="pct"/>
                  <w:vMerge w:val="continue"/>
                  <w:tcBorders>
                    <w:tl2br w:val="nil"/>
                    <w:tr2bl w:val="nil"/>
                  </w:tcBorders>
                  <w:vAlign w:val="center"/>
                </w:tcPr>
                <w:p>
                  <w:pPr>
                    <w:pStyle w:val="47"/>
                    <w:rPr>
                      <w:rFonts w:hint="default" w:ascii="Times New Roman" w:hAnsi="Times New Roman" w:eastAsia="宋体" w:cs="Times New Roman"/>
                      <w:b w:val="0"/>
                      <w:bCs w:val="0"/>
                      <w:color w:val="auto"/>
                      <w:highlight w:val="none"/>
                    </w:rPr>
                  </w:pPr>
                </w:p>
              </w:tc>
              <w:tc>
                <w:tcPr>
                  <w:tcW w:w="725"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动植物油</w:t>
                  </w:r>
                </w:p>
              </w:tc>
              <w:tc>
                <w:tcPr>
                  <w:tcW w:w="927"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50</w:t>
                  </w:r>
                </w:p>
              </w:tc>
              <w:tc>
                <w:tcPr>
                  <w:tcW w:w="1525" w:type="dxa"/>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 xml:space="preserve">0.036 </w:t>
                  </w:r>
                </w:p>
              </w:tc>
              <w:tc>
                <w:tcPr>
                  <w:tcW w:w="928"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18</w:t>
                  </w:r>
                </w:p>
              </w:tc>
              <w:tc>
                <w:tcPr>
                  <w:tcW w:w="1738" w:type="dxa"/>
                  <w:tcBorders>
                    <w:tl2br w:val="nil"/>
                    <w:tr2bl w:val="nil"/>
                  </w:tcBorders>
                  <w:vAlign w:val="center"/>
                </w:tcPr>
                <w:p>
                  <w:pPr>
                    <w:pStyle w:val="47"/>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0.013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7"/>
                    <w:rPr>
                      <w:rFonts w:hint="default" w:ascii="Times New Roman" w:hAnsi="Times New Roman" w:eastAsia="宋体" w:cs="Times New Roman"/>
                      <w:b w:val="0"/>
                      <w:bCs w:val="0"/>
                      <w:color w:val="auto"/>
                      <w:highlight w:val="none"/>
                    </w:rPr>
                  </w:pPr>
                </w:p>
              </w:tc>
              <w:tc>
                <w:tcPr>
                  <w:tcW w:w="725"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悬浮物</w:t>
                  </w:r>
                </w:p>
              </w:tc>
              <w:tc>
                <w:tcPr>
                  <w:tcW w:w="927"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300</w:t>
                  </w:r>
                </w:p>
              </w:tc>
              <w:tc>
                <w:tcPr>
                  <w:tcW w:w="1525" w:type="dxa"/>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 xml:space="preserve">0.216 </w:t>
                  </w:r>
                </w:p>
              </w:tc>
              <w:tc>
                <w:tcPr>
                  <w:tcW w:w="928" w:type="pct"/>
                  <w:tcBorders>
                    <w:tl2br w:val="nil"/>
                    <w:tr2bl w:val="nil"/>
                  </w:tcBorders>
                  <w:vAlign w:val="center"/>
                </w:tcPr>
                <w:p>
                  <w:pPr>
                    <w:pStyle w:val="4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120</w:t>
                  </w:r>
                </w:p>
              </w:tc>
              <w:tc>
                <w:tcPr>
                  <w:tcW w:w="1738" w:type="dxa"/>
                  <w:tcBorders>
                    <w:tl2br w:val="nil"/>
                    <w:tr2bl w:val="nil"/>
                  </w:tcBorders>
                  <w:vAlign w:val="center"/>
                </w:tcPr>
                <w:p>
                  <w:pPr>
                    <w:pStyle w:val="47"/>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0.086 </w:t>
                  </w:r>
                </w:p>
              </w:tc>
            </w:tr>
          </w:tbl>
          <w:p>
            <w:pPr>
              <w:pStyle w:val="11"/>
              <w:spacing w:line="360" w:lineRule="auto"/>
              <w:ind w:firstLine="480" w:firstLineChars="200"/>
              <w:jc w:val="both"/>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b w:val="0"/>
                <w:bCs w:val="0"/>
                <w:sz w:val="24"/>
                <w:szCs w:val="24"/>
                <w:highlight w:val="none"/>
                <w:lang w:val="en-US"/>
              </w:rPr>
              <w:t>由上表可知</w:t>
            </w:r>
            <w:r>
              <w:rPr>
                <w:rFonts w:hint="eastAsia" w:cs="Times New Roman"/>
                <w:b w:val="0"/>
                <w:bCs w:val="0"/>
                <w:sz w:val="24"/>
                <w:szCs w:val="24"/>
                <w:highlight w:val="none"/>
                <w:lang w:val="en-US" w:eastAsia="zh-CN"/>
              </w:rPr>
              <w:t>，</w:t>
            </w:r>
            <w:r>
              <w:rPr>
                <w:rFonts w:hint="default" w:ascii="Times New Roman" w:hAnsi="Times New Roman" w:eastAsia="宋体" w:cs="Times New Roman"/>
                <w:color w:val="000000" w:themeColor="text1"/>
                <w14:textFill>
                  <w14:solidFill>
                    <w14:schemeClr w14:val="tx1"/>
                  </w14:solidFill>
                </w14:textFill>
              </w:rPr>
              <w:t>项目产生的食堂废水先经隔油池处理后与其他生活污水一同排入</w:t>
            </w:r>
            <w:r>
              <w:rPr>
                <w:rFonts w:hint="default" w:ascii="Times New Roman" w:hAnsi="Times New Roman" w:eastAsia="宋体" w:cs="Times New Roman"/>
                <w:color w:val="000000" w:themeColor="text1"/>
                <w:spacing w:val="-6"/>
                <w:szCs w:val="24"/>
                <w14:textFill>
                  <w14:solidFill>
                    <w14:schemeClr w14:val="tx1"/>
                  </w14:solidFill>
                </w14:textFill>
              </w:rPr>
              <w:t>依托</w:t>
            </w:r>
            <w:r>
              <w:rPr>
                <w:rFonts w:hint="default" w:ascii="Times New Roman" w:hAnsi="Times New Roman" w:eastAsia="宋体" w:cs="Times New Roman"/>
                <w:color w:val="000000" w:themeColor="text1"/>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14:textFill>
                  <w14:solidFill>
                    <w14:schemeClr w14:val="tx1"/>
                  </w14:solidFill>
                </w14:textFill>
              </w:rPr>
              <w:t>的化粪池处理</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经处理后</w:t>
            </w:r>
            <w:r>
              <w:rPr>
                <w:rFonts w:hint="default" w:ascii="Times New Roman" w:hAnsi="Times New Roman" w:eastAsia="宋体" w:cs="Times New Roman"/>
                <w:color w:val="000000" w:themeColor="text1"/>
                <w:szCs w:val="24"/>
                <w14:textFill>
                  <w14:solidFill>
                    <w14:schemeClr w14:val="tx1"/>
                  </w14:solidFill>
                </w14:textFill>
              </w:rPr>
              <w:t>可满足《污水排入城镇下水道水质标准》（GB/T31962-2015）</w:t>
            </w:r>
            <w:r>
              <w:rPr>
                <w:rFonts w:hint="default" w:ascii="Times New Roman" w:hAnsi="Times New Roman" w:eastAsia="宋体" w:cs="Times New Roman"/>
                <w:color w:val="000000" w:themeColor="text1"/>
                <w14:textFill>
                  <w14:solidFill>
                    <w14:schemeClr w14:val="tx1"/>
                  </w14:solidFill>
                </w14:textFill>
              </w:rPr>
              <w:t>表1中A级标准</w:t>
            </w:r>
            <w:r>
              <w:rPr>
                <w:rFonts w:hint="default" w:ascii="Times New Roman" w:hAnsi="Times New Roman" w:eastAsia="宋体" w:cs="Times New Roman"/>
                <w:color w:val="000000" w:themeColor="text1"/>
                <w:szCs w:val="24"/>
                <w14:textFill>
                  <w14:solidFill>
                    <w14:schemeClr w14:val="tx1"/>
                  </w14:solidFill>
                </w14:textFill>
              </w:rPr>
              <w:t>后排入园区管网</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最终进入</w:t>
            </w:r>
            <w:r>
              <w:rPr>
                <w:rFonts w:hint="default" w:ascii="Times New Roman" w:hAnsi="Times New Roman" w:eastAsia="宋体" w:cs="Times New Roman"/>
                <w:color w:val="000000" w:themeColor="text1"/>
                <w:szCs w:val="24"/>
                <w:lang w:eastAsia="zh-CN"/>
                <w14:textFill>
                  <w14:solidFill>
                    <w14:schemeClr w14:val="tx1"/>
                  </w14:solidFill>
                </w14:textFill>
              </w:rPr>
              <w:t>晋宁县工业园区二街片区生活污水处理厂</w:t>
            </w:r>
            <w:r>
              <w:rPr>
                <w:rFonts w:hint="default" w:ascii="Times New Roman" w:hAnsi="Times New Roman" w:eastAsia="宋体" w:cs="Times New Roman"/>
                <w:color w:val="000000" w:themeColor="text1"/>
                <w:szCs w:val="24"/>
                <w14:textFill>
                  <w14:solidFill>
                    <w14:schemeClr w14:val="tx1"/>
                  </w14:solidFill>
                </w14:textFill>
              </w:rPr>
              <w:t>处理。</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14:textFill>
                  <w14:solidFill>
                    <w14:schemeClr w14:val="tx1"/>
                  </w14:solidFill>
                </w14:textFill>
              </w:rPr>
              <w:t>、污水处理设施可行性分析</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①隔油池可行性分析</w:t>
            </w:r>
          </w:p>
          <w:p>
            <w:pPr>
              <w:pStyle w:val="2"/>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根据《建筑给水排水设计规范2009年版》（GB50015-2003）：</w:t>
            </w:r>
            <w:r>
              <w:rPr>
                <w:rFonts w:hint="default" w:ascii="Times New Roman" w:hAnsi="Times New Roman" w:eastAsia="宋体" w:cs="Times New Roman"/>
                <w:color w:val="000000" w:themeColor="text1"/>
                <w:sz w:val="24"/>
                <w:szCs w:val="24"/>
                <w:lang w:val="zh-CN"/>
                <w14:textFill>
                  <w14:solidFill>
                    <w14:schemeClr w14:val="tx1"/>
                  </w14:solidFill>
                </w14:textFill>
              </w:rPr>
              <w:t>污水在隔油池内的流速控制在0.005m/s之内</w:t>
            </w:r>
            <w:r>
              <w:rPr>
                <w:rFonts w:hint="eastAsia" w:ascii="Times New Roman" w:hAnsi="Times New Roman" w:cs="Times New Roman"/>
                <w:color w:val="000000" w:themeColor="text1"/>
                <w:sz w:val="24"/>
                <w:szCs w:val="24"/>
                <w:lang w:val="zh-CN"/>
                <w14:textFill>
                  <w14:solidFill>
                    <w14:schemeClr w14:val="tx1"/>
                  </w14:solidFill>
                </w14:textFill>
              </w:rPr>
              <w:t>，</w:t>
            </w:r>
            <w:r>
              <w:rPr>
                <w:rFonts w:hint="default" w:ascii="Times New Roman" w:hAnsi="Times New Roman" w:eastAsia="宋体" w:cs="Times New Roman"/>
                <w:color w:val="000000" w:themeColor="text1"/>
                <w:sz w:val="24"/>
                <w:szCs w:val="24"/>
                <w:lang w:val="zh-CN"/>
                <w14:textFill>
                  <w14:solidFill>
                    <w14:schemeClr w14:val="tx1"/>
                  </w14:solidFill>
                </w14:textFill>
              </w:rPr>
              <w:t>有利于油脂颗粒上浮。污水在池内的停留时间的选择</w:t>
            </w:r>
            <w:r>
              <w:rPr>
                <w:rFonts w:hint="eastAsia" w:ascii="Times New Roman" w:hAnsi="Times New Roman" w:cs="Times New Roman"/>
                <w:color w:val="000000" w:themeColor="text1"/>
                <w:sz w:val="24"/>
                <w:szCs w:val="24"/>
                <w:lang w:val="zh-CN"/>
                <w14:textFill>
                  <w14:solidFill>
                    <w14:schemeClr w14:val="tx1"/>
                  </w14:solidFill>
                </w14:textFill>
              </w:rPr>
              <w:t>，</w:t>
            </w:r>
            <w:r>
              <w:rPr>
                <w:rFonts w:hint="default" w:ascii="Times New Roman" w:hAnsi="Times New Roman" w:eastAsia="宋体" w:cs="Times New Roman"/>
                <w:color w:val="000000" w:themeColor="text1"/>
                <w:sz w:val="24"/>
                <w:szCs w:val="24"/>
                <w:lang w:val="zh-CN"/>
                <w14:textFill>
                  <w14:solidFill>
                    <w14:schemeClr w14:val="tx1"/>
                  </w14:solidFill>
                </w14:textFill>
              </w:rPr>
              <w:t>可根据建筑物性质确定</w:t>
            </w:r>
            <w:r>
              <w:rPr>
                <w:rFonts w:hint="eastAsia" w:ascii="Times New Roman" w:hAnsi="Times New Roman" w:cs="Times New Roman"/>
                <w:color w:val="000000" w:themeColor="text1"/>
                <w:sz w:val="24"/>
                <w:szCs w:val="24"/>
                <w:lang w:val="zh-CN"/>
                <w14:textFill>
                  <w14:solidFill>
                    <w14:schemeClr w14:val="tx1"/>
                  </w14:solidFill>
                </w14:textFill>
              </w:rPr>
              <w:t>，</w:t>
            </w:r>
            <w:r>
              <w:rPr>
                <w:rFonts w:hint="default" w:ascii="Times New Roman" w:hAnsi="Times New Roman" w:eastAsia="宋体" w:cs="Times New Roman"/>
                <w:color w:val="000000" w:themeColor="text1"/>
                <w:sz w:val="24"/>
                <w:szCs w:val="24"/>
                <w:lang w:val="zh-CN"/>
                <w14:textFill>
                  <w14:solidFill>
                    <w14:schemeClr w14:val="tx1"/>
                  </w14:solidFill>
                </w14:textFill>
              </w:rPr>
              <w:t>用油量较多者取上限值</w:t>
            </w:r>
            <w:r>
              <w:rPr>
                <w:rFonts w:hint="eastAsia" w:ascii="Times New Roman" w:hAnsi="Times New Roman" w:cs="Times New Roman"/>
                <w:color w:val="000000" w:themeColor="text1"/>
                <w:sz w:val="24"/>
                <w:szCs w:val="24"/>
                <w:lang w:val="zh-CN"/>
                <w14:textFill>
                  <w14:solidFill>
                    <w14:schemeClr w14:val="tx1"/>
                  </w14:solidFill>
                </w14:textFill>
              </w:rPr>
              <w:t>，</w:t>
            </w:r>
            <w:r>
              <w:rPr>
                <w:rFonts w:hint="default" w:ascii="Times New Roman" w:hAnsi="Times New Roman" w:eastAsia="宋体" w:cs="Times New Roman"/>
                <w:color w:val="000000" w:themeColor="text1"/>
                <w:sz w:val="24"/>
                <w:szCs w:val="24"/>
                <w:lang w:val="zh-CN"/>
                <w14:textFill>
                  <w14:solidFill>
                    <w14:schemeClr w14:val="tx1"/>
                  </w14:solidFill>
                </w14:textFill>
              </w:rPr>
              <w:t>用油量较少者取下限值。参照实践经验</w:t>
            </w:r>
            <w:r>
              <w:rPr>
                <w:rFonts w:hint="eastAsia" w:ascii="Times New Roman" w:hAnsi="Times New Roman" w:cs="Times New Roman"/>
                <w:color w:val="000000" w:themeColor="text1"/>
                <w:sz w:val="24"/>
                <w:szCs w:val="24"/>
                <w:lang w:val="zh-CN"/>
                <w14:textFill>
                  <w14:solidFill>
                    <w14:schemeClr w14:val="tx1"/>
                  </w14:solidFill>
                </w14:textFill>
              </w:rPr>
              <w:t>，</w:t>
            </w:r>
            <w:r>
              <w:rPr>
                <w:rFonts w:hint="default" w:ascii="Times New Roman" w:hAnsi="Times New Roman" w:eastAsia="宋体" w:cs="Times New Roman"/>
                <w:color w:val="000000" w:themeColor="text1"/>
                <w:sz w:val="24"/>
                <w:szCs w:val="24"/>
                <w:lang w:val="zh-CN"/>
                <w14:textFill>
                  <w14:solidFill>
                    <w14:schemeClr w14:val="tx1"/>
                  </w14:solidFill>
                </w14:textFill>
              </w:rPr>
              <w:t>存油部分的容积不宜小于该池有效容积的25%；隔油池的有效容积可根据厨房洗涤废水的流量和废水在池内停留时间决定</w:t>
            </w:r>
            <w:r>
              <w:rPr>
                <w:rFonts w:hint="eastAsia" w:ascii="Times New Roman" w:hAnsi="Times New Roman" w:cs="Times New Roman"/>
                <w:color w:val="000000" w:themeColor="text1"/>
                <w:sz w:val="24"/>
                <w:szCs w:val="24"/>
                <w:lang w:val="zh-CN"/>
                <w14:textFill>
                  <w14:solidFill>
                    <w14:schemeClr w14:val="tx1"/>
                  </w14:solidFill>
                </w14:textFill>
              </w:rPr>
              <w:t>，</w:t>
            </w:r>
            <w:r>
              <w:rPr>
                <w:rFonts w:hint="default" w:ascii="Times New Roman" w:hAnsi="Times New Roman" w:eastAsia="宋体" w:cs="Times New Roman"/>
                <w:color w:val="000000" w:themeColor="text1"/>
                <w:sz w:val="24"/>
                <w:szCs w:val="24"/>
                <w:lang w:val="zh-CN"/>
                <w14:textFill>
                  <w14:solidFill>
                    <w14:schemeClr w14:val="tx1"/>
                  </w14:solidFill>
                </w14:textFill>
              </w:rPr>
              <w:t>其有效容积是指隔油池出口管管底标高以下的池容积。存油部分容积是指出水挡板的下端至水面油水分离室的容积。</w:t>
            </w:r>
          </w:p>
          <w:p>
            <w:pPr>
              <w:pStyle w:val="2"/>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w:t>
            </w:r>
            <w:r>
              <w:rPr>
                <w:rFonts w:hint="default" w:ascii="Times New Roman" w:hAnsi="Times New Roman" w:eastAsia="宋体" w:cs="Times New Roman"/>
                <w:color w:val="000000" w:themeColor="text1"/>
                <w:sz w:val="24"/>
                <w:szCs w:val="24"/>
                <w:shd w:val="clear" w:color="auto" w:fill="FFFFFF"/>
                <w14:textFill>
                  <w14:solidFill>
                    <w14:schemeClr w14:val="tx1"/>
                  </w14:solidFill>
                </w14:textFill>
              </w:rPr>
              <w:t>餐饮隔油池容积计算公式：</w:t>
            </w:r>
          </w:p>
          <w:p>
            <w:pPr>
              <w:pStyle w:val="2"/>
              <w:adjustRightInd w:val="0"/>
              <w:snapToGrid w:val="0"/>
              <w:spacing w:line="360" w:lineRule="auto"/>
              <w:ind w:firstLine="480" w:firstLineChars="200"/>
              <w:jc w:val="center"/>
              <w:rPr>
                <w:rFonts w:hint="default" w:ascii="Times New Roman" w:hAnsi="Times New Roman" w:eastAsia="宋体" w:cs="Times New Roman"/>
                <w:color w:val="000000" w:themeColor="text1"/>
                <w:sz w:val="24"/>
                <w:szCs w:val="24"/>
                <w:shd w:val="clear" w:color="auto" w:fill="FFFFFF"/>
                <w14:textFill>
                  <w14:solidFill>
                    <w14:schemeClr w14:val="tx1"/>
                  </w14:solidFill>
                </w14:textFill>
              </w:rPr>
            </w:pPr>
            <w:r>
              <w:rPr>
                <w:rFonts w:hint="default" w:ascii="Times New Roman" w:hAnsi="Times New Roman" w:eastAsia="宋体" w:cs="Times New Roman"/>
                <w:color w:val="000000" w:themeColor="text1"/>
                <w:position w:val="-12"/>
                <w:sz w:val="24"/>
                <w:szCs w:val="24"/>
                <w:shd w:val="clear" w:color="auto" w:fill="FFFFFF"/>
                <w14:textFill>
                  <w14:solidFill>
                    <w14:schemeClr w14:val="tx1"/>
                  </w14:solidFill>
                </w14:textFill>
              </w:rPr>
              <w:object>
                <v:shape id="_x0000_i1030" o:spt="75" type="#_x0000_t75" style="height:18.55pt;width:79.1pt;" o:ole="t" filled="f" o:preferrelative="t" stroked="f" coordsize="21600,21600">
                  <v:path/>
                  <v:fill on="f" focussize="0,0"/>
                  <v:stroke on="f" joinstyle="miter"/>
                  <v:imagedata r:id="rId21" embosscolor="#FFFFFF" o:title=""/>
                  <o:lock v:ext="edit" aspectratio="t"/>
                  <w10:wrap type="none"/>
                  <w10:anchorlock/>
                </v:shape>
                <o:OLEObject Type="Embed" ProgID="Equation.3" ShapeID="_x0000_i1030" DrawAspect="Content" ObjectID="_1468075730" r:id="rId20">
                  <o:LockedField>false</o:LockedField>
                </o:OLEObject>
              </w:object>
            </w:r>
          </w:p>
          <w:p>
            <w:pPr>
              <w:pStyle w:val="2"/>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式中：V-----隔油池有效容积</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2"/>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Q</w:t>
            </w:r>
            <w:r>
              <w:rPr>
                <w:rFonts w:hint="default" w:ascii="Times New Roman" w:hAnsi="Times New Roman" w:eastAsia="宋体" w:cs="Times New Roman"/>
                <w:color w:val="000000" w:themeColor="text1"/>
                <w:sz w:val="24"/>
                <w:szCs w:val="24"/>
                <w:vertAlign w:val="subscript"/>
                <w14:textFill>
                  <w14:solidFill>
                    <w14:schemeClr w14:val="tx1"/>
                  </w14:solidFill>
                </w14:textFill>
              </w:rPr>
              <w:t>max</w:t>
            </w:r>
            <w:r>
              <w:rPr>
                <w:rFonts w:hint="default" w:ascii="Times New Roman" w:hAnsi="Times New Roman" w:eastAsia="宋体" w:cs="Times New Roman"/>
                <w:color w:val="000000" w:themeColor="text1"/>
                <w:sz w:val="24"/>
                <w:szCs w:val="24"/>
                <w14:textFill>
                  <w14:solidFill>
                    <w14:schemeClr w14:val="tx1"/>
                  </w14:solidFill>
                </w14:textFill>
              </w:rPr>
              <w:t>-----最大秒流量</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食堂废水为</w:t>
            </w:r>
            <w:r>
              <w:rPr>
                <w:rFonts w:hint="default" w:ascii="Times New Roman" w:hAnsi="Times New Roman" w:eastAsia="宋体" w:cs="Times New Roman"/>
                <w:color w:val="000000" w:themeColor="text1"/>
                <w:spacing w:val="-6"/>
                <w:sz w:val="24"/>
                <w:szCs w:val="24"/>
                <w:lang w:val="en-US" w:eastAsia="zh-CN"/>
                <w14:textFill>
                  <w14:solidFill>
                    <w14:schemeClr w14:val="tx1"/>
                  </w14:solidFill>
                </w14:textFill>
              </w:rPr>
              <w:t>0.48</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每天运营3小时</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则最大秒流量为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0.00004</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/s；</w:t>
            </w:r>
          </w:p>
          <w:p>
            <w:pPr>
              <w:pStyle w:val="2"/>
              <w:adjustRightInd w:val="0"/>
              <w:snapToGrid w:val="0"/>
              <w:spacing w:line="360" w:lineRule="auto"/>
              <w:ind w:firstLine="480" w:firstLineChars="200"/>
              <w:rPr>
                <w:rFonts w:hint="default" w:ascii="Times New Roman" w:hAnsi="Times New Roman" w:eastAsia="宋体" w:cs="Times New Roman"/>
                <w:color w:val="000000" w:themeColor="text1"/>
                <w:sz w:val="24"/>
                <w:szCs w:val="24"/>
                <w:shd w:val="clear" w:color="auto" w:fill="FFFFFF"/>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t-----停留时间</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本项目取值120min；</w:t>
            </w:r>
          </w:p>
          <w:p>
            <w:pPr>
              <w:pStyle w:val="12"/>
              <w:spacing w:before="0" w:after="0" w:line="360" w:lineRule="auto"/>
              <w:ind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经计算</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本项目需建设有效容积不低于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0.29</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隔油池。选取1.2的系数</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则本项目隔油池的总容积应设置不小于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0.348</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的隔油池</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zh-CN"/>
                <w14:textFill>
                  <w14:solidFill>
                    <w14:schemeClr w14:val="tx1"/>
                  </w14:solidFill>
                </w14:textFill>
              </w:rPr>
              <w:t>污水在隔油池内的流速控制在0.005m/s之内</w:t>
            </w:r>
            <w:r>
              <w:rPr>
                <w:rFonts w:hint="eastAsia" w:cs="Times New Roman"/>
                <w:color w:val="000000" w:themeColor="text1"/>
                <w:sz w:val="24"/>
                <w:szCs w:val="24"/>
                <w:lang w:val="zh-CN"/>
                <w14:textFill>
                  <w14:solidFill>
                    <w14:schemeClr w14:val="tx1"/>
                  </w14:solidFill>
                </w14:textFill>
              </w:rPr>
              <w:t>，</w:t>
            </w:r>
            <w:r>
              <w:rPr>
                <w:rFonts w:hint="default" w:ascii="Times New Roman" w:hAnsi="Times New Roman" w:eastAsia="宋体" w:cs="Times New Roman"/>
                <w:color w:val="000000" w:themeColor="text1"/>
                <w:sz w:val="24"/>
                <w:szCs w:val="24"/>
                <w:lang w:val="zh-CN"/>
                <w14:textFill>
                  <w14:solidFill>
                    <w14:schemeClr w14:val="tx1"/>
                  </w14:solidFill>
                </w14:textFill>
              </w:rPr>
              <w:t>存油部分的容积不宜小于该池有效容积的25%</w:t>
            </w:r>
            <w:r>
              <w:rPr>
                <w:rFonts w:hint="eastAsia" w:cs="Times New Roman"/>
                <w:color w:val="000000" w:themeColor="text1"/>
                <w:sz w:val="24"/>
                <w:szCs w:val="24"/>
                <w:lang w:val="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根据业主提供资料建设一个</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0.5</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的隔油池。</w:t>
            </w:r>
          </w:p>
          <w:p>
            <w:pPr>
              <w:spacing w:line="360" w:lineRule="auto"/>
              <w:ind w:firstLine="482" w:firstLineChars="200"/>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themeColor="text1"/>
                <w:sz w:val="24"/>
                <w14:textFill>
                  <w14:solidFill>
                    <w14:schemeClr w14:val="tx1"/>
                  </w14:solidFill>
                </w14:textFill>
              </w:rPr>
              <w:t>②</w:t>
            </w:r>
            <w:r>
              <w:rPr>
                <w:rFonts w:hint="default" w:ascii="Times New Roman" w:hAnsi="Times New Roman" w:eastAsia="宋体" w:cs="Times New Roman"/>
                <w:b/>
                <w:bCs/>
                <w:color w:val="000000"/>
                <w:sz w:val="24"/>
                <w:highlight w:val="none"/>
              </w:rPr>
              <w:t>依托</w:t>
            </w:r>
            <w:r>
              <w:rPr>
                <w:rFonts w:hint="default" w:ascii="Times New Roman" w:hAnsi="Times New Roman" w:eastAsia="宋体" w:cs="Times New Roman"/>
                <w:b/>
                <w:bCs/>
                <w:color w:val="000000"/>
                <w:sz w:val="24"/>
                <w:highlight w:val="none"/>
                <w:lang w:bidi="zh-CN"/>
              </w:rPr>
              <w:t>云南晋宁宏奥电梯有限公司</w:t>
            </w:r>
            <w:r>
              <w:rPr>
                <w:rFonts w:hint="default" w:ascii="Times New Roman" w:hAnsi="Times New Roman" w:eastAsia="宋体" w:cs="Times New Roman"/>
                <w:b/>
                <w:bCs/>
                <w:color w:val="000000"/>
                <w:sz w:val="24"/>
                <w:highlight w:val="none"/>
              </w:rPr>
              <w:t>厂区内化粪池的可行性</w:t>
            </w:r>
          </w:p>
          <w:p>
            <w:pPr>
              <w:pStyle w:val="81"/>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szCs w:val="24"/>
                <w:highlight w:val="none"/>
                <w:lang w:val="en-US" w:eastAsia="zh-CN" w:bidi="zh-CN"/>
              </w:rPr>
            </w:pPr>
            <w:r>
              <w:rPr>
                <w:rFonts w:hint="default" w:ascii="Times New Roman" w:hAnsi="Times New Roman" w:eastAsia="宋体" w:cs="Times New Roman"/>
                <w:color w:val="000000"/>
                <w:sz w:val="24"/>
                <w:highlight w:val="none"/>
                <w:lang w:bidi="zh-CN"/>
              </w:rPr>
              <w:t>云南晋宁宏奥电梯有限公司</w:t>
            </w:r>
            <w:r>
              <w:rPr>
                <w:rFonts w:hint="default" w:ascii="Times New Roman" w:hAnsi="Times New Roman" w:eastAsia="宋体" w:cs="Times New Roman"/>
                <w:color w:val="000000"/>
                <w:sz w:val="24"/>
                <w:highlight w:val="none"/>
              </w:rPr>
              <w:t>厂区内共有1个化粪池</w:t>
            </w:r>
            <w:r>
              <w:rPr>
                <w:rFonts w:hint="eastAsia" w:cs="Times New Roman"/>
                <w:color w:val="000000"/>
                <w:sz w:val="24"/>
                <w:highlight w:val="none"/>
                <w:lang w:eastAsia="zh-CN"/>
              </w:rPr>
              <w:t>，</w:t>
            </w:r>
            <w:r>
              <w:rPr>
                <w:rFonts w:hint="default" w:ascii="Times New Roman" w:hAnsi="Times New Roman" w:eastAsia="宋体" w:cs="Times New Roman"/>
                <w:color w:val="000000"/>
                <w:sz w:val="24"/>
                <w:highlight w:val="none"/>
              </w:rPr>
              <w:t>化粪池</w:t>
            </w:r>
            <w:r>
              <w:rPr>
                <w:rFonts w:hint="default" w:ascii="Times New Roman" w:hAnsi="Times New Roman" w:eastAsia="宋体" w:cs="Times New Roman"/>
                <w:color w:val="000000"/>
                <w:sz w:val="24"/>
                <w:highlight w:val="none"/>
                <w:lang w:val="en-US" w:eastAsia="zh-CN"/>
              </w:rPr>
              <w:t>面积为15</w:t>
            </w:r>
            <w:r>
              <w:rPr>
                <w:rFonts w:hint="default" w:ascii="Times New Roman" w:hAnsi="Times New Roman" w:eastAsia="宋体" w:cs="Times New Roman"/>
                <w:sz w:val="21"/>
                <w:highlight w:val="none"/>
              </w:rPr>
              <w:t>m</w:t>
            </w:r>
            <w:r>
              <w:rPr>
                <w:rFonts w:hint="default" w:ascii="Times New Roman" w:hAnsi="Times New Roman" w:eastAsia="宋体" w:cs="Times New Roman"/>
                <w:sz w:val="21"/>
                <w:highlight w:val="none"/>
                <w:vertAlign w:val="superscript"/>
                <w:lang w:val="en-US" w:eastAsia="zh-CN"/>
              </w:rPr>
              <w:t>3</w:t>
            </w:r>
            <w:r>
              <w:rPr>
                <w:rFonts w:hint="default" w:ascii="Times New Roman" w:hAnsi="Times New Roman" w:eastAsia="宋体" w:cs="Times New Roman"/>
                <w:color w:val="000000"/>
                <w:sz w:val="24"/>
                <w:highlight w:val="none"/>
              </w:rPr>
              <w:t>。</w:t>
            </w:r>
            <w:r>
              <w:rPr>
                <w:rFonts w:hint="default" w:ascii="Times New Roman" w:hAnsi="Times New Roman" w:eastAsia="宋体" w:cs="Times New Roman"/>
                <w:color w:val="000000"/>
                <w:sz w:val="24"/>
                <w:highlight w:val="none"/>
                <w:lang w:bidi="zh-CN"/>
              </w:rPr>
              <w:t>根据调查</w:t>
            </w:r>
            <w:r>
              <w:rPr>
                <w:rFonts w:hint="default" w:ascii="Times New Roman" w:hAnsi="Times New Roman" w:eastAsia="宋体" w:cs="Times New Roman"/>
                <w:b w:val="0"/>
                <w:bCs w:val="0"/>
                <w:color w:val="000000"/>
                <w:sz w:val="24"/>
                <w:szCs w:val="24"/>
                <w:highlight w:val="none"/>
                <w:lang w:val="en-US" w:eastAsia="zh-CN" w:bidi="zh-CN"/>
              </w:rPr>
              <w:t>云南晋宁宏奥电梯有限公司</w:t>
            </w:r>
            <w:r>
              <w:rPr>
                <w:rFonts w:hint="default" w:ascii="Times New Roman" w:hAnsi="Times New Roman" w:eastAsia="宋体" w:cs="Times New Roman"/>
                <w:color w:val="000000"/>
                <w:sz w:val="24"/>
                <w:szCs w:val="24"/>
                <w:highlight w:val="none"/>
                <w:lang w:val="en-US" w:eastAsia="zh-CN" w:bidi="zh-CN"/>
              </w:rPr>
              <w:t>共建设有3栋生产厂房和3栋办公楼。</w:t>
            </w:r>
          </w:p>
          <w:p>
            <w:pPr>
              <w:pStyle w:val="81"/>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color w:val="000000"/>
                <w:sz w:val="24"/>
                <w:szCs w:val="24"/>
                <w:highlight w:val="none"/>
                <w:lang w:val="en-US" w:eastAsia="zh-CN" w:bidi="zh-CN"/>
              </w:rPr>
            </w:pPr>
            <w:r>
              <w:rPr>
                <w:rFonts w:hint="default" w:ascii="Times New Roman" w:hAnsi="Times New Roman" w:eastAsia="宋体" w:cs="Times New Roman"/>
                <w:b/>
                <w:bCs/>
                <w:color w:val="000000"/>
                <w:sz w:val="24"/>
                <w:szCs w:val="24"/>
                <w:highlight w:val="none"/>
                <w:lang w:val="en-US" w:eastAsia="zh-CN" w:bidi="zh-CN"/>
              </w:rPr>
              <w:t>1#生产厂房：</w:t>
            </w:r>
            <w:r>
              <w:rPr>
                <w:rFonts w:hint="default" w:ascii="Times New Roman" w:hAnsi="Times New Roman" w:eastAsia="宋体" w:cs="Times New Roman"/>
                <w:color w:val="000000"/>
                <w:sz w:val="24"/>
                <w:szCs w:val="24"/>
                <w:highlight w:val="none"/>
                <w:lang w:val="en-US" w:eastAsia="zh-CN" w:bidi="zh-CN"/>
              </w:rPr>
              <w:t>全部出租给云南建投路桥机械事业部。</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color w:val="000000"/>
                <w:sz w:val="24"/>
                <w:szCs w:val="24"/>
                <w:highlight w:val="none"/>
                <w:lang w:val="en-US" w:eastAsia="zh-CN" w:bidi="zh-CN"/>
              </w:rPr>
            </w:pPr>
            <w:r>
              <w:rPr>
                <w:rFonts w:hint="default" w:ascii="Times New Roman" w:hAnsi="Times New Roman" w:eastAsia="宋体" w:cs="Times New Roman"/>
                <w:b/>
                <w:bCs/>
                <w:color w:val="000000"/>
                <w:sz w:val="24"/>
                <w:szCs w:val="24"/>
                <w:highlight w:val="none"/>
                <w:lang w:val="en-US" w:eastAsia="zh-CN" w:bidi="zh-CN"/>
              </w:rPr>
              <w:t>2#生产厂房：</w:t>
            </w:r>
            <w:r>
              <w:rPr>
                <w:rFonts w:hint="default" w:ascii="Times New Roman" w:hAnsi="Times New Roman" w:eastAsia="宋体" w:cs="Times New Roman"/>
                <w:b w:val="0"/>
                <w:bCs w:val="0"/>
                <w:color w:val="000000"/>
                <w:sz w:val="24"/>
                <w:szCs w:val="24"/>
                <w:highlight w:val="none"/>
                <w:lang w:val="en-US" w:eastAsia="zh-CN" w:bidi="zh-CN"/>
              </w:rPr>
              <w:t>出租给</w:t>
            </w:r>
            <w:r>
              <w:rPr>
                <w:rFonts w:hint="default" w:ascii="Times New Roman" w:hAnsi="Times New Roman" w:eastAsia="宋体" w:cs="Times New Roman"/>
                <w:color w:val="000000"/>
                <w:sz w:val="24"/>
                <w:szCs w:val="24"/>
                <w:highlight w:val="none"/>
                <w:lang w:val="en-US" w:eastAsia="zh-CN" w:bidi="zh-CN"/>
              </w:rPr>
              <w:t>晋宁徽铠人防工程防护设备有限公司</w:t>
            </w:r>
            <w:r>
              <w:rPr>
                <w:rFonts w:hint="eastAsia" w:ascii="Times New Roman" w:hAnsi="Times New Roman" w:eastAsia="宋体" w:cs="Times New Roman"/>
                <w:color w:val="000000"/>
                <w:sz w:val="24"/>
                <w:szCs w:val="24"/>
                <w:highlight w:val="none"/>
                <w:lang w:val="en-US" w:eastAsia="zh-CN" w:bidi="zh-CN"/>
              </w:rPr>
              <w:t>、</w:t>
            </w:r>
            <w:r>
              <w:rPr>
                <w:rFonts w:hint="default" w:ascii="Times New Roman" w:hAnsi="Times New Roman" w:eastAsia="宋体" w:cs="Times New Roman"/>
                <w:sz w:val="24"/>
                <w:szCs w:val="24"/>
              </w:rPr>
              <w:t>云南易无界建材有限公司</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color w:val="auto"/>
                <w:sz w:val="24"/>
                <w:szCs w:val="24"/>
                <w:highlight w:val="none"/>
                <w:lang w:val="en-US" w:eastAsia="zh-CN" w:bidi="zh-CN"/>
              </w:rPr>
              <w:t>云南克莱多新材料有限公司使用以及本项</w:t>
            </w:r>
            <w:r>
              <w:rPr>
                <w:rFonts w:hint="default" w:ascii="Times New Roman" w:hAnsi="Times New Roman" w:eastAsia="宋体" w:cs="Times New Roman"/>
                <w:b w:val="0"/>
                <w:bCs w:val="0"/>
                <w:color w:val="auto"/>
                <w:sz w:val="24"/>
                <w:szCs w:val="24"/>
                <w:highlight w:val="none"/>
                <w:lang w:val="en-US" w:eastAsia="zh-CN" w:bidi="zh-CN"/>
              </w:rPr>
              <w:t>目</w:t>
            </w:r>
            <w:r>
              <w:rPr>
                <w:rFonts w:hint="default" w:ascii="Times New Roman" w:hAnsi="Times New Roman" w:eastAsia="宋体" w:cs="Times New Roman"/>
                <w:b w:val="0"/>
                <w:bCs w:val="0"/>
                <w:color w:val="000000"/>
                <w:sz w:val="24"/>
                <w:szCs w:val="24"/>
                <w:highlight w:val="none"/>
                <w:lang w:val="en-US" w:eastAsia="zh-CN" w:bidi="zh-CN"/>
              </w:rPr>
              <w:t>云南爱瑞新型材料科技有限公司</w:t>
            </w:r>
            <w:r>
              <w:rPr>
                <w:rFonts w:hint="default" w:ascii="Times New Roman" w:hAnsi="Times New Roman" w:eastAsia="宋体" w:cs="Times New Roman"/>
                <w:color w:val="000000"/>
                <w:sz w:val="24"/>
                <w:szCs w:val="24"/>
                <w:highlight w:val="none"/>
                <w:lang w:val="en-US" w:eastAsia="zh-CN" w:bidi="zh-CN"/>
              </w:rPr>
              <w:t>使用。</w:t>
            </w:r>
          </w:p>
          <w:p>
            <w:pPr>
              <w:pStyle w:val="81"/>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color w:val="000000"/>
                <w:sz w:val="24"/>
                <w:szCs w:val="24"/>
                <w:highlight w:val="none"/>
                <w:lang w:val="en-US" w:eastAsia="zh-CN" w:bidi="zh-CN"/>
              </w:rPr>
            </w:pPr>
            <w:r>
              <w:rPr>
                <w:rFonts w:hint="default" w:ascii="Times New Roman" w:hAnsi="Times New Roman" w:eastAsia="宋体" w:cs="Times New Roman"/>
                <w:b/>
                <w:bCs/>
                <w:color w:val="000000"/>
                <w:sz w:val="24"/>
                <w:szCs w:val="24"/>
                <w:highlight w:val="none"/>
                <w:lang w:val="en-US" w:eastAsia="zh-CN" w:bidi="zh-CN"/>
              </w:rPr>
              <w:t>3#生产厂房：</w:t>
            </w:r>
            <w:r>
              <w:rPr>
                <w:rFonts w:hint="default" w:ascii="Times New Roman" w:hAnsi="Times New Roman" w:eastAsia="宋体" w:cs="Times New Roman"/>
                <w:color w:val="000000"/>
                <w:sz w:val="24"/>
                <w:szCs w:val="24"/>
                <w:highlight w:val="none"/>
                <w:lang w:val="en-US" w:eastAsia="zh-CN" w:bidi="zh-CN"/>
              </w:rPr>
              <w:t>3#生产厂房全部出租给</w:t>
            </w:r>
            <w:r>
              <w:rPr>
                <w:rFonts w:hint="default" w:ascii="Times New Roman" w:hAnsi="Times New Roman" w:eastAsia="宋体" w:cs="Times New Roman"/>
                <w:sz w:val="24"/>
                <w:szCs w:val="24"/>
              </w:rPr>
              <w:t>云南建投路桥机械事业部</w:t>
            </w:r>
            <w:r>
              <w:rPr>
                <w:rFonts w:hint="default" w:ascii="Times New Roman" w:hAnsi="Times New Roman" w:eastAsia="宋体" w:cs="Times New Roman"/>
                <w:sz w:val="24"/>
                <w:szCs w:val="24"/>
                <w:lang w:eastAsia="zh-CN"/>
              </w:rPr>
              <w:t>。</w:t>
            </w:r>
          </w:p>
          <w:p>
            <w:pPr>
              <w:pStyle w:val="8"/>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bCs/>
                <w:color w:val="000000"/>
                <w:sz w:val="21"/>
                <w:szCs w:val="21"/>
                <w:highlight w:val="none"/>
              </w:rPr>
              <w:t>表4-1</w:t>
            </w:r>
            <w:r>
              <w:rPr>
                <w:rFonts w:hint="eastAsia" w:cs="Times New Roman"/>
                <w:b/>
                <w:bCs/>
                <w:color w:val="000000"/>
                <w:sz w:val="21"/>
                <w:szCs w:val="21"/>
                <w:highlight w:val="none"/>
                <w:lang w:val="en-US" w:eastAsia="zh-CN"/>
              </w:rPr>
              <w:t>2</w:t>
            </w:r>
            <w:r>
              <w:rPr>
                <w:rFonts w:hint="default" w:ascii="Times New Roman" w:hAnsi="Times New Roman" w:eastAsia="宋体" w:cs="Times New Roman"/>
                <w:bCs/>
                <w:color w:val="000000"/>
                <w:sz w:val="21"/>
                <w:szCs w:val="21"/>
                <w:highlight w:val="none"/>
              </w:rPr>
              <w:t>厂区内</w:t>
            </w:r>
            <w:r>
              <w:rPr>
                <w:rFonts w:hint="default" w:ascii="Times New Roman" w:hAnsi="Times New Roman" w:eastAsia="宋体" w:cs="Times New Roman"/>
                <w:bCs/>
                <w:color w:val="000000"/>
                <w:kern w:val="2"/>
                <w:sz w:val="21"/>
                <w:szCs w:val="21"/>
                <w:highlight w:val="none"/>
                <w:lang w:bidi="zh-CN"/>
              </w:rPr>
              <w:t>化</w:t>
            </w:r>
            <w:r>
              <w:rPr>
                <w:rFonts w:hint="default" w:ascii="Times New Roman" w:hAnsi="Times New Roman" w:eastAsia="宋体" w:cs="Times New Roman"/>
                <w:color w:val="000000"/>
                <w:kern w:val="2"/>
                <w:sz w:val="21"/>
                <w:szCs w:val="21"/>
                <w:highlight w:val="none"/>
                <w:lang w:bidi="zh-CN"/>
              </w:rPr>
              <w:t>粪池</w:t>
            </w:r>
            <w:r>
              <w:rPr>
                <w:rFonts w:hint="default" w:ascii="Times New Roman" w:hAnsi="Times New Roman" w:eastAsia="宋体" w:cs="Times New Roman"/>
                <w:color w:val="000000"/>
                <w:sz w:val="21"/>
                <w:szCs w:val="21"/>
                <w:highlight w:val="none"/>
              </w:rPr>
              <w:t>废水排放情况</w:t>
            </w:r>
          </w:p>
          <w:tbl>
            <w:tblPr>
              <w:tblStyle w:val="27"/>
              <w:tblW w:w="48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3138"/>
              <w:gridCol w:w="621"/>
              <w:gridCol w:w="863"/>
              <w:gridCol w:w="947"/>
              <w:gridCol w:w="1019"/>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5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rPr>
                    <w:t>编号</w:t>
                  </w:r>
                </w:p>
              </w:tc>
              <w:tc>
                <w:tcPr>
                  <w:tcW w:w="1909"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rPr>
                    <w:t>企业名称</w:t>
                  </w:r>
                </w:p>
              </w:tc>
              <w:tc>
                <w:tcPr>
                  <w:tcW w:w="37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rPr>
                    <w:t>人数</w:t>
                  </w:r>
                </w:p>
              </w:tc>
              <w:tc>
                <w:tcPr>
                  <w:tcW w:w="525"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rPr>
                    <w:t>用水定额</w:t>
                  </w:r>
                </w:p>
              </w:tc>
              <w:tc>
                <w:tcPr>
                  <w:tcW w:w="576"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rPr>
                    <w:t>产污系数</w:t>
                  </w:r>
                </w:p>
              </w:tc>
              <w:tc>
                <w:tcPr>
                  <w:tcW w:w="61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rPr>
                    <w:t>用水量（m</w:t>
                  </w:r>
                  <w:r>
                    <w:rPr>
                      <w:rFonts w:hint="default" w:ascii="Times New Roman" w:hAnsi="Times New Roman" w:eastAsia="宋体" w:cs="Times New Roman"/>
                      <w:color w:val="000000"/>
                      <w:kern w:val="2"/>
                      <w:sz w:val="21"/>
                      <w:szCs w:val="21"/>
                      <w:highlight w:val="none"/>
                      <w:vertAlign w:val="superscript"/>
                      <w:lang w:val="en-US" w:eastAsia="zh-CN"/>
                    </w:rPr>
                    <w:t>3</w:t>
                  </w:r>
                  <w:r>
                    <w:rPr>
                      <w:rFonts w:hint="default" w:ascii="Times New Roman" w:hAnsi="Times New Roman" w:eastAsia="宋体" w:cs="Times New Roman"/>
                      <w:color w:val="000000"/>
                      <w:kern w:val="2"/>
                      <w:sz w:val="21"/>
                      <w:szCs w:val="21"/>
                      <w:highlight w:val="none"/>
                    </w:rPr>
                    <w:t>/d）</w:t>
                  </w:r>
                </w:p>
              </w:tc>
              <w:tc>
                <w:tcPr>
                  <w:tcW w:w="733"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rPr>
                    <w:t>废水产生量（m</w:t>
                  </w:r>
                  <w:r>
                    <w:rPr>
                      <w:rFonts w:hint="default" w:ascii="Times New Roman" w:hAnsi="Times New Roman" w:eastAsia="宋体" w:cs="Times New Roman"/>
                      <w:color w:val="000000"/>
                      <w:kern w:val="2"/>
                      <w:sz w:val="21"/>
                      <w:szCs w:val="21"/>
                      <w:highlight w:val="none"/>
                      <w:vertAlign w:val="superscript"/>
                      <w:lang w:val="en-US" w:eastAsia="zh-CN"/>
                    </w:rPr>
                    <w:t>3</w:t>
                  </w:r>
                  <w:r>
                    <w:rPr>
                      <w:rFonts w:hint="default" w:ascii="Times New Roman" w:hAnsi="Times New Roman" w:eastAsia="宋体" w:cs="Times New Roman"/>
                      <w:color w:val="000000"/>
                      <w:kern w:val="2"/>
                      <w:sz w:val="21"/>
                      <w:szCs w:val="21"/>
                      <w:highlight w:val="none"/>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5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rPr>
                    <w:t>1</w:t>
                  </w:r>
                </w:p>
              </w:tc>
              <w:tc>
                <w:tcPr>
                  <w:tcW w:w="1909"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eastAsia="zh-CN"/>
                    </w:rPr>
                  </w:pPr>
                  <w:r>
                    <w:rPr>
                      <w:rFonts w:hint="default" w:ascii="Times New Roman" w:hAnsi="Times New Roman" w:eastAsia="宋体" w:cs="Times New Roman"/>
                      <w:color w:val="000000"/>
                      <w:kern w:val="2"/>
                      <w:sz w:val="21"/>
                      <w:szCs w:val="21"/>
                      <w:highlight w:val="none"/>
                    </w:rPr>
                    <w:t>云南建投集团有限公司</w:t>
                  </w:r>
                  <w:r>
                    <w:rPr>
                      <w:rFonts w:hint="default" w:ascii="Times New Roman" w:hAnsi="Times New Roman" w:eastAsia="宋体" w:cs="Times New Roman"/>
                      <w:color w:val="000000"/>
                      <w:kern w:val="2"/>
                      <w:sz w:val="21"/>
                      <w:szCs w:val="21"/>
                      <w:highlight w:val="none"/>
                      <w:lang w:eastAsia="zh-CN"/>
                    </w:rPr>
                    <w:t>（</w:t>
                  </w:r>
                  <w:r>
                    <w:rPr>
                      <w:rFonts w:hint="default" w:ascii="Times New Roman" w:hAnsi="Times New Roman" w:eastAsia="宋体" w:cs="Times New Roman"/>
                      <w:color w:val="000000"/>
                      <w:kern w:val="2"/>
                      <w:sz w:val="21"/>
                      <w:szCs w:val="21"/>
                      <w:highlight w:val="none"/>
                    </w:rPr>
                    <w:t>活动板房事业部</w:t>
                  </w:r>
                  <w:r>
                    <w:rPr>
                      <w:rFonts w:hint="default" w:ascii="Times New Roman" w:hAnsi="Times New Roman" w:eastAsia="宋体" w:cs="Times New Roman"/>
                      <w:color w:val="000000"/>
                      <w:kern w:val="2"/>
                      <w:sz w:val="21"/>
                      <w:szCs w:val="21"/>
                      <w:highlight w:val="none"/>
                      <w:lang w:eastAsia="zh-CN"/>
                    </w:rPr>
                    <w:t>、</w:t>
                  </w:r>
                  <w:r>
                    <w:rPr>
                      <w:rFonts w:hint="default" w:ascii="Times New Roman" w:hAnsi="Times New Roman" w:eastAsia="宋体" w:cs="Times New Roman"/>
                      <w:color w:val="000000"/>
                      <w:kern w:val="2"/>
                      <w:sz w:val="21"/>
                      <w:szCs w:val="21"/>
                      <w:highlight w:val="none"/>
                    </w:rPr>
                    <w:t>路桥机械事业部</w:t>
                  </w:r>
                  <w:r>
                    <w:rPr>
                      <w:rFonts w:hint="default" w:ascii="Times New Roman" w:hAnsi="Times New Roman" w:eastAsia="宋体" w:cs="Times New Roman"/>
                      <w:color w:val="000000"/>
                      <w:kern w:val="2"/>
                      <w:sz w:val="21"/>
                      <w:szCs w:val="21"/>
                      <w:highlight w:val="none"/>
                      <w:lang w:eastAsia="zh-CN"/>
                    </w:rPr>
                    <w:t>）</w:t>
                  </w:r>
                </w:p>
              </w:tc>
              <w:tc>
                <w:tcPr>
                  <w:tcW w:w="37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cs="Times New Roman"/>
                      <w:color w:val="000000"/>
                      <w:kern w:val="2"/>
                      <w:sz w:val="21"/>
                      <w:szCs w:val="21"/>
                      <w:highlight w:val="none"/>
                      <w:lang w:val="en-US" w:eastAsia="zh-CN"/>
                    </w:rPr>
                    <w:t>45</w:t>
                  </w:r>
                </w:p>
              </w:tc>
              <w:tc>
                <w:tcPr>
                  <w:tcW w:w="525" w:type="pct"/>
                  <w:vMerge w:val="restar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rPr>
                    <w:t>按照100L/人.d计</w:t>
                  </w:r>
                </w:p>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p>
              </w:tc>
              <w:tc>
                <w:tcPr>
                  <w:tcW w:w="576" w:type="pct"/>
                  <w:vMerge w:val="restar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rPr>
                    <w:t>按0.8计</w:t>
                  </w:r>
                </w:p>
              </w:tc>
              <w:tc>
                <w:tcPr>
                  <w:tcW w:w="61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4.5</w:t>
                  </w:r>
                </w:p>
              </w:tc>
              <w:tc>
                <w:tcPr>
                  <w:tcW w:w="733"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cs="Times New Roman"/>
                      <w:color w:val="000000"/>
                      <w:kern w:val="2"/>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5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2</w:t>
                  </w:r>
                </w:p>
              </w:tc>
              <w:tc>
                <w:tcPr>
                  <w:tcW w:w="1909"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rPr>
                    <w:t>晋宁徽铠人防工程防护设备有限公司</w:t>
                  </w:r>
                </w:p>
              </w:tc>
              <w:tc>
                <w:tcPr>
                  <w:tcW w:w="37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cs="Times New Roman"/>
                      <w:color w:val="000000"/>
                      <w:kern w:val="2"/>
                      <w:sz w:val="21"/>
                      <w:szCs w:val="21"/>
                      <w:highlight w:val="none"/>
                      <w:lang w:val="en-US" w:eastAsia="zh-CN"/>
                    </w:rPr>
                    <w:t>20</w:t>
                  </w:r>
                </w:p>
              </w:tc>
              <w:tc>
                <w:tcPr>
                  <w:tcW w:w="525" w:type="pct"/>
                  <w:vMerge w:val="continue"/>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p>
              </w:tc>
              <w:tc>
                <w:tcPr>
                  <w:tcW w:w="576" w:type="pct"/>
                  <w:vMerge w:val="continue"/>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p>
              </w:tc>
              <w:tc>
                <w:tcPr>
                  <w:tcW w:w="61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w:t>
                  </w:r>
                </w:p>
              </w:tc>
              <w:tc>
                <w:tcPr>
                  <w:tcW w:w="733"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cs="Times New Roman"/>
                      <w:color w:val="000000"/>
                      <w:kern w:val="2"/>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5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3</w:t>
                  </w:r>
                </w:p>
              </w:tc>
              <w:tc>
                <w:tcPr>
                  <w:tcW w:w="1909"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rPr>
                    <w:t>云南易无界建材有限公司</w:t>
                  </w:r>
                </w:p>
              </w:tc>
              <w:tc>
                <w:tcPr>
                  <w:tcW w:w="37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20</w:t>
                  </w:r>
                </w:p>
              </w:tc>
              <w:tc>
                <w:tcPr>
                  <w:tcW w:w="525" w:type="pct"/>
                  <w:vMerge w:val="continue"/>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p>
              </w:tc>
              <w:tc>
                <w:tcPr>
                  <w:tcW w:w="576" w:type="pct"/>
                  <w:vMerge w:val="continue"/>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p>
              </w:tc>
              <w:tc>
                <w:tcPr>
                  <w:tcW w:w="61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2</w:t>
                  </w:r>
                </w:p>
              </w:tc>
              <w:tc>
                <w:tcPr>
                  <w:tcW w:w="733"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5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w:t>
                  </w:r>
                </w:p>
              </w:tc>
              <w:tc>
                <w:tcPr>
                  <w:tcW w:w="1909"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lang w:eastAsia="zh-CN"/>
                    </w:rPr>
                    <w:t>云南爱瑞新型材料科技有限公司（</w:t>
                  </w:r>
                  <w:r>
                    <w:rPr>
                      <w:rFonts w:hint="default" w:ascii="Times New Roman" w:hAnsi="Times New Roman" w:eastAsia="宋体" w:cs="Times New Roman"/>
                      <w:color w:val="000000"/>
                      <w:kern w:val="2"/>
                      <w:sz w:val="21"/>
                      <w:szCs w:val="21"/>
                      <w:highlight w:val="none"/>
                      <w:lang w:val="en-US" w:eastAsia="zh-CN"/>
                    </w:rPr>
                    <w:t>本项目</w:t>
                  </w:r>
                  <w:r>
                    <w:rPr>
                      <w:rFonts w:hint="default" w:ascii="Times New Roman" w:hAnsi="Times New Roman" w:eastAsia="宋体" w:cs="Times New Roman"/>
                      <w:color w:val="000000"/>
                      <w:kern w:val="2"/>
                      <w:sz w:val="21"/>
                      <w:szCs w:val="21"/>
                      <w:highlight w:val="none"/>
                      <w:lang w:eastAsia="zh-CN"/>
                    </w:rPr>
                    <w:t>）</w:t>
                  </w:r>
                </w:p>
              </w:tc>
              <w:tc>
                <w:tcPr>
                  <w:tcW w:w="37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30</w:t>
                  </w:r>
                </w:p>
              </w:tc>
              <w:tc>
                <w:tcPr>
                  <w:tcW w:w="525" w:type="pct"/>
                  <w:vMerge w:val="continue"/>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p>
              </w:tc>
              <w:tc>
                <w:tcPr>
                  <w:tcW w:w="576" w:type="pct"/>
                  <w:vMerge w:val="continue"/>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p>
              </w:tc>
              <w:tc>
                <w:tcPr>
                  <w:tcW w:w="61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3</w:t>
                  </w:r>
                </w:p>
              </w:tc>
              <w:tc>
                <w:tcPr>
                  <w:tcW w:w="733"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5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lang w:val="en-US" w:eastAsia="zh-CN"/>
                    </w:rPr>
                  </w:pPr>
                  <w:r>
                    <w:rPr>
                      <w:rFonts w:hint="eastAsia" w:ascii="Times New Roman" w:cs="Times New Roman"/>
                      <w:lang w:val="en-US" w:eastAsia="zh-CN"/>
                    </w:rPr>
                    <w:t>5</w:t>
                  </w:r>
                </w:p>
              </w:tc>
              <w:tc>
                <w:tcPr>
                  <w:tcW w:w="1909"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eastAsia="zh-CN"/>
                    </w:rPr>
                  </w:pPr>
                  <w:r>
                    <w:rPr>
                      <w:rFonts w:hint="default" w:ascii="Times New Roman" w:hAnsi="Times New Roman" w:eastAsia="宋体" w:cs="Times New Roman"/>
                      <w:color w:val="000000"/>
                      <w:kern w:val="2"/>
                      <w:sz w:val="21"/>
                      <w:szCs w:val="21"/>
                      <w:highlight w:val="none"/>
                      <w:lang w:val="en-US" w:eastAsia="zh-CN"/>
                    </w:rPr>
                    <w:t>云南克莱多新材料有限公司</w:t>
                  </w:r>
                </w:p>
              </w:tc>
              <w:tc>
                <w:tcPr>
                  <w:tcW w:w="37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cs="Times New Roman"/>
                      <w:color w:val="000000"/>
                      <w:kern w:val="2"/>
                      <w:sz w:val="21"/>
                      <w:szCs w:val="21"/>
                      <w:highlight w:val="none"/>
                      <w:lang w:val="en-US" w:eastAsia="zh-CN"/>
                    </w:rPr>
                    <w:t>40</w:t>
                  </w:r>
                </w:p>
              </w:tc>
              <w:tc>
                <w:tcPr>
                  <w:tcW w:w="525" w:type="pct"/>
                  <w:vMerge w:val="continue"/>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p>
              </w:tc>
              <w:tc>
                <w:tcPr>
                  <w:tcW w:w="576" w:type="pct"/>
                  <w:vMerge w:val="continue"/>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rPr>
                  </w:pPr>
                </w:p>
              </w:tc>
              <w:tc>
                <w:tcPr>
                  <w:tcW w:w="61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cs="Times New Roman"/>
                      <w:color w:val="000000"/>
                      <w:kern w:val="2"/>
                      <w:sz w:val="21"/>
                      <w:szCs w:val="21"/>
                      <w:highlight w:val="none"/>
                      <w:lang w:val="en-US" w:eastAsia="zh-CN"/>
                    </w:rPr>
                    <w:t>4</w:t>
                  </w:r>
                </w:p>
              </w:tc>
              <w:tc>
                <w:tcPr>
                  <w:tcW w:w="733"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cs="Times New Roman"/>
                      <w:color w:val="000000"/>
                      <w:kern w:val="2"/>
                      <w:sz w:val="21"/>
                      <w:szCs w:val="21"/>
                      <w:highlight w:val="no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266" w:type="pct"/>
                  <w:gridSpan w:val="6"/>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 xml:space="preserve">                                           共计</w:t>
                  </w:r>
                </w:p>
              </w:tc>
              <w:tc>
                <w:tcPr>
                  <w:tcW w:w="733"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12.4</w:t>
                  </w:r>
                </w:p>
              </w:tc>
            </w:tr>
          </w:tbl>
          <w:p>
            <w:pPr>
              <w:pStyle w:val="5"/>
              <w:spacing w:before="0" w:after="0" w:line="360" w:lineRule="auto"/>
              <w:ind w:left="0" w:leftChars="0" w:firstLine="480" w:firstLineChars="200"/>
              <w:jc w:val="both"/>
              <w:rPr>
                <w:rFonts w:hint="default" w:ascii="Times New Roman" w:hAnsi="Times New Roman" w:eastAsia="宋体" w:cs="Times New Roman"/>
                <w:b w:val="0"/>
                <w:bCs w:val="0"/>
                <w:color w:val="000000"/>
                <w:sz w:val="24"/>
                <w:szCs w:val="24"/>
                <w:highlight w:val="none"/>
              </w:rPr>
            </w:pPr>
            <w:r>
              <w:rPr>
                <w:rFonts w:hint="default" w:ascii="Times New Roman" w:hAnsi="Times New Roman" w:eastAsia="宋体" w:cs="Times New Roman"/>
                <w:b w:val="0"/>
                <w:bCs w:val="0"/>
                <w:color w:val="000000"/>
                <w:sz w:val="24"/>
                <w:szCs w:val="24"/>
                <w:highlight w:val="none"/>
              </w:rPr>
              <w:t>通过表4-1</w:t>
            </w:r>
            <w:r>
              <w:rPr>
                <w:rFonts w:hint="eastAsia" w:cs="Times New Roman"/>
                <w:b w:val="0"/>
                <w:bCs w:val="0"/>
                <w:color w:val="000000"/>
                <w:sz w:val="24"/>
                <w:szCs w:val="24"/>
                <w:highlight w:val="none"/>
                <w:lang w:val="en-US" w:eastAsia="zh-CN"/>
              </w:rPr>
              <w:t>2</w:t>
            </w:r>
            <w:r>
              <w:rPr>
                <w:rFonts w:hint="default" w:ascii="Times New Roman" w:hAnsi="Times New Roman" w:eastAsia="宋体" w:cs="Times New Roman"/>
                <w:b w:val="0"/>
                <w:bCs w:val="0"/>
                <w:color w:val="000000"/>
                <w:sz w:val="24"/>
                <w:szCs w:val="24"/>
                <w:highlight w:val="none"/>
              </w:rPr>
              <w:t>中对产生的废水量按员工人数进行核算后</w:t>
            </w:r>
            <w:r>
              <w:rPr>
                <w:rFonts w:hint="eastAsia" w:cs="Times New Roman"/>
                <w:b w:val="0"/>
                <w:bCs w:val="0"/>
                <w:color w:val="000000"/>
                <w:sz w:val="24"/>
                <w:szCs w:val="24"/>
                <w:highlight w:val="none"/>
                <w:lang w:eastAsia="zh-CN"/>
              </w:rPr>
              <w:t>，</w:t>
            </w:r>
            <w:r>
              <w:rPr>
                <w:rFonts w:hint="default" w:ascii="Times New Roman" w:hAnsi="Times New Roman" w:eastAsia="宋体" w:cs="Times New Roman"/>
                <w:b w:val="0"/>
                <w:bCs w:val="0"/>
                <w:color w:val="000000"/>
                <w:sz w:val="24"/>
                <w:szCs w:val="24"/>
                <w:highlight w:val="none"/>
                <w:lang w:val="en-US" w:eastAsia="zh-CN"/>
              </w:rPr>
              <w:t>厂区内</w:t>
            </w:r>
            <w:r>
              <w:rPr>
                <w:rFonts w:hint="default" w:ascii="Times New Roman" w:hAnsi="Times New Roman" w:eastAsia="宋体" w:cs="Times New Roman"/>
                <w:b w:val="0"/>
                <w:bCs w:val="0"/>
                <w:color w:val="000000"/>
                <w:sz w:val="24"/>
                <w:szCs w:val="24"/>
                <w:highlight w:val="none"/>
              </w:rPr>
              <w:t>产生的</w:t>
            </w:r>
            <w:r>
              <w:rPr>
                <w:rFonts w:hint="default" w:ascii="Times New Roman" w:hAnsi="Times New Roman" w:eastAsia="宋体" w:cs="Times New Roman"/>
                <w:b w:val="0"/>
                <w:bCs w:val="0"/>
                <w:color w:val="000000"/>
                <w:sz w:val="24"/>
                <w:szCs w:val="24"/>
                <w:highlight w:val="none"/>
                <w:lang w:val="en-US" w:eastAsia="zh-CN"/>
              </w:rPr>
              <w:t>总</w:t>
            </w:r>
            <w:r>
              <w:rPr>
                <w:rFonts w:hint="default" w:ascii="Times New Roman" w:hAnsi="Times New Roman" w:eastAsia="宋体" w:cs="Times New Roman"/>
                <w:b w:val="0"/>
                <w:bCs w:val="0"/>
                <w:color w:val="000000"/>
                <w:sz w:val="24"/>
                <w:szCs w:val="24"/>
                <w:highlight w:val="none"/>
              </w:rPr>
              <w:t>废水</w:t>
            </w:r>
            <w:r>
              <w:rPr>
                <w:rFonts w:hint="default" w:ascii="Times New Roman" w:hAnsi="Times New Roman" w:eastAsia="宋体" w:cs="Times New Roman"/>
                <w:b w:val="0"/>
                <w:bCs w:val="0"/>
                <w:color w:val="000000"/>
                <w:sz w:val="24"/>
                <w:szCs w:val="24"/>
                <w:highlight w:val="none"/>
                <w:lang w:val="en-US" w:eastAsia="zh-CN"/>
              </w:rPr>
              <w:t>最大排放</w:t>
            </w:r>
            <w:r>
              <w:rPr>
                <w:rFonts w:hint="default" w:ascii="Times New Roman" w:hAnsi="Times New Roman" w:eastAsia="宋体" w:cs="Times New Roman"/>
                <w:b w:val="0"/>
                <w:bCs w:val="0"/>
                <w:color w:val="000000"/>
                <w:sz w:val="24"/>
                <w:szCs w:val="24"/>
                <w:highlight w:val="none"/>
              </w:rPr>
              <w:t>量约为</w:t>
            </w:r>
            <w:r>
              <w:rPr>
                <w:rFonts w:hint="default" w:ascii="Times New Roman" w:hAnsi="Times New Roman" w:eastAsia="宋体" w:cs="Times New Roman"/>
                <w:b w:val="0"/>
                <w:bCs w:val="0"/>
                <w:color w:val="000000"/>
                <w:sz w:val="24"/>
                <w:szCs w:val="24"/>
                <w:highlight w:val="none"/>
                <w:lang w:val="en-US" w:eastAsia="zh-CN"/>
              </w:rPr>
              <w:t>12.4</w:t>
            </w:r>
            <w:r>
              <w:rPr>
                <w:rFonts w:hint="default" w:ascii="Times New Roman" w:hAnsi="Times New Roman" w:eastAsia="宋体" w:cs="Times New Roman"/>
                <w:b w:val="0"/>
                <w:bCs w:val="0"/>
                <w:color w:val="000000"/>
                <w:sz w:val="24"/>
                <w:szCs w:val="24"/>
                <w:highlight w:val="none"/>
              </w:rPr>
              <w:t>m³/d</w:t>
            </w:r>
            <w:r>
              <w:rPr>
                <w:rFonts w:hint="eastAsia" w:cs="Times New Roman"/>
                <w:b w:val="0"/>
                <w:bCs w:val="0"/>
                <w:color w:val="000000"/>
                <w:sz w:val="24"/>
                <w:szCs w:val="24"/>
                <w:highlight w:val="none"/>
                <w:lang w:eastAsia="zh-CN"/>
              </w:rPr>
              <w:t>，</w:t>
            </w:r>
            <w:r>
              <w:rPr>
                <w:rFonts w:hint="default" w:ascii="Times New Roman" w:hAnsi="Times New Roman" w:eastAsia="宋体" w:cs="Times New Roman"/>
                <w:b w:val="0"/>
                <w:bCs w:val="0"/>
                <w:color w:val="000000"/>
                <w:sz w:val="24"/>
                <w:szCs w:val="24"/>
                <w:highlight w:val="none"/>
              </w:rPr>
              <w:t>占现有化粪池能力的</w:t>
            </w:r>
            <w:r>
              <w:rPr>
                <w:rFonts w:hint="default" w:ascii="Times New Roman" w:hAnsi="Times New Roman" w:eastAsia="宋体" w:cs="Times New Roman"/>
                <w:b w:val="0"/>
                <w:bCs w:val="0"/>
                <w:color w:val="000000"/>
                <w:sz w:val="24"/>
                <w:szCs w:val="24"/>
                <w:highlight w:val="none"/>
                <w:lang w:val="en-US" w:eastAsia="zh-CN"/>
              </w:rPr>
              <w:t>82</w:t>
            </w:r>
            <w:r>
              <w:rPr>
                <w:rFonts w:hint="default" w:ascii="Times New Roman" w:hAnsi="Times New Roman" w:eastAsia="宋体" w:cs="Times New Roman"/>
                <w:b w:val="0"/>
                <w:bCs w:val="0"/>
                <w:color w:val="000000"/>
                <w:sz w:val="24"/>
                <w:szCs w:val="24"/>
                <w:highlight w:val="none"/>
              </w:rPr>
              <w:t>%</w:t>
            </w:r>
            <w:r>
              <w:rPr>
                <w:rFonts w:hint="eastAsia" w:cs="Times New Roman"/>
                <w:b w:val="0"/>
                <w:bCs w:val="0"/>
                <w:color w:val="000000"/>
                <w:sz w:val="24"/>
                <w:szCs w:val="24"/>
                <w:highlight w:val="none"/>
                <w:lang w:eastAsia="zh-CN"/>
              </w:rPr>
              <w:t>，</w:t>
            </w:r>
            <w:r>
              <w:rPr>
                <w:rFonts w:hint="default" w:ascii="Times New Roman" w:hAnsi="Times New Roman" w:eastAsia="宋体" w:cs="Times New Roman"/>
                <w:b w:val="0"/>
                <w:bCs w:val="0"/>
                <w:color w:val="000000"/>
                <w:sz w:val="24"/>
                <w:szCs w:val="24"/>
                <w:highlight w:val="none"/>
              </w:rPr>
              <w:t>化粪池目前剩余</w:t>
            </w:r>
            <w:r>
              <w:rPr>
                <w:rFonts w:hint="default" w:ascii="Times New Roman" w:hAnsi="Times New Roman" w:eastAsia="宋体" w:cs="Times New Roman"/>
                <w:b w:val="0"/>
                <w:bCs w:val="0"/>
                <w:color w:val="000000"/>
                <w:sz w:val="24"/>
                <w:szCs w:val="24"/>
                <w:highlight w:val="none"/>
                <w:lang w:val="en-US" w:eastAsia="zh-CN"/>
              </w:rPr>
              <w:t>2.6</w:t>
            </w:r>
            <w:r>
              <w:rPr>
                <w:rFonts w:hint="default" w:ascii="Times New Roman" w:hAnsi="Times New Roman" w:eastAsia="宋体" w:cs="Times New Roman"/>
                <w:b w:val="0"/>
                <w:bCs w:val="0"/>
                <w:color w:val="000000"/>
                <w:sz w:val="24"/>
                <w:szCs w:val="24"/>
                <w:highlight w:val="none"/>
              </w:rPr>
              <w:t>m³/d的处理量</w:t>
            </w:r>
            <w:r>
              <w:rPr>
                <w:rFonts w:hint="eastAsia" w:cs="Times New Roman"/>
                <w:b w:val="0"/>
                <w:bCs w:val="0"/>
                <w:color w:val="000000"/>
                <w:sz w:val="24"/>
                <w:szCs w:val="24"/>
                <w:highlight w:val="none"/>
                <w:lang w:eastAsia="zh-CN"/>
              </w:rPr>
              <w:t>，</w:t>
            </w:r>
            <w:r>
              <w:rPr>
                <w:rFonts w:hint="default" w:ascii="Times New Roman" w:hAnsi="Times New Roman" w:eastAsia="宋体" w:cs="Times New Roman"/>
                <w:b w:val="0"/>
                <w:bCs w:val="0"/>
                <w:color w:val="000000"/>
                <w:sz w:val="24"/>
                <w:szCs w:val="24"/>
                <w:highlight w:val="none"/>
              </w:rPr>
              <w:t>化粪池能够接纳本项目污水。</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③污水处</w:t>
            </w:r>
            <w:r>
              <w:rPr>
                <w:rFonts w:hint="default" w:ascii="Times New Roman" w:hAnsi="Times New Roman" w:eastAsia="宋体" w:cs="Times New Roman"/>
                <w:b/>
                <w:bCs/>
                <w:color w:val="000000" w:themeColor="text1"/>
                <w:sz w:val="24"/>
                <w14:textFill>
                  <w14:solidFill>
                    <w14:schemeClr w14:val="tx1"/>
                  </w14:solidFill>
                </w14:textFill>
              </w:rPr>
              <w:t>理厂接纳可行性分析</w:t>
            </w:r>
          </w:p>
          <w:p>
            <w:pPr>
              <w:pStyle w:val="11"/>
              <w:spacing w:line="360" w:lineRule="auto"/>
              <w:ind w:firstLine="480" w:firstLineChars="200"/>
              <w:jc w:val="both"/>
              <w:rPr>
                <w:rStyle w:val="34"/>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目产生的食堂废水先经隔油池处理后与其他生活污水一同排入</w:t>
            </w:r>
            <w:r>
              <w:rPr>
                <w:rFonts w:hint="default" w:ascii="Times New Roman" w:hAnsi="Times New Roman" w:eastAsia="宋体" w:cs="Times New Roman"/>
                <w:color w:val="000000" w:themeColor="text1"/>
                <w:spacing w:val="-6"/>
                <w:szCs w:val="24"/>
                <w14:textFill>
                  <w14:solidFill>
                    <w14:schemeClr w14:val="tx1"/>
                  </w14:solidFill>
                </w14:textFill>
              </w:rPr>
              <w:t>依托</w:t>
            </w:r>
            <w:r>
              <w:rPr>
                <w:rFonts w:hint="default" w:ascii="Times New Roman" w:hAnsi="Times New Roman" w:eastAsia="宋体" w:cs="Times New Roman"/>
                <w:color w:val="000000" w:themeColor="text1"/>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14:textFill>
                  <w14:solidFill>
                    <w14:schemeClr w14:val="tx1"/>
                  </w14:solidFill>
                </w14:textFill>
              </w:rPr>
              <w:t>的化粪池处理</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经处理后</w:t>
            </w:r>
            <w:r>
              <w:rPr>
                <w:rFonts w:hint="default" w:ascii="Times New Roman" w:hAnsi="Times New Roman" w:eastAsia="宋体" w:cs="Times New Roman"/>
                <w:color w:val="000000" w:themeColor="text1"/>
                <w:szCs w:val="24"/>
                <w14:textFill>
                  <w14:solidFill>
                    <w14:schemeClr w14:val="tx1"/>
                  </w14:solidFill>
                </w14:textFill>
              </w:rPr>
              <w:t>可满足《污水排入城镇下水道水质标准》（GB/T31962-2015）</w:t>
            </w:r>
            <w:r>
              <w:rPr>
                <w:rFonts w:hint="default" w:ascii="Times New Roman" w:hAnsi="Times New Roman" w:eastAsia="宋体" w:cs="Times New Roman"/>
                <w:color w:val="000000" w:themeColor="text1"/>
                <w14:textFill>
                  <w14:solidFill>
                    <w14:schemeClr w14:val="tx1"/>
                  </w14:solidFill>
                </w14:textFill>
              </w:rPr>
              <w:t>表1中A级标准</w:t>
            </w:r>
            <w:r>
              <w:rPr>
                <w:rFonts w:hint="default" w:ascii="Times New Roman" w:hAnsi="Times New Roman" w:eastAsia="宋体" w:cs="Times New Roman"/>
                <w:color w:val="000000" w:themeColor="text1"/>
                <w:szCs w:val="24"/>
                <w14:textFill>
                  <w14:solidFill>
                    <w14:schemeClr w14:val="tx1"/>
                  </w14:solidFill>
                </w14:textFill>
              </w:rPr>
              <w:t>后排入园区管网</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最终进入</w:t>
            </w:r>
            <w:r>
              <w:rPr>
                <w:rFonts w:hint="default" w:ascii="Times New Roman" w:hAnsi="Times New Roman" w:eastAsia="宋体" w:cs="Times New Roman"/>
                <w:color w:val="000000" w:themeColor="text1"/>
                <w:szCs w:val="24"/>
                <w:lang w:eastAsia="zh-CN"/>
                <w14:textFill>
                  <w14:solidFill>
                    <w14:schemeClr w14:val="tx1"/>
                  </w14:solidFill>
                </w14:textFill>
              </w:rPr>
              <w:t>晋宁县工业园区二街片区生活污水处理厂</w:t>
            </w:r>
            <w:r>
              <w:rPr>
                <w:rFonts w:hint="default" w:ascii="Times New Roman" w:hAnsi="Times New Roman" w:eastAsia="宋体" w:cs="Times New Roman"/>
                <w:color w:val="000000" w:themeColor="text1"/>
                <w:szCs w:val="24"/>
                <w14:textFill>
                  <w14:solidFill>
                    <w14:schemeClr w14:val="tx1"/>
                  </w14:solidFill>
                </w14:textFill>
              </w:rPr>
              <w:t>处理。</w:t>
            </w:r>
            <w:r>
              <w:rPr>
                <w:rStyle w:val="34"/>
                <w:rFonts w:hint="default" w:ascii="Times New Roman" w:hAnsi="Times New Roman" w:eastAsia="宋体" w:cs="Times New Roman"/>
                <w:color w:val="000000" w:themeColor="text1"/>
                <w:kern w:val="0"/>
                <w:sz w:val="24"/>
                <w14:textFill>
                  <w14:solidFill>
                    <w14:schemeClr w14:val="tx1"/>
                  </w14:solidFill>
                </w14:textFill>
              </w:rPr>
              <w:t>本项目产生的废水总量为</w:t>
            </w:r>
            <w:r>
              <w:rPr>
                <w:rStyle w:val="34"/>
                <w:rFonts w:hint="default" w:ascii="Times New Roman" w:hAnsi="Times New Roman" w:eastAsia="宋体" w:cs="Times New Roman"/>
                <w:color w:val="000000" w:themeColor="text1"/>
                <w:kern w:val="0"/>
                <w:sz w:val="24"/>
                <w:lang w:val="en-US" w:eastAsia="zh-CN"/>
                <w14:textFill>
                  <w14:solidFill>
                    <w14:schemeClr w14:val="tx1"/>
                  </w14:solidFill>
                </w14:textFill>
              </w:rPr>
              <w:t>2.4</w:t>
            </w:r>
            <w:r>
              <w:rPr>
                <w:rStyle w:val="34"/>
                <w:rFonts w:hint="default" w:ascii="Times New Roman" w:hAnsi="Times New Roman" w:eastAsia="宋体" w:cs="Times New Roman"/>
                <w:color w:val="000000" w:themeColor="text1"/>
                <w:kern w:val="0"/>
                <w:sz w:val="24"/>
                <w14:textFill>
                  <w14:solidFill>
                    <w14:schemeClr w14:val="tx1"/>
                  </w14:solidFill>
                </w14:textFill>
              </w:rPr>
              <w:t>m</w:t>
            </w:r>
            <w:r>
              <w:rPr>
                <w:rStyle w:val="34"/>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Style w:val="34"/>
                <w:rFonts w:hint="default" w:ascii="Times New Roman" w:hAnsi="Times New Roman" w:eastAsia="宋体" w:cs="Times New Roman"/>
                <w:color w:val="000000" w:themeColor="text1"/>
                <w:kern w:val="0"/>
                <w:sz w:val="24"/>
                <w14:textFill>
                  <w14:solidFill>
                    <w14:schemeClr w14:val="tx1"/>
                  </w14:solidFill>
                </w14:textFill>
              </w:rPr>
              <w:t>/d</w:t>
            </w:r>
            <w:r>
              <w:rPr>
                <w:rStyle w:val="34"/>
                <w:rFonts w:hint="eastAsia" w:cs="Times New Roman"/>
                <w:color w:val="000000" w:themeColor="text1"/>
                <w:kern w:val="0"/>
                <w:sz w:val="24"/>
                <w:lang w:eastAsia="zh-CN"/>
                <w14:textFill>
                  <w14:solidFill>
                    <w14:schemeClr w14:val="tx1"/>
                  </w14:solidFill>
                </w14:textFill>
              </w:rPr>
              <w:t>，</w:t>
            </w:r>
            <w:r>
              <w:rPr>
                <w:rStyle w:val="34"/>
                <w:rFonts w:hint="default" w:ascii="Times New Roman" w:hAnsi="Times New Roman" w:eastAsia="宋体" w:cs="Times New Roman"/>
                <w:color w:val="000000" w:themeColor="text1"/>
                <w:kern w:val="0"/>
                <w:sz w:val="24"/>
                <w14:textFill>
                  <w14:solidFill>
                    <w14:schemeClr w14:val="tx1"/>
                  </w14:solidFill>
                </w14:textFill>
              </w:rPr>
              <w:t>经过隔油池、化粪池处理后达到GB/T31962-2015《污水排入城镇下水道水质标准》(表1)A等级标准</w:t>
            </w:r>
            <w:r>
              <w:rPr>
                <w:rStyle w:val="34"/>
                <w:rFonts w:hint="eastAsia" w:cs="Times New Roman"/>
                <w:color w:val="000000" w:themeColor="text1"/>
                <w:kern w:val="0"/>
                <w:sz w:val="24"/>
                <w:lang w:eastAsia="zh-CN"/>
                <w14:textFill>
                  <w14:solidFill>
                    <w14:schemeClr w14:val="tx1"/>
                  </w14:solidFill>
                </w14:textFill>
              </w:rPr>
              <w:t>，</w:t>
            </w:r>
            <w:r>
              <w:rPr>
                <w:rStyle w:val="34"/>
                <w:rFonts w:hint="default" w:ascii="Times New Roman" w:hAnsi="Times New Roman" w:eastAsia="宋体" w:cs="Times New Roman"/>
                <w:color w:val="000000" w:themeColor="text1"/>
                <w:kern w:val="0"/>
                <w:sz w:val="24"/>
                <w14:textFill>
                  <w14:solidFill>
                    <w14:schemeClr w14:val="tx1"/>
                  </w14:solidFill>
                </w14:textFill>
              </w:rPr>
              <w:t>依托处理达到GB/T31962-2015《污水排入城镇下水道水质标准》(表1) A等级标准后排入园区污水管网</w:t>
            </w:r>
            <w:r>
              <w:rPr>
                <w:rStyle w:val="34"/>
                <w:rFonts w:hint="eastAsia" w:cs="Times New Roman"/>
                <w:color w:val="000000" w:themeColor="text1"/>
                <w:kern w:val="0"/>
                <w:sz w:val="24"/>
                <w:lang w:eastAsia="zh-CN"/>
                <w14:textFill>
                  <w14:solidFill>
                    <w14:schemeClr w14:val="tx1"/>
                  </w14:solidFill>
                </w14:textFill>
              </w:rPr>
              <w:t>，</w:t>
            </w:r>
            <w:r>
              <w:rPr>
                <w:rStyle w:val="34"/>
                <w:rFonts w:hint="default" w:ascii="Times New Roman" w:hAnsi="Times New Roman" w:eastAsia="宋体" w:cs="Times New Roman"/>
                <w:color w:val="000000" w:themeColor="text1"/>
                <w:kern w:val="0"/>
                <w:sz w:val="24"/>
                <w14:textFill>
                  <w14:solidFill>
                    <w14:schemeClr w14:val="tx1"/>
                  </w14:solidFill>
                </w14:textFill>
              </w:rPr>
              <w:t>最终进入晋宁县工业园区二街片区生活污水处理厂处理。晋宁县工业园区二街片区生活污水处理厂设计污水处理量7000m</w:t>
            </w:r>
            <w:r>
              <w:rPr>
                <w:rStyle w:val="34"/>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Style w:val="34"/>
                <w:rFonts w:hint="default" w:ascii="Times New Roman" w:hAnsi="Times New Roman" w:eastAsia="宋体" w:cs="Times New Roman"/>
                <w:color w:val="000000" w:themeColor="text1"/>
                <w:kern w:val="0"/>
                <w:sz w:val="24"/>
                <w14:textFill>
                  <w14:solidFill>
                    <w14:schemeClr w14:val="tx1"/>
                  </w14:solidFill>
                </w14:textFill>
              </w:rPr>
              <w:t>/d</w:t>
            </w:r>
            <w:r>
              <w:rPr>
                <w:rStyle w:val="34"/>
                <w:rFonts w:hint="eastAsia" w:cs="Times New Roman"/>
                <w:color w:val="000000" w:themeColor="text1"/>
                <w:kern w:val="0"/>
                <w:sz w:val="24"/>
                <w:lang w:eastAsia="zh-CN"/>
                <w14:textFill>
                  <w14:solidFill>
                    <w14:schemeClr w14:val="tx1"/>
                  </w14:solidFill>
                </w14:textFill>
              </w:rPr>
              <w:t>，</w:t>
            </w:r>
            <w:r>
              <w:rPr>
                <w:rStyle w:val="34"/>
                <w:rFonts w:hint="default" w:ascii="Times New Roman" w:hAnsi="Times New Roman" w:eastAsia="宋体" w:cs="Times New Roman"/>
                <w:color w:val="000000" w:themeColor="text1"/>
                <w:kern w:val="0"/>
                <w:sz w:val="24"/>
                <w14:textFill>
                  <w14:solidFill>
                    <w14:schemeClr w14:val="tx1"/>
                  </w14:solidFill>
                </w14:textFill>
              </w:rPr>
              <w:t>本项目产生的废水总量为</w:t>
            </w:r>
            <w:r>
              <w:rPr>
                <w:rStyle w:val="34"/>
                <w:rFonts w:hint="default" w:ascii="Times New Roman" w:hAnsi="Times New Roman" w:eastAsia="宋体" w:cs="Times New Roman"/>
                <w:color w:val="000000" w:themeColor="text1"/>
                <w:kern w:val="0"/>
                <w:sz w:val="24"/>
                <w:lang w:val="en-US" w:eastAsia="zh-CN"/>
                <w14:textFill>
                  <w14:solidFill>
                    <w14:schemeClr w14:val="tx1"/>
                  </w14:solidFill>
                </w14:textFill>
              </w:rPr>
              <w:t>2.4</w:t>
            </w:r>
            <w:r>
              <w:rPr>
                <w:rStyle w:val="34"/>
                <w:rFonts w:hint="default" w:ascii="Times New Roman" w:hAnsi="Times New Roman" w:eastAsia="宋体" w:cs="Times New Roman"/>
                <w:color w:val="000000" w:themeColor="text1"/>
                <w:kern w:val="0"/>
                <w:sz w:val="24"/>
                <w14:textFill>
                  <w14:solidFill>
                    <w14:schemeClr w14:val="tx1"/>
                  </w14:solidFill>
                </w14:textFill>
              </w:rPr>
              <w:t>m</w:t>
            </w:r>
            <w:r>
              <w:rPr>
                <w:rStyle w:val="34"/>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Style w:val="34"/>
                <w:rFonts w:hint="default" w:ascii="Times New Roman" w:hAnsi="Times New Roman" w:eastAsia="宋体" w:cs="Times New Roman"/>
                <w:color w:val="000000" w:themeColor="text1"/>
                <w:kern w:val="0"/>
                <w:sz w:val="24"/>
                <w14:textFill>
                  <w14:solidFill>
                    <w14:schemeClr w14:val="tx1"/>
                  </w14:solidFill>
                </w14:textFill>
              </w:rPr>
              <w:t>/d</w:t>
            </w:r>
            <w:r>
              <w:rPr>
                <w:rStyle w:val="34"/>
                <w:rFonts w:hint="eastAsia" w:cs="Times New Roman"/>
                <w:color w:val="000000" w:themeColor="text1"/>
                <w:kern w:val="0"/>
                <w:sz w:val="24"/>
                <w:lang w:eastAsia="zh-CN"/>
                <w14:textFill>
                  <w14:solidFill>
                    <w14:schemeClr w14:val="tx1"/>
                  </w14:solidFill>
                </w14:textFill>
              </w:rPr>
              <w:t>，</w:t>
            </w:r>
            <w:r>
              <w:rPr>
                <w:rStyle w:val="34"/>
                <w:rFonts w:hint="default" w:ascii="Times New Roman" w:hAnsi="Times New Roman" w:eastAsia="宋体" w:cs="Times New Roman"/>
                <w:color w:val="000000" w:themeColor="text1"/>
                <w:kern w:val="0"/>
                <w:sz w:val="24"/>
                <w14:textFill>
                  <w14:solidFill>
                    <w14:schemeClr w14:val="tx1"/>
                  </w14:solidFill>
                </w14:textFill>
              </w:rPr>
              <w:t>占比</w:t>
            </w:r>
            <w:r>
              <w:rPr>
                <w:rStyle w:val="34"/>
                <w:rFonts w:hint="default" w:ascii="Times New Roman" w:hAnsi="Times New Roman" w:eastAsia="宋体" w:cs="Times New Roman"/>
                <w:color w:val="000000" w:themeColor="text1"/>
                <w:kern w:val="0"/>
                <w:sz w:val="24"/>
                <w:lang w:val="en-US" w:eastAsia="zh-CN"/>
                <w14:textFill>
                  <w14:solidFill>
                    <w14:schemeClr w14:val="tx1"/>
                  </w14:solidFill>
                </w14:textFill>
              </w:rPr>
              <w:t>0.034</w:t>
            </w:r>
            <w:r>
              <w:rPr>
                <w:rStyle w:val="34"/>
                <w:rFonts w:hint="default" w:ascii="Times New Roman" w:hAnsi="Times New Roman" w:eastAsia="宋体" w:cs="Times New Roman"/>
                <w:color w:val="000000" w:themeColor="text1"/>
                <w:kern w:val="0"/>
                <w:sz w:val="24"/>
                <w14:textFill>
                  <w14:solidFill>
                    <w14:schemeClr w14:val="tx1"/>
                  </w14:solidFill>
                </w14:textFill>
              </w:rPr>
              <w:t>%。项目现有化粪池总容积为</w:t>
            </w:r>
            <w:r>
              <w:rPr>
                <w:rStyle w:val="34"/>
                <w:rFonts w:hint="default" w:ascii="Times New Roman" w:hAnsi="Times New Roman" w:eastAsia="宋体" w:cs="Times New Roman"/>
                <w:color w:val="000000" w:themeColor="text1"/>
                <w:kern w:val="0"/>
                <w:sz w:val="24"/>
                <w:lang w:val="en-US" w:eastAsia="zh-CN"/>
                <w14:textFill>
                  <w14:solidFill>
                    <w14:schemeClr w14:val="tx1"/>
                  </w14:solidFill>
                </w14:textFill>
              </w:rPr>
              <w:t>15</w:t>
            </w:r>
            <w:r>
              <w:rPr>
                <w:rStyle w:val="34"/>
                <w:rFonts w:hint="default" w:ascii="Times New Roman" w:hAnsi="Times New Roman" w:eastAsia="宋体" w:cs="Times New Roman"/>
                <w:color w:val="000000" w:themeColor="text1"/>
                <w:kern w:val="0"/>
                <w:sz w:val="24"/>
                <w14:textFill>
                  <w14:solidFill>
                    <w14:schemeClr w14:val="tx1"/>
                  </w14:solidFill>
                </w14:textFill>
              </w:rPr>
              <w:t>m³</w:t>
            </w:r>
            <w:r>
              <w:rPr>
                <w:rStyle w:val="34"/>
                <w:rFonts w:hint="eastAsia" w:cs="Times New Roman"/>
                <w:color w:val="000000" w:themeColor="text1"/>
                <w:kern w:val="0"/>
                <w:sz w:val="24"/>
                <w:lang w:eastAsia="zh-CN"/>
                <w14:textFill>
                  <w14:solidFill>
                    <w14:schemeClr w14:val="tx1"/>
                  </w14:solidFill>
                </w14:textFill>
              </w:rPr>
              <w:t>，</w:t>
            </w:r>
            <w:r>
              <w:rPr>
                <w:rStyle w:val="34"/>
                <w:rFonts w:hint="default" w:ascii="Times New Roman" w:hAnsi="Times New Roman" w:eastAsia="宋体" w:cs="Times New Roman"/>
                <w:color w:val="000000" w:themeColor="text1"/>
                <w:kern w:val="0"/>
                <w:sz w:val="24"/>
                <w14:textFill>
                  <w14:solidFill>
                    <w14:schemeClr w14:val="tx1"/>
                  </w14:solidFill>
                </w14:textFill>
              </w:rPr>
              <w:t>能满足废水在化粪池中停留时间12h-24h的要求。因此本项目废水处理达到GB/T31962-2015《污水排入城镇下水道水质标准》(表1) A等级标准后排入园区污水管网</w:t>
            </w:r>
            <w:r>
              <w:rPr>
                <w:rStyle w:val="34"/>
                <w:rFonts w:hint="eastAsia" w:cs="Times New Roman"/>
                <w:color w:val="000000" w:themeColor="text1"/>
                <w:kern w:val="0"/>
                <w:sz w:val="24"/>
                <w:lang w:eastAsia="zh-CN"/>
                <w14:textFill>
                  <w14:solidFill>
                    <w14:schemeClr w14:val="tx1"/>
                  </w14:solidFill>
                </w14:textFill>
              </w:rPr>
              <w:t>，</w:t>
            </w:r>
            <w:r>
              <w:rPr>
                <w:rStyle w:val="34"/>
                <w:rFonts w:hint="default" w:ascii="Times New Roman" w:hAnsi="Times New Roman" w:eastAsia="宋体" w:cs="Times New Roman"/>
                <w:color w:val="000000" w:themeColor="text1"/>
                <w:kern w:val="0"/>
                <w:sz w:val="24"/>
                <w14:textFill>
                  <w14:solidFill>
                    <w14:schemeClr w14:val="tx1"/>
                  </w14:solidFill>
                </w14:textFill>
              </w:rPr>
              <w:t>最终进入晋宁县工业园区二街片区生活污水处理厂</w:t>
            </w:r>
            <w:r>
              <w:rPr>
                <w:rStyle w:val="34"/>
                <w:rFonts w:hint="eastAsia" w:cs="Times New Roman"/>
                <w:color w:val="000000" w:themeColor="text1"/>
                <w:kern w:val="0"/>
                <w:sz w:val="24"/>
                <w:lang w:eastAsia="zh-CN"/>
                <w14:textFill>
                  <w14:solidFill>
                    <w14:schemeClr w14:val="tx1"/>
                  </w14:solidFill>
                </w14:textFill>
              </w:rPr>
              <w:t>，</w:t>
            </w:r>
            <w:r>
              <w:rPr>
                <w:rStyle w:val="34"/>
                <w:rFonts w:hint="default" w:ascii="Times New Roman" w:hAnsi="Times New Roman" w:eastAsia="宋体" w:cs="Times New Roman"/>
                <w:color w:val="000000" w:themeColor="text1"/>
                <w:kern w:val="0"/>
                <w:sz w:val="24"/>
                <w14:textFill>
                  <w14:solidFill>
                    <w14:schemeClr w14:val="tx1"/>
                  </w14:solidFill>
                </w14:textFill>
              </w:rPr>
              <w:t>处置是可行的。</w:t>
            </w:r>
          </w:p>
          <w:p>
            <w:pPr>
              <w:widowControl/>
              <w:spacing w:line="360" w:lineRule="auto"/>
              <w:ind w:firstLine="48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 4 \* GB3 \* MERGEFORMAT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cs="Times New Roman"/>
                <w:b/>
                <w:bCs/>
                <w:sz w:val="24"/>
                <w:szCs w:val="24"/>
              </w:rPr>
              <w:t>④</w:t>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t>雨污分</w:t>
            </w:r>
            <w:r>
              <w:rPr>
                <w:rFonts w:hint="default" w:ascii="Times New Roman" w:hAnsi="Times New Roman" w:eastAsia="宋体" w:cs="Times New Roman"/>
                <w:b/>
                <w:bCs/>
                <w:color w:val="000000" w:themeColor="text1"/>
                <w:sz w:val="24"/>
                <w14:textFill>
                  <w14:solidFill>
                    <w14:schemeClr w14:val="tx1"/>
                  </w14:solidFill>
                </w14:textFill>
              </w:rPr>
              <w:t>流系统</w:t>
            </w:r>
          </w:p>
          <w:p>
            <w:pPr>
              <w:widowControl/>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zh-CN"/>
                <w14:textFill>
                  <w14:solidFill>
                    <w14:schemeClr w14:val="tx1"/>
                  </w14:solidFill>
                </w14:textFill>
              </w:rPr>
              <w:t>云南晋宁宏奥电梯有限公司</w:t>
            </w:r>
            <w:r>
              <w:rPr>
                <w:rFonts w:hint="default" w:ascii="Times New Roman" w:hAnsi="Times New Roman" w:eastAsia="宋体" w:cs="Times New Roman"/>
                <w:color w:val="000000" w:themeColor="text1"/>
                <w:sz w:val="24"/>
                <w14:textFill>
                  <w14:solidFill>
                    <w14:schemeClr w14:val="tx1"/>
                  </w14:solidFill>
                </w14:textFill>
              </w:rPr>
              <w:t>内已建成了雨污分体系</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设置了一套雨污分流系统</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项目区雨水通过管网排到工业园区雨水管网。</w:t>
            </w:r>
          </w:p>
          <w:p>
            <w:pPr>
              <w:widowControl/>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项目依托使用</w:t>
            </w:r>
            <w:r>
              <w:rPr>
                <w:rFonts w:hint="default" w:ascii="Times New Roman" w:hAnsi="Times New Roman" w:eastAsia="宋体" w:cs="Times New Roman"/>
                <w:color w:val="000000" w:themeColor="text1"/>
                <w:sz w:val="24"/>
                <w:lang w:bidi="zh-CN"/>
                <w14:textFill>
                  <w14:solidFill>
                    <w14:schemeClr w14:val="tx1"/>
                  </w14:solidFill>
                </w14:textFill>
              </w:rPr>
              <w:t>云南晋宁宏奥电梯有限公司</w:t>
            </w:r>
            <w:r>
              <w:rPr>
                <w:rFonts w:hint="default" w:ascii="Times New Roman" w:hAnsi="Times New Roman" w:eastAsia="宋体" w:cs="Times New Roman"/>
                <w:color w:val="000000" w:themeColor="text1"/>
                <w:sz w:val="24"/>
                <w14:textFill>
                  <w14:solidFill>
                    <w14:schemeClr w14:val="tx1"/>
                  </w14:solidFill>
                </w14:textFill>
              </w:rPr>
              <w:t>已建的</w:t>
            </w:r>
            <w:r>
              <w:rPr>
                <w:rFonts w:hint="default" w:ascii="Times New Roman" w:hAnsi="Times New Roman" w:eastAsia="宋体" w:cs="Times New Roman"/>
                <w:color w:val="000000" w:themeColor="text1"/>
                <w:sz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的化粪池。本项目食堂产生的厨房废水经隔油池处理后</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和其他生活废水一同排入化粪池</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预处理达到GB/T31962-2015《污水排入城镇下水道水质标准》(表1) A等级标准后排入园区污水管网</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最终进入晋宁县工业园区二街片区生活污水处理厂处理。</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噪声</w:t>
            </w:r>
          </w:p>
          <w:p>
            <w:pPr>
              <w:adjustRightInd w:val="0"/>
              <w:snapToGrid w:val="0"/>
              <w:spacing w:line="360" w:lineRule="auto"/>
              <w:ind w:firstLine="240" w:firstLineChars="100"/>
              <w:rPr>
                <w:rFonts w:hint="default" w:ascii="Times New Roman" w:hAnsi="Times New Roman" w:eastAsia="宋体" w:cs="Times New Roman"/>
                <w:bCs/>
                <w:color w:val="000000" w:themeColor="text1"/>
                <w:spacing w:val="-10"/>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本项目营运期噪声主要来源于</w:t>
            </w:r>
            <w:r>
              <w:rPr>
                <w:rFonts w:hint="default" w:ascii="Times New Roman" w:hAnsi="Times New Roman" w:eastAsia="宋体" w:cs="Times New Roman"/>
                <w:sz w:val="24"/>
                <w:szCs w:val="24"/>
              </w:rPr>
              <w:t>高速乳化搅拌</w:t>
            </w:r>
            <w:r>
              <w:rPr>
                <w:rFonts w:hint="default" w:ascii="Times New Roman" w:hAnsi="Times New Roman" w:eastAsia="宋体" w:cs="Times New Roman"/>
                <w:sz w:val="24"/>
                <w:szCs w:val="24"/>
                <w:lang w:val="en-US" w:eastAsia="zh-CN"/>
              </w:rPr>
              <w:t>罐</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sz w:val="24"/>
                <w:szCs w:val="24"/>
              </w:rPr>
              <w:t>增强剂搅拌罐</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复配搅拌罐</w:t>
            </w:r>
            <w:r>
              <w:rPr>
                <w:rFonts w:hint="default" w:ascii="Times New Roman" w:hAnsi="Times New Roman" w:eastAsia="宋体" w:cs="Times New Roman"/>
                <w:color w:val="000000" w:themeColor="text1"/>
                <w:sz w:val="24"/>
                <w:szCs w:val="24"/>
                <w14:textFill>
                  <w14:solidFill>
                    <w14:schemeClr w14:val="tx1"/>
                  </w14:solidFill>
                </w14:textFill>
              </w:rPr>
              <w:t>等设</w:t>
            </w:r>
            <w:r>
              <w:rPr>
                <w:rFonts w:hint="default" w:ascii="Times New Roman" w:hAnsi="Times New Roman" w:eastAsia="宋体" w:cs="Times New Roman"/>
                <w:color w:val="000000" w:themeColor="text1"/>
                <w:sz w:val="24"/>
                <w14:textFill>
                  <w14:solidFill>
                    <w14:schemeClr w14:val="tx1"/>
                  </w14:solidFill>
                </w14:textFill>
              </w:rPr>
              <w:t>备运转过程中产生的噪声</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为连续噪声；单台噪声源强为</w:t>
            </w:r>
            <w:r>
              <w:rPr>
                <w:rFonts w:hint="eastAsia" w:cs="Times New Roman"/>
                <w:color w:val="000000" w:themeColor="text1"/>
                <w:sz w:val="24"/>
                <w:lang w:val="en-US" w:eastAsia="zh-CN"/>
                <w14:textFill>
                  <w14:solidFill>
                    <w14:schemeClr w14:val="tx1"/>
                  </w14:solidFill>
                </w14:textFill>
              </w:rPr>
              <w:t>65</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85</w:t>
            </w:r>
            <w:r>
              <w:rPr>
                <w:rFonts w:hint="default" w:ascii="Times New Roman" w:hAnsi="Times New Roman" w:eastAsia="宋体" w:cs="Times New Roman"/>
                <w:color w:val="000000" w:themeColor="text1"/>
                <w:sz w:val="24"/>
                <w14:textFill>
                  <w14:solidFill>
                    <w14:schemeClr w14:val="tx1"/>
                  </w14:solidFill>
                </w14:textFill>
              </w:rPr>
              <w:t>dB（A）</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项目运营期间设备产生的噪声级如表4-1</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所示。</w:t>
            </w:r>
          </w:p>
          <w:p>
            <w:pPr>
              <w:pStyle w:val="4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表4-1</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 xml:space="preserve">  本项目主要噪声源及源强（单位：dB（A））</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2373"/>
              <w:gridCol w:w="656"/>
              <w:gridCol w:w="1202"/>
              <w:gridCol w:w="928"/>
              <w:gridCol w:w="1556"/>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 w:type="pct"/>
                  <w:tcBorders>
                    <w:top w:val="single" w:color="auto" w:sz="4" w:space="0"/>
                    <w:left w:val="single" w:color="auto" w:sz="4" w:space="0"/>
                    <w:bottom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序号</w:t>
                  </w:r>
                </w:p>
              </w:tc>
              <w:tc>
                <w:tcPr>
                  <w:tcW w:w="1414" w:type="pct"/>
                  <w:tcBorders>
                    <w:top w:val="single" w:color="auto" w:sz="4" w:space="0"/>
                    <w:left w:val="single" w:color="auto" w:sz="4" w:space="0"/>
                    <w:bottom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设备名称</w:t>
                  </w:r>
                </w:p>
              </w:tc>
              <w:tc>
                <w:tcPr>
                  <w:tcW w:w="391" w:type="pct"/>
                  <w:tcBorders>
                    <w:top w:val="single" w:color="auto" w:sz="4" w:space="0"/>
                    <w:left w:val="single" w:color="auto" w:sz="4" w:space="0"/>
                    <w:bottom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数量</w:t>
                  </w:r>
                </w:p>
              </w:tc>
              <w:tc>
                <w:tcPr>
                  <w:tcW w:w="716" w:type="pct"/>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单台噪声源强dB（A）</w:t>
                  </w:r>
                </w:p>
              </w:tc>
              <w:tc>
                <w:tcPr>
                  <w:tcW w:w="553" w:type="pct"/>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叠加后噪声dB（A）</w:t>
                  </w:r>
                </w:p>
              </w:tc>
              <w:tc>
                <w:tcPr>
                  <w:tcW w:w="927" w:type="pct"/>
                  <w:tcBorders>
                    <w:top w:val="single" w:color="auto" w:sz="4" w:space="0"/>
                    <w:left w:val="single" w:color="auto" w:sz="4" w:space="0"/>
                    <w:bottom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治理措施</w:t>
                  </w:r>
                </w:p>
              </w:tc>
              <w:tc>
                <w:tcPr>
                  <w:tcW w:w="781" w:type="pct"/>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治理后源强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15" w:type="pct"/>
                  <w:tcBorders>
                    <w:top w:val="single" w:color="auto" w:sz="4" w:space="0"/>
                    <w:left w:val="single" w:color="auto" w:sz="4" w:space="0"/>
                    <w:bottom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1414"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AKD融化罐</w:t>
                  </w:r>
                </w:p>
              </w:tc>
              <w:tc>
                <w:tcPr>
                  <w:tcW w:w="39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台</w:t>
                  </w:r>
                </w:p>
              </w:tc>
              <w:tc>
                <w:tcPr>
                  <w:tcW w:w="716" w:type="pct"/>
                  <w:tcBorders>
                    <w:top w:val="single" w:color="auto" w:sz="4" w:space="0"/>
                    <w:left w:val="single" w:color="auto" w:sz="4" w:space="0"/>
                    <w:bottom w:val="single" w:color="auto" w:sz="4" w:space="0"/>
                    <w:right w:val="single" w:color="auto" w:sz="4" w:space="0"/>
                  </w:tcBorders>
                  <w:vAlign w:val="center"/>
                </w:tcPr>
                <w:p>
                  <w:pPr>
                    <w:pStyle w:val="49"/>
                    <w:spacing w:before="24" w:after="24" w:line="240" w:lineRule="exact"/>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78</w:t>
                  </w:r>
                </w:p>
              </w:tc>
              <w:tc>
                <w:tcPr>
                  <w:tcW w:w="553" w:type="pct"/>
                  <w:tcBorders>
                    <w:top w:val="single" w:color="auto" w:sz="4" w:space="0"/>
                    <w:left w:val="single" w:color="auto" w:sz="4" w:space="0"/>
                    <w:bottom w:val="single" w:color="auto" w:sz="4" w:space="0"/>
                    <w:right w:val="single" w:color="auto" w:sz="4" w:space="0"/>
                  </w:tcBorders>
                  <w:vAlign w:val="center"/>
                </w:tcPr>
                <w:p>
                  <w:pPr>
                    <w:pStyle w:val="49"/>
                    <w:spacing w:before="24" w:after="24" w:line="240" w:lineRule="exact"/>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81</w:t>
                  </w:r>
                </w:p>
              </w:tc>
              <w:tc>
                <w:tcPr>
                  <w:tcW w:w="927" w:type="pct"/>
                  <w:vMerge w:val="restart"/>
                  <w:tcBorders>
                    <w:top w:val="single" w:color="auto" w:sz="4" w:space="0"/>
                    <w:left w:val="single" w:color="auto" w:sz="4" w:space="0"/>
                    <w:right w:val="single" w:color="auto" w:sz="4" w:space="0"/>
                  </w:tcBorders>
                  <w:vAlign w:val="center"/>
                </w:tcPr>
                <w:p>
                  <w:pPr>
                    <w:pStyle w:val="49"/>
                    <w:spacing w:before="24" w:after="24" w:line="24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p>
                <w:p>
                  <w:pPr>
                    <w:pStyle w:val="49"/>
                    <w:spacing w:before="24" w:after="24" w:line="24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厂房隔声、距离衰减、安装减震垫</w:t>
                  </w:r>
                  <w:r>
                    <w:rPr>
                      <w:rFonts w:hint="eastAsia" w:ascii="Times New Roman"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lang w:val="en-US" w:eastAsia="zh-CN"/>
                      <w14:textFill>
                        <w14:solidFill>
                          <w14:schemeClr w14:val="tx1"/>
                        </w14:solidFill>
                      </w14:textFill>
                    </w:rPr>
                    <w:t>设备日常维护约可降噪5～10dB</w:t>
                  </w:r>
                </w:p>
                <w:p>
                  <w:pPr>
                    <w:pStyle w:val="8"/>
                    <w:jc w:val="center"/>
                    <w:rPr>
                      <w:rFonts w:hint="default" w:ascii="Times New Roman" w:hAnsi="Times New Roman" w:eastAsia="宋体" w:cs="Times New Roman"/>
                      <w:b w:val="0"/>
                      <w:bCs w:val="0"/>
                      <w:color w:val="000000" w:themeColor="text1"/>
                      <w14:textFill>
                        <w14:solidFill>
                          <w14:schemeClr w14:val="tx1"/>
                        </w14:solidFill>
                      </w14:textFill>
                    </w:rPr>
                  </w:pPr>
                </w:p>
              </w:tc>
              <w:tc>
                <w:tcPr>
                  <w:tcW w:w="781" w:type="pct"/>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 w:type="pct"/>
                  <w:tcBorders>
                    <w:top w:val="single" w:color="auto" w:sz="4" w:space="0"/>
                    <w:left w:val="single" w:color="auto" w:sz="4" w:space="0"/>
                    <w:bottom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2</w:t>
                  </w:r>
                </w:p>
              </w:tc>
              <w:tc>
                <w:tcPr>
                  <w:tcW w:w="1414"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zCs w:val="22"/>
                    </w:rPr>
                    <w:t>高速乳化搅拌</w:t>
                  </w:r>
                  <w:r>
                    <w:rPr>
                      <w:rFonts w:hint="default" w:ascii="Times New Roman" w:hAnsi="Times New Roman" w:eastAsia="宋体" w:cs="Times New Roman"/>
                      <w:szCs w:val="22"/>
                      <w:lang w:val="en-US" w:eastAsia="zh-CN"/>
                    </w:rPr>
                    <w:t>罐</w:t>
                  </w:r>
                </w:p>
              </w:tc>
              <w:tc>
                <w:tcPr>
                  <w:tcW w:w="39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台</w:t>
                  </w:r>
                </w:p>
              </w:tc>
              <w:tc>
                <w:tcPr>
                  <w:tcW w:w="716" w:type="pct"/>
                  <w:tcBorders>
                    <w:top w:val="single" w:color="auto" w:sz="4" w:space="0"/>
                    <w:left w:val="single" w:color="auto" w:sz="4" w:space="0"/>
                    <w:bottom w:val="single" w:color="auto" w:sz="4" w:space="0"/>
                    <w:right w:val="single" w:color="auto" w:sz="4" w:space="0"/>
                  </w:tcBorders>
                  <w:vAlign w:val="center"/>
                </w:tcPr>
                <w:p>
                  <w:pPr>
                    <w:pStyle w:val="49"/>
                    <w:spacing w:before="24" w:after="24" w:line="240" w:lineRule="exact"/>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70</w:t>
                  </w:r>
                </w:p>
              </w:tc>
              <w:tc>
                <w:tcPr>
                  <w:tcW w:w="553" w:type="pct"/>
                  <w:tcBorders>
                    <w:top w:val="single" w:color="auto" w:sz="4" w:space="0"/>
                    <w:left w:val="single" w:color="auto" w:sz="4" w:space="0"/>
                    <w:bottom w:val="single" w:color="auto" w:sz="4" w:space="0"/>
                    <w:right w:val="single" w:color="auto" w:sz="4" w:space="0"/>
                  </w:tcBorders>
                  <w:vAlign w:val="center"/>
                </w:tcPr>
                <w:p>
                  <w:pPr>
                    <w:pStyle w:val="49"/>
                    <w:spacing w:before="24" w:after="24" w:line="240" w:lineRule="exact"/>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73</w:t>
                  </w:r>
                </w:p>
              </w:tc>
              <w:tc>
                <w:tcPr>
                  <w:tcW w:w="927" w:type="pct"/>
                  <w:vMerge w:val="continue"/>
                  <w:tcBorders>
                    <w:left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14:textFill>
                        <w14:solidFill>
                          <w14:schemeClr w14:val="tx1"/>
                        </w14:solidFill>
                      </w14:textFill>
                    </w:rPr>
                  </w:pPr>
                </w:p>
              </w:tc>
              <w:tc>
                <w:tcPr>
                  <w:tcW w:w="781" w:type="pct"/>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 w:type="pct"/>
                  <w:tcBorders>
                    <w:top w:val="single" w:color="auto" w:sz="4" w:space="0"/>
                    <w:left w:val="single" w:color="auto" w:sz="4" w:space="0"/>
                    <w:bottom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3</w:t>
                  </w:r>
                </w:p>
              </w:tc>
              <w:tc>
                <w:tcPr>
                  <w:tcW w:w="1414"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zCs w:val="22"/>
                      <w:lang w:val="en-US" w:eastAsia="zh-CN"/>
                    </w:rPr>
                    <w:t>剪切机</w:t>
                  </w:r>
                </w:p>
              </w:tc>
              <w:tc>
                <w:tcPr>
                  <w:tcW w:w="39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台</w:t>
                  </w:r>
                </w:p>
              </w:tc>
              <w:tc>
                <w:tcPr>
                  <w:tcW w:w="716" w:type="pct"/>
                  <w:tcBorders>
                    <w:top w:val="single" w:color="auto" w:sz="4" w:space="0"/>
                    <w:left w:val="single" w:color="auto" w:sz="4" w:space="0"/>
                    <w:bottom w:val="single" w:color="auto" w:sz="4" w:space="0"/>
                    <w:right w:val="single" w:color="auto" w:sz="4" w:space="0"/>
                  </w:tcBorders>
                  <w:vAlign w:val="center"/>
                </w:tcPr>
                <w:p>
                  <w:pPr>
                    <w:pStyle w:val="49"/>
                    <w:spacing w:before="24" w:after="24" w:line="240" w:lineRule="exact"/>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72</w:t>
                  </w:r>
                </w:p>
              </w:tc>
              <w:tc>
                <w:tcPr>
                  <w:tcW w:w="553" w:type="pct"/>
                  <w:tcBorders>
                    <w:top w:val="single" w:color="auto" w:sz="4" w:space="0"/>
                    <w:left w:val="single" w:color="auto" w:sz="4" w:space="0"/>
                    <w:bottom w:val="single" w:color="auto" w:sz="4" w:space="0"/>
                    <w:right w:val="single" w:color="auto" w:sz="4" w:space="0"/>
                  </w:tcBorders>
                  <w:vAlign w:val="center"/>
                </w:tcPr>
                <w:p>
                  <w:pPr>
                    <w:pStyle w:val="49"/>
                    <w:spacing w:before="24" w:after="24" w:line="240" w:lineRule="exact"/>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75</w:t>
                  </w:r>
                </w:p>
              </w:tc>
              <w:tc>
                <w:tcPr>
                  <w:tcW w:w="927" w:type="pct"/>
                  <w:vMerge w:val="continue"/>
                  <w:tcBorders>
                    <w:left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14:textFill>
                        <w14:solidFill>
                          <w14:schemeClr w14:val="tx1"/>
                        </w14:solidFill>
                      </w14:textFill>
                    </w:rPr>
                  </w:pPr>
                </w:p>
              </w:tc>
              <w:tc>
                <w:tcPr>
                  <w:tcW w:w="781" w:type="pct"/>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15" w:type="pct"/>
                  <w:tcBorders>
                    <w:top w:val="single" w:color="auto" w:sz="4" w:space="0"/>
                    <w:left w:val="single" w:color="auto" w:sz="4" w:space="0"/>
                    <w:bottom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4</w:t>
                  </w:r>
                </w:p>
              </w:tc>
              <w:tc>
                <w:tcPr>
                  <w:tcW w:w="1414"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szCs w:val="22"/>
                    </w:rPr>
                    <w:t>高压均质机</w:t>
                  </w:r>
                </w:p>
              </w:tc>
              <w:tc>
                <w:tcPr>
                  <w:tcW w:w="39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w:t>
                  </w:r>
                  <w:r>
                    <w:rPr>
                      <w:rFonts w:hint="default" w:ascii="Times New Roman" w:hAnsi="Times New Roman" w:eastAsia="宋体" w:cs="Times New Roman"/>
                      <w:color w:val="000000" w:themeColor="text1"/>
                      <w:szCs w:val="21"/>
                      <w14:textFill>
                        <w14:solidFill>
                          <w14:schemeClr w14:val="tx1"/>
                        </w14:solidFill>
                      </w14:textFill>
                    </w:rPr>
                    <w:t>台</w:t>
                  </w:r>
                </w:p>
              </w:tc>
              <w:tc>
                <w:tcPr>
                  <w:tcW w:w="716" w:type="pct"/>
                  <w:tcBorders>
                    <w:top w:val="single" w:color="auto" w:sz="4" w:space="0"/>
                    <w:left w:val="single" w:color="auto" w:sz="4" w:space="0"/>
                    <w:bottom w:val="single" w:color="auto" w:sz="4" w:space="0"/>
                    <w:right w:val="single" w:color="auto" w:sz="4" w:space="0"/>
                  </w:tcBorders>
                  <w:vAlign w:val="center"/>
                </w:tcPr>
                <w:p>
                  <w:pPr>
                    <w:pStyle w:val="49"/>
                    <w:spacing w:before="24" w:after="24" w:line="240" w:lineRule="exact"/>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74</w:t>
                  </w:r>
                </w:p>
              </w:tc>
              <w:tc>
                <w:tcPr>
                  <w:tcW w:w="553" w:type="pct"/>
                  <w:tcBorders>
                    <w:top w:val="single" w:color="auto" w:sz="4" w:space="0"/>
                    <w:left w:val="single" w:color="auto" w:sz="4" w:space="0"/>
                    <w:bottom w:val="single" w:color="auto" w:sz="4" w:space="0"/>
                    <w:right w:val="single" w:color="auto" w:sz="4" w:space="0"/>
                  </w:tcBorders>
                  <w:vAlign w:val="center"/>
                </w:tcPr>
                <w:p>
                  <w:pPr>
                    <w:pStyle w:val="49"/>
                    <w:spacing w:before="24" w:after="24" w:line="240" w:lineRule="exact"/>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80</w:t>
                  </w:r>
                </w:p>
              </w:tc>
              <w:tc>
                <w:tcPr>
                  <w:tcW w:w="927" w:type="pct"/>
                  <w:vMerge w:val="continue"/>
                  <w:tcBorders>
                    <w:left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14:textFill>
                        <w14:solidFill>
                          <w14:schemeClr w14:val="tx1"/>
                        </w14:solidFill>
                      </w14:textFill>
                    </w:rPr>
                  </w:pPr>
                </w:p>
              </w:tc>
              <w:tc>
                <w:tcPr>
                  <w:tcW w:w="781" w:type="pct"/>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 w:type="pct"/>
                  <w:tcBorders>
                    <w:top w:val="single" w:color="auto" w:sz="4" w:space="0"/>
                    <w:left w:val="single" w:color="auto" w:sz="4" w:space="0"/>
                    <w:bottom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w:t>
                  </w:r>
                </w:p>
              </w:tc>
              <w:tc>
                <w:tcPr>
                  <w:tcW w:w="1414"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szCs w:val="22"/>
                    </w:rPr>
                    <w:t>板式换热器</w:t>
                  </w:r>
                </w:p>
              </w:tc>
              <w:tc>
                <w:tcPr>
                  <w:tcW w:w="39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w:t>
                  </w:r>
                  <w:r>
                    <w:rPr>
                      <w:rFonts w:hint="default" w:ascii="Times New Roman" w:hAnsi="Times New Roman" w:eastAsia="宋体" w:cs="Times New Roman"/>
                      <w:color w:val="000000" w:themeColor="text1"/>
                      <w:szCs w:val="21"/>
                      <w14:textFill>
                        <w14:solidFill>
                          <w14:schemeClr w14:val="tx1"/>
                        </w14:solidFill>
                      </w14:textFill>
                    </w:rPr>
                    <w:t>台</w:t>
                  </w:r>
                </w:p>
              </w:tc>
              <w:tc>
                <w:tcPr>
                  <w:tcW w:w="716" w:type="pct"/>
                  <w:tcBorders>
                    <w:top w:val="single" w:color="auto" w:sz="4" w:space="0"/>
                    <w:left w:val="single" w:color="auto" w:sz="4" w:space="0"/>
                    <w:bottom w:val="single" w:color="auto" w:sz="4" w:space="0"/>
                    <w:right w:val="single" w:color="auto" w:sz="4" w:space="0"/>
                  </w:tcBorders>
                  <w:vAlign w:val="center"/>
                </w:tcPr>
                <w:p>
                  <w:pPr>
                    <w:pStyle w:val="49"/>
                    <w:spacing w:before="24" w:after="24" w:line="240" w:lineRule="exact"/>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65</w:t>
                  </w:r>
                </w:p>
              </w:tc>
              <w:tc>
                <w:tcPr>
                  <w:tcW w:w="553" w:type="pct"/>
                  <w:tcBorders>
                    <w:top w:val="single" w:color="auto" w:sz="4" w:space="0"/>
                    <w:left w:val="single" w:color="auto" w:sz="4" w:space="0"/>
                    <w:bottom w:val="single" w:color="auto" w:sz="4" w:space="0"/>
                    <w:right w:val="single" w:color="auto" w:sz="4" w:space="0"/>
                  </w:tcBorders>
                  <w:vAlign w:val="center"/>
                </w:tcPr>
                <w:p>
                  <w:pPr>
                    <w:pStyle w:val="49"/>
                    <w:spacing w:before="24" w:after="24" w:line="240" w:lineRule="exact"/>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72</w:t>
                  </w:r>
                </w:p>
              </w:tc>
              <w:tc>
                <w:tcPr>
                  <w:tcW w:w="927" w:type="pct"/>
                  <w:vMerge w:val="continue"/>
                  <w:tcBorders>
                    <w:left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14:textFill>
                        <w14:solidFill>
                          <w14:schemeClr w14:val="tx1"/>
                        </w14:solidFill>
                      </w14:textFill>
                    </w:rPr>
                  </w:pPr>
                </w:p>
              </w:tc>
              <w:tc>
                <w:tcPr>
                  <w:tcW w:w="781" w:type="pct"/>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 w:type="pct"/>
                  <w:tcBorders>
                    <w:top w:val="single" w:color="auto" w:sz="4" w:space="0"/>
                    <w:left w:val="single" w:color="auto" w:sz="4" w:space="0"/>
                    <w:bottom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lang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6</w:t>
                  </w:r>
                </w:p>
              </w:tc>
              <w:tc>
                <w:tcPr>
                  <w:tcW w:w="14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zCs w:val="22"/>
                    </w:rPr>
                    <w:t>增强剂搅拌罐</w:t>
                  </w:r>
                </w:p>
              </w:tc>
              <w:tc>
                <w:tcPr>
                  <w:tcW w:w="39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2台</w:t>
                  </w:r>
                </w:p>
              </w:tc>
              <w:tc>
                <w:tcPr>
                  <w:tcW w:w="716" w:type="pct"/>
                  <w:tcBorders>
                    <w:top w:val="single" w:color="auto" w:sz="4" w:space="0"/>
                    <w:left w:val="single" w:color="auto" w:sz="4" w:space="0"/>
                    <w:bottom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73</w:t>
                  </w:r>
                </w:p>
              </w:tc>
              <w:tc>
                <w:tcPr>
                  <w:tcW w:w="553" w:type="pct"/>
                  <w:tcBorders>
                    <w:top w:val="single" w:color="auto" w:sz="4" w:space="0"/>
                    <w:left w:val="single" w:color="auto" w:sz="4" w:space="0"/>
                    <w:bottom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76</w:t>
                  </w:r>
                </w:p>
              </w:tc>
              <w:tc>
                <w:tcPr>
                  <w:tcW w:w="927" w:type="pct"/>
                  <w:vMerge w:val="continue"/>
                  <w:tcBorders>
                    <w:left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14:textFill>
                        <w14:solidFill>
                          <w14:schemeClr w14:val="tx1"/>
                        </w14:solidFill>
                      </w14:textFill>
                    </w:rPr>
                  </w:pPr>
                </w:p>
              </w:tc>
              <w:tc>
                <w:tcPr>
                  <w:tcW w:w="781" w:type="pct"/>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 w:type="pct"/>
                  <w:tcBorders>
                    <w:top w:val="single" w:color="auto" w:sz="4" w:space="0"/>
                    <w:left w:val="single" w:color="auto" w:sz="4" w:space="0"/>
                    <w:bottom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lang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7</w:t>
                  </w:r>
                </w:p>
              </w:tc>
              <w:tc>
                <w:tcPr>
                  <w:tcW w:w="1414" w:type="pct"/>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zCs w:val="22"/>
                    </w:rPr>
                    <w:t>复配搅拌罐</w:t>
                  </w:r>
                </w:p>
              </w:tc>
              <w:tc>
                <w:tcPr>
                  <w:tcW w:w="39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7</w:t>
                  </w:r>
                  <w:r>
                    <w:rPr>
                      <w:rFonts w:hint="default" w:ascii="Times New Roman" w:hAnsi="Times New Roman" w:eastAsia="宋体" w:cs="Times New Roman"/>
                      <w:color w:val="000000" w:themeColor="text1"/>
                      <w:szCs w:val="21"/>
                      <w:lang w:val="en-US" w:eastAsia="zh-CN"/>
                      <w14:textFill>
                        <w14:solidFill>
                          <w14:schemeClr w14:val="tx1"/>
                        </w14:solidFill>
                      </w14:textFill>
                    </w:rPr>
                    <w:t>台</w:t>
                  </w:r>
                </w:p>
              </w:tc>
              <w:tc>
                <w:tcPr>
                  <w:tcW w:w="716" w:type="pct"/>
                  <w:tcBorders>
                    <w:top w:val="single" w:color="auto" w:sz="4" w:space="0"/>
                    <w:left w:val="single" w:color="auto" w:sz="4" w:space="0"/>
                    <w:bottom w:val="single" w:color="auto" w:sz="4" w:space="0"/>
                    <w:right w:val="single" w:color="auto" w:sz="4" w:space="0"/>
                  </w:tcBorders>
                  <w:vAlign w:val="center"/>
                </w:tcPr>
                <w:p>
                  <w:pPr>
                    <w:pStyle w:val="49"/>
                    <w:spacing w:before="24" w:after="24" w:line="24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70</w:t>
                  </w:r>
                </w:p>
              </w:tc>
              <w:tc>
                <w:tcPr>
                  <w:tcW w:w="553" w:type="pct"/>
                  <w:tcBorders>
                    <w:top w:val="single" w:color="auto" w:sz="4" w:space="0"/>
                    <w:left w:val="single" w:color="auto" w:sz="4" w:space="0"/>
                    <w:bottom w:val="single" w:color="auto" w:sz="4" w:space="0"/>
                    <w:right w:val="single" w:color="auto" w:sz="4" w:space="0"/>
                  </w:tcBorders>
                  <w:vAlign w:val="center"/>
                </w:tcPr>
                <w:p>
                  <w:pPr>
                    <w:pStyle w:val="49"/>
                    <w:spacing w:before="24" w:after="24" w:line="24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cs="Times New Roman"/>
                      <w:bCs/>
                      <w:color w:val="000000" w:themeColor="text1"/>
                      <w:szCs w:val="21"/>
                      <w:lang w:val="en-US" w:eastAsia="zh-CN"/>
                      <w14:textFill>
                        <w14:solidFill>
                          <w14:schemeClr w14:val="tx1"/>
                        </w14:solidFill>
                      </w14:textFill>
                    </w:rPr>
                    <w:t>78.5</w:t>
                  </w:r>
                </w:p>
              </w:tc>
              <w:tc>
                <w:tcPr>
                  <w:tcW w:w="927" w:type="pct"/>
                  <w:vMerge w:val="continue"/>
                  <w:tcBorders>
                    <w:left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14:textFill>
                        <w14:solidFill>
                          <w14:schemeClr w14:val="tx1"/>
                        </w14:solidFill>
                      </w14:textFill>
                    </w:rPr>
                  </w:pPr>
                </w:p>
              </w:tc>
              <w:tc>
                <w:tcPr>
                  <w:tcW w:w="781" w:type="pct"/>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 w:type="pct"/>
                  <w:tcBorders>
                    <w:top w:val="single" w:color="auto" w:sz="4" w:space="0"/>
                    <w:left w:val="single" w:color="auto" w:sz="4" w:space="0"/>
                    <w:bottom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lang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8</w:t>
                  </w:r>
                </w:p>
              </w:tc>
              <w:tc>
                <w:tcPr>
                  <w:tcW w:w="1414" w:type="pct"/>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风机</w:t>
                  </w:r>
                </w:p>
              </w:tc>
              <w:tc>
                <w:tcPr>
                  <w:tcW w:w="39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1台</w:t>
                  </w:r>
                </w:p>
              </w:tc>
              <w:tc>
                <w:tcPr>
                  <w:tcW w:w="716" w:type="pct"/>
                  <w:tcBorders>
                    <w:top w:val="single" w:color="auto" w:sz="4" w:space="0"/>
                    <w:left w:val="single" w:color="auto" w:sz="4" w:space="0"/>
                    <w:bottom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85</w:t>
                  </w:r>
                </w:p>
              </w:tc>
              <w:tc>
                <w:tcPr>
                  <w:tcW w:w="553" w:type="pct"/>
                  <w:tcBorders>
                    <w:top w:val="single" w:color="auto" w:sz="4" w:space="0"/>
                    <w:left w:val="single" w:color="auto" w:sz="4" w:space="0"/>
                    <w:bottom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85</w:t>
                  </w:r>
                </w:p>
              </w:tc>
              <w:tc>
                <w:tcPr>
                  <w:tcW w:w="927" w:type="pct"/>
                  <w:vMerge w:val="continue"/>
                  <w:tcBorders>
                    <w:left w:val="single" w:color="auto" w:sz="4" w:space="0"/>
                    <w:bottom w:val="single" w:color="auto" w:sz="4" w:space="0"/>
                    <w:right w:val="single" w:color="auto" w:sz="4" w:space="0"/>
                  </w:tcBorders>
                  <w:vAlign w:val="center"/>
                </w:tcPr>
                <w:p>
                  <w:pPr>
                    <w:pStyle w:val="8"/>
                    <w:jc w:val="center"/>
                    <w:rPr>
                      <w:rFonts w:hint="default" w:ascii="Times New Roman" w:hAnsi="Times New Roman" w:eastAsia="宋体" w:cs="Times New Roman"/>
                      <w:b w:val="0"/>
                      <w:bCs w:val="0"/>
                      <w:color w:val="000000" w:themeColor="text1"/>
                      <w14:textFill>
                        <w14:solidFill>
                          <w14:schemeClr w14:val="tx1"/>
                        </w14:solidFill>
                      </w14:textFill>
                    </w:rPr>
                  </w:pPr>
                </w:p>
              </w:tc>
              <w:tc>
                <w:tcPr>
                  <w:tcW w:w="781" w:type="pct"/>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80</w:t>
                  </w:r>
                </w:p>
              </w:tc>
            </w:tr>
          </w:tbl>
          <w:p>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（1）防治措施</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根据影响预测分析</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项目厂界噪声均能够达标排放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但为了更好的减小项目运营时噪声对周围环境的影响</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本环评严格落实以下噪声治理措施：</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①在设备选型上尽量选用低噪音设备。</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②新增的高噪声设备尽量设置于车间中央区域</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厂房为钢结构</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尽量远离厂界以达到距离消减噪声的目的。</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③所有振动性设备均安装减震垫</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在机械设备的基础和地板、墙壁连接处设隔震或者减震装置或防震结构</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来降低噪声源。</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4 \* GB3 \* MERGEFORMAT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④</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正确合理使用设备</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建立设备定期维护、保养的管理制度</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以防设备故障形成的非正常生产噪声。</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5 \* GB3 \* MERGEFORMAT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⑤</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对于厂内的流动声源</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应对运输车辆加强管理和维护</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保持车辆有良好的车况</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要求工作人员熟练掌握装卸物料技巧</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避免碰撞等产生较大的噪声。</w:t>
            </w:r>
          </w:p>
          <w:p>
            <w:pPr>
              <w:autoSpaceDE w:val="0"/>
              <w:autoSpaceDN w:val="0"/>
              <w:adjustRightInd w:val="0"/>
              <w:spacing w:line="360" w:lineRule="auto"/>
              <w:ind w:firstLine="480" w:firstLineChars="20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6 \* GB3 \* MERGEFORMAT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⑥</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加强管理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提高职工环保意识教育</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提倡文明生产</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降低人为噪声。</w:t>
            </w:r>
          </w:p>
          <w:p>
            <w:pPr>
              <w:pStyle w:val="50"/>
              <w:ind w:firstLine="480"/>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采用点源衰减模式</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预测只计算声源至受声点的几何发散衰减</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不考虑其他衰减因子。预测公式如下：</w:t>
            </w:r>
          </w:p>
          <w:p>
            <w:pPr>
              <w:spacing w:line="360" w:lineRule="auto"/>
              <w:ind w:firstLine="480" w:firstLineChars="200"/>
              <w:jc w:val="left"/>
              <w:rPr>
                <w:rFonts w:hint="default" w:ascii="Times New Roman" w:hAnsi="Times New Roman" w:eastAsia="宋体" w:cs="Times New Roman"/>
                <w:color w:val="000000" w:themeColor="text1"/>
                <w:sz w:val="24"/>
                <w:szCs w:val="2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每个点源对预测点的声级Lr按下式计算：</w:t>
            </w:r>
          </w:p>
          <w:p>
            <w:pPr>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L</w:t>
            </w:r>
            <w:r>
              <w:rPr>
                <w:rFonts w:hint="default" w:ascii="Times New Roman" w:hAnsi="Times New Roman" w:eastAsia="宋体" w:cs="Times New Roman"/>
                <w:color w:val="000000" w:themeColor="text1"/>
                <w:sz w:val="24"/>
                <w:vertAlign w:val="subscript"/>
                <w14:textFill>
                  <w14:solidFill>
                    <w14:schemeClr w14:val="tx1"/>
                  </w14:solidFill>
                </w14:textFill>
              </w:rPr>
              <w:t>A(r)</w:t>
            </w:r>
            <w:r>
              <w:rPr>
                <w:rFonts w:hint="default" w:ascii="Times New Roman" w:hAnsi="Times New Roman" w:eastAsia="宋体" w:cs="Times New Roman"/>
                <w:color w:val="000000" w:themeColor="text1"/>
                <w:sz w:val="24"/>
                <w14:textFill>
                  <w14:solidFill>
                    <w14:schemeClr w14:val="tx1"/>
                  </w14:solidFill>
                </w14:textFill>
              </w:rPr>
              <w:t>=L</w:t>
            </w:r>
            <w:r>
              <w:rPr>
                <w:rFonts w:hint="default" w:ascii="Times New Roman" w:hAnsi="Times New Roman" w:eastAsia="宋体" w:cs="Times New Roman"/>
                <w:color w:val="000000" w:themeColor="text1"/>
                <w:sz w:val="24"/>
                <w:vertAlign w:val="subscript"/>
                <w14:textFill>
                  <w14:solidFill>
                    <w14:schemeClr w14:val="tx1"/>
                  </w14:solidFill>
                </w14:textFill>
              </w:rPr>
              <w:t>A(r0)－</w:t>
            </w:r>
            <w:r>
              <w:rPr>
                <w:rFonts w:hint="default" w:ascii="Times New Roman" w:hAnsi="Times New Roman" w:eastAsia="宋体" w:cs="Times New Roman"/>
                <w:color w:val="000000" w:themeColor="text1"/>
                <w:sz w:val="24"/>
                <w14:textFill>
                  <w14:solidFill>
                    <w14:schemeClr w14:val="tx1"/>
                  </w14:solidFill>
                </w14:textFill>
              </w:rPr>
              <w:t>20lg(r/r</w:t>
            </w:r>
            <w:r>
              <w:rPr>
                <w:rFonts w:hint="default" w:ascii="Times New Roman" w:hAnsi="Times New Roman" w:eastAsia="宋体" w:cs="Times New Roman"/>
                <w:color w:val="000000" w:themeColor="text1"/>
                <w:sz w:val="24"/>
                <w:vertAlign w:val="subscript"/>
                <w14:textFill>
                  <w14:solidFill>
                    <w14:schemeClr w14:val="tx1"/>
                  </w14:solidFill>
                </w14:textFill>
              </w:rPr>
              <w:t>0</w:t>
            </w:r>
            <w:r>
              <w:rPr>
                <w:rFonts w:hint="default" w:ascii="Times New Roman" w:hAnsi="Times New Roman" w:eastAsia="宋体" w:cs="Times New Roman"/>
                <w:color w:val="000000" w:themeColor="text1"/>
                <w:sz w:val="24"/>
                <w14:textFill>
                  <w14:solidFill>
                    <w14:schemeClr w14:val="tx1"/>
                  </w14:solidFill>
                </w14:textFill>
              </w:rPr>
              <w:t>)-△L</w:t>
            </w:r>
          </w:p>
          <w:p>
            <w:pPr>
              <w:pStyle w:val="57"/>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式中：L</w:t>
            </w:r>
            <w:r>
              <w:rPr>
                <w:rFonts w:hint="default" w:ascii="Times New Roman" w:hAnsi="Times New Roman" w:eastAsia="宋体" w:cs="Times New Roman"/>
                <w:color w:val="000000" w:themeColor="text1"/>
                <w:sz w:val="24"/>
                <w:szCs w:val="24"/>
                <w:vertAlign w:val="subscript"/>
                <w14:textFill>
                  <w14:solidFill>
                    <w14:schemeClr w14:val="tx1"/>
                  </w14:solidFill>
                </w14:textFill>
              </w:rPr>
              <w:t>A（r）</w:t>
            </w:r>
            <w:r>
              <w:rPr>
                <w:rFonts w:hint="default" w:ascii="Times New Roman" w:hAnsi="Times New Roman" w:eastAsia="宋体" w:cs="Times New Roman"/>
                <w:color w:val="000000" w:themeColor="text1"/>
                <w:sz w:val="24"/>
                <w:szCs w:val="24"/>
                <w14:textFill>
                  <w14:solidFill>
                    <w14:schemeClr w14:val="tx1"/>
                  </w14:solidFill>
                </w14:textFill>
              </w:rPr>
              <w:t>——距离声源r处的A声级</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dB(A)；</w:t>
            </w:r>
          </w:p>
          <w:p>
            <w:pPr>
              <w:pStyle w:val="57"/>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14:textFill>
                  <w14:solidFill>
                    <w14:schemeClr w14:val="tx1"/>
                  </w14:solidFill>
                </w14:textFill>
              </w:rPr>
              <w:t>A（ro）</w:t>
            </w:r>
            <w:r>
              <w:rPr>
                <w:rFonts w:hint="default" w:ascii="Times New Roman" w:hAnsi="Times New Roman" w:eastAsia="宋体" w:cs="Times New Roman"/>
                <w:color w:val="000000" w:themeColor="text1"/>
                <w:sz w:val="24"/>
                <w:szCs w:val="24"/>
                <w14:textFill>
                  <w14:solidFill>
                    <w14:schemeClr w14:val="tx1"/>
                  </w14:solidFill>
                </w14:textFill>
              </w:rPr>
              <w:t>——距声源r</w:t>
            </w:r>
            <w:r>
              <w:rPr>
                <w:rFonts w:hint="default" w:ascii="Times New Roman" w:hAnsi="Times New Roman" w:eastAsia="宋体" w:cs="Times New Roman"/>
                <w:color w:val="000000" w:themeColor="text1"/>
                <w:sz w:val="24"/>
                <w:szCs w:val="24"/>
                <w:vertAlign w:val="subscript"/>
                <w14:textFill>
                  <w14:solidFill>
                    <w14:schemeClr w14:val="tx1"/>
                  </w14:solidFill>
                </w14:textFill>
              </w:rPr>
              <w:t>o</w:t>
            </w:r>
            <w:r>
              <w:rPr>
                <w:rFonts w:hint="default" w:ascii="Times New Roman" w:hAnsi="Times New Roman" w:eastAsia="宋体" w:cs="Times New Roman"/>
                <w:color w:val="000000" w:themeColor="text1"/>
                <w:sz w:val="24"/>
                <w:szCs w:val="24"/>
                <w14:textFill>
                  <w14:solidFill>
                    <w14:schemeClr w14:val="tx1"/>
                  </w14:solidFill>
                </w14:textFill>
              </w:rPr>
              <w:t>处的A声级</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dB(A)；</w:t>
            </w:r>
          </w:p>
          <w:p>
            <w:pPr>
              <w:pStyle w:val="57"/>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r</w:t>
            </w:r>
            <w:r>
              <w:rPr>
                <w:rFonts w:hint="default" w:ascii="Times New Roman" w:hAnsi="Times New Roman" w:eastAsia="宋体" w:cs="Times New Roman"/>
                <w:color w:val="000000" w:themeColor="text1"/>
                <w:sz w:val="24"/>
                <w:szCs w:val="24"/>
                <w:vertAlign w:val="subscript"/>
                <w14:textFill>
                  <w14:solidFill>
                    <w14:schemeClr w14:val="tx1"/>
                  </w14:solidFill>
                </w14:textFill>
              </w:rPr>
              <w:t>o</w:t>
            </w:r>
            <w:r>
              <w:rPr>
                <w:rFonts w:hint="default" w:ascii="Times New Roman" w:hAnsi="Times New Roman" w:eastAsia="宋体" w:cs="Times New Roman"/>
                <w:color w:val="000000" w:themeColor="text1"/>
                <w:sz w:val="24"/>
                <w:szCs w:val="24"/>
                <w14:textFill>
                  <w14:solidFill>
                    <w14:schemeClr w14:val="tx1"/>
                  </w14:solidFill>
                </w14:textFill>
              </w:rPr>
              <w:t>、r——距声源的距离</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m；</w:t>
            </w:r>
          </w:p>
          <w:p>
            <w:pPr>
              <w:pStyle w:val="57"/>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△L——其它衰减因子</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dB(A)。</w:t>
            </w:r>
          </w:p>
          <w:p>
            <w:pPr>
              <w:pStyle w:val="57"/>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各受声点的声源叠加按下列公式计算：</w:t>
            </w:r>
          </w:p>
          <w:p>
            <w:pPr>
              <w:autoSpaceDE w:val="0"/>
              <w:autoSpaceDN w:val="0"/>
              <w:adjustRightInd w:val="0"/>
              <w:spacing w:line="360" w:lineRule="auto"/>
              <w:jc w:val="center"/>
              <w:rPr>
                <w:rFonts w:hint="default" w:ascii="Times New Roman" w:hAnsi="Times New Roman" w:eastAsia="宋体" w:cs="Times New Roman"/>
                <w:color w:val="000000" w:themeColor="text1"/>
                <w:kern w:val="0"/>
                <w:sz w:val="24"/>
                <w:szCs w:val="21"/>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Leq＝10lg∑（10</w:t>
            </w:r>
            <w:r>
              <w:rPr>
                <w:rFonts w:hint="default" w:ascii="Times New Roman" w:hAnsi="Times New Roman" w:eastAsia="宋体" w:cs="Times New Roman"/>
                <w:color w:val="000000" w:themeColor="text1"/>
                <w:kern w:val="0"/>
                <w:sz w:val="24"/>
                <w:vertAlign w:val="superscript"/>
                <w14:textFill>
                  <w14:solidFill>
                    <w14:schemeClr w14:val="tx1"/>
                  </w14:solidFill>
                </w14:textFill>
              </w:rPr>
              <w:t>0.1L1</w:t>
            </w:r>
            <w:r>
              <w:rPr>
                <w:rFonts w:hint="default" w:ascii="Times New Roman" w:hAnsi="Times New Roman" w:eastAsia="宋体" w:cs="Times New Roman"/>
                <w:color w:val="000000" w:themeColor="text1"/>
                <w:kern w:val="0"/>
                <w:sz w:val="24"/>
                <w14:textFill>
                  <w14:solidFill>
                    <w14:schemeClr w14:val="tx1"/>
                  </w14:solidFill>
                </w14:textFill>
              </w:rPr>
              <w:t>+10</w:t>
            </w:r>
            <w:r>
              <w:rPr>
                <w:rFonts w:hint="default" w:ascii="Times New Roman" w:hAnsi="Times New Roman" w:eastAsia="宋体" w:cs="Times New Roman"/>
                <w:color w:val="000000" w:themeColor="text1"/>
                <w:kern w:val="0"/>
                <w:sz w:val="24"/>
                <w:vertAlign w:val="superscript"/>
                <w14:textFill>
                  <w14:solidFill>
                    <w14:schemeClr w14:val="tx1"/>
                  </w14:solidFill>
                </w14:textFill>
              </w:rPr>
              <w:t>0.1L2</w:t>
            </w:r>
            <w:r>
              <w:rPr>
                <w:rFonts w:hint="default" w:ascii="Times New Roman" w:hAnsi="Times New Roman" w:eastAsia="宋体" w:cs="Times New Roman"/>
                <w:color w:val="000000" w:themeColor="text1"/>
                <w:kern w:val="0"/>
                <w:sz w:val="24"/>
                <w14:textFill>
                  <w14:solidFill>
                    <w14:schemeClr w14:val="tx1"/>
                  </w14:solidFill>
                </w14:textFill>
              </w:rPr>
              <w:t>+…10</w:t>
            </w:r>
            <w:r>
              <w:rPr>
                <w:rFonts w:hint="default" w:ascii="Times New Roman" w:hAnsi="Times New Roman" w:eastAsia="宋体" w:cs="Times New Roman"/>
                <w:color w:val="000000" w:themeColor="text1"/>
                <w:kern w:val="0"/>
                <w:sz w:val="24"/>
                <w:vertAlign w:val="superscript"/>
                <w14:textFill>
                  <w14:solidFill>
                    <w14:schemeClr w14:val="tx1"/>
                  </w14:solidFill>
                </w14:textFill>
              </w:rPr>
              <w:t>0.1Lｉ</w:t>
            </w:r>
            <w:r>
              <w:rPr>
                <w:rFonts w:hint="default" w:ascii="Times New Roman" w:hAnsi="Times New Roman" w:eastAsia="宋体" w:cs="Times New Roman"/>
                <w:color w:val="000000" w:themeColor="text1"/>
                <w:kern w:val="0"/>
                <w:sz w:val="24"/>
                <w14:textFill>
                  <w14:solidFill>
                    <w14:schemeClr w14:val="tx1"/>
                  </w14:solidFill>
                </w14:textFill>
              </w:rPr>
              <w:t>）</w:t>
            </w:r>
          </w:p>
          <w:p>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式中：Li——其中单个噪声源的声级数</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dB（A）</w:t>
            </w:r>
          </w:p>
          <w:p>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Leq——噪声源叠加后的值</w:t>
            </w:r>
          </w:p>
          <w:p>
            <w:pPr>
              <w:adjustRightInd w:val="0"/>
              <w:snapToGrid w:val="0"/>
              <w:spacing w:line="360" w:lineRule="auto"/>
              <w:ind w:firstLine="240" w:firstLineChars="1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项目设备均位于厂房内</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各生产区生产设备布置较为集中</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故各区域设备噪声可叠加后分别简化为点源。项目主要机械设备到厂界的距离见表4-1</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w:t>
            </w:r>
          </w:p>
          <w:p>
            <w:pPr>
              <w:pStyle w:val="4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表4-1</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14:textFill>
                  <w14:solidFill>
                    <w14:schemeClr w14:val="tx1"/>
                  </w14:solidFill>
                </w14:textFill>
              </w:rPr>
              <w:t xml:space="preserve">  项目噪声源到各厂界的距离</w:t>
            </w:r>
          </w:p>
          <w:tbl>
            <w:tblPr>
              <w:tblStyle w:val="27"/>
              <w:tblW w:w="49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9"/>
              <w:gridCol w:w="2356"/>
              <w:gridCol w:w="2030"/>
              <w:gridCol w:w="634"/>
              <w:gridCol w:w="583"/>
              <w:gridCol w:w="545"/>
              <w:gridCol w:w="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649" w:type="dxa"/>
                  <w:vMerge w:val="restart"/>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序号</w:t>
                  </w:r>
                </w:p>
              </w:tc>
              <w:tc>
                <w:tcPr>
                  <w:tcW w:w="2356" w:type="dxa"/>
                  <w:vMerge w:val="restart"/>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设备名称</w:t>
                  </w:r>
                </w:p>
              </w:tc>
              <w:tc>
                <w:tcPr>
                  <w:tcW w:w="2030" w:type="dxa"/>
                  <w:vMerge w:val="restart"/>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噪声源强</w:t>
                  </w:r>
                </w:p>
              </w:tc>
              <w:tc>
                <w:tcPr>
                  <w:tcW w:w="2263" w:type="dxa"/>
                  <w:gridSpan w:val="4"/>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到厂界的距离（m）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1649" w:type="dxa"/>
                  <w:vMerge w:val="continue"/>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14:textFill>
                        <w14:solidFill>
                          <w14:schemeClr w14:val="tx1"/>
                        </w14:solidFill>
                      </w14:textFill>
                    </w:rPr>
                  </w:pPr>
                </w:p>
              </w:tc>
              <w:tc>
                <w:tcPr>
                  <w:tcW w:w="2356" w:type="dxa"/>
                  <w:vMerge w:val="continue"/>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14:textFill>
                        <w14:solidFill>
                          <w14:schemeClr w14:val="tx1"/>
                        </w14:solidFill>
                      </w14:textFill>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14:textFill>
                        <w14:solidFill>
                          <w14:schemeClr w14:val="tx1"/>
                        </w14:solidFill>
                      </w14:textFill>
                    </w:rPr>
                  </w:pPr>
                </w:p>
              </w:tc>
              <w:tc>
                <w:tcPr>
                  <w:tcW w:w="634"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东</w:t>
                  </w:r>
                </w:p>
              </w:tc>
              <w:tc>
                <w:tcPr>
                  <w:tcW w:w="583"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南</w:t>
                  </w:r>
                </w:p>
              </w:tc>
              <w:tc>
                <w:tcPr>
                  <w:tcW w:w="545"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西</w:t>
                  </w:r>
                </w:p>
              </w:tc>
              <w:tc>
                <w:tcPr>
                  <w:tcW w:w="501"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9" w:type="dxa"/>
                  <w:tcBorders>
                    <w:top w:val="single" w:color="auto" w:sz="4" w:space="0"/>
                    <w:left w:val="single" w:color="auto" w:sz="4" w:space="0"/>
                    <w:bottom w:val="single" w:color="auto" w:sz="4" w:space="0"/>
                    <w:right w:val="single" w:color="auto" w:sz="4" w:space="0"/>
                  </w:tcBorders>
                  <w:vAlign w:val="center"/>
                </w:tcPr>
                <w:p>
                  <w:pPr>
                    <w:pStyle w:val="8"/>
                    <w:ind w:firstLine="0" w:firstLineChars="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23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AKD融化罐</w:t>
                  </w:r>
                </w:p>
              </w:tc>
              <w:tc>
                <w:tcPr>
                  <w:tcW w:w="2030" w:type="dxa"/>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76</w:t>
                  </w:r>
                </w:p>
              </w:tc>
              <w:tc>
                <w:tcPr>
                  <w:tcW w:w="634"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50</w:t>
                  </w:r>
                </w:p>
              </w:tc>
              <w:tc>
                <w:tcPr>
                  <w:tcW w:w="583"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52</w:t>
                  </w:r>
                </w:p>
              </w:tc>
              <w:tc>
                <w:tcPr>
                  <w:tcW w:w="545"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30</w:t>
                  </w:r>
                </w:p>
              </w:tc>
              <w:tc>
                <w:tcPr>
                  <w:tcW w:w="501"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9" w:type="dxa"/>
                  <w:tcBorders>
                    <w:top w:val="single" w:color="auto" w:sz="4" w:space="0"/>
                    <w:left w:val="single" w:color="auto" w:sz="4" w:space="0"/>
                    <w:bottom w:val="single" w:color="auto" w:sz="4" w:space="0"/>
                    <w:right w:val="single" w:color="auto" w:sz="4" w:space="0"/>
                  </w:tcBorders>
                  <w:vAlign w:val="center"/>
                </w:tcPr>
                <w:p>
                  <w:pPr>
                    <w:pStyle w:val="8"/>
                    <w:ind w:firstLine="0" w:firstLineChars="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2</w:t>
                  </w:r>
                </w:p>
              </w:tc>
              <w:tc>
                <w:tcPr>
                  <w:tcW w:w="23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szCs w:val="22"/>
                    </w:rPr>
                    <w:t>高速乳化搅拌</w:t>
                  </w:r>
                  <w:r>
                    <w:rPr>
                      <w:rFonts w:hint="default" w:ascii="Times New Roman" w:hAnsi="Times New Roman" w:eastAsia="宋体" w:cs="Times New Roman"/>
                      <w:szCs w:val="22"/>
                      <w:lang w:val="en-US" w:eastAsia="zh-CN"/>
                    </w:rPr>
                    <w:t>罐</w:t>
                  </w:r>
                </w:p>
              </w:tc>
              <w:tc>
                <w:tcPr>
                  <w:tcW w:w="2030" w:type="dxa"/>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68</w:t>
                  </w:r>
                </w:p>
              </w:tc>
              <w:tc>
                <w:tcPr>
                  <w:tcW w:w="634"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48</w:t>
                  </w:r>
                </w:p>
              </w:tc>
              <w:tc>
                <w:tcPr>
                  <w:tcW w:w="583"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45</w:t>
                  </w:r>
                </w:p>
              </w:tc>
              <w:tc>
                <w:tcPr>
                  <w:tcW w:w="545"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20</w:t>
                  </w:r>
                </w:p>
              </w:tc>
              <w:tc>
                <w:tcPr>
                  <w:tcW w:w="501"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9" w:type="dxa"/>
                  <w:tcBorders>
                    <w:top w:val="single" w:color="auto" w:sz="4" w:space="0"/>
                    <w:left w:val="single" w:color="auto" w:sz="4" w:space="0"/>
                    <w:bottom w:val="single" w:color="auto" w:sz="4" w:space="0"/>
                    <w:right w:val="single" w:color="auto" w:sz="4" w:space="0"/>
                  </w:tcBorders>
                  <w:vAlign w:val="center"/>
                </w:tcPr>
                <w:p>
                  <w:pPr>
                    <w:pStyle w:val="8"/>
                    <w:ind w:firstLine="0" w:firstLineChars="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3</w:t>
                  </w:r>
                </w:p>
              </w:tc>
              <w:tc>
                <w:tcPr>
                  <w:tcW w:w="23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szCs w:val="22"/>
                      <w:lang w:val="en-US" w:eastAsia="zh-CN"/>
                    </w:rPr>
                    <w:t>剪切机</w:t>
                  </w:r>
                </w:p>
              </w:tc>
              <w:tc>
                <w:tcPr>
                  <w:tcW w:w="2030" w:type="dxa"/>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70</w:t>
                  </w:r>
                </w:p>
              </w:tc>
              <w:tc>
                <w:tcPr>
                  <w:tcW w:w="634"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55</w:t>
                  </w:r>
                </w:p>
              </w:tc>
              <w:tc>
                <w:tcPr>
                  <w:tcW w:w="583"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545"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47</w:t>
                  </w:r>
                </w:p>
              </w:tc>
              <w:tc>
                <w:tcPr>
                  <w:tcW w:w="501"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9" w:type="dxa"/>
                  <w:tcBorders>
                    <w:top w:val="single" w:color="auto" w:sz="4" w:space="0"/>
                    <w:left w:val="single" w:color="auto" w:sz="4" w:space="0"/>
                    <w:bottom w:val="single" w:color="auto" w:sz="4" w:space="0"/>
                    <w:right w:val="single" w:color="auto" w:sz="4" w:space="0"/>
                  </w:tcBorders>
                  <w:vAlign w:val="center"/>
                </w:tcPr>
                <w:p>
                  <w:pPr>
                    <w:pStyle w:val="8"/>
                    <w:ind w:firstLine="0" w:firstLineChars="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4</w:t>
                  </w:r>
                </w:p>
              </w:tc>
              <w:tc>
                <w:tcPr>
                  <w:tcW w:w="23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szCs w:val="22"/>
                    </w:rPr>
                    <w:t>高压均质机</w:t>
                  </w:r>
                </w:p>
              </w:tc>
              <w:tc>
                <w:tcPr>
                  <w:tcW w:w="2030" w:type="dxa"/>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75</w:t>
                  </w:r>
                </w:p>
              </w:tc>
              <w:tc>
                <w:tcPr>
                  <w:tcW w:w="634"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60</w:t>
                  </w:r>
                </w:p>
              </w:tc>
              <w:tc>
                <w:tcPr>
                  <w:tcW w:w="583"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40</w:t>
                  </w:r>
                </w:p>
              </w:tc>
              <w:tc>
                <w:tcPr>
                  <w:tcW w:w="545"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35</w:t>
                  </w:r>
                </w:p>
              </w:tc>
              <w:tc>
                <w:tcPr>
                  <w:tcW w:w="501"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9" w:type="dxa"/>
                  <w:tcBorders>
                    <w:top w:val="single" w:color="auto" w:sz="4" w:space="0"/>
                    <w:left w:val="single" w:color="auto" w:sz="4" w:space="0"/>
                    <w:bottom w:val="single" w:color="auto" w:sz="4" w:space="0"/>
                    <w:right w:val="single" w:color="auto" w:sz="4" w:space="0"/>
                  </w:tcBorders>
                  <w:vAlign w:val="center"/>
                </w:tcPr>
                <w:p>
                  <w:pPr>
                    <w:pStyle w:val="8"/>
                    <w:ind w:firstLine="0" w:firstLineChars="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w:t>
                  </w:r>
                </w:p>
              </w:tc>
              <w:tc>
                <w:tcPr>
                  <w:tcW w:w="23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szCs w:val="22"/>
                    </w:rPr>
                    <w:t>板式换热器</w:t>
                  </w:r>
                </w:p>
              </w:tc>
              <w:tc>
                <w:tcPr>
                  <w:tcW w:w="2030" w:type="dxa"/>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67</w:t>
                  </w:r>
                </w:p>
              </w:tc>
              <w:tc>
                <w:tcPr>
                  <w:tcW w:w="634"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61</w:t>
                  </w:r>
                </w:p>
              </w:tc>
              <w:tc>
                <w:tcPr>
                  <w:tcW w:w="583"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42</w:t>
                  </w:r>
                </w:p>
              </w:tc>
              <w:tc>
                <w:tcPr>
                  <w:tcW w:w="545"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32</w:t>
                  </w:r>
                </w:p>
              </w:tc>
              <w:tc>
                <w:tcPr>
                  <w:tcW w:w="501"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9" w:type="dxa"/>
                  <w:tcBorders>
                    <w:top w:val="single" w:color="auto" w:sz="4" w:space="0"/>
                    <w:left w:val="single" w:color="auto" w:sz="4" w:space="0"/>
                    <w:bottom w:val="single" w:color="auto" w:sz="4" w:space="0"/>
                    <w:right w:val="single" w:color="auto" w:sz="4" w:space="0"/>
                  </w:tcBorders>
                  <w:vAlign w:val="center"/>
                </w:tcPr>
                <w:p>
                  <w:pPr>
                    <w:pStyle w:val="8"/>
                    <w:ind w:firstLine="0" w:firstLineChars="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6</w:t>
                  </w:r>
                </w:p>
              </w:tc>
              <w:tc>
                <w:tcPr>
                  <w:tcW w:w="23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szCs w:val="22"/>
                    </w:rPr>
                    <w:t>增强剂搅拌罐</w:t>
                  </w:r>
                </w:p>
              </w:tc>
              <w:tc>
                <w:tcPr>
                  <w:tcW w:w="2030" w:type="dxa"/>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color w:val="000000" w:themeColor="text1"/>
                      <w:sz w:val="24"/>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71</w:t>
                  </w:r>
                </w:p>
              </w:tc>
              <w:tc>
                <w:tcPr>
                  <w:tcW w:w="634"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67</w:t>
                  </w:r>
                </w:p>
              </w:tc>
              <w:tc>
                <w:tcPr>
                  <w:tcW w:w="583"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48</w:t>
                  </w:r>
                </w:p>
              </w:tc>
              <w:tc>
                <w:tcPr>
                  <w:tcW w:w="545"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35</w:t>
                  </w:r>
                </w:p>
              </w:tc>
              <w:tc>
                <w:tcPr>
                  <w:tcW w:w="501"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9" w:type="dxa"/>
                  <w:tcBorders>
                    <w:top w:val="single" w:color="auto" w:sz="4" w:space="0"/>
                    <w:left w:val="single" w:color="auto" w:sz="4" w:space="0"/>
                    <w:bottom w:val="single" w:color="auto" w:sz="4" w:space="0"/>
                    <w:right w:val="single" w:color="auto" w:sz="4" w:space="0"/>
                  </w:tcBorders>
                  <w:vAlign w:val="center"/>
                </w:tcPr>
                <w:p>
                  <w:pPr>
                    <w:pStyle w:val="8"/>
                    <w:ind w:firstLine="0" w:firstLineChars="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7</w:t>
                  </w:r>
                </w:p>
              </w:tc>
              <w:tc>
                <w:tcPr>
                  <w:tcW w:w="2356" w:type="dxa"/>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szCs w:val="22"/>
                    </w:rPr>
                    <w:t>复配搅拌罐</w:t>
                  </w:r>
                </w:p>
              </w:tc>
              <w:tc>
                <w:tcPr>
                  <w:tcW w:w="2030" w:type="dxa"/>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color w:val="000000" w:themeColor="text1"/>
                      <w:sz w:val="24"/>
                      <w:lang w:val="en-US"/>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73.5</w:t>
                  </w:r>
                </w:p>
              </w:tc>
              <w:tc>
                <w:tcPr>
                  <w:tcW w:w="634"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63</w:t>
                  </w:r>
                </w:p>
              </w:tc>
              <w:tc>
                <w:tcPr>
                  <w:tcW w:w="583"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44</w:t>
                  </w:r>
                </w:p>
              </w:tc>
              <w:tc>
                <w:tcPr>
                  <w:tcW w:w="545"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31</w:t>
                  </w:r>
                </w:p>
              </w:tc>
              <w:tc>
                <w:tcPr>
                  <w:tcW w:w="501"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9" w:type="dxa"/>
                  <w:tcBorders>
                    <w:top w:val="single" w:color="auto" w:sz="4" w:space="0"/>
                    <w:left w:val="single" w:color="auto" w:sz="4" w:space="0"/>
                    <w:bottom w:val="single" w:color="auto" w:sz="4" w:space="0"/>
                    <w:right w:val="single" w:color="auto" w:sz="4" w:space="0"/>
                  </w:tcBorders>
                  <w:vAlign w:val="center"/>
                </w:tcPr>
                <w:p>
                  <w:pPr>
                    <w:pStyle w:val="8"/>
                    <w:ind w:firstLine="0" w:firstLineChars="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8</w:t>
                  </w:r>
                </w:p>
              </w:tc>
              <w:tc>
                <w:tcPr>
                  <w:tcW w:w="2356" w:type="dxa"/>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风机</w:t>
                  </w:r>
                </w:p>
              </w:tc>
              <w:tc>
                <w:tcPr>
                  <w:tcW w:w="2030" w:type="dxa"/>
                  <w:tcBorders>
                    <w:top w:val="single" w:color="auto" w:sz="4" w:space="0"/>
                    <w:left w:val="single" w:color="auto" w:sz="4" w:space="0"/>
                    <w:bottom w:val="single" w:color="auto" w:sz="4" w:space="0"/>
                    <w:right w:val="single" w:color="auto" w:sz="4" w:space="0"/>
                  </w:tcBorders>
                  <w:vAlign w:val="center"/>
                </w:tcPr>
                <w:p>
                  <w:pPr>
                    <w:pStyle w:val="49"/>
                    <w:spacing w:before="24" w:after="24"/>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80</w:t>
                  </w:r>
                </w:p>
              </w:tc>
              <w:tc>
                <w:tcPr>
                  <w:tcW w:w="634"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65</w:t>
                  </w:r>
                </w:p>
              </w:tc>
              <w:tc>
                <w:tcPr>
                  <w:tcW w:w="583"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46</w:t>
                  </w:r>
                </w:p>
              </w:tc>
              <w:tc>
                <w:tcPr>
                  <w:tcW w:w="545"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25</w:t>
                  </w:r>
                </w:p>
              </w:tc>
              <w:tc>
                <w:tcPr>
                  <w:tcW w:w="501" w:type="dxa"/>
                  <w:tcBorders>
                    <w:top w:val="single" w:color="auto" w:sz="4" w:space="0"/>
                    <w:left w:val="single" w:color="auto" w:sz="4" w:space="0"/>
                    <w:bottom w:val="single" w:color="auto" w:sz="4" w:space="0"/>
                    <w:right w:val="single" w:color="auto" w:sz="4" w:space="0"/>
                  </w:tcBorders>
                  <w:vAlign w:val="center"/>
                </w:tcPr>
                <w:p>
                  <w:pPr>
                    <w:pStyle w:val="8"/>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40</w:t>
                  </w:r>
                </w:p>
              </w:tc>
            </w:tr>
          </w:tbl>
          <w:p>
            <w:pPr>
              <w:pStyle w:val="8"/>
              <w:spacing w:beforeLines="50"/>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 xml:space="preserve"> 表4-</w:t>
            </w:r>
            <w:r>
              <w:rPr>
                <w:rFonts w:hint="default" w:ascii="Times New Roman" w:hAnsi="Times New Roman" w:eastAsia="宋体" w:cs="Times New Roman"/>
                <w:color w:val="000000" w:themeColor="text1"/>
                <w:kern w:val="2"/>
                <w:lang w:val="en-US" w:eastAsia="zh-CN"/>
                <w14:textFill>
                  <w14:solidFill>
                    <w14:schemeClr w14:val="tx1"/>
                  </w14:solidFill>
                </w14:textFill>
              </w:rPr>
              <w:t>1</w:t>
            </w:r>
            <w:r>
              <w:rPr>
                <w:rFonts w:hint="eastAsia" w:cs="Times New Roman"/>
                <w:color w:val="000000" w:themeColor="text1"/>
                <w:kern w:val="2"/>
                <w:lang w:val="en-US" w:eastAsia="zh-CN"/>
                <w14:textFill>
                  <w14:solidFill>
                    <w14:schemeClr w14:val="tx1"/>
                  </w14:solidFill>
                </w14:textFill>
              </w:rPr>
              <w:t>5</w:t>
            </w:r>
            <w:r>
              <w:rPr>
                <w:rFonts w:hint="default" w:ascii="Times New Roman" w:hAnsi="Times New Roman" w:eastAsia="宋体" w:cs="Times New Roman"/>
                <w:color w:val="000000" w:themeColor="text1"/>
                <w:kern w:val="2"/>
                <w14:textFill>
                  <w14:solidFill>
                    <w14:schemeClr w14:val="tx1"/>
                  </w14:solidFill>
                </w14:textFill>
              </w:rPr>
              <w:t xml:space="preserve"> 各噪声源经距离衰减至预测点的噪声值单位：dB（A）</w:t>
            </w:r>
          </w:p>
          <w:tbl>
            <w:tblPr>
              <w:tblStyle w:val="27"/>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2298"/>
              <w:gridCol w:w="1225"/>
              <w:gridCol w:w="1440"/>
              <w:gridCol w:w="1330"/>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07" w:type="dxa"/>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序号</w:t>
                  </w:r>
                </w:p>
              </w:tc>
              <w:tc>
                <w:tcPr>
                  <w:tcW w:w="2298"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设备名称</w:t>
                  </w:r>
                </w:p>
              </w:tc>
              <w:tc>
                <w:tcPr>
                  <w:tcW w:w="1225"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厂界东</w:t>
                  </w:r>
                </w:p>
              </w:tc>
              <w:tc>
                <w:tcPr>
                  <w:tcW w:w="1440"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厂界南</w:t>
                  </w:r>
                </w:p>
              </w:tc>
              <w:tc>
                <w:tcPr>
                  <w:tcW w:w="1330"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厂界西</w:t>
                  </w:r>
                </w:p>
              </w:tc>
              <w:tc>
                <w:tcPr>
                  <w:tcW w:w="1574"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厂界北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07" w:type="dxa"/>
                  <w:vAlign w:val="center"/>
                </w:tcPr>
                <w:p>
                  <w:pPr>
                    <w:pStyle w:val="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2298"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AKD融化罐</w:t>
                  </w:r>
                </w:p>
              </w:tc>
              <w:tc>
                <w:tcPr>
                  <w:tcW w:w="1225"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41</w:t>
                  </w:r>
                </w:p>
              </w:tc>
              <w:tc>
                <w:tcPr>
                  <w:tcW w:w="1440"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40.66</w:t>
                  </w:r>
                </w:p>
              </w:tc>
              <w:tc>
                <w:tcPr>
                  <w:tcW w:w="1330"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45.44</w:t>
                  </w:r>
                </w:p>
              </w:tc>
              <w:tc>
                <w:tcPr>
                  <w:tcW w:w="1574"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47.02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7" w:type="dxa"/>
                  <w:vAlign w:val="center"/>
                </w:tcPr>
                <w:p>
                  <w:pPr>
                    <w:pStyle w:val="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2</w:t>
                  </w:r>
                </w:p>
              </w:tc>
              <w:tc>
                <w:tcPr>
                  <w:tcW w:w="2298"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高速乳化搅拌罐</w:t>
                  </w:r>
                </w:p>
              </w:tc>
              <w:tc>
                <w:tcPr>
                  <w:tcW w:w="1225"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33.35</w:t>
                  </w:r>
                </w:p>
              </w:tc>
              <w:tc>
                <w:tcPr>
                  <w:tcW w:w="1440"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33.92</w:t>
                  </w:r>
                </w:p>
              </w:tc>
              <w:tc>
                <w:tcPr>
                  <w:tcW w:w="1330"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40.96</w:t>
                  </w:r>
                </w:p>
              </w:tc>
              <w:tc>
                <w:tcPr>
                  <w:tcW w:w="1574"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38.04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7" w:type="dxa"/>
                  <w:vAlign w:val="center"/>
                </w:tcPr>
                <w:p>
                  <w:pPr>
                    <w:pStyle w:val="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3</w:t>
                  </w:r>
                </w:p>
              </w:tc>
              <w:tc>
                <w:tcPr>
                  <w:tcW w:w="2298"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剪切机</w:t>
                  </w:r>
                </w:p>
              </w:tc>
              <w:tc>
                <w:tcPr>
                  <w:tcW w:w="1225"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34.17</w:t>
                  </w:r>
                </w:p>
              </w:tc>
              <w:tc>
                <w:tcPr>
                  <w:tcW w:w="1440"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35</w:t>
                  </w:r>
                </w:p>
              </w:tc>
              <w:tc>
                <w:tcPr>
                  <w:tcW w:w="1330"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35.54</w:t>
                  </w:r>
                </w:p>
              </w:tc>
              <w:tc>
                <w:tcPr>
                  <w:tcW w:w="1574"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35.35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7" w:type="dxa"/>
                  <w:vAlign w:val="center"/>
                </w:tcPr>
                <w:p>
                  <w:pPr>
                    <w:pStyle w:val="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4</w:t>
                  </w:r>
                </w:p>
              </w:tc>
              <w:tc>
                <w:tcPr>
                  <w:tcW w:w="2298"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高压均质机</w:t>
                  </w:r>
                </w:p>
              </w:tc>
              <w:tc>
                <w:tcPr>
                  <w:tcW w:w="1225"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38.42</w:t>
                  </w:r>
                </w:p>
              </w:tc>
              <w:tc>
                <w:tcPr>
                  <w:tcW w:w="1440"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41.94</w:t>
                  </w:r>
                </w:p>
              </w:tc>
              <w:tc>
                <w:tcPr>
                  <w:tcW w:w="1330"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43.1</w:t>
                  </w:r>
                </w:p>
              </w:tc>
              <w:tc>
                <w:tcPr>
                  <w:tcW w:w="1574"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40.92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7" w:type="dxa"/>
                  <w:vAlign w:val="center"/>
                </w:tcPr>
                <w:p>
                  <w:pPr>
                    <w:pStyle w:val="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w:t>
                  </w:r>
                </w:p>
              </w:tc>
              <w:tc>
                <w:tcPr>
                  <w:tcW w:w="2298"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板式换热器</w:t>
                  </w:r>
                </w:p>
              </w:tc>
              <w:tc>
                <w:tcPr>
                  <w:tcW w:w="1225"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30.27</w:t>
                  </w:r>
                </w:p>
              </w:tc>
              <w:tc>
                <w:tcPr>
                  <w:tcW w:w="1440"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33.51</w:t>
                  </w:r>
                </w:p>
              </w:tc>
              <w:tc>
                <w:tcPr>
                  <w:tcW w:w="1330"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35.88</w:t>
                  </w:r>
                </w:p>
              </w:tc>
              <w:tc>
                <w:tcPr>
                  <w:tcW w:w="1574"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34.38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7" w:type="dxa"/>
                  <w:vAlign w:val="center"/>
                </w:tcPr>
                <w:p>
                  <w:pPr>
                    <w:pStyle w:val="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6</w:t>
                  </w:r>
                </w:p>
              </w:tc>
              <w:tc>
                <w:tcPr>
                  <w:tcW w:w="2298"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增强剂搅拌罐</w:t>
                  </w:r>
                </w:p>
              </w:tc>
              <w:tc>
                <w:tcPr>
                  <w:tcW w:w="1225"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33.46</w:t>
                  </w:r>
                </w:p>
              </w:tc>
              <w:tc>
                <w:tcPr>
                  <w:tcW w:w="1440"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36.35</w:t>
                  </w:r>
                </w:p>
              </w:tc>
              <w:tc>
                <w:tcPr>
                  <w:tcW w:w="1330"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39.1</w:t>
                  </w:r>
                </w:p>
              </w:tc>
              <w:tc>
                <w:tcPr>
                  <w:tcW w:w="1574"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37.94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7" w:type="dxa"/>
                  <w:vAlign w:val="center"/>
                </w:tcPr>
                <w:p>
                  <w:pPr>
                    <w:pStyle w:val="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7</w:t>
                  </w:r>
                </w:p>
              </w:tc>
              <w:tc>
                <w:tcPr>
                  <w:tcW w:w="2298"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复配搅拌罐</w:t>
                  </w:r>
                </w:p>
              </w:tc>
              <w:tc>
                <w:tcPr>
                  <w:tcW w:w="1225"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63</w:t>
                  </w:r>
                </w:p>
              </w:tc>
              <w:tc>
                <w:tcPr>
                  <w:tcW w:w="1440"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44</w:t>
                  </w:r>
                </w:p>
              </w:tc>
              <w:tc>
                <w:tcPr>
                  <w:tcW w:w="1330"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31</w:t>
                  </w:r>
                </w:p>
              </w:tc>
              <w:tc>
                <w:tcPr>
                  <w:tcW w:w="1574"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7" w:type="dxa"/>
                  <w:vAlign w:val="center"/>
                </w:tcPr>
                <w:p>
                  <w:pPr>
                    <w:pStyle w:val="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8</w:t>
                  </w:r>
                </w:p>
              </w:tc>
              <w:tc>
                <w:tcPr>
                  <w:tcW w:w="2298"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风机</w:t>
                  </w:r>
                </w:p>
              </w:tc>
              <w:tc>
                <w:tcPr>
                  <w:tcW w:w="1225"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42.72</w:t>
                  </w:r>
                </w:p>
              </w:tc>
              <w:tc>
                <w:tcPr>
                  <w:tcW w:w="1440"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45.72</w:t>
                  </w:r>
                </w:p>
              </w:tc>
              <w:tc>
                <w:tcPr>
                  <w:tcW w:w="1330"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51.02</w:t>
                  </w:r>
                </w:p>
              </w:tc>
              <w:tc>
                <w:tcPr>
                  <w:tcW w:w="1574"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46.94</w:t>
                  </w:r>
                </w:p>
              </w:tc>
            </w:tr>
          </w:tbl>
          <w:p>
            <w:pPr>
              <w:pStyle w:val="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6</w:t>
            </w:r>
            <w:r>
              <w:rPr>
                <w:rFonts w:hint="default" w:ascii="Times New Roman" w:hAnsi="Times New Roman" w:eastAsia="宋体" w:cs="Times New Roman"/>
                <w:color w:val="000000" w:themeColor="text1"/>
                <w14:textFill>
                  <w14:solidFill>
                    <w14:schemeClr w14:val="tx1"/>
                  </w14:solidFill>
                </w14:textFill>
              </w:rPr>
              <w:t>项目噪声对厂界噪声的贡献值   单位：dB（A）</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4"/>
              <w:gridCol w:w="1200"/>
              <w:gridCol w:w="1500"/>
              <w:gridCol w:w="1275"/>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701" w:type="pct"/>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点号</w:t>
                  </w:r>
                </w:p>
              </w:tc>
              <w:tc>
                <w:tcPr>
                  <w:tcW w:w="715" w:type="pct"/>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厂界东</w:t>
                  </w:r>
                </w:p>
              </w:tc>
              <w:tc>
                <w:tcPr>
                  <w:tcW w:w="894" w:type="pct"/>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厂界南</w:t>
                  </w:r>
                </w:p>
              </w:tc>
              <w:tc>
                <w:tcPr>
                  <w:tcW w:w="760" w:type="pct"/>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厂界西</w:t>
                  </w:r>
                </w:p>
              </w:tc>
              <w:tc>
                <w:tcPr>
                  <w:tcW w:w="928" w:type="pct"/>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厂界北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701" w:type="pct"/>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各受声点声源叠加</w:t>
                  </w:r>
                </w:p>
              </w:tc>
              <w:tc>
                <w:tcPr>
                  <w:tcW w:w="715" w:type="pct"/>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 xml:space="preserve">63.10 </w:t>
                  </w:r>
                </w:p>
              </w:tc>
              <w:tc>
                <w:tcPr>
                  <w:tcW w:w="894" w:type="pct"/>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 xml:space="preserve">50.08 </w:t>
                  </w:r>
                </w:p>
              </w:tc>
              <w:tc>
                <w:tcPr>
                  <w:tcW w:w="760" w:type="pct"/>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 xml:space="preserve">53.25 </w:t>
                  </w:r>
                </w:p>
              </w:tc>
              <w:tc>
                <w:tcPr>
                  <w:tcW w:w="928" w:type="pct"/>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 xml:space="preserve">51.66 </w:t>
                  </w:r>
                </w:p>
              </w:tc>
            </w:tr>
          </w:tbl>
          <w:p>
            <w:pPr>
              <w:pStyle w:val="8"/>
              <w:ind w:firstLine="422"/>
              <w:jc w:val="left"/>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项目主要噪声源厂界贡献值见表4-</w:t>
            </w:r>
            <w:r>
              <w:rPr>
                <w:rFonts w:hint="eastAsia" w:cs="Times New Roman"/>
                <w:b w:val="0"/>
                <w:bCs w:val="0"/>
                <w:color w:val="000000" w:themeColor="text1"/>
                <w:sz w:val="24"/>
                <w:szCs w:val="24"/>
                <w:lang w:val="en-US" w:eastAsia="zh-CN"/>
                <w14:textFill>
                  <w14:solidFill>
                    <w14:schemeClr w14:val="tx1"/>
                  </w14:solidFill>
                </w14:textFill>
              </w:rPr>
              <w:t>17</w:t>
            </w:r>
            <w:r>
              <w:rPr>
                <w:rFonts w:hint="default" w:ascii="Times New Roman" w:hAnsi="Times New Roman" w:eastAsia="宋体" w:cs="Times New Roman"/>
                <w:b w:val="0"/>
                <w:bCs w:val="0"/>
                <w:color w:val="000000" w:themeColor="text1"/>
                <w:sz w:val="24"/>
                <w:szCs w:val="24"/>
                <w14:textFill>
                  <w14:solidFill>
                    <w14:schemeClr w14:val="tx1"/>
                  </w14:solidFill>
                </w14:textFill>
              </w:rPr>
              <w:t>。</w:t>
            </w:r>
          </w:p>
          <w:p>
            <w:pPr>
              <w:pStyle w:val="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17</w:t>
            </w:r>
            <w:r>
              <w:rPr>
                <w:rFonts w:hint="default" w:ascii="Times New Roman" w:hAnsi="Times New Roman" w:eastAsia="宋体" w:cs="Times New Roman"/>
                <w:color w:val="000000" w:themeColor="text1"/>
                <w14:textFill>
                  <w14:solidFill>
                    <w14:schemeClr w14:val="tx1"/>
                  </w14:solidFill>
                </w14:textFill>
              </w:rPr>
              <w:t>厂界噪声预测结果（dB(A)）</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198"/>
              <w:gridCol w:w="1964"/>
              <w:gridCol w:w="1639"/>
              <w:gridCol w:w="1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21"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点号</w:t>
                  </w:r>
                </w:p>
              </w:tc>
              <w:tc>
                <w:tcPr>
                  <w:tcW w:w="1148"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时段</w:t>
                  </w:r>
                </w:p>
              </w:tc>
              <w:tc>
                <w:tcPr>
                  <w:tcW w:w="1882"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贡献值</w:t>
                  </w:r>
                </w:p>
              </w:tc>
              <w:tc>
                <w:tcPr>
                  <w:tcW w:w="1571"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标准值</w:t>
                  </w:r>
                </w:p>
              </w:tc>
              <w:tc>
                <w:tcPr>
                  <w:tcW w:w="1914"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521"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厂界东</w:t>
                  </w:r>
                </w:p>
              </w:tc>
              <w:tc>
                <w:tcPr>
                  <w:tcW w:w="1148"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昼间</w:t>
                  </w:r>
                </w:p>
              </w:tc>
              <w:tc>
                <w:tcPr>
                  <w:tcW w:w="1882"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63.1</w:t>
                  </w:r>
                </w:p>
              </w:tc>
              <w:tc>
                <w:tcPr>
                  <w:tcW w:w="1571"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 xml:space="preserve">65 </w:t>
                  </w:r>
                </w:p>
              </w:tc>
              <w:tc>
                <w:tcPr>
                  <w:tcW w:w="1914"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21"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厂界南</w:t>
                  </w:r>
                </w:p>
              </w:tc>
              <w:tc>
                <w:tcPr>
                  <w:tcW w:w="1148"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昼间</w:t>
                  </w:r>
                </w:p>
              </w:tc>
              <w:tc>
                <w:tcPr>
                  <w:tcW w:w="1882"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50.08</w:t>
                  </w:r>
                </w:p>
              </w:tc>
              <w:tc>
                <w:tcPr>
                  <w:tcW w:w="1571"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65</w:t>
                  </w:r>
                </w:p>
              </w:tc>
              <w:tc>
                <w:tcPr>
                  <w:tcW w:w="1914"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21"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厂界西</w:t>
                  </w:r>
                </w:p>
              </w:tc>
              <w:tc>
                <w:tcPr>
                  <w:tcW w:w="1148"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昼间</w:t>
                  </w:r>
                </w:p>
              </w:tc>
              <w:tc>
                <w:tcPr>
                  <w:tcW w:w="1882"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53.25</w:t>
                  </w:r>
                </w:p>
              </w:tc>
              <w:tc>
                <w:tcPr>
                  <w:tcW w:w="1571"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65</w:t>
                  </w:r>
                </w:p>
              </w:tc>
              <w:tc>
                <w:tcPr>
                  <w:tcW w:w="1914"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21"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厂界北</w:t>
                  </w:r>
                </w:p>
              </w:tc>
              <w:tc>
                <w:tcPr>
                  <w:tcW w:w="1148"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昼间</w:t>
                  </w:r>
                </w:p>
              </w:tc>
              <w:tc>
                <w:tcPr>
                  <w:tcW w:w="1882"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51.66</w:t>
                  </w:r>
                </w:p>
              </w:tc>
              <w:tc>
                <w:tcPr>
                  <w:tcW w:w="1571"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65</w:t>
                  </w:r>
                </w:p>
              </w:tc>
              <w:tc>
                <w:tcPr>
                  <w:tcW w:w="1914" w:type="dxa"/>
                  <w:vAlign w:val="center"/>
                </w:tcPr>
                <w:p>
                  <w:pPr>
                    <w:adjustRightInd w:val="0"/>
                    <w:snapToGrid w:val="0"/>
                    <w:spacing w:line="240" w:lineRule="atLeast"/>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达标</w:t>
                  </w:r>
                </w:p>
              </w:tc>
            </w:tr>
          </w:tbl>
          <w:p>
            <w:pPr>
              <w:adjustRightInd w:val="0"/>
              <w:snapToGrid w:val="0"/>
              <w:spacing w:line="360" w:lineRule="auto"/>
              <w:ind w:firstLine="470" w:firstLineChars="196"/>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由</w:t>
            </w:r>
            <w:r>
              <w:rPr>
                <w:rFonts w:hint="default" w:ascii="Times New Roman" w:hAnsi="Times New Roman" w:eastAsia="宋体" w:cs="Times New Roman"/>
                <w:color w:val="000000" w:themeColor="text1"/>
                <w:sz w:val="24"/>
                <w:szCs w:val="24"/>
                <w14:textFill>
                  <w14:solidFill>
                    <w14:schemeClr w14:val="tx1"/>
                  </w14:solidFill>
                </w14:textFill>
              </w:rPr>
              <w:t>上表预测结果可知</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本项目设备噪声经预测后东、西、北侧厂界噪声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贡献值</w:t>
            </w:r>
            <w:r>
              <w:rPr>
                <w:rFonts w:hint="default" w:ascii="Times New Roman" w:hAnsi="Times New Roman" w:eastAsia="宋体" w:cs="Times New Roman"/>
                <w:color w:val="000000" w:themeColor="text1"/>
                <w:sz w:val="24"/>
                <w:szCs w:val="24"/>
                <w14:textFill>
                  <w14:solidFill>
                    <w14:schemeClr w14:val="tx1"/>
                  </w14:solidFill>
                </w14:textFill>
              </w:rPr>
              <w:t>能达到《工业企业厂界环境噪声排放标准》（GB12348-2008）3类标准</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即：昼间≤65dB。</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固体废物</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本项目产生的固体废物主要为其他垃圾、一般工业固废、危险固废。</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1）其他垃圾主要包括：生活垃圾、隔油池废油</w:t>
            </w:r>
            <w:r>
              <w:rPr>
                <w:rStyle w:val="34"/>
                <w:rFonts w:hint="default" w:ascii="Times New Roman" w:hAnsi="Times New Roman" w:eastAsia="宋体" w:cs="Times New Roman"/>
                <w:color w:val="000000" w:themeColor="text1"/>
                <w:kern w:val="0"/>
                <w:sz w:val="24"/>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2）一般工业固废主要包括：包装材料。</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Style w:val="34"/>
                <w:rFonts w:hint="default" w:ascii="Times New Roman" w:hAnsi="Times New Roman" w:eastAsia="宋体" w:cs="Times New Roman"/>
                <w:color w:val="000000" w:themeColor="text1"/>
                <w:kern w:val="0"/>
                <w:sz w:val="24"/>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危险废物主要包括：废活性炭、废机油、废机油桶</w:t>
            </w:r>
            <w:r>
              <w:rPr>
                <w:rFonts w:hint="default" w:ascii="Times New Roman" w:hAnsi="Times New Roman" w:eastAsia="宋体" w:cs="Times New Roman"/>
                <w:b w:val="0"/>
                <w:bCs w:val="0"/>
                <w:color w:val="000000" w:themeColor="text1"/>
                <w:sz w:val="24"/>
                <w14:textFill>
                  <w14:solidFill>
                    <w14:schemeClr w14:val="tx1"/>
                  </w14:solidFill>
                </w14:textFill>
              </w:rPr>
              <w:t>。</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14:textFill>
                  <w14:solidFill>
                    <w14:schemeClr w14:val="tx1"/>
                  </w14:solidFill>
                </w14:textFill>
              </w:rPr>
              <w:t>一般固废</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1）其他垃圾产生情况</w:t>
            </w:r>
          </w:p>
          <w:p>
            <w:pPr>
              <w:spacing w:line="360" w:lineRule="auto"/>
              <w:ind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fldChar w:fldCharType="begin"/>
            </w:r>
            <w:r>
              <w:rPr>
                <w:rFonts w:hint="default" w:ascii="Times New Roman" w:hAnsi="Times New Roman" w:eastAsia="宋体" w:cs="Times New Roman"/>
                <w:b/>
                <w:bCs/>
                <w:color w:val="000000" w:themeColor="text1"/>
                <w:sz w:val="24"/>
                <w14:textFill>
                  <w14:solidFill>
                    <w14:schemeClr w14:val="tx1"/>
                  </w14:solidFill>
                </w14:textFill>
              </w:rPr>
              <w:instrText xml:space="preserve"> = 1 \* GB3 \* MERGEFORMAT </w:instrText>
            </w:r>
            <w:r>
              <w:rPr>
                <w:rFonts w:hint="default" w:ascii="Times New Roman" w:hAnsi="Times New Roman" w:eastAsia="宋体" w:cs="Times New Roman"/>
                <w:b/>
                <w:bCs/>
                <w:color w:val="000000" w:themeColor="text1"/>
                <w:sz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14:textFill>
                  <w14:solidFill>
                    <w14:schemeClr w14:val="tx1"/>
                  </w14:solidFill>
                </w14:textFill>
              </w:rPr>
              <w:t>①</w:t>
            </w:r>
            <w:r>
              <w:rPr>
                <w:rFonts w:hint="default" w:ascii="Times New Roman" w:hAnsi="Times New Roman" w:eastAsia="宋体" w:cs="Times New Roman"/>
                <w:b/>
                <w:bCs/>
                <w:color w:val="000000" w:themeColor="text1"/>
                <w:sz w:val="24"/>
                <w14:textFill>
                  <w14:solidFill>
                    <w14:schemeClr w14:val="tx1"/>
                  </w14:solidFill>
                </w14:textFill>
              </w:rPr>
              <w:fldChar w:fldCharType="end"/>
            </w:r>
            <w:r>
              <w:rPr>
                <w:rFonts w:hint="default" w:ascii="Times New Roman" w:hAnsi="Times New Roman" w:eastAsia="宋体" w:cs="Times New Roman"/>
                <w:b/>
                <w:bCs/>
                <w:color w:val="000000" w:themeColor="text1"/>
                <w:sz w:val="24"/>
                <w14:textFill>
                  <w14:solidFill>
                    <w14:schemeClr w14:val="tx1"/>
                  </w14:solidFill>
                </w14:textFill>
              </w:rPr>
              <w:t>生活垃圾</w:t>
            </w:r>
            <w:r>
              <w:rPr>
                <w:rFonts w:hint="default" w:ascii="Times New Roman" w:hAnsi="Times New Roman" w:eastAsia="宋体" w:cs="Times New Roman"/>
                <w:color w:val="000000" w:themeColor="text1"/>
                <w:sz w:val="24"/>
                <w14:textFill>
                  <w14:solidFill>
                    <w14:schemeClr w14:val="tx1"/>
                  </w14:solidFill>
                </w14:textFill>
              </w:rPr>
              <w:t>：本项目产生的生活垃圾主要为职工生活垃圾。员工生活垃圾根据《社会区域类环境影响评价》（中国环境科学出版社）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我国目前城市人均生活垃圾为0.8~1.5kg/人.d</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办公垃圾为0.5~1.0kg/人.d</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则本项目按人员每人每天产生1kg计</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年工作时间300天</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根据建设单位提供的资料</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项目员工共有</w:t>
            </w:r>
            <w:r>
              <w:rPr>
                <w:rFonts w:hint="default" w:ascii="Times New Roman" w:hAnsi="Times New Roman" w:eastAsia="宋体" w:cs="Times New Roman"/>
                <w:color w:val="000000" w:themeColor="text1"/>
                <w:sz w:val="24"/>
                <w:lang w:val="en-US" w:eastAsia="zh-CN"/>
                <w14:textFill>
                  <w14:solidFill>
                    <w14:schemeClr w14:val="tx1"/>
                  </w14:solidFill>
                </w14:textFill>
              </w:rPr>
              <w:t>30</w:t>
            </w:r>
            <w:r>
              <w:rPr>
                <w:rFonts w:hint="default" w:ascii="Times New Roman" w:hAnsi="Times New Roman" w:eastAsia="宋体" w:cs="Times New Roman"/>
                <w:color w:val="000000" w:themeColor="text1"/>
                <w:sz w:val="24"/>
                <w14:textFill>
                  <w14:solidFill>
                    <w14:schemeClr w14:val="tx1"/>
                  </w14:solidFill>
                </w14:textFill>
              </w:rPr>
              <w:t>人</w:t>
            </w:r>
            <w:r>
              <w:rPr>
                <w:rFonts w:hint="eastAsia" w:cs="Times New Roman"/>
                <w:color w:val="000000" w:themeColor="text1"/>
                <w:spacing w:val="-6"/>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lang w:val="en-US" w:eastAsia="zh-CN"/>
                <w14:textFill>
                  <w14:solidFill>
                    <w14:schemeClr w14:val="tx1"/>
                  </w14:solidFill>
                </w14:textFill>
              </w:rPr>
              <w:t>30人均</w:t>
            </w:r>
            <w:r>
              <w:rPr>
                <w:rFonts w:hint="default" w:ascii="Times New Roman" w:hAnsi="Times New Roman" w:eastAsia="宋体" w:cs="Times New Roman"/>
                <w:color w:val="000000" w:themeColor="text1"/>
                <w:sz w:val="24"/>
                <w:lang w:val="en-US" w:eastAsia="zh-CN"/>
                <w14:textFill>
                  <w14:solidFill>
                    <w14:schemeClr w14:val="tx1"/>
                  </w14:solidFill>
                </w14:textFill>
              </w:rPr>
              <w:t>在厂区内食宿</w:t>
            </w:r>
            <w:r>
              <w:rPr>
                <w:rFonts w:hint="default" w:ascii="Times New Roman" w:hAnsi="Times New Roman" w:eastAsia="宋体" w:cs="Times New Roman"/>
                <w:color w:val="000000" w:themeColor="text1"/>
                <w:sz w:val="24"/>
                <w14:textFill>
                  <w14:solidFill>
                    <w14:schemeClr w14:val="tx1"/>
                  </w14:solidFill>
                </w14:textFill>
              </w:rPr>
              <w:t>则职工生活垃圾产生量为</w:t>
            </w:r>
            <w:r>
              <w:rPr>
                <w:rFonts w:hint="default" w:ascii="Times New Roman" w:hAnsi="Times New Roman" w:eastAsia="宋体" w:cs="Times New Roman"/>
                <w:color w:val="000000" w:themeColor="text1"/>
                <w:sz w:val="24"/>
                <w:lang w:val="en-US" w:eastAsia="zh-CN"/>
                <w14:textFill>
                  <w14:solidFill>
                    <w14:schemeClr w14:val="tx1"/>
                  </w14:solidFill>
                </w14:textFill>
              </w:rPr>
              <w:t>0.03</w:t>
            </w:r>
            <w:r>
              <w:rPr>
                <w:rFonts w:hint="default" w:ascii="Times New Roman" w:hAnsi="Times New Roman" w:eastAsia="宋体" w:cs="Times New Roman"/>
                <w:color w:val="000000" w:themeColor="text1"/>
                <w:sz w:val="24"/>
                <w14:textFill>
                  <w14:solidFill>
                    <w14:schemeClr w14:val="tx1"/>
                  </w14:solidFill>
                </w14:textFill>
              </w:rPr>
              <w:t>t/a</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9</w:t>
            </w:r>
            <w:r>
              <w:rPr>
                <w:rFonts w:hint="default" w:ascii="Times New Roman" w:hAnsi="Times New Roman" w:eastAsia="宋体" w:cs="Times New Roman"/>
                <w:color w:val="000000" w:themeColor="text1"/>
                <w:sz w:val="24"/>
                <w14:textFill>
                  <w14:solidFill>
                    <w14:schemeClr w14:val="tx1"/>
                  </w14:solidFill>
                </w14:textFill>
              </w:rPr>
              <w:t>t/a。生活垃圾由厂区设置的垃圾桶收集后委托</w:t>
            </w:r>
            <w:r>
              <w:rPr>
                <w:rFonts w:hint="default" w:ascii="Times New Roman" w:hAnsi="Times New Roman" w:eastAsia="宋体" w:cs="Times New Roman"/>
                <w:color w:val="000000" w:themeColor="text1"/>
                <w:sz w:val="24"/>
                <w:lang w:val="en-US" w:eastAsia="zh-CN"/>
                <w14:textFill>
                  <w14:solidFill>
                    <w14:schemeClr w14:val="tx1"/>
                  </w14:solidFill>
                </w14:textFill>
              </w:rPr>
              <w:t>环卫部门清运处理</w:t>
            </w:r>
            <w:r>
              <w:rPr>
                <w:rFonts w:hint="default" w:ascii="Times New Roman" w:hAnsi="Times New Roman" w:eastAsia="宋体" w:cs="Times New Roman"/>
                <w:color w:val="000000" w:themeColor="text1"/>
                <w:sz w:val="24"/>
                <w14:textFill>
                  <w14:solidFill>
                    <w14:schemeClr w14:val="tx1"/>
                  </w14:solidFill>
                </w14:textFill>
              </w:rPr>
              <w:t>。</w:t>
            </w:r>
          </w:p>
          <w:p>
            <w:pPr>
              <w:spacing w:line="360" w:lineRule="auto"/>
              <w:ind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fldChar w:fldCharType="begin"/>
            </w:r>
            <w:r>
              <w:rPr>
                <w:rFonts w:hint="default" w:ascii="Times New Roman" w:hAnsi="Times New Roman" w:eastAsia="宋体" w:cs="Times New Roman"/>
                <w:b/>
                <w:bCs/>
                <w:color w:val="000000" w:themeColor="text1"/>
                <w:sz w:val="24"/>
                <w14:textFill>
                  <w14:solidFill>
                    <w14:schemeClr w14:val="tx1"/>
                  </w14:solidFill>
                </w14:textFill>
              </w:rPr>
              <w:instrText xml:space="preserve"> = 2 \* GB3 \* MERGEFORMAT </w:instrText>
            </w:r>
            <w:r>
              <w:rPr>
                <w:rFonts w:hint="default" w:ascii="Times New Roman" w:hAnsi="Times New Roman" w:eastAsia="宋体" w:cs="Times New Roman"/>
                <w:b/>
                <w:bCs/>
                <w:color w:val="000000" w:themeColor="text1"/>
                <w:sz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14:textFill>
                  <w14:solidFill>
                    <w14:schemeClr w14:val="tx1"/>
                  </w14:solidFill>
                </w14:textFill>
              </w:rPr>
              <w:t>②</w:t>
            </w:r>
            <w:r>
              <w:rPr>
                <w:rFonts w:hint="default" w:ascii="Times New Roman" w:hAnsi="Times New Roman" w:eastAsia="宋体" w:cs="Times New Roman"/>
                <w:b/>
                <w:bCs/>
                <w:color w:val="000000" w:themeColor="text1"/>
                <w:sz w:val="24"/>
                <w14:textFill>
                  <w14:solidFill>
                    <w14:schemeClr w14:val="tx1"/>
                  </w14:solidFill>
                </w14:textFill>
              </w:rPr>
              <w:fldChar w:fldCharType="end"/>
            </w:r>
            <w:r>
              <w:rPr>
                <w:rFonts w:hint="default" w:ascii="Times New Roman" w:hAnsi="Times New Roman" w:eastAsia="宋体" w:cs="Times New Roman"/>
                <w:b/>
                <w:bCs/>
                <w:color w:val="000000" w:themeColor="text1"/>
                <w:sz w:val="24"/>
                <w14:textFill>
                  <w14:solidFill>
                    <w14:schemeClr w14:val="tx1"/>
                  </w14:solidFill>
                </w14:textFill>
              </w:rPr>
              <w:t>隔油池油污</w:t>
            </w:r>
            <w:r>
              <w:rPr>
                <w:rStyle w:val="34"/>
                <w:rFonts w:hint="default" w:ascii="Times New Roman" w:hAnsi="Times New Roman" w:eastAsia="宋体" w:cs="Times New Roman"/>
                <w:color w:val="000000" w:themeColor="text1"/>
                <w:kern w:val="0"/>
                <w:sz w:val="24"/>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废油脂根据建设单位提供资料</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本项目隔油池油污产生量约为0.01‬t/a。由垃圾桶收集后定期委托</w:t>
            </w:r>
            <w:r>
              <w:rPr>
                <w:rFonts w:hint="default" w:ascii="Times New Roman" w:hAnsi="Times New Roman" w:eastAsia="宋体" w:cs="Times New Roman"/>
                <w:color w:val="000000" w:themeColor="text1"/>
                <w:sz w:val="24"/>
                <w:lang w:val="en-US" w:eastAsia="zh-CN"/>
                <w14:textFill>
                  <w14:solidFill>
                    <w14:schemeClr w14:val="tx1"/>
                  </w14:solidFill>
                </w14:textFill>
              </w:rPr>
              <w:t>环卫部门清运处理</w:t>
            </w:r>
            <w:r>
              <w:rPr>
                <w:rFonts w:hint="default" w:ascii="Times New Roman" w:hAnsi="Times New Roman" w:eastAsia="宋体" w:cs="Times New Roman"/>
                <w:color w:val="000000" w:themeColor="text1"/>
                <w:sz w:val="24"/>
                <w14:textFill>
                  <w14:solidFill>
                    <w14:schemeClr w14:val="tx1"/>
                  </w14:solidFill>
                </w14:textFill>
              </w:rPr>
              <w:t>。</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2）一般工业固废产生情况</w:t>
            </w:r>
          </w:p>
          <w:p>
            <w:pPr>
              <w:spacing w:line="360" w:lineRule="auto"/>
              <w:ind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①废包装材料</w:t>
            </w:r>
            <w:r>
              <w:rPr>
                <w:rFonts w:hint="default" w:ascii="Times New Roman" w:hAnsi="Times New Roman" w:eastAsia="宋体" w:cs="Times New Roman"/>
                <w:color w:val="000000" w:themeColor="text1"/>
                <w:sz w:val="24"/>
                <w14:textFill>
                  <w14:solidFill>
                    <w14:schemeClr w14:val="tx1"/>
                  </w14:solidFill>
                </w14:textFill>
              </w:rPr>
              <w:t>：本项目在生产过程中会产生废原料桶及废编织袋</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产生量约</w:t>
            </w:r>
            <w:r>
              <w:rPr>
                <w:rFonts w:hint="eastAsia" w:cs="Times New Roman"/>
                <w:color w:val="000000" w:themeColor="text1"/>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14:textFill>
                  <w14:solidFill>
                    <w14:schemeClr w14:val="tx1"/>
                  </w14:solidFill>
                </w14:textFill>
              </w:rPr>
              <w:t>t/a</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废原料桶及废编织袋统一收集后</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暂存于一般固废暂存间</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废原料桶</w:t>
            </w:r>
            <w:r>
              <w:rPr>
                <w:rFonts w:hint="default" w:ascii="Times New Roman" w:hAnsi="Times New Roman" w:eastAsia="宋体" w:cs="Times New Roman"/>
                <w:color w:val="000000" w:themeColor="text1"/>
                <w:sz w:val="24"/>
                <w:lang w:val="en-US" w:eastAsia="zh-CN"/>
                <w14:textFill>
                  <w14:solidFill>
                    <w14:schemeClr w14:val="tx1"/>
                  </w14:solidFill>
                </w14:textFill>
              </w:rPr>
              <w:t>与</w:t>
            </w:r>
            <w:r>
              <w:rPr>
                <w:rFonts w:hint="default" w:ascii="Times New Roman" w:hAnsi="Times New Roman" w:eastAsia="宋体" w:cs="Times New Roman"/>
                <w:color w:val="000000" w:themeColor="text1"/>
                <w:sz w:val="24"/>
                <w:lang w:eastAsia="zh-CN"/>
                <w14:textFill>
                  <w14:solidFill>
                    <w14:schemeClr w14:val="tx1"/>
                  </w14:solidFill>
                </w14:textFill>
              </w:rPr>
              <w:t>原生产厂家签订回收协议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废编织袋定期外售废品回收站。</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3）危险废物产生情况</w:t>
            </w:r>
          </w:p>
          <w:p>
            <w:pPr>
              <w:pStyle w:val="2"/>
              <w:spacing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①废活性炭</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sz w:val="24"/>
                <w:szCs w:val="21"/>
                <w:highlight w:val="none"/>
                <w:lang w:val="zh-CN" w:eastAsia="zh-CN" w:bidi="zh-CN"/>
              </w:rPr>
            </w:pPr>
            <w:r>
              <w:rPr>
                <w:rFonts w:hint="default" w:ascii="Times New Roman" w:hAnsi="Times New Roman" w:eastAsia="宋体" w:cs="Times New Roman"/>
                <w:sz w:val="24"/>
                <w:szCs w:val="21"/>
                <w:highlight w:val="none"/>
                <w:lang w:val="en-US" w:eastAsia="zh-CN" w:bidi="zh-CN"/>
              </w:rPr>
              <w:t>①项目</w:t>
            </w:r>
            <w:r>
              <w:rPr>
                <w:rFonts w:hint="default" w:ascii="Times New Roman" w:hAnsi="Times New Roman" w:eastAsia="宋体" w:cs="Times New Roman"/>
                <w:sz w:val="24"/>
                <w:szCs w:val="24"/>
                <w:highlight w:val="none"/>
                <w:lang w:val="en-US" w:eastAsia="zh-CN" w:bidi="zh-CN"/>
              </w:rPr>
              <w:t>有机废气处理采用</w:t>
            </w:r>
            <w:r>
              <w:rPr>
                <w:rFonts w:hint="default" w:ascii="Times New Roman" w:hAnsi="Times New Roman" w:eastAsia="宋体" w:cs="Times New Roman"/>
                <w:sz w:val="24"/>
                <w:szCs w:val="24"/>
                <w:highlight w:val="none"/>
                <w:lang w:val="en-US" w:eastAsia="zh-CN"/>
              </w:rPr>
              <w:t>二级活性炭吸附装置</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活性炭需定期更换</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每年更换</w:t>
            </w:r>
            <w:r>
              <w:rPr>
                <w:rFonts w:hint="eastAsia" w:cs="Times New Roman"/>
                <w:sz w:val="24"/>
                <w:szCs w:val="24"/>
                <w:highlight w:val="none"/>
                <w:lang w:val="en-US" w:eastAsia="zh-CN" w:bidi="zh-CN"/>
              </w:rPr>
              <w:t>2</w:t>
            </w:r>
            <w:r>
              <w:rPr>
                <w:rFonts w:hint="default" w:ascii="Times New Roman" w:hAnsi="Times New Roman" w:eastAsia="宋体" w:cs="Times New Roman"/>
                <w:sz w:val="24"/>
                <w:szCs w:val="24"/>
                <w:highlight w:val="none"/>
                <w:lang w:val="en-US" w:eastAsia="zh-CN" w:bidi="zh-CN"/>
              </w:rPr>
              <w:t>次</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根据《简明通风设计手册》P510页</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活性炭有效吸附量：qe=0.24kg/kg活性炭</w:t>
            </w:r>
            <w:r>
              <w:rPr>
                <w:rFonts w:hint="eastAsia" w:cs="Times New Roman"/>
                <w:sz w:val="24"/>
                <w:szCs w:val="24"/>
                <w:highlight w:val="none"/>
                <w:lang w:val="en-US" w:eastAsia="zh-CN" w:bidi="zh-CN"/>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AKD蜡融化工段</w:t>
            </w:r>
            <w:r>
              <w:rPr>
                <w:rFonts w:hint="default" w:ascii="Times New Roman" w:hAnsi="Times New Roman" w:eastAsia="宋体" w:cs="Times New Roman"/>
                <w:sz w:val="24"/>
                <w:szCs w:val="24"/>
                <w:highlight w:val="none"/>
                <w:lang w:val="en-US" w:eastAsia="zh-CN" w:bidi="zh-CN"/>
              </w:rPr>
              <w:t>废气产生量为</w:t>
            </w:r>
            <w:r>
              <w:rPr>
                <w:rFonts w:hint="eastAsia" w:ascii="Times New Roman" w:cs="Times New Roman"/>
                <w:color w:val="000000" w:themeColor="text1"/>
                <w:sz w:val="24"/>
                <w:szCs w:val="24"/>
                <w:lang w:val="en-US" w:eastAsia="zh-CN"/>
                <w14:textFill>
                  <w14:solidFill>
                    <w14:schemeClr w14:val="tx1"/>
                  </w14:solidFill>
                </w14:textFill>
              </w:rPr>
              <w:t>0.0059</w:t>
            </w:r>
            <w:r>
              <w:rPr>
                <w:rFonts w:hint="default" w:ascii="Times New Roman" w:hAnsi="Times New Roman" w:eastAsia="宋体" w:cs="Times New Roman"/>
                <w:sz w:val="24"/>
                <w:szCs w:val="24"/>
                <w:highlight w:val="none"/>
                <w:lang w:val="en-US" w:eastAsia="zh-CN" w:bidi="zh-CN"/>
              </w:rPr>
              <w:t>t/a</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因此本项目产生废活性炭量约为</w:t>
            </w:r>
            <w:r>
              <w:rPr>
                <w:rFonts w:hint="eastAsia" w:cs="Times New Roman"/>
                <w:sz w:val="24"/>
                <w:szCs w:val="24"/>
                <w:highlight w:val="none"/>
                <w:lang w:val="en-US" w:eastAsia="zh-CN" w:bidi="zh-CN"/>
              </w:rPr>
              <w:t>0.025</w:t>
            </w:r>
            <w:r>
              <w:rPr>
                <w:rFonts w:hint="default" w:ascii="Times New Roman" w:hAnsi="Times New Roman" w:eastAsia="宋体" w:cs="Times New Roman"/>
                <w:sz w:val="24"/>
                <w:szCs w:val="24"/>
                <w:highlight w:val="none"/>
                <w:lang w:val="en-US" w:eastAsia="zh-CN" w:bidi="zh-CN"/>
              </w:rPr>
              <w:t>t/a</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根据《国家危险废物名录》（2021版）</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废活性</w:t>
            </w:r>
            <w:r>
              <w:rPr>
                <w:rFonts w:hint="default" w:ascii="Times New Roman" w:hAnsi="Times New Roman" w:eastAsia="宋体" w:cs="Times New Roman"/>
                <w:sz w:val="24"/>
                <w:szCs w:val="21"/>
                <w:highlight w:val="none"/>
                <w:lang w:val="en-US" w:eastAsia="zh-CN" w:bidi="zh-CN"/>
              </w:rPr>
              <w:t>炭属于HW49其他废物</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废物代码为900-039-49</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烟气、VOCs治理过程中（不包括餐饮行业油 烟治理过程）产生的废活性炭</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 xml:space="preserve">化学原料和化学制品脱色（不包括有机合成食品添加剂脱色）、除杂、净化过程产生的废活性炭。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sz w:val="24"/>
                <w:szCs w:val="21"/>
                <w:highlight w:val="none"/>
                <w:lang w:val="zh-CN" w:eastAsia="zh-CN" w:bidi="zh-CN"/>
              </w:rPr>
            </w:pPr>
            <w:r>
              <w:rPr>
                <w:rFonts w:hint="default" w:ascii="Times New Roman" w:hAnsi="Times New Roman" w:eastAsia="宋体" w:cs="Times New Roman"/>
                <w:sz w:val="24"/>
                <w:szCs w:val="21"/>
                <w:highlight w:val="none"/>
                <w:lang w:val="en-US" w:eastAsia="zh-CN" w:bidi="zh-CN"/>
              </w:rPr>
              <w:t>②活性炭更换频率：</w:t>
            </w:r>
            <w:r>
              <w:rPr>
                <w:rFonts w:hint="default" w:ascii="Times New Roman" w:hAnsi="Times New Roman" w:eastAsia="宋体" w:cs="Times New Roman"/>
                <w:sz w:val="24"/>
                <w:szCs w:val="24"/>
                <w:highlight w:val="none"/>
                <w:lang w:val="en-US" w:eastAsia="zh-CN"/>
              </w:rPr>
              <w:t>二级活性炭吸附装置</w:t>
            </w:r>
            <w:r>
              <w:rPr>
                <w:rFonts w:hint="default" w:ascii="Times New Roman" w:hAnsi="Times New Roman" w:eastAsia="宋体" w:cs="Times New Roman"/>
                <w:sz w:val="24"/>
                <w:szCs w:val="24"/>
                <w:highlight w:val="none"/>
                <w:lang w:val="en-US" w:eastAsia="zh-CN" w:bidi="zh-CN"/>
              </w:rPr>
              <w:t>一</w:t>
            </w:r>
            <w:r>
              <w:rPr>
                <w:rFonts w:hint="default" w:ascii="Times New Roman" w:hAnsi="Times New Roman" w:eastAsia="宋体" w:cs="Times New Roman"/>
                <w:sz w:val="24"/>
                <w:szCs w:val="21"/>
                <w:highlight w:val="none"/>
                <w:lang w:val="en-US" w:eastAsia="zh-CN" w:bidi="zh-CN"/>
              </w:rPr>
              <w:t>次炭填充量为</w:t>
            </w:r>
            <w:r>
              <w:rPr>
                <w:rFonts w:hint="eastAsia" w:cs="Times New Roman"/>
                <w:sz w:val="24"/>
                <w:szCs w:val="21"/>
                <w:highlight w:val="none"/>
                <w:lang w:val="en-US" w:eastAsia="zh-CN" w:bidi="zh-CN"/>
              </w:rPr>
              <w:t>0.5</w:t>
            </w:r>
            <w:r>
              <w:rPr>
                <w:rFonts w:hint="default" w:ascii="Times New Roman" w:hAnsi="Times New Roman" w:eastAsia="宋体" w:cs="Times New Roman"/>
                <w:sz w:val="24"/>
                <w:szCs w:val="21"/>
                <w:highlight w:val="none"/>
                <w:lang w:val="en-US" w:eastAsia="zh-CN" w:bidi="zh-CN"/>
              </w:rPr>
              <w:t>m</w:t>
            </w:r>
            <w:r>
              <w:rPr>
                <w:rFonts w:hint="default" w:ascii="Times New Roman" w:hAnsi="Times New Roman" w:eastAsia="宋体" w:cs="Times New Roman"/>
                <w:sz w:val="24"/>
                <w:szCs w:val="21"/>
                <w:highlight w:val="none"/>
                <w:vertAlign w:val="superscript"/>
                <w:lang w:val="en-US" w:eastAsia="zh-CN" w:bidi="zh-CN"/>
              </w:rPr>
              <w:t>3</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即</w:t>
            </w:r>
            <w:r>
              <w:rPr>
                <w:rFonts w:hint="eastAsia" w:cs="Times New Roman"/>
                <w:sz w:val="24"/>
                <w:szCs w:val="21"/>
                <w:highlight w:val="none"/>
                <w:lang w:val="en-US" w:eastAsia="zh-CN" w:bidi="zh-CN"/>
              </w:rPr>
              <w:t>150</w:t>
            </w:r>
            <w:r>
              <w:rPr>
                <w:rFonts w:hint="default" w:ascii="Times New Roman" w:hAnsi="Times New Roman" w:eastAsia="宋体" w:cs="Times New Roman"/>
                <w:sz w:val="24"/>
                <w:szCs w:val="21"/>
                <w:highlight w:val="none"/>
                <w:lang w:val="en-US" w:eastAsia="zh-CN" w:bidi="zh-CN"/>
              </w:rPr>
              <w:t>kg</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本项目年工作时间为2400h/a</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本项目使用的废活性炭为</w:t>
            </w:r>
            <w:r>
              <w:rPr>
                <w:rFonts w:hint="eastAsia" w:cs="Times New Roman"/>
                <w:sz w:val="24"/>
                <w:szCs w:val="21"/>
                <w:highlight w:val="none"/>
                <w:lang w:val="en-US" w:eastAsia="zh-CN" w:bidi="zh-CN"/>
              </w:rPr>
              <w:t>25</w:t>
            </w:r>
            <w:r>
              <w:rPr>
                <w:rFonts w:hint="default" w:ascii="Times New Roman" w:hAnsi="Times New Roman" w:eastAsia="宋体" w:cs="Times New Roman"/>
                <w:sz w:val="24"/>
                <w:szCs w:val="21"/>
                <w:highlight w:val="none"/>
                <w:lang w:val="en-US" w:eastAsia="zh-CN" w:bidi="zh-CN"/>
              </w:rPr>
              <w:t>kg/a</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则生产</w:t>
            </w:r>
            <w:r>
              <w:rPr>
                <w:rFonts w:hint="eastAsia" w:cs="Times New Roman"/>
                <w:sz w:val="24"/>
                <w:szCs w:val="21"/>
                <w:highlight w:val="none"/>
                <w:lang w:val="en-US" w:eastAsia="zh-CN" w:bidi="zh-CN"/>
              </w:rPr>
              <w:t>1200</w:t>
            </w:r>
            <w:r>
              <w:rPr>
                <w:rFonts w:hint="default" w:ascii="Times New Roman" w:hAnsi="Times New Roman" w:eastAsia="宋体" w:cs="Times New Roman"/>
                <w:sz w:val="24"/>
                <w:szCs w:val="21"/>
                <w:highlight w:val="none"/>
                <w:lang w:val="en-US" w:eastAsia="zh-CN" w:bidi="zh-CN"/>
              </w:rPr>
              <w:t>h须更换1次活性炭。则活性炭吸附设备1年至少更换</w:t>
            </w:r>
            <w:r>
              <w:rPr>
                <w:rFonts w:hint="eastAsia" w:cs="Times New Roman"/>
                <w:sz w:val="24"/>
                <w:szCs w:val="21"/>
                <w:highlight w:val="none"/>
                <w:lang w:val="en-US" w:eastAsia="zh-CN" w:bidi="zh-CN"/>
              </w:rPr>
              <w:t>2</w:t>
            </w:r>
            <w:r>
              <w:rPr>
                <w:rFonts w:hint="default" w:ascii="Times New Roman" w:hAnsi="Times New Roman" w:eastAsia="宋体" w:cs="Times New Roman"/>
                <w:sz w:val="24"/>
                <w:szCs w:val="21"/>
                <w:highlight w:val="none"/>
                <w:lang w:val="en-US" w:eastAsia="zh-CN" w:bidi="zh-CN"/>
              </w:rPr>
              <w:t>次</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活性炭暂存</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定期委托有资质的单位进行处置</w:t>
            </w:r>
            <w:r>
              <w:rPr>
                <w:rFonts w:hint="eastAsia" w:cs="Times New Roman"/>
                <w:sz w:val="24"/>
                <w:szCs w:val="21"/>
                <w:highlight w:val="none"/>
                <w:lang w:val="en-US" w:eastAsia="zh-CN" w:bidi="zh-CN"/>
              </w:rPr>
              <w:t>。</w:t>
            </w:r>
          </w:p>
          <w:p>
            <w:pPr>
              <w:pStyle w:val="2"/>
              <w:spacing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③废机油、废机油桶</w:t>
            </w:r>
          </w:p>
          <w:p>
            <w:pPr>
              <w:pStyle w:val="50"/>
              <w:ind w:firstLine="48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项目机修过程中产生的废机油产生量为：</w:t>
            </w:r>
            <w:r>
              <w:rPr>
                <w:rFonts w:hint="default" w:ascii="Times New Roman" w:hAnsi="Times New Roman" w:eastAsia="宋体" w:cs="Times New Roman"/>
                <w:color w:val="000000" w:themeColor="text1"/>
                <w:lang w:val="en-US" w:eastAsia="zh-CN"/>
                <w14:textFill>
                  <w14:solidFill>
                    <w14:schemeClr w14:val="tx1"/>
                  </w14:solidFill>
                </w14:textFill>
              </w:rPr>
              <w:t>0.1</w:t>
            </w:r>
            <w:r>
              <w:rPr>
                <w:rFonts w:hint="default" w:ascii="Times New Roman" w:hAnsi="Times New Roman" w:eastAsia="宋体" w:cs="Times New Roman"/>
                <w:color w:val="000000" w:themeColor="text1"/>
                <w14:textFill>
                  <w14:solidFill>
                    <w14:schemeClr w14:val="tx1"/>
                  </w14:solidFill>
                </w14:textFill>
              </w:rPr>
              <w:t>t/a</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废机油桶产生量约为：0.</w:t>
            </w:r>
            <w:r>
              <w:rPr>
                <w:rFonts w:hint="eastAsia" w:cs="Times New Roman"/>
                <w:color w:val="000000" w:themeColor="text1"/>
                <w:lang w:val="en-US" w:eastAsia="zh-CN"/>
                <w14:textFill>
                  <w14:solidFill>
                    <w14:schemeClr w14:val="tx1"/>
                  </w14:solidFill>
                </w14:textFill>
              </w:rPr>
              <w:t>05</w:t>
            </w:r>
            <w:r>
              <w:rPr>
                <w:rFonts w:hint="default" w:ascii="Times New Roman" w:hAnsi="Times New Roman" w:eastAsia="宋体" w:cs="Times New Roman"/>
                <w:color w:val="000000" w:themeColor="text1"/>
                <w14:textFill>
                  <w14:solidFill>
                    <w14:schemeClr w14:val="tx1"/>
                  </w14:solidFill>
                </w14:textFill>
              </w:rPr>
              <w:t>t/a。根据《国家危险废物名录》（2021年版）废机油、废机油桶属于HW08废矿物油与含矿物油废物</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废物代码为900-249-08</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其他生产、销售、使用过程中产生的废矿物油及沾染矿物油的废弃包装物。废机油油采用收集桶统一收集后</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送至暂存于危废暂存间</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定期委托有资质的单位进行处置。</w:t>
            </w:r>
          </w:p>
          <w:p>
            <w:pPr>
              <w:pStyle w:val="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18</w:t>
            </w:r>
            <w:r>
              <w:rPr>
                <w:rFonts w:hint="default" w:ascii="Times New Roman" w:hAnsi="Times New Roman" w:eastAsia="宋体" w:cs="Times New Roman"/>
                <w:color w:val="000000" w:themeColor="text1"/>
                <w14:textFill>
                  <w14:solidFill>
                    <w14:schemeClr w14:val="tx1"/>
                  </w14:solidFill>
                </w14:textFill>
              </w:rPr>
              <w:t xml:space="preserve"> 项目固体废物产生量一览表</w:t>
            </w:r>
          </w:p>
          <w:tbl>
            <w:tblPr>
              <w:tblStyle w:val="27"/>
              <w:tblW w:w="8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703"/>
              <w:gridCol w:w="1186"/>
              <w:gridCol w:w="824"/>
              <w:gridCol w:w="1379"/>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978" w:type="dxa"/>
                  <w:tcMar>
                    <w:left w:w="6" w:type="dxa"/>
                    <w:right w:w="6" w:type="dxa"/>
                  </w:tcMar>
                  <w:vAlign w:val="center"/>
                </w:tcPr>
                <w:p>
                  <w:pPr>
                    <w:pStyle w:val="47"/>
                    <w:spacing w:line="240" w:lineRule="auto"/>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废物类别</w:t>
                  </w:r>
                </w:p>
              </w:tc>
              <w:tc>
                <w:tcPr>
                  <w:tcW w:w="1703" w:type="dxa"/>
                  <w:tcMar>
                    <w:left w:w="6" w:type="dxa"/>
                    <w:right w:w="6" w:type="dxa"/>
                  </w:tcMar>
                  <w:vAlign w:val="center"/>
                </w:tcPr>
                <w:p>
                  <w:pPr>
                    <w:pStyle w:val="47"/>
                    <w:spacing w:line="240" w:lineRule="auto"/>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项目</w:t>
                  </w:r>
                </w:p>
              </w:tc>
              <w:tc>
                <w:tcPr>
                  <w:tcW w:w="1186" w:type="dxa"/>
                  <w:tcMar>
                    <w:left w:w="6" w:type="dxa"/>
                    <w:right w:w="6" w:type="dxa"/>
                  </w:tcMar>
                  <w:vAlign w:val="center"/>
                </w:tcPr>
                <w:p>
                  <w:pPr>
                    <w:pStyle w:val="47"/>
                    <w:spacing w:line="240" w:lineRule="auto"/>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产生量</w:t>
                  </w:r>
                </w:p>
              </w:tc>
              <w:tc>
                <w:tcPr>
                  <w:tcW w:w="824" w:type="dxa"/>
                  <w:tcMar>
                    <w:left w:w="6" w:type="dxa"/>
                    <w:right w:w="6" w:type="dxa"/>
                  </w:tcMar>
                  <w:vAlign w:val="center"/>
                </w:tcPr>
                <w:p>
                  <w:pPr>
                    <w:pStyle w:val="47"/>
                    <w:spacing w:line="240" w:lineRule="auto"/>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废物代码</w:t>
                  </w:r>
                </w:p>
              </w:tc>
              <w:tc>
                <w:tcPr>
                  <w:tcW w:w="1379" w:type="dxa"/>
                  <w:vAlign w:val="center"/>
                </w:tcPr>
                <w:p>
                  <w:pPr>
                    <w:pStyle w:val="47"/>
                    <w:spacing w:line="240" w:lineRule="auto"/>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危险废物编号</w:t>
                  </w:r>
                </w:p>
              </w:tc>
              <w:tc>
                <w:tcPr>
                  <w:tcW w:w="1962" w:type="dxa"/>
                  <w:tcMar>
                    <w:left w:w="6" w:type="dxa"/>
                    <w:right w:w="6" w:type="dxa"/>
                  </w:tcMar>
                  <w:vAlign w:val="center"/>
                </w:tcPr>
                <w:p>
                  <w:pPr>
                    <w:pStyle w:val="47"/>
                    <w:spacing w:line="240" w:lineRule="auto"/>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978" w:type="dxa"/>
                  <w:vMerge w:val="restart"/>
                  <w:tcMar>
                    <w:left w:w="6" w:type="dxa"/>
                    <w:right w:w="6" w:type="dxa"/>
                  </w:tcMar>
                  <w:vAlign w:val="center"/>
                </w:tcPr>
                <w:p>
                  <w:pPr>
                    <w:pStyle w:val="47"/>
                    <w:spacing w:line="240" w:lineRule="auto"/>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其他垃圾</w:t>
                  </w:r>
                </w:p>
              </w:tc>
              <w:tc>
                <w:tcPr>
                  <w:tcW w:w="1703" w:type="dxa"/>
                  <w:tcMar>
                    <w:left w:w="6" w:type="dxa"/>
                    <w:right w:w="6" w:type="dxa"/>
                  </w:tcMar>
                  <w:vAlign w:val="center"/>
                </w:tcPr>
                <w:p>
                  <w:pPr>
                    <w:pStyle w:val="47"/>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生活垃圾</w:t>
                  </w:r>
                </w:p>
              </w:tc>
              <w:tc>
                <w:tcPr>
                  <w:tcW w:w="1186" w:type="dxa"/>
                  <w:tcMar>
                    <w:left w:w="6" w:type="dxa"/>
                    <w:right w:w="6" w:type="dxa"/>
                  </w:tcMar>
                  <w:vAlign w:val="center"/>
                </w:tcPr>
                <w:p>
                  <w:pPr>
                    <w:pStyle w:val="47"/>
                    <w:rPr>
                      <w:rFonts w:hint="default" w:ascii="Times New Roman" w:hAnsi="Times New Roman" w:eastAsia="宋体" w:cs="Times New Roman"/>
                      <w:b w:val="0"/>
                      <w:bCs w:val="0"/>
                      <w:color w:val="000000" w:themeColor="text1"/>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14:textFill>
                        <w14:solidFill>
                          <w14:schemeClr w14:val="tx1"/>
                        </w14:solidFill>
                      </w14:textFill>
                    </w:rPr>
                    <w:t>t/a</w:t>
                  </w:r>
                </w:p>
              </w:tc>
              <w:tc>
                <w:tcPr>
                  <w:tcW w:w="824" w:type="dxa"/>
                  <w:tcMar>
                    <w:left w:w="6" w:type="dxa"/>
                    <w:right w:w="6" w:type="dxa"/>
                  </w:tcMar>
                  <w:vAlign w:val="center"/>
                </w:tcPr>
                <w:p>
                  <w:pPr>
                    <w:pStyle w:val="47"/>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w:t>
                  </w:r>
                </w:p>
              </w:tc>
              <w:tc>
                <w:tcPr>
                  <w:tcW w:w="1379" w:type="dxa"/>
                  <w:vAlign w:val="center"/>
                </w:tcPr>
                <w:p>
                  <w:pPr>
                    <w:pStyle w:val="47"/>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w:t>
                  </w:r>
                </w:p>
              </w:tc>
              <w:tc>
                <w:tcPr>
                  <w:tcW w:w="1962" w:type="dxa"/>
                  <w:vMerge w:val="restart"/>
                  <w:tcMar>
                    <w:left w:w="6" w:type="dxa"/>
                    <w:right w:w="6" w:type="dxa"/>
                  </w:tcMar>
                  <w:vAlign w:val="center"/>
                </w:tcPr>
                <w:p>
                  <w:pPr>
                    <w:pStyle w:val="47"/>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978" w:type="dxa"/>
                  <w:vMerge w:val="continue"/>
                  <w:tcMar>
                    <w:left w:w="6" w:type="dxa"/>
                    <w:right w:w="6" w:type="dxa"/>
                  </w:tcMar>
                  <w:vAlign w:val="center"/>
                </w:tcPr>
                <w:p>
                  <w:pPr>
                    <w:pStyle w:val="47"/>
                    <w:spacing w:line="240" w:lineRule="auto"/>
                    <w:rPr>
                      <w:rFonts w:hint="default" w:ascii="Times New Roman" w:hAnsi="Times New Roman" w:eastAsia="宋体" w:cs="Times New Roman"/>
                      <w:b w:val="0"/>
                      <w:bCs w:val="0"/>
                      <w:color w:val="000000" w:themeColor="text1"/>
                      <w14:textFill>
                        <w14:solidFill>
                          <w14:schemeClr w14:val="tx1"/>
                        </w14:solidFill>
                      </w14:textFill>
                    </w:rPr>
                  </w:pPr>
                </w:p>
              </w:tc>
              <w:tc>
                <w:tcPr>
                  <w:tcW w:w="1703" w:type="dxa"/>
                  <w:tcMar>
                    <w:left w:w="6" w:type="dxa"/>
                    <w:right w:w="6" w:type="dxa"/>
                  </w:tcMar>
                  <w:vAlign w:val="center"/>
                </w:tcPr>
                <w:p>
                  <w:pPr>
                    <w:pStyle w:val="47"/>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隔油池油污</w:t>
                  </w:r>
                </w:p>
              </w:tc>
              <w:tc>
                <w:tcPr>
                  <w:tcW w:w="1186" w:type="dxa"/>
                  <w:tcMar>
                    <w:left w:w="6" w:type="dxa"/>
                    <w:right w:w="6" w:type="dxa"/>
                  </w:tcMar>
                  <w:vAlign w:val="center"/>
                </w:tcPr>
                <w:p>
                  <w:pPr>
                    <w:pStyle w:val="47"/>
                    <w:rPr>
                      <w:rFonts w:hint="default" w:ascii="Times New Roman" w:hAnsi="Times New Roman" w:eastAsia="宋体" w:cs="Times New Roman"/>
                      <w:b w:val="0"/>
                      <w:bCs w:val="0"/>
                      <w:color w:val="000000" w:themeColor="text1"/>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0.01</w:t>
                  </w:r>
                  <w:r>
                    <w:rPr>
                      <w:rFonts w:hint="default" w:ascii="Times New Roman" w:hAnsi="Times New Roman" w:eastAsia="宋体" w:cs="Times New Roman"/>
                      <w:b w:val="0"/>
                      <w:bCs w:val="0"/>
                      <w:color w:val="000000" w:themeColor="text1"/>
                      <w14:textFill>
                        <w14:solidFill>
                          <w14:schemeClr w14:val="tx1"/>
                        </w14:solidFill>
                      </w14:textFill>
                    </w:rPr>
                    <w:t>t/a</w:t>
                  </w:r>
                </w:p>
              </w:tc>
              <w:tc>
                <w:tcPr>
                  <w:tcW w:w="824" w:type="dxa"/>
                  <w:tcMar>
                    <w:left w:w="6" w:type="dxa"/>
                    <w:right w:w="6" w:type="dxa"/>
                  </w:tcMar>
                  <w:vAlign w:val="center"/>
                </w:tcPr>
                <w:p>
                  <w:pPr>
                    <w:pStyle w:val="47"/>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w:t>
                  </w:r>
                </w:p>
              </w:tc>
              <w:tc>
                <w:tcPr>
                  <w:tcW w:w="1379" w:type="dxa"/>
                  <w:vAlign w:val="center"/>
                </w:tcPr>
                <w:p>
                  <w:pPr>
                    <w:pStyle w:val="47"/>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w:t>
                  </w:r>
                </w:p>
              </w:tc>
              <w:tc>
                <w:tcPr>
                  <w:tcW w:w="1962" w:type="dxa"/>
                  <w:vMerge w:val="continue"/>
                  <w:tcMar>
                    <w:left w:w="6" w:type="dxa"/>
                    <w:right w:w="6" w:type="dxa"/>
                  </w:tcMar>
                  <w:vAlign w:val="center"/>
                </w:tcPr>
                <w:p>
                  <w:pPr>
                    <w:pStyle w:val="47"/>
                    <w:rPr>
                      <w:rFonts w:hint="default" w:ascii="Times New Roman" w:hAnsi="Times New Roman" w:eastAsia="宋体" w:cs="Times New Roman"/>
                      <w:b w:val="0"/>
                      <w:bCs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78" w:type="dxa"/>
                  <w:tcMar>
                    <w:left w:w="6" w:type="dxa"/>
                    <w:right w:w="6" w:type="dxa"/>
                  </w:tcMar>
                  <w:vAlign w:val="center"/>
                </w:tcPr>
                <w:p>
                  <w:pPr>
                    <w:pStyle w:val="47"/>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一般固废</w:t>
                  </w:r>
                </w:p>
              </w:tc>
              <w:tc>
                <w:tcPr>
                  <w:tcW w:w="1703" w:type="dxa"/>
                  <w:tcMar>
                    <w:left w:w="6" w:type="dxa"/>
                    <w:right w:w="6" w:type="dxa"/>
                  </w:tcMar>
                  <w:vAlign w:val="center"/>
                </w:tcPr>
                <w:p>
                  <w:pPr>
                    <w:pStyle w:val="47"/>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废包装材料</w:t>
                  </w:r>
                </w:p>
              </w:tc>
              <w:tc>
                <w:tcPr>
                  <w:tcW w:w="1186" w:type="dxa"/>
                  <w:tcMar>
                    <w:left w:w="6" w:type="dxa"/>
                    <w:right w:w="6" w:type="dxa"/>
                  </w:tcMar>
                  <w:vAlign w:val="center"/>
                </w:tcPr>
                <w:p>
                  <w:pPr>
                    <w:pStyle w:val="47"/>
                    <w:rPr>
                      <w:rFonts w:hint="default" w:ascii="Times New Roman" w:hAnsi="Times New Roman" w:eastAsia="宋体" w:cs="Times New Roman"/>
                      <w:b w:val="0"/>
                      <w:bCs w:val="0"/>
                      <w:color w:val="000000" w:themeColor="text1"/>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14:textFill>
                        <w14:solidFill>
                          <w14:schemeClr w14:val="tx1"/>
                        </w14:solidFill>
                      </w14:textFill>
                    </w:rPr>
                    <w:t>t/a</w:t>
                  </w:r>
                </w:p>
              </w:tc>
              <w:tc>
                <w:tcPr>
                  <w:tcW w:w="824" w:type="dxa"/>
                  <w:tcMar>
                    <w:left w:w="6" w:type="dxa"/>
                    <w:right w:w="6" w:type="dxa"/>
                  </w:tcMar>
                  <w:vAlign w:val="center"/>
                </w:tcPr>
                <w:p>
                  <w:pPr>
                    <w:pStyle w:val="47"/>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w:t>
                  </w:r>
                </w:p>
              </w:tc>
              <w:tc>
                <w:tcPr>
                  <w:tcW w:w="1379" w:type="dxa"/>
                  <w:vAlign w:val="center"/>
                </w:tcPr>
                <w:p>
                  <w:pPr>
                    <w:pStyle w:val="47"/>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w:t>
                  </w:r>
                </w:p>
              </w:tc>
              <w:tc>
                <w:tcPr>
                  <w:tcW w:w="1962" w:type="dxa"/>
                  <w:tcMar>
                    <w:left w:w="6" w:type="dxa"/>
                    <w:right w:w="6" w:type="dxa"/>
                  </w:tcMar>
                  <w:vAlign w:val="center"/>
                </w:tcPr>
                <w:p>
                  <w:pPr>
                    <w:pStyle w:val="47"/>
                    <w:rPr>
                      <w:rFonts w:hint="eastAsia"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废原料桶</w:t>
                  </w:r>
                  <w:r>
                    <w:rPr>
                      <w:rFonts w:hint="default" w:ascii="Times New Roman" w:hAnsi="Times New Roman" w:eastAsia="宋体" w:cs="Times New Roman"/>
                      <w:b w:val="0"/>
                      <w:bCs w:val="0"/>
                      <w:color w:val="000000" w:themeColor="text1"/>
                      <w:lang w:val="en-US" w:eastAsia="zh-CN"/>
                      <w14:textFill>
                        <w14:solidFill>
                          <w14:schemeClr w14:val="tx1"/>
                        </w14:solidFill>
                      </w14:textFill>
                    </w:rPr>
                    <w:t>与</w:t>
                  </w:r>
                  <w:r>
                    <w:rPr>
                      <w:rFonts w:hint="default" w:ascii="Times New Roman" w:hAnsi="Times New Roman" w:eastAsia="宋体" w:cs="Times New Roman"/>
                      <w:b w:val="0"/>
                      <w:bCs w:val="0"/>
                      <w:color w:val="000000" w:themeColor="text1"/>
                      <w:lang w:eastAsia="zh-CN"/>
                      <w14:textFill>
                        <w14:solidFill>
                          <w14:schemeClr w14:val="tx1"/>
                        </w14:solidFill>
                      </w14:textFill>
                    </w:rPr>
                    <w:t>原生产厂家签订回收协议</w:t>
                  </w:r>
                  <w:r>
                    <w:rPr>
                      <w:rFonts w:hint="eastAsia" w:ascii="Times New Roman" w:hAnsi="Times New Roman" w:eastAsia="宋体"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14:textFill>
                        <w14:solidFill>
                          <w14:schemeClr w14:val="tx1"/>
                        </w14:solidFill>
                      </w14:textFill>
                    </w:rPr>
                    <w:t>废编织袋定期外售废品回收站。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978" w:type="dxa"/>
                  <w:vMerge w:val="restart"/>
                  <w:tcMar>
                    <w:left w:w="6" w:type="dxa"/>
                    <w:right w:w="6" w:type="dxa"/>
                  </w:tcMar>
                  <w:vAlign w:val="center"/>
                </w:tcPr>
                <w:p>
                  <w:pPr>
                    <w:pStyle w:val="47"/>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危险固废</w:t>
                  </w:r>
                </w:p>
              </w:tc>
              <w:tc>
                <w:tcPr>
                  <w:tcW w:w="1703" w:type="dxa"/>
                  <w:tcMar>
                    <w:left w:w="6" w:type="dxa"/>
                    <w:right w:w="6" w:type="dxa"/>
                  </w:tcMar>
                  <w:vAlign w:val="center"/>
                </w:tcPr>
                <w:p>
                  <w:pPr>
                    <w:pStyle w:val="47"/>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废活性炭</w:t>
                  </w:r>
                </w:p>
              </w:tc>
              <w:tc>
                <w:tcPr>
                  <w:tcW w:w="1186" w:type="dxa"/>
                  <w:tcMar>
                    <w:left w:w="6" w:type="dxa"/>
                    <w:right w:w="6" w:type="dxa"/>
                  </w:tcMar>
                  <w:vAlign w:val="center"/>
                </w:tcPr>
                <w:p>
                  <w:pPr>
                    <w:pStyle w:val="47"/>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0.025</w:t>
                  </w:r>
                  <w:r>
                    <w:rPr>
                      <w:rFonts w:hint="default" w:ascii="Times New Roman" w:hAnsi="Times New Roman" w:eastAsia="宋体" w:cs="Times New Roman"/>
                      <w:b w:val="0"/>
                      <w:bCs w:val="0"/>
                      <w:color w:val="000000" w:themeColor="text1"/>
                      <w:lang w:val="en-US" w:eastAsia="zh-CN"/>
                      <w14:textFill>
                        <w14:solidFill>
                          <w14:schemeClr w14:val="tx1"/>
                        </w14:solidFill>
                      </w14:textFill>
                    </w:rPr>
                    <w:t>t/a</w:t>
                  </w:r>
                </w:p>
              </w:tc>
              <w:tc>
                <w:tcPr>
                  <w:tcW w:w="824" w:type="dxa"/>
                  <w:tcMar>
                    <w:left w:w="6" w:type="dxa"/>
                    <w:right w:w="6" w:type="dxa"/>
                  </w:tcMar>
                  <w:vAlign w:val="center"/>
                </w:tcPr>
                <w:p>
                  <w:pPr>
                    <w:pStyle w:val="47"/>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HW49</w:t>
                  </w:r>
                </w:p>
              </w:tc>
              <w:tc>
                <w:tcPr>
                  <w:tcW w:w="1379" w:type="dxa"/>
                  <w:vAlign w:val="center"/>
                </w:tcPr>
                <w:p>
                  <w:pPr>
                    <w:pStyle w:val="47"/>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900-039-49</w:t>
                  </w:r>
                </w:p>
              </w:tc>
              <w:tc>
                <w:tcPr>
                  <w:tcW w:w="1962" w:type="dxa"/>
                  <w:vMerge w:val="restart"/>
                  <w:tcMar>
                    <w:left w:w="6" w:type="dxa"/>
                    <w:right w:w="6" w:type="dxa"/>
                  </w:tcMar>
                  <w:vAlign w:val="center"/>
                </w:tcPr>
                <w:p>
                  <w:pPr>
                    <w:pStyle w:val="47"/>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78" w:type="dxa"/>
                  <w:vMerge w:val="continue"/>
                  <w:tcMar>
                    <w:left w:w="6" w:type="dxa"/>
                    <w:right w:w="6" w:type="dxa"/>
                  </w:tcMar>
                  <w:vAlign w:val="center"/>
                </w:tcPr>
                <w:p>
                  <w:pPr>
                    <w:pStyle w:val="47"/>
                    <w:rPr>
                      <w:rFonts w:hint="default" w:ascii="Times New Roman" w:hAnsi="Times New Roman" w:eastAsia="宋体" w:cs="Times New Roman"/>
                      <w:b w:val="0"/>
                      <w:bCs w:val="0"/>
                      <w:color w:val="000000" w:themeColor="text1"/>
                      <w14:textFill>
                        <w14:solidFill>
                          <w14:schemeClr w14:val="tx1"/>
                        </w14:solidFill>
                      </w14:textFill>
                    </w:rPr>
                  </w:pPr>
                </w:p>
              </w:tc>
              <w:tc>
                <w:tcPr>
                  <w:tcW w:w="1703" w:type="dxa"/>
                  <w:tcMar>
                    <w:left w:w="6" w:type="dxa"/>
                    <w:right w:w="6" w:type="dxa"/>
                  </w:tcMar>
                  <w:vAlign w:val="center"/>
                </w:tcPr>
                <w:p>
                  <w:pPr>
                    <w:pStyle w:val="47"/>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废机油、废机油桶</w:t>
                  </w:r>
                </w:p>
              </w:tc>
              <w:tc>
                <w:tcPr>
                  <w:tcW w:w="1186" w:type="dxa"/>
                  <w:tcMar>
                    <w:left w:w="6" w:type="dxa"/>
                    <w:right w:w="6" w:type="dxa"/>
                  </w:tcMar>
                  <w:vAlign w:val="center"/>
                </w:tcPr>
                <w:p>
                  <w:pPr>
                    <w:pStyle w:val="47"/>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lang w:val="en-US" w:eastAsia="zh-CN"/>
                      <w14:textFill>
                        <w14:solidFill>
                          <w14:schemeClr w14:val="tx1"/>
                        </w14:solidFill>
                      </w14:textFill>
                    </w:rPr>
                    <w:t>t/a</w:t>
                  </w:r>
                </w:p>
              </w:tc>
              <w:tc>
                <w:tcPr>
                  <w:tcW w:w="824" w:type="dxa"/>
                  <w:tcMar>
                    <w:left w:w="6" w:type="dxa"/>
                    <w:right w:w="6" w:type="dxa"/>
                  </w:tcMar>
                  <w:vAlign w:val="center"/>
                </w:tcPr>
                <w:p>
                  <w:pPr>
                    <w:pStyle w:val="47"/>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HW08</w:t>
                  </w:r>
                </w:p>
              </w:tc>
              <w:tc>
                <w:tcPr>
                  <w:tcW w:w="1379" w:type="dxa"/>
                  <w:vAlign w:val="center"/>
                </w:tcPr>
                <w:p>
                  <w:pPr>
                    <w:pStyle w:val="47"/>
                    <w:spacing w:line="360" w:lineRule="auto"/>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900-249-08</w:t>
                  </w:r>
                </w:p>
              </w:tc>
              <w:tc>
                <w:tcPr>
                  <w:tcW w:w="1962" w:type="dxa"/>
                  <w:vMerge w:val="continue"/>
                  <w:tcMar>
                    <w:left w:w="6" w:type="dxa"/>
                    <w:right w:w="6" w:type="dxa"/>
                  </w:tcMar>
                  <w:vAlign w:val="center"/>
                </w:tcPr>
                <w:p>
                  <w:pPr>
                    <w:rPr>
                      <w:rFonts w:hint="default" w:ascii="Times New Roman" w:hAnsi="Times New Roman" w:eastAsia="宋体" w:cs="Times New Roman"/>
                      <w:color w:val="000000" w:themeColor="text1"/>
                      <w:szCs w:val="21"/>
                      <w14:textFill>
                        <w14:solidFill>
                          <w14:schemeClr w14:val="tx1"/>
                        </w14:solidFill>
                      </w14:textFill>
                    </w:rPr>
                  </w:pPr>
                </w:p>
              </w:tc>
            </w:tr>
          </w:tbl>
          <w:p>
            <w:pPr>
              <w:snapToGrid w:val="0"/>
              <w:spacing w:line="360" w:lineRule="auto"/>
              <w:ind w:firstLine="472" w:firstLineChars="196"/>
              <w:outlineLvl w:val="3"/>
              <w:rPr>
                <w:rFonts w:hint="default" w:ascii="Times New Roman" w:hAnsi="Times New Roman" w:eastAsia="宋体" w:cs="Times New Roman"/>
                <w:b/>
                <w:bCs/>
                <w:color w:val="000000" w:themeColor="text1"/>
                <w:sz w:val="24"/>
                <w14:textFill>
                  <w14:solidFill>
                    <w14:schemeClr w14:val="tx1"/>
                  </w14:solidFill>
                </w14:textFill>
              </w:rPr>
            </w:pPr>
            <w:r>
              <w:rPr>
                <w:rFonts w:hint="eastAsia" w:cs="Times New Roman"/>
                <w:b/>
                <w:color w:val="000000" w:themeColor="text1"/>
                <w:sz w:val="24"/>
                <w:lang w:val="en-US" w:eastAsia="zh-CN"/>
                <w14:textFill>
                  <w14:solidFill>
                    <w14:schemeClr w14:val="tx1"/>
                  </w14:solidFill>
                </w14:textFill>
              </w:rPr>
              <w:t>（10）</w:t>
            </w:r>
            <w:r>
              <w:rPr>
                <w:rFonts w:hint="default" w:ascii="Times New Roman" w:hAnsi="Times New Roman" w:eastAsia="宋体" w:cs="Times New Roman"/>
                <w:b/>
                <w:color w:val="000000" w:themeColor="text1"/>
                <w:sz w:val="24"/>
                <w14:textFill>
                  <w14:solidFill>
                    <w14:schemeClr w14:val="tx1"/>
                  </w14:solidFill>
                </w14:textFill>
              </w:rPr>
              <w:t>一般固废环境影响分析</w:t>
            </w:r>
            <w:r>
              <w:rPr>
                <w:rFonts w:hint="default" w:ascii="Times New Roman" w:hAnsi="Times New Roman" w:eastAsia="宋体" w:cs="Times New Roman"/>
                <w:b/>
                <w:bCs/>
                <w:color w:val="000000" w:themeColor="text1"/>
                <w:sz w:val="24"/>
                <w14:textFill>
                  <w14:solidFill>
                    <w14:schemeClr w14:val="tx1"/>
                  </w14:solidFill>
                </w14:textFill>
              </w:rPr>
              <w:t>和保护措施</w:t>
            </w:r>
          </w:p>
          <w:p>
            <w:pPr>
              <w:widowControl/>
              <w:spacing w:line="360" w:lineRule="auto"/>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一般工业固废临时堆放场根据</w:t>
            </w:r>
            <w:r>
              <w:rPr>
                <w:rFonts w:hint="default" w:ascii="Times New Roman" w:hAnsi="Times New Roman" w:eastAsia="宋体" w:cs="Times New Roman"/>
                <w:color w:val="000000" w:themeColor="text1"/>
                <w:sz w:val="24"/>
                <w14:textFill>
                  <w14:solidFill>
                    <w14:schemeClr w14:val="tx1"/>
                  </w14:solidFill>
                </w14:textFill>
              </w:rPr>
              <w:t>《一般工业固体废物贮存和填埋污染控制标准》（GB18599-2020）</w:t>
            </w:r>
            <w:r>
              <w:rPr>
                <w:rFonts w:hint="default" w:ascii="Times New Roman" w:hAnsi="Times New Roman" w:eastAsia="宋体" w:cs="Times New Roman"/>
                <w:color w:val="000000" w:themeColor="text1"/>
                <w:kern w:val="0"/>
                <w:sz w:val="24"/>
                <w14:textFill>
                  <w14:solidFill>
                    <w14:schemeClr w14:val="tx1"/>
                  </w14:solidFill>
                </w14:textFill>
              </w:rPr>
              <w:t>中的要求规范化建设</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固废临时贮存场满足如下要求：</w:t>
            </w:r>
          </w:p>
          <w:p>
            <w:pPr>
              <w:autoSpaceDE w:val="0"/>
              <w:autoSpaceDN w:val="0"/>
              <w:adjustRightInd w:val="0"/>
              <w:spacing w:line="360" w:lineRule="auto"/>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①临时堆放场应选在防渗性能好的地基上天然基础层地表距地下水位的距离不得小于1.5m。临时堆放场四周应建有围墙</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防止固废流失以及造成粉尘污染。</w:t>
            </w:r>
          </w:p>
          <w:p>
            <w:pPr>
              <w:autoSpaceDE w:val="0"/>
              <w:autoSpaceDN w:val="0"/>
              <w:adjustRightInd w:val="0"/>
              <w:spacing w:line="360" w:lineRule="auto"/>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②临时堆放场应建有防雨淋、防渗透措施。本项目储存在钢结构仓库内</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地面进行硬化</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可以满足防雨淋、防渗透要求。</w:t>
            </w:r>
          </w:p>
          <w:p>
            <w:pPr>
              <w:autoSpaceDE w:val="0"/>
              <w:autoSpaceDN w:val="0"/>
              <w:adjustRightInd w:val="0"/>
              <w:spacing w:line="360" w:lineRule="auto"/>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③为了便于管理</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临时堆放场应《环境保护图形标识—固体废物贮存（处置）场》（按GB15562.2-1995）设置环境保护图形标志。</w:t>
            </w:r>
          </w:p>
          <w:p>
            <w:pPr>
              <w:autoSpaceDE w:val="0"/>
              <w:autoSpaceDN w:val="0"/>
              <w:adjustRightInd w:val="0"/>
              <w:spacing w:line="360" w:lineRule="auto"/>
              <w:ind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企业在生产过程中</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应加强一般固废库的管理</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定点收集堆存</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并及时处理</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不会对环境造成不利影响。</w:t>
            </w:r>
          </w:p>
          <w:p>
            <w:pPr>
              <w:ind w:firstLine="470" w:firstLineChars="196"/>
              <w:outlineLvl w:val="3"/>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危险废物</w:t>
            </w:r>
            <w:r>
              <w:rPr>
                <w:rFonts w:hint="default" w:ascii="Times New Roman" w:hAnsi="Times New Roman" w:eastAsia="宋体" w:cs="Times New Roman"/>
                <w:bCs/>
                <w:color w:val="000000" w:themeColor="text1"/>
                <w:sz w:val="24"/>
                <w14:textFill>
                  <w14:solidFill>
                    <w14:schemeClr w14:val="tx1"/>
                  </w14:solidFill>
                </w14:textFill>
              </w:rPr>
              <w:t>环境影响分析和保护措施</w:t>
            </w:r>
          </w:p>
          <w:p>
            <w:pPr>
              <w:snapToGrid w:val="0"/>
              <w:spacing w:before="100" w:beforeAutospacing="1" w:line="360" w:lineRule="auto"/>
              <w:ind w:firstLine="472" w:firstLineChars="196"/>
              <w:outlineLvl w:val="3"/>
              <w:rPr>
                <w:rFonts w:hint="default" w:ascii="Times New Roman" w:hAnsi="Times New Roman" w:eastAsia="宋体" w:cs="Times New Roman"/>
                <w:b/>
                <w:bCs/>
                <w:color w:val="000000" w:themeColor="text1"/>
                <w:sz w:val="24"/>
                <w14:textFill>
                  <w14:solidFill>
                    <w14:schemeClr w14:val="tx1"/>
                  </w14:solidFill>
                </w14:textFill>
              </w:rPr>
            </w:pPr>
            <w:r>
              <w:rPr>
                <w:rFonts w:hint="eastAsia" w:cs="Times New Roman"/>
                <w:b/>
                <w:color w:val="000000" w:themeColor="text1"/>
                <w:sz w:val="24"/>
                <w:lang w:val="en-US" w:eastAsia="zh-CN"/>
                <w14:textFill>
                  <w14:solidFill>
                    <w14:schemeClr w14:val="tx1"/>
                  </w14:solidFill>
                </w14:textFill>
              </w:rPr>
              <w:t>（11）</w:t>
            </w:r>
            <w:r>
              <w:rPr>
                <w:rFonts w:hint="default" w:ascii="Times New Roman" w:hAnsi="Times New Roman" w:eastAsia="宋体" w:cs="Times New Roman"/>
                <w:b/>
                <w:color w:val="000000" w:themeColor="text1"/>
                <w:sz w:val="24"/>
                <w14:textFill>
                  <w14:solidFill>
                    <w14:schemeClr w14:val="tx1"/>
                  </w14:solidFill>
                </w14:textFill>
              </w:rPr>
              <w:t>危险固废环境影响分析</w:t>
            </w:r>
            <w:r>
              <w:rPr>
                <w:rFonts w:hint="default" w:ascii="Times New Roman" w:hAnsi="Times New Roman" w:eastAsia="宋体" w:cs="Times New Roman"/>
                <w:b/>
                <w:bCs/>
                <w:color w:val="000000" w:themeColor="text1"/>
                <w:sz w:val="24"/>
                <w14:textFill>
                  <w14:solidFill>
                    <w14:schemeClr w14:val="tx1"/>
                  </w14:solidFill>
                </w14:textFill>
              </w:rPr>
              <w:t>和保护措施</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1）保护措施</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企业应严格按照《危险废物储存污染控制标准》（GB18597-2001）建设危险废物暂存间。本项目危险废物在厂内贮存时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执行危险固废执行《危险废物贮存污染控制标准》（GB18597-2001）以及环保部2013年第36号修改清单中相关要求进行暂存和管理；按照国家环保部第5号令《危险废物转移联单管理办法》进行转移</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具体措施如下：</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1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①</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危废库应建有堵截泄漏的裙脚</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地面与裙脚要用坚固、防渗材料建造</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应有隔离设施和防风、防晒、防雨设施；</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2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②</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贮存设施基础必须做防渗处理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防渗层为2mm厚高密度聚乙烯</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或至少2mm厚的其它人工材料。</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3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③</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盛装危险废物的容器应根据危险废物的不同特性而设计</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采用不易破损、变形、老化且能有效地防止渗漏、扩散的装置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危险废物包装执行《危险货物运输包装通用技术条件》（GB12463-2009）、《危险货物运输包装标志》（GB190-2009）；</w:t>
            </w:r>
          </w:p>
          <w:p>
            <w:pPr>
              <w:spacing w:line="360" w:lineRule="auto"/>
              <w:ind w:firstLine="480" w:firstLineChars="200"/>
              <w:jc w:val="center"/>
              <w:rPr>
                <w:rStyle w:val="34"/>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4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④</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存放危废为液体的仓库内必须有泄漏液体收集装置（例如托盘、导流沟、收集池</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导流沟、收集池四周壁及底部同样要求防腐防渗）；</w:t>
            </w:r>
            <w:r>
              <w:rPr>
                <w:rStyle w:val="34"/>
                <w:rFonts w:hint="default" w:ascii="Times New Roman" w:hAnsi="Times New Roman" w:eastAsia="宋体" w:cs="Times New Roman"/>
                <w:color w:val="000000" w:themeColor="text1"/>
                <w:kern w:val="0"/>
                <w:sz w:val="24"/>
                <w14:textFill>
                  <w14:solidFill>
                    <w14:schemeClr w14:val="tx1"/>
                  </w14:solidFill>
                </w14:textFill>
              </w:rPr>
              <w:t>由于项目危废种</w:t>
            </w:r>
          </w:p>
          <w:p>
            <w:pPr>
              <w:spacing w:line="360" w:lineRule="auto"/>
              <w:rPr>
                <w:rStyle w:val="34"/>
                <w:rFonts w:hint="default" w:ascii="Times New Roman" w:hAnsi="Times New Roman" w:eastAsia="宋体" w:cs="Times New Roman"/>
                <w:color w:val="000000" w:themeColor="text1"/>
                <w:kern w:val="0"/>
                <w:sz w:val="24"/>
                <w14:textFill>
                  <w14:solidFill>
                    <w14:schemeClr w14:val="tx1"/>
                  </w14:solidFill>
                </w14:textFill>
              </w:rPr>
            </w:pPr>
            <w:r>
              <w:rPr>
                <w:rStyle w:val="34"/>
                <w:rFonts w:hint="default" w:ascii="Times New Roman" w:hAnsi="Times New Roman" w:eastAsia="宋体" w:cs="Times New Roman"/>
                <w:color w:val="000000" w:themeColor="text1"/>
                <w:kern w:val="0"/>
                <w:sz w:val="24"/>
                <w14:textFill>
                  <w14:solidFill>
                    <w14:schemeClr w14:val="tx1"/>
                  </w14:solidFill>
                </w14:textFill>
              </w:rPr>
              <w:t>类较多</w:t>
            </w:r>
            <w:r>
              <w:rPr>
                <w:rStyle w:val="34"/>
                <w:rFonts w:hint="eastAsia" w:cs="Times New Roman"/>
                <w:color w:val="000000" w:themeColor="text1"/>
                <w:kern w:val="0"/>
                <w:sz w:val="24"/>
                <w:lang w:eastAsia="zh-CN"/>
                <w14:textFill>
                  <w14:solidFill>
                    <w14:schemeClr w14:val="tx1"/>
                  </w14:solidFill>
                </w14:textFill>
              </w:rPr>
              <w:t>，</w:t>
            </w:r>
            <w:r>
              <w:rPr>
                <w:rStyle w:val="34"/>
                <w:rFonts w:hint="default" w:ascii="Times New Roman" w:hAnsi="Times New Roman" w:eastAsia="宋体" w:cs="Times New Roman"/>
                <w:color w:val="000000" w:themeColor="text1"/>
                <w:kern w:val="0"/>
                <w:sz w:val="24"/>
                <w14:textFill>
                  <w14:solidFill>
                    <w14:schemeClr w14:val="tx1"/>
                  </w14:solidFill>
                </w14:textFill>
              </w:rPr>
              <w:t>需要在危废间内设置不同区域做围堰。</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5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⑤</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装载液体、半固体危险废物的容器内须留足够空间</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容器顶部与液体表面之间保留100毫米以上的空间。用以存放装载液体、半固体危险废物容器的地方</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必须有耐腐蚀的硬化地面</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且表面无裂隙。</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6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⑥</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危险废物要注重“四防”</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即防风、防雨、防晒、防渗漏</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危废库建设时应采用混凝土、砖或经防腐处理的钢材等作为建材材料建成的相对封闭式场所</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并设通风口；外部配套建设雨水导排系统</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防止雨水进入危废暂存库内。</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7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⑦</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危废仓库门上要张贴包含所有危废的标识、标牌</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仓库内对应墙上有标志标识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无法装入常用容器的危险废物可用防漏胶袋等盛装</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包装桶、袋上有标签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危废仓库管理责任制要上墙。</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8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⑧</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危废仓库需上锁防盗</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制定严格的暂存保管措施</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专人负责。</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9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⑨</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危险废物定期交由有资质的处置单位接收处理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转运过程严格按照有关规定</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实行联单制度。</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10 \* GB3 \* MERGEFORMAT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⑩</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不相容的危险废物必须分开存放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并设有隔离间隔断。（贮存危险废物</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必须按照危险废物特性分类进行。禁止混合收集、贮存、运输、处置性质不相容而未经安全性处置的危险废物）</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采取上述措施后</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能够确保本项目危险废物在厂内贮存时得到有效的处置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对环境影响较小。</w:t>
            </w:r>
          </w:p>
          <w:p>
            <w:pPr>
              <w:spacing w:line="360" w:lineRule="auto"/>
              <w:ind w:firstLine="48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2）危险废物运输及转移过程环境影响分析</w:t>
            </w:r>
          </w:p>
          <w:p>
            <w:pPr>
              <w:spacing w:line="360" w:lineRule="auto"/>
              <w:ind w:firstLine="48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危险废物外运时严格按照国家环境保护总局令第5 号文件《危险废物转移联单管理办法》的相关规定报批危险废物转移计划</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转移危险废物时按照规定填报危险废物转移联单</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并向危险废物移出地和接受地的县级以上地方人民政府环境保护行政主管部门报告。运输危险废物的人员接受专业培训经考核合格后从事运输危险废物的工作；运输危险废物的资质单位应当制定在发生意外事故时采取的应急措施和防范措施方可运输；运输时</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发生突发性事故必须立即采取措施消除或者减轻对环境的污染危害</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及时通报给附近的单位和居民</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并向事故发生地县级以上人民政府环境保护行政主管部门和有关部门报告</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接受调查处理。运输过程中做到密闭</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沿途不抛洒</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应有明显的标志</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并有防雨、防晒等设施。运输路线按照主管部门制定路线进行运输</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同时应配备全球卫星定位和事故报警装置。</w:t>
            </w:r>
          </w:p>
          <w:p>
            <w:pPr>
              <w:spacing w:line="360" w:lineRule="auto"/>
              <w:ind w:firstLine="48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综上所述</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项目运输过程做好相关工作对外环境的影响是可以控制的。</w:t>
            </w:r>
          </w:p>
          <w:p>
            <w:pPr>
              <w:spacing w:line="360" w:lineRule="auto"/>
              <w:ind w:firstLine="48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环评要求危险废物应及时转运</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废物的转运过程中应封闭</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以防散落</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转运车辆应加盖蓬布</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以防散入路面。危险废物的内部转运应综合考虑厂区的实际情况确定转运路线</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尽量避开生活区和办公区；危险废物内部转运应采用专用的工具。</w:t>
            </w:r>
          </w:p>
          <w:p>
            <w:pPr>
              <w:pStyle w:val="50"/>
              <w:ind w:firstLine="482"/>
              <w:rPr>
                <w:rFonts w:hint="default" w:ascii="Times New Roman" w:hAnsi="Times New Roman" w:eastAsia="宋体" w:cs="Times New Roman"/>
                <w:b/>
                <w:bCs/>
                <w:color w:val="000000" w:themeColor="text1"/>
                <w14:textFill>
                  <w14:solidFill>
                    <w14:schemeClr w14:val="tx1"/>
                  </w14:solidFill>
                </w14:textFill>
              </w:rPr>
            </w:pPr>
            <w:r>
              <w:rPr>
                <w:rFonts w:hint="eastAsia" w:cs="Times New Roman"/>
                <w:b/>
                <w:bCs/>
                <w:color w:val="000000" w:themeColor="text1"/>
                <w:lang w:eastAsia="zh-CN"/>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12</w:t>
            </w:r>
            <w:r>
              <w:rPr>
                <w:rFonts w:hint="eastAsia"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14:textFill>
                  <w14:solidFill>
                    <w14:schemeClr w14:val="tx1"/>
                  </w14:solidFill>
                </w14:textFill>
              </w:rPr>
              <w:t>措施设置的可行性分析</w:t>
            </w:r>
          </w:p>
          <w:p>
            <w:pPr>
              <w:pStyle w:val="50"/>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本项目新建危废暂存间</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建筑面积5m</w:t>
            </w:r>
            <w:r>
              <w:rPr>
                <w:rFonts w:hint="default" w:ascii="Times New Roman" w:hAnsi="Times New Roman" w:eastAsia="宋体" w:cs="Times New Roman"/>
                <w:color w:val="000000" w:themeColor="text1"/>
                <w:vertAlign w:val="super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。危险废物转运时间不超过6个月</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危险废物最大贮存量为1t</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在危废暂存间容量范围内</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项目设置1个占地面积5m</w:t>
            </w:r>
            <w:r>
              <w:rPr>
                <w:rFonts w:hint="default" w:ascii="Times New Roman" w:hAnsi="Times New Roman" w:eastAsia="宋体" w:cs="Times New Roman"/>
                <w:color w:val="000000" w:themeColor="text1"/>
                <w:vertAlign w:val="super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的危废暂存间。因此本项目危废暂存间容积能够满足全厂危废贮存需求。</w:t>
            </w:r>
          </w:p>
          <w:p>
            <w:pPr>
              <w:pStyle w:val="50"/>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本项目涉及危险废物均置于专用桶或袋内</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暂存于危废暂存间内</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地面为混凝土防渗地面。废物包装容器为固态</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桶正常状态为封闭状态</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不会挥发废气</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对周围大气环境影响较小；且项目产生的危废存放于危废暂存间中危废暂存桶/袋内</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不会发生泄露或流动</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因此对周围地表水环境影响较小；项目危废存放于危废暂存间内</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危废暂存间铺设防渗材料</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危废不会进入地下水和土壤中</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不会对项目周围地下水和土壤产生影响。</w:t>
            </w:r>
          </w:p>
          <w:p>
            <w:pPr>
              <w:pStyle w:val="50"/>
              <w:ind w:firstLine="482"/>
              <w:rPr>
                <w:rFonts w:hint="default" w:ascii="Times New Roman" w:hAnsi="Times New Roman" w:eastAsia="宋体"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（13）</w:t>
            </w:r>
            <w:r>
              <w:rPr>
                <w:rFonts w:hint="default" w:ascii="Times New Roman" w:hAnsi="Times New Roman" w:eastAsia="宋体" w:cs="Times New Roman"/>
                <w:b/>
                <w:bCs/>
                <w:color w:val="000000" w:themeColor="text1"/>
                <w14:textFill>
                  <w14:solidFill>
                    <w14:schemeClr w14:val="tx1"/>
                  </w14:solidFill>
                </w14:textFill>
              </w:rPr>
              <w:t>总结</w:t>
            </w:r>
          </w:p>
          <w:p>
            <w:pPr>
              <w:pStyle w:val="50"/>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采取上述固废处理处置措施后</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项目产生的固体废物均得到了综合利用或合理处置</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处置率为100%</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满足环保要求</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对周围环境影响较小。</w:t>
            </w:r>
          </w:p>
          <w:p>
            <w:pPr>
              <w:pStyle w:val="5"/>
              <w:ind w:firstLine="241" w:firstLineChars="1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二、运营期环境风险</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bookmarkStart w:id="31" w:name="_Toc16504"/>
            <w:bookmarkStart w:id="32" w:name="_Toc29796"/>
            <w:r>
              <w:rPr>
                <w:rFonts w:hint="default" w:ascii="Times New Roman" w:hAnsi="Times New Roman" w:eastAsia="宋体" w:cs="Times New Roman"/>
                <w:color w:val="000000" w:themeColor="text1"/>
                <w:sz w:val="24"/>
                <w14:textFill>
                  <w14:solidFill>
                    <w14:schemeClr w14:val="tx1"/>
                  </w14:solidFill>
                </w14:textFill>
              </w:rPr>
              <w:t>（1）风险调查</w:t>
            </w:r>
            <w:bookmarkEnd w:id="31"/>
            <w:bookmarkEnd w:id="32"/>
          </w:p>
          <w:p>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根据《建设项目环境风险评价技术导则》（HJ 169-2018）</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确定风险识别的原则如下：</w:t>
            </w:r>
          </w:p>
          <w:p>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①可能发生的突发性事件或事故（一般不包括人为破坏及自然灾害）</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引起有毒有害和易燃易爆等物质泄漏对环境造成的影响。</w:t>
            </w:r>
          </w:p>
          <w:p>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②可能发生的突发性事件或事故（一般不包括人为破坏及自然灾害）</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引起有毒有害和易燃易爆等物质泄漏对厂（场）界外环境的影响。</w:t>
            </w:r>
          </w:p>
          <w:p>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③选择生产、加工、运输、使用或储存中涉及的1~3个主要化学品以及部分生产产品</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进行物质危险性判定。</w:t>
            </w:r>
          </w:p>
          <w:p>
            <w:pPr>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本项目风险物质为废机油参照《建设项目环境风险评价技术导则》（HJ 169-2018）附录B表B.1突发环境事件风险物质及临界量中：序号381 油类物质（矿物质油</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如石油、汽油、柴油等；生物柴油等）临界量2500t</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属于可燃物质。各类危险物质理化性质见下表4-</w:t>
            </w:r>
            <w:r>
              <w:rPr>
                <w:rFonts w:hint="eastAsia" w:cs="Times New Roman"/>
                <w:color w:val="000000" w:themeColor="text1"/>
                <w:sz w:val="24"/>
                <w:lang w:val="en-US" w:eastAsia="zh-CN"/>
                <w14:textFill>
                  <w14:solidFill>
                    <w14:schemeClr w14:val="tx1"/>
                  </w14:solidFill>
                </w14:textFill>
              </w:rPr>
              <w:t>19</w:t>
            </w:r>
            <w:r>
              <w:rPr>
                <w:rFonts w:hint="default" w:ascii="Times New Roman" w:hAnsi="Times New Roman" w:eastAsia="宋体" w:cs="Times New Roman"/>
                <w:color w:val="000000" w:themeColor="text1"/>
                <w:sz w:val="24"/>
                <w14:textFill>
                  <w14:solidFill>
                    <w14:schemeClr w14:val="tx1"/>
                  </w14:solidFill>
                </w14:textFill>
              </w:rPr>
              <w:t>。</w:t>
            </w:r>
          </w:p>
          <w:p>
            <w:pPr>
              <w:pStyle w:val="2"/>
              <w:jc w:val="center"/>
              <w:rPr>
                <w:rFonts w:hint="default" w:ascii="Times New Roman" w:hAnsi="Times New Roman" w:eastAsia="宋体" w:cs="Times New Roman"/>
                <w:b/>
                <w:bCs/>
                <w:color w:val="000000" w:themeColor="text1"/>
                <w:sz w:val="21"/>
                <w14:textFill>
                  <w14:solidFill>
                    <w14:schemeClr w14:val="tx1"/>
                  </w14:solidFill>
                </w14:textFill>
              </w:rPr>
            </w:pPr>
            <w:r>
              <w:rPr>
                <w:rFonts w:hint="default" w:ascii="Times New Roman" w:hAnsi="Times New Roman" w:eastAsia="宋体" w:cs="Times New Roman"/>
                <w:b/>
                <w:bCs/>
                <w:color w:val="000000" w:themeColor="text1"/>
                <w:sz w:val="21"/>
                <w14:textFill>
                  <w14:solidFill>
                    <w14:schemeClr w14:val="tx1"/>
                  </w14:solidFill>
                </w14:textFill>
              </w:rPr>
              <w:t>表4-</w:t>
            </w:r>
            <w:r>
              <w:rPr>
                <w:rFonts w:hint="eastAsia" w:ascii="Times New Roman" w:hAnsi="Times New Roman" w:cs="Times New Roman"/>
                <w:b/>
                <w:bCs/>
                <w:color w:val="000000" w:themeColor="text1"/>
                <w:sz w:val="21"/>
                <w:lang w:val="en-US" w:eastAsia="zh-CN"/>
                <w14:textFill>
                  <w14:solidFill>
                    <w14:schemeClr w14:val="tx1"/>
                  </w14:solidFill>
                </w14:textFill>
              </w:rPr>
              <w:t>19</w:t>
            </w:r>
            <w:r>
              <w:rPr>
                <w:rFonts w:hint="default" w:ascii="Times New Roman" w:hAnsi="Times New Roman" w:eastAsia="宋体" w:cs="Times New Roman"/>
                <w:b/>
                <w:bCs/>
                <w:color w:val="000000" w:themeColor="text1"/>
                <w:sz w:val="21"/>
                <w14:textFill>
                  <w14:solidFill>
                    <w14:schemeClr w14:val="tx1"/>
                  </w14:solidFill>
                </w14:textFill>
              </w:rPr>
              <w:t>废机油理化性质</w:t>
            </w:r>
          </w:p>
          <w:tbl>
            <w:tblPr>
              <w:tblStyle w:val="27"/>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92"/>
              <w:gridCol w:w="739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6" w:hRule="atLeast"/>
                <w:jc w:val="center"/>
              </w:trPr>
              <w:tc>
                <w:tcPr>
                  <w:tcW w:w="591" w:type="pct"/>
                  <w:vAlign w:val="center"/>
                </w:tcPr>
                <w:p>
                  <w:pPr>
                    <w:pStyle w:val="49"/>
                    <w:spacing w:before="24" w:after="24"/>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名称</w:t>
                  </w:r>
                </w:p>
              </w:tc>
              <w:tc>
                <w:tcPr>
                  <w:tcW w:w="4408" w:type="pct"/>
                  <w:vAlign w:val="center"/>
                </w:tcPr>
                <w:p>
                  <w:pPr>
                    <w:pStyle w:val="49"/>
                    <w:spacing w:before="24" w:after="2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矿物油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9" w:hRule="atLeast"/>
                <w:jc w:val="center"/>
              </w:trPr>
              <w:tc>
                <w:tcPr>
                  <w:tcW w:w="591" w:type="pct"/>
                  <w:vAlign w:val="center"/>
                </w:tcPr>
                <w:p>
                  <w:pPr>
                    <w:pStyle w:val="49"/>
                    <w:spacing w:before="24" w:after="24"/>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成分</w:t>
                  </w:r>
                </w:p>
              </w:tc>
              <w:tc>
                <w:tcPr>
                  <w:tcW w:w="4408" w:type="pct"/>
                  <w:vAlign w:val="center"/>
                </w:tcPr>
                <w:p>
                  <w:pPr>
                    <w:pStyle w:val="49"/>
                    <w:spacing w:before="24" w:after="24"/>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液体石蜡性状为无色透明油状液体</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在日光下观察不显荧光。室温下无臭无味</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加热后略有石油臭。密度比重0.86-0.905（25°）不溶于水、甘油、冷乙醇</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溶于苯、乙醚、氯仿、二硫化碳、热乙醇。与除蓖麻油外大多数脂肪油能任意混合</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樟脑、薄荷脑及大多数天然或人造麝香均能被溶解。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64" w:hRule="atLeast"/>
                <w:jc w:val="center"/>
              </w:trPr>
              <w:tc>
                <w:tcPr>
                  <w:tcW w:w="591" w:type="pct"/>
                  <w:vAlign w:val="center"/>
                </w:tcPr>
                <w:p>
                  <w:pPr>
                    <w:pStyle w:val="49"/>
                    <w:spacing w:before="24" w:after="24"/>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性质</w:t>
                  </w:r>
                </w:p>
              </w:tc>
              <w:tc>
                <w:tcPr>
                  <w:tcW w:w="4408" w:type="pct"/>
                  <w:vAlign w:val="center"/>
                </w:tcPr>
                <w:p>
                  <w:pPr>
                    <w:pStyle w:val="49"/>
                    <w:spacing w:before="24" w:after="24"/>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 xml:space="preserve"> 无色半透明油状液体</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无或几乎无荧光</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冷时无臭、无味</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加热时略有石油样气味</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不溶于水、乙醇</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溶于挥发油</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混溶于多数非挥发性油</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对光、热、酸等稳定</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但长时间接触光和热会慢慢氧化。本品允许含有食用级抗氧化剂。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64" w:hRule="atLeast"/>
                <w:jc w:val="center"/>
              </w:trPr>
              <w:tc>
                <w:tcPr>
                  <w:tcW w:w="591" w:type="pct"/>
                  <w:vAlign w:val="center"/>
                </w:tcPr>
                <w:p>
                  <w:pPr>
                    <w:pStyle w:val="49"/>
                    <w:spacing w:before="24" w:after="24"/>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危害</w:t>
                  </w:r>
                </w:p>
              </w:tc>
              <w:tc>
                <w:tcPr>
                  <w:tcW w:w="4408" w:type="pct"/>
                  <w:vAlign w:val="center"/>
                </w:tcPr>
                <w:p>
                  <w:pPr>
                    <w:pStyle w:val="49"/>
                    <w:spacing w:before="24" w:after="24"/>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矿物油在人体肠道不被吸收或消化</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同时能妨碍水分的吸收医学上将其作为润滑性泻药使用</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治疗老年人或儿童的便秘。大量摄入可至变软、腹泻；长期摄入可导致消化道障碍</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影响脂溶性维生素A、D、K和钙、磷等的吸收。对人体极其有害</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它会将人体的脂溶性维生素全部带出</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使它们无法被人体吸收</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食用矿物油会导致人体维生素A、D、E、K的严重缺乏</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产生一系列的病变。</w:t>
                  </w:r>
                </w:p>
              </w:tc>
            </w:tr>
          </w:tbl>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（2）环境风险潜势初判</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根据《建设项目环境风险评价技术导则》（HJ/T169-2018）</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本项目需按下式计算物质总量与其临界量比值Q</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在不同厂区的同一种物质</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按其在厂界内的最大存在量计算。</w:t>
            </w:r>
          </w:p>
          <w:p>
            <w:pPr>
              <w:spacing w:line="360" w:lineRule="auto"/>
              <w:ind w:firstLine="480" w:firstLineChars="20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Q=q1/Q1+q2/Q2+...q3/Q3</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式中：q1</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q2</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qn——每种危险物质的最大存在总量</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t；</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Q1</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Q2</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Qn——每种危险物质的临界量</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t；</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当Q＜1时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该项目环境风险潜势为Ⅰ；</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当Q≥1时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将Q值划分为：（1）1≤Q＜10；（2）10≤Q＜100；（3）Q≥100。</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本项目涉及风险物质为废机油查阅《建设项目环境风险评价技术导则》（HJ169-2018）附录B中以上各种物质的临界量</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计算结果见下表。见表4-</w:t>
            </w:r>
            <w:r>
              <w:rPr>
                <w:rFonts w:hint="eastAsia" w:cs="Times New Roman"/>
                <w:color w:val="000000" w:themeColor="text1"/>
                <w:sz w:val="24"/>
                <w:lang w:val="en-US" w:eastAsia="zh-CN"/>
                <w14:textFill>
                  <w14:solidFill>
                    <w14:schemeClr w14:val="tx1"/>
                  </w14:solidFill>
                </w14:textFill>
              </w:rPr>
              <w:t>20</w:t>
            </w:r>
          </w:p>
          <w:p>
            <w:pPr>
              <w:pStyle w:val="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20</w:t>
            </w:r>
            <w:r>
              <w:rPr>
                <w:rFonts w:hint="default" w:ascii="Times New Roman" w:hAnsi="Times New Roman" w:eastAsia="宋体" w:cs="Times New Roman"/>
                <w:color w:val="000000" w:themeColor="text1"/>
                <w14:textFill>
                  <w14:solidFill>
                    <w14:schemeClr w14:val="tx1"/>
                  </w14:solidFill>
                </w14:textFill>
              </w:rPr>
              <w:t>危险物质辨识指标（AQR）</w:t>
            </w:r>
          </w:p>
          <w:tbl>
            <w:tblPr>
              <w:tblStyle w:val="27"/>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1323"/>
              <w:gridCol w:w="1396"/>
              <w:gridCol w:w="1438"/>
              <w:gridCol w:w="1701"/>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3" w:type="pct"/>
                  <w:vAlign w:val="center"/>
                </w:tcPr>
                <w:p>
                  <w:pPr>
                    <w:pStyle w:val="49"/>
                    <w:spacing w:before="24" w:after="24" w:line="240" w:lineRule="exac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危险</w:t>
                  </w:r>
                </w:p>
                <w:p>
                  <w:pPr>
                    <w:pStyle w:val="49"/>
                    <w:spacing w:before="24" w:after="24" w:line="240" w:lineRule="exac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物质</w:t>
                  </w:r>
                </w:p>
              </w:tc>
              <w:tc>
                <w:tcPr>
                  <w:tcW w:w="789" w:type="pct"/>
                  <w:vAlign w:val="center"/>
                </w:tcPr>
                <w:p>
                  <w:pPr>
                    <w:pStyle w:val="49"/>
                    <w:spacing w:before="24" w:after="24" w:line="240" w:lineRule="exac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类别</w:t>
                  </w:r>
                </w:p>
              </w:tc>
              <w:tc>
                <w:tcPr>
                  <w:tcW w:w="832" w:type="pct"/>
                  <w:vAlign w:val="center"/>
                </w:tcPr>
                <w:p>
                  <w:pPr>
                    <w:pStyle w:val="49"/>
                    <w:spacing w:before="24" w:after="24" w:line="240" w:lineRule="exac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贮存最大数量（t）</w:t>
                  </w:r>
                </w:p>
              </w:tc>
              <w:tc>
                <w:tcPr>
                  <w:tcW w:w="856" w:type="pct"/>
                  <w:vAlign w:val="center"/>
                </w:tcPr>
                <w:p>
                  <w:pPr>
                    <w:pStyle w:val="49"/>
                    <w:spacing w:before="24" w:after="24" w:line="240" w:lineRule="exac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相对应的临界量（t）</w:t>
                  </w:r>
                </w:p>
              </w:tc>
              <w:tc>
                <w:tcPr>
                  <w:tcW w:w="1014" w:type="pct"/>
                  <w:vAlign w:val="center"/>
                </w:tcPr>
                <w:p>
                  <w:pPr>
                    <w:pStyle w:val="49"/>
                    <w:spacing w:before="24" w:after="24" w:line="240" w:lineRule="exac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危险物质辨识指标（AQR）</w:t>
                  </w:r>
                </w:p>
              </w:tc>
              <w:tc>
                <w:tcPr>
                  <w:tcW w:w="504" w:type="pct"/>
                  <w:vAlign w:val="center"/>
                </w:tcPr>
                <w:p>
                  <w:pPr>
                    <w:pStyle w:val="49"/>
                    <w:spacing w:before="24" w:after="24" w:line="240" w:lineRule="exac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pct"/>
                  <w:vAlign w:val="center"/>
                </w:tcPr>
                <w:p>
                  <w:pPr>
                    <w:pStyle w:val="49"/>
                    <w:spacing w:before="24" w:after="24" w:line="240" w:lineRule="exact"/>
                    <w:rPr>
                      <w:rFonts w:hint="default" w:ascii="Times New Roman" w:hAnsi="Times New Roman" w:eastAsia="宋体" w:cs="Times New Roman"/>
                      <w:color w:val="000000" w:themeColor="text1"/>
                      <w:kern w:val="2"/>
                      <w:szCs w:val="21"/>
                      <w14:textFill>
                        <w14:solidFill>
                          <w14:schemeClr w14:val="tx1"/>
                        </w14:solidFill>
                      </w14:textFill>
                    </w:rPr>
                  </w:pPr>
                  <w:r>
                    <w:rPr>
                      <w:rFonts w:hint="default" w:ascii="Times New Roman" w:hAnsi="Times New Roman" w:eastAsia="宋体" w:cs="Times New Roman"/>
                      <w:color w:val="000000" w:themeColor="text1"/>
                      <w:kern w:val="2"/>
                      <w:szCs w:val="21"/>
                      <w14:textFill>
                        <w14:solidFill>
                          <w14:schemeClr w14:val="tx1"/>
                        </w14:solidFill>
                      </w14:textFill>
                    </w:rPr>
                    <w:t>废机油</w:t>
                  </w:r>
                </w:p>
              </w:tc>
              <w:tc>
                <w:tcPr>
                  <w:tcW w:w="789" w:type="pct"/>
                  <w:vAlign w:val="center"/>
                </w:tcPr>
                <w:p>
                  <w:pPr>
                    <w:pStyle w:val="49"/>
                    <w:spacing w:before="24" w:after="24" w:line="240" w:lineRule="exact"/>
                    <w:rPr>
                      <w:rFonts w:hint="default" w:ascii="Times New Roman" w:hAnsi="Times New Roman" w:eastAsia="宋体" w:cs="Times New Roman"/>
                      <w:color w:val="000000" w:themeColor="text1"/>
                      <w:kern w:val="2"/>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泄漏</w:t>
                  </w:r>
                </w:p>
              </w:tc>
              <w:tc>
                <w:tcPr>
                  <w:tcW w:w="832" w:type="pct"/>
                  <w:vAlign w:val="center"/>
                </w:tcPr>
                <w:p>
                  <w:pPr>
                    <w:pStyle w:val="49"/>
                    <w:spacing w:before="24" w:after="24" w:line="240" w:lineRule="exact"/>
                    <w:rPr>
                      <w:rFonts w:hint="default" w:ascii="Times New Roman" w:hAnsi="Times New Roman" w:eastAsia="宋体" w:cs="Times New Roman"/>
                      <w:color w:val="000000" w:themeColor="text1"/>
                      <w:kern w:val="2"/>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w:t>
                  </w:r>
                </w:p>
              </w:tc>
              <w:tc>
                <w:tcPr>
                  <w:tcW w:w="856" w:type="pct"/>
                  <w:vAlign w:val="center"/>
                </w:tcPr>
                <w:p>
                  <w:pPr>
                    <w:pStyle w:val="49"/>
                    <w:spacing w:before="24" w:after="24" w:line="240" w:lineRule="exact"/>
                    <w:rPr>
                      <w:rFonts w:hint="default" w:ascii="Times New Roman" w:hAnsi="Times New Roman" w:eastAsia="宋体" w:cs="Times New Roman"/>
                      <w:color w:val="000000" w:themeColor="text1"/>
                      <w:kern w:val="2"/>
                      <w:szCs w:val="21"/>
                      <w14:textFill>
                        <w14:solidFill>
                          <w14:schemeClr w14:val="tx1"/>
                        </w14:solidFill>
                      </w14:textFill>
                    </w:rPr>
                  </w:pPr>
                  <w:r>
                    <w:rPr>
                      <w:rFonts w:hint="default" w:ascii="Times New Roman" w:hAnsi="Times New Roman" w:eastAsia="宋体" w:cs="Times New Roman"/>
                      <w:color w:val="000000" w:themeColor="text1"/>
                      <w:kern w:val="2"/>
                      <w:szCs w:val="21"/>
                      <w14:textFill>
                        <w14:solidFill>
                          <w14:schemeClr w14:val="tx1"/>
                        </w14:solidFill>
                      </w14:textFill>
                    </w:rPr>
                    <w:t>2500</w:t>
                  </w:r>
                </w:p>
              </w:tc>
              <w:tc>
                <w:tcPr>
                  <w:tcW w:w="1014" w:type="pct"/>
                  <w:vAlign w:val="center"/>
                </w:tcPr>
                <w:p>
                  <w:pPr>
                    <w:pStyle w:val="49"/>
                    <w:spacing w:before="24" w:after="24" w:line="240" w:lineRule="exact"/>
                    <w:rPr>
                      <w:rFonts w:hint="default" w:ascii="Times New Roman" w:hAnsi="Times New Roman" w:eastAsia="宋体" w:cs="Times New Roman"/>
                      <w:color w:val="000000" w:themeColor="text1"/>
                      <w:kern w:val="2"/>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0.00004</w:t>
                  </w:r>
                </w:p>
              </w:tc>
              <w:tc>
                <w:tcPr>
                  <w:tcW w:w="504" w:type="pct"/>
                  <w:vAlign w:val="center"/>
                </w:tcPr>
                <w:p>
                  <w:pPr>
                    <w:pStyle w:val="49"/>
                    <w:spacing w:before="24" w:after="24" w:line="240" w:lineRule="exact"/>
                    <w:rPr>
                      <w:rFonts w:hint="default" w:ascii="Times New Roman" w:hAnsi="Times New Roman" w:eastAsia="宋体" w:cs="Times New Roman"/>
                      <w:color w:val="000000" w:themeColor="text1"/>
                      <w:kern w:val="2"/>
                      <w:szCs w:val="21"/>
                      <w14:textFill>
                        <w14:solidFill>
                          <w14:schemeClr w14:val="tx1"/>
                        </w14:solidFill>
                      </w14:textFill>
                    </w:rPr>
                  </w:pPr>
                  <w:r>
                    <w:rPr>
                      <w:rFonts w:hint="default" w:ascii="Times New Roman" w:hAnsi="Times New Roman" w:eastAsia="宋体" w:cs="Times New Roman"/>
                      <w:color w:val="000000" w:themeColor="text1"/>
                      <w:kern w:val="2"/>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481" w:type="pct"/>
                  <w:gridSpan w:val="4"/>
                  <w:vAlign w:val="center"/>
                </w:tcPr>
                <w:p>
                  <w:pPr>
                    <w:pStyle w:val="49"/>
                    <w:spacing w:before="24" w:after="24" w:line="240" w:lineRule="exact"/>
                    <w:rPr>
                      <w:rFonts w:hint="default" w:ascii="Times New Roman" w:hAnsi="Times New Roman" w:eastAsia="宋体" w:cs="Times New Roman"/>
                      <w:color w:val="000000" w:themeColor="text1"/>
                      <w:kern w:val="2"/>
                      <w:szCs w:val="21"/>
                      <w14:textFill>
                        <w14:solidFill>
                          <w14:schemeClr w14:val="tx1"/>
                        </w14:solidFill>
                      </w14:textFill>
                    </w:rPr>
                  </w:pPr>
                  <w:r>
                    <w:rPr>
                      <w:rFonts w:hint="default" w:ascii="Times New Roman" w:hAnsi="Times New Roman" w:eastAsia="宋体" w:cs="Times New Roman"/>
                      <w:color w:val="000000" w:themeColor="text1"/>
                      <w:kern w:val="2"/>
                      <w:szCs w:val="21"/>
                      <w14:textFill>
                        <w14:solidFill>
                          <w14:schemeClr w14:val="tx1"/>
                        </w14:solidFill>
                      </w14:textFill>
                    </w:rPr>
                    <w:t>共计</w:t>
                  </w:r>
                </w:p>
              </w:tc>
              <w:tc>
                <w:tcPr>
                  <w:tcW w:w="1014" w:type="pct"/>
                  <w:vAlign w:val="center"/>
                </w:tcPr>
                <w:p>
                  <w:pPr>
                    <w:pStyle w:val="49"/>
                    <w:spacing w:before="24" w:after="24" w:line="240" w:lineRule="exact"/>
                    <w:rPr>
                      <w:rFonts w:hint="eastAsia" w:ascii="Times New Roman" w:hAnsi="Times New Roman" w:eastAsia="宋体" w:cs="Times New Roman"/>
                      <w:color w:val="000000" w:themeColor="text1"/>
                      <w:kern w:val="2"/>
                      <w:szCs w:val="21"/>
                      <w:lang w:eastAsia="zh-CN"/>
                      <w14:textFill>
                        <w14:solidFill>
                          <w14:schemeClr w14:val="tx1"/>
                        </w14:solidFill>
                      </w14:textFill>
                    </w:rPr>
                  </w:pPr>
                  <w:r>
                    <w:rPr>
                      <w:rFonts w:hint="eastAsia" w:ascii="Times New Roman" w:cs="Times New Roman"/>
                      <w:color w:val="000000" w:themeColor="text1"/>
                      <w:kern w:val="2"/>
                      <w:szCs w:val="21"/>
                      <w:lang w:eastAsia="zh-CN"/>
                      <w14:textFill>
                        <w14:solidFill>
                          <w14:schemeClr w14:val="tx1"/>
                        </w14:solidFill>
                      </w14:textFill>
                    </w:rPr>
                    <w:t>0.00004</w:t>
                  </w:r>
                </w:p>
              </w:tc>
              <w:tc>
                <w:tcPr>
                  <w:tcW w:w="504" w:type="pct"/>
                  <w:vAlign w:val="center"/>
                </w:tcPr>
                <w:p>
                  <w:pPr>
                    <w:pStyle w:val="49"/>
                    <w:spacing w:before="24" w:after="24" w:line="240" w:lineRule="exact"/>
                    <w:rPr>
                      <w:rFonts w:hint="default" w:ascii="Times New Roman" w:hAnsi="Times New Roman" w:eastAsia="宋体" w:cs="Times New Roman"/>
                      <w:color w:val="000000" w:themeColor="text1"/>
                      <w:kern w:val="2"/>
                      <w:szCs w:val="21"/>
                      <w14:textFill>
                        <w14:solidFill>
                          <w14:schemeClr w14:val="tx1"/>
                        </w14:solidFill>
                      </w14:textFill>
                    </w:rPr>
                  </w:pPr>
                  <w:r>
                    <w:rPr>
                      <w:rFonts w:hint="default" w:ascii="Times New Roman" w:hAnsi="Times New Roman" w:eastAsia="宋体" w:cs="Times New Roman"/>
                      <w:color w:val="000000" w:themeColor="text1"/>
                      <w:kern w:val="2"/>
                      <w:szCs w:val="21"/>
                      <w14:textFill>
                        <w14:solidFill>
                          <w14:schemeClr w14:val="tx1"/>
                        </w14:solidFill>
                      </w14:textFill>
                    </w:rPr>
                    <w:t>/</w:t>
                  </w:r>
                </w:p>
              </w:tc>
            </w:tr>
          </w:tbl>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由上表可知</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本项目Q值为Q=</w:t>
            </w:r>
            <w:r>
              <w:rPr>
                <w:rFonts w:hint="eastAsia" w:cs="Times New Roman"/>
                <w:color w:val="000000" w:themeColor="text1"/>
                <w:sz w:val="24"/>
                <w:lang w:eastAsia="zh-CN"/>
                <w14:textFill>
                  <w14:solidFill>
                    <w14:schemeClr w14:val="tx1"/>
                  </w14:solidFill>
                </w14:textFill>
              </w:rPr>
              <w:t>0.00004</w:t>
            </w:r>
            <w:r>
              <w:rPr>
                <w:rFonts w:hint="default" w:ascii="Times New Roman" w:hAnsi="Times New Roman" w:eastAsia="宋体" w:cs="Times New Roman"/>
                <w:color w:val="000000" w:themeColor="text1"/>
                <w:sz w:val="24"/>
                <w14:textFill>
                  <w14:solidFill>
                    <w14:schemeClr w14:val="tx1"/>
                  </w14:solidFill>
                </w14:textFill>
              </w:rPr>
              <w:t>＜1</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根据《建设项目环境风险评价技术导则》（HJ/T169-2018）中附录C可知由此判断本项目环境风险潜势为Ⅰ。</w:t>
            </w:r>
          </w:p>
          <w:p>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（四）环境风险影响分析</w:t>
            </w:r>
          </w:p>
          <w:p>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危险废物暂存间</w:t>
            </w:r>
            <w:r>
              <w:rPr>
                <w:rFonts w:hint="default" w:ascii="Times New Roman" w:hAnsi="Times New Roman" w:eastAsia="宋体" w:cs="Times New Roman"/>
                <w:bCs/>
                <w:color w:val="000000" w:themeColor="text1"/>
                <w:sz w:val="24"/>
                <w14:textFill>
                  <w14:solidFill>
                    <w14:schemeClr w14:val="tx1"/>
                  </w14:solidFill>
                </w14:textFill>
              </w:rPr>
              <w:t>严格按执行《危险废物贮存污染控制标准》（GB18597-2001中的要求进行建设、防渗</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并设置围堰</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危废暂存间废润滑泄漏后经围堰封堵</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不会进入外环境</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因此废润滑泄漏危废间内即可妥善处理</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用砂土或其它不燃材料吸附或吸收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吸附后的不燃材料或沙土单独收集作为危废处理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因此</w:t>
            </w:r>
            <w:r>
              <w:rPr>
                <w:rFonts w:hint="default" w:ascii="Times New Roman" w:hAnsi="Times New Roman" w:eastAsia="宋体" w:cs="Times New Roman"/>
                <w:color w:val="000000" w:themeColor="text1"/>
                <w:kern w:val="0"/>
                <w:sz w:val="24"/>
                <w14:textFill>
                  <w14:solidFill>
                    <w14:schemeClr w14:val="tx1"/>
                  </w14:solidFill>
                </w14:textFill>
              </w:rPr>
              <w:t>对外环境产生的影响很小。</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1</w:t>
            </w:r>
            <w:r>
              <w:rPr>
                <w:rFonts w:hint="default" w:ascii="Times New Roman" w:hAnsi="Times New Roman" w:eastAsia="宋体"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大气环境风险影响分析</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废机油遇明火发生火灾事故</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产生CO和CO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等污染物</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排放到大气环境中会污染大气环境</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项目区存储量较小</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发生火灾爆炸事故的概率较小</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在发生火灾时能够及时采取措施在最短时间内将火扑灭</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废气产生量很小</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在扑灭后经空气扩散稀释后对大气环境影响较小。废气治理设施因停电或故障未能正常运行时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有机废气未经处理直接排放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造成局部大气不良影响。</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（2）地表水、地下水、土壤环境风险影响分析</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废机油存在泄露风险</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使用或存储过程如发生泄露</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则泄露物料可能会进入雨水管道、地表水体</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对地表水体环境产生一定影响</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甚至通过下渗对地下水和土壤造成影响；废机油泄漏一旦进入周边水体</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将造成水体的污染</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由于废机油难溶于水</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大部分上浮在水层表面</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形成一层油膜使空气隔离</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造成水中溶解氧浓度降低</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逐渐形成死水</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致使水中生物死亡。且废机油、遇明火发生火灾事故时需使用大量水来灭火</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此过程会产生大量消防废水</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消防废水一旦进入周边地表水体</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将造成地表水体的污染。</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（5）爆炸</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爆炸和燃烧本质上都是可燃物质在空气中的氧化反应</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爆炸于燃烧的区别在于氧化速度的不同。决定氧化速度的因素是在点火前可燃物与助燃物是否按一定比例均匀混合</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由于燃烧速度快</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热量来不及散尽</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温度急剧上升</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气休因高热而急剧膨胀就成为爆炸。爆炸对周围环境造成的破坏主要以震荡、冲击波的形式表现。</w:t>
            </w:r>
          </w:p>
          <w:p>
            <w:pPr>
              <w:pStyle w:val="2"/>
              <w:adjustRightInd w:val="0"/>
              <w:snapToGrid w:val="0"/>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（五）环境风险防范措施</w:t>
            </w:r>
          </w:p>
          <w:p>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针对本项目可能产生的风险类别</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建设单位应考虑采取一系列防范措施</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为进一步减少风险事故可能产生的环境影响</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建议在采取预防措施基础上加强以下风险防范和管理措施。</w:t>
            </w:r>
          </w:p>
          <w:p>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2、环境风险管理</w:t>
            </w:r>
          </w:p>
          <w:p>
            <w:pPr>
              <w:spacing w:line="360" w:lineRule="auto"/>
              <w:ind w:firstLine="480" w:firstLineChars="200"/>
              <w:rPr>
                <w:rFonts w:hint="default" w:ascii="Times New Roman" w:hAnsi="Times New Roman" w:eastAsia="宋体" w:cs="Times New Roman"/>
                <w:color w:val="000000" w:themeColor="text1"/>
                <w:sz w:val="24"/>
                <w:lang w:val="zh-CN"/>
                <w14:textFill>
                  <w14:solidFill>
                    <w14:schemeClr w14:val="tx1"/>
                  </w14:solidFill>
                </w14:textFill>
              </w:rPr>
            </w:pPr>
            <w:r>
              <w:rPr>
                <w:rFonts w:hint="default" w:ascii="Times New Roman" w:hAnsi="Times New Roman" w:eastAsia="宋体" w:cs="Times New Roman"/>
                <w:color w:val="000000" w:themeColor="text1"/>
                <w:sz w:val="24"/>
                <w:lang w:val="zh-CN"/>
                <w14:textFill>
                  <w14:solidFill>
                    <w14:schemeClr w14:val="tx1"/>
                  </w14:solidFill>
                </w14:textFill>
              </w:rPr>
              <w:t>为了有效地防范火灾和爆炸事故的发生</w:t>
            </w:r>
            <w:r>
              <w:rPr>
                <w:rFonts w:hint="eastAsia"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sz w:val="24"/>
                <w:lang w:val="zh-CN"/>
                <w14:textFill>
                  <w14:solidFill>
                    <w14:schemeClr w14:val="tx1"/>
                  </w14:solidFill>
                </w14:textFill>
              </w:rPr>
              <w:t>站场应制定事故应急手册</w:t>
            </w:r>
            <w:r>
              <w:rPr>
                <w:rFonts w:hint="eastAsia"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sz w:val="24"/>
                <w:lang w:val="zh-CN"/>
                <w14:textFill>
                  <w14:solidFill>
                    <w14:schemeClr w14:val="tx1"/>
                  </w14:solidFill>
                </w14:textFill>
              </w:rPr>
              <w:t>员工还需要</w:t>
            </w:r>
            <w:r>
              <w:rPr>
                <w:rFonts w:hint="default" w:ascii="Times New Roman" w:hAnsi="Times New Roman" w:eastAsia="宋体" w:cs="Times New Roman"/>
                <w:color w:val="000000" w:themeColor="text1"/>
                <w:sz w:val="24"/>
                <w14:textFill>
                  <w14:solidFill>
                    <w14:schemeClr w14:val="tx1"/>
                  </w14:solidFill>
                </w14:textFill>
              </w:rPr>
              <w:t>对</w:t>
            </w:r>
            <w:r>
              <w:rPr>
                <w:rFonts w:hint="default" w:ascii="Times New Roman" w:hAnsi="Times New Roman" w:eastAsia="宋体" w:cs="Times New Roman"/>
                <w:color w:val="000000" w:themeColor="text1"/>
                <w:sz w:val="24"/>
                <w:lang w:val="zh-CN"/>
                <w14:textFill>
                  <w14:solidFill>
                    <w14:schemeClr w14:val="tx1"/>
                  </w14:solidFill>
                </w14:textFill>
              </w:rPr>
              <w:t>消除火灾的措施及消防器材的使用等知识加以了解和掌握。</w:t>
            </w:r>
          </w:p>
          <w:p>
            <w:pPr>
              <w:spacing w:line="360" w:lineRule="auto"/>
              <w:ind w:firstLine="480" w:firstLineChars="200"/>
              <w:rPr>
                <w:rFonts w:hint="default" w:ascii="Times New Roman" w:hAnsi="Times New Roman" w:eastAsia="宋体" w:cs="Times New Roman"/>
                <w:color w:val="000000" w:themeColor="text1"/>
                <w:sz w:val="24"/>
                <w:lang w:val="zh-CN"/>
                <w14:textFill>
                  <w14:solidFill>
                    <w14:schemeClr w14:val="tx1"/>
                  </w14:solidFill>
                </w14:textFill>
              </w:rPr>
            </w:pPr>
            <w:r>
              <w:rPr>
                <w:rFonts w:hint="default" w:ascii="Times New Roman" w:hAnsi="Times New Roman" w:eastAsia="宋体"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2</w:t>
            </w:r>
            <w:r>
              <w:rPr>
                <w:rFonts w:hint="default" w:ascii="Times New Roman" w:hAnsi="Times New Roman" w:eastAsia="宋体"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废机油</w:t>
            </w:r>
            <w:r>
              <w:rPr>
                <w:rFonts w:hint="default" w:ascii="Times New Roman" w:hAnsi="Times New Roman" w:eastAsia="宋体" w:cs="Times New Roman"/>
                <w:color w:val="000000" w:themeColor="text1"/>
                <w:sz w:val="24"/>
                <w14:textFill>
                  <w14:solidFill>
                    <w14:schemeClr w14:val="tx1"/>
                  </w14:solidFill>
                </w14:textFill>
              </w:rPr>
              <w:t>的</w:t>
            </w:r>
            <w:r>
              <w:rPr>
                <w:rFonts w:hint="default" w:ascii="Times New Roman" w:hAnsi="Times New Roman" w:eastAsia="宋体" w:cs="Times New Roman"/>
                <w:color w:val="000000" w:themeColor="text1"/>
                <w:sz w:val="24"/>
                <w:lang w:val="zh-CN"/>
                <w14:textFill>
                  <w14:solidFill>
                    <w14:schemeClr w14:val="tx1"/>
                  </w14:solidFill>
                </w14:textFill>
              </w:rPr>
              <w:t>防范措施</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1）泄漏的防范措施</w:t>
            </w:r>
          </w:p>
          <w:p>
            <w:pPr>
              <w:tabs>
                <w:tab w:val="left" w:pos="2660"/>
              </w:tabs>
              <w:adjustRightInd w:val="0"/>
              <w:snapToGri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危险废物暂存间</w:t>
            </w:r>
            <w:r>
              <w:rPr>
                <w:rFonts w:hint="default" w:ascii="Times New Roman" w:hAnsi="Times New Roman" w:eastAsia="宋体" w:cs="Times New Roman"/>
                <w:bCs/>
                <w:color w:val="000000" w:themeColor="text1"/>
                <w:sz w:val="24"/>
                <w14:textFill>
                  <w14:solidFill>
                    <w14:schemeClr w14:val="tx1"/>
                  </w14:solidFill>
                </w14:textFill>
              </w:rPr>
              <w:t>严格按执行《危险废物贮存污染控制标准》（GB18597-2001）中的要求进行建设、防渗</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并设置围堰</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危废暂存间废油泄漏后经围堰封堵</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不会进入外环境</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因此废机油泄漏危废间内即可妥善处理</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用砂土或其它不燃材料吸附或吸收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吸附后的不燃材料或沙土单独收集作为危废处理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因此</w:t>
            </w:r>
            <w:r>
              <w:rPr>
                <w:rFonts w:hint="default" w:ascii="Times New Roman" w:hAnsi="Times New Roman" w:eastAsia="宋体" w:cs="Times New Roman"/>
                <w:color w:val="000000" w:themeColor="text1"/>
                <w:kern w:val="0"/>
                <w:sz w:val="24"/>
                <w14:textFill>
                  <w14:solidFill>
                    <w14:schemeClr w14:val="tx1"/>
                  </w14:solidFill>
                </w14:textFill>
              </w:rPr>
              <w:t>对外环境产生的影响很小。</w:t>
            </w:r>
          </w:p>
          <w:p>
            <w:pPr>
              <w:tabs>
                <w:tab w:val="left" w:pos="2660"/>
              </w:tabs>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2）火灾及爆炸防范措施</w:t>
            </w:r>
          </w:p>
          <w:p>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①对装置周围可能的明火、电器火花和撞击火花进行控制管理；严禁危险区内吸烟和违章动用明火；电器设备、仪表选用防爆型；操作人员应按规定穿戴劳保用品</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防止静电火花的产生。</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②移动式灭火设备</w:t>
            </w:r>
          </w:p>
          <w:p>
            <w:pPr>
              <w:tabs>
                <w:tab w:val="left" w:pos="2660"/>
              </w:tabs>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按照《建筑灭火器配置设计规范》（GB50140－2005）</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对项目区内可能发生火灾的各类场所、工艺装置区、主要建筑物等</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根据其火灾危险性、区域大小等实际情况</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分别配置一定数量不同类型、不同规格的移动式灭火器材</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以便及时扑救初始零星火灾。</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③提高员工素质。增强安全意识。建立严格的安全管理制度</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杜绝违章动火、吸烟等现象</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按规定配备劳动防护用品．经常性地向职工进行安全和健康防护方面的教育。</w:t>
            </w:r>
          </w:p>
          <w:p>
            <w:pPr>
              <w:adjustRightInd w:val="0"/>
              <w:snapToGrid w:val="0"/>
              <w:spacing w:line="360" w:lineRule="auto"/>
              <w:ind w:firstLine="360" w:firstLineChars="15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 ④项目区内危险区域内的电气设备选型、安装、电力线路敷设等</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应符合现行国家标准《爆炸和火灾危险环境电力装置设计规范》GB 50058的规定。</w:t>
            </w:r>
          </w:p>
          <w:p>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⑤设立事故应急及消防水池</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在发生事故时紧急处理。</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val="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⑥</w:t>
            </w:r>
            <w:r>
              <w:rPr>
                <w:rFonts w:hint="default" w:ascii="Times New Roman" w:hAnsi="Times New Roman" w:eastAsia="宋体" w:cs="Times New Roman"/>
                <w:color w:val="000000" w:themeColor="text1"/>
                <w:sz w:val="24"/>
                <w:lang w:val="zh-CN"/>
                <w14:textFill>
                  <w14:solidFill>
                    <w14:schemeClr w14:val="tx1"/>
                  </w14:solidFill>
                </w14:textFill>
              </w:rPr>
              <w:t>勿在工作现场</w:t>
            </w:r>
            <w:r>
              <w:rPr>
                <w:rFonts w:hint="eastAsia"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sz w:val="24"/>
                <w:lang w:val="zh-CN"/>
                <w14:textFill>
                  <w14:solidFill>
                    <w14:schemeClr w14:val="tx1"/>
                  </w14:solidFill>
                </w14:textFill>
              </w:rPr>
              <w:t>使用手机、电话、调频收音机等电子设备</w:t>
            </w:r>
            <w:r>
              <w:rPr>
                <w:rFonts w:hint="eastAsia"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sz w:val="24"/>
                <w:lang w:val="zh-CN"/>
                <w14:textFill>
                  <w14:solidFill>
                    <w14:schemeClr w14:val="tx1"/>
                  </w14:solidFill>
                </w14:textFill>
              </w:rPr>
              <w:t>以免产生静电起火；</w:t>
            </w:r>
          </w:p>
          <w:p>
            <w:pPr>
              <w:widowControl/>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Style w:val="34"/>
                <w:rFonts w:hint="default" w:ascii="Times New Roman" w:hAnsi="Times New Roman" w:eastAsia="宋体" w:cs="Times New Roman"/>
                <w:color w:val="000000" w:themeColor="text1"/>
                <w:kern w:val="0"/>
                <w:sz w:val="24"/>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火灾事故防范措施</w:t>
            </w:r>
          </w:p>
          <w:p>
            <w:pPr>
              <w:widowControl/>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①废机油储存区应设置围堰</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 xml:space="preserve">防止泄漏外溢； </w:t>
            </w:r>
          </w:p>
          <w:p>
            <w:pPr>
              <w:widowControl/>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②车间、储存区域粘贴禁止明火标识牌； </w:t>
            </w:r>
          </w:p>
          <w:p>
            <w:pPr>
              <w:widowControl/>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③定期查看有无泄漏情况； </w:t>
            </w:r>
          </w:p>
          <w:p>
            <w:pPr>
              <w:widowControl/>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④生产区风险防范措施：配备完善的消防措施</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加强安全管理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加强安全生产教育</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加强生产安全卫生监督</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 xml:space="preserve">加强设备、管道、阀门等密封检查与维护等； </w:t>
            </w:r>
          </w:p>
          <w:p>
            <w:pPr>
              <w:widowControl/>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⑤项目区按照《建筑灭火器配置设计规范》（GB50140-2010）的要求设置消防设施及灭火器材</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灭火器材应放在明显、易取的地方</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 xml:space="preserve">应定期对消防设施及灭火器材进行检查、维护。 </w:t>
            </w:r>
          </w:p>
          <w:p>
            <w:pPr>
              <w:widowControl/>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⑥危废暂存间进行防雨、防渗、防流失处理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房间设置明显标识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远离火种、热源。应与氧化剂分开存放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切忌混储。配备相应品种和数量的消防器材</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项目产生的废机油采用专用收集桶收集后暂存于危废暂存间内</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最终交有资质单位集中处理。</w:t>
            </w:r>
          </w:p>
          <w:p>
            <w:pPr>
              <w:widowControl/>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⑦若发生火灾事故</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会产生消防废液</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消防废液禁止外排</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经检测后委托有资质单位进行处置。</w:t>
            </w:r>
          </w:p>
          <w:p>
            <w:pPr>
              <w:widowControl/>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（3）危险物质泄露：</w:t>
            </w:r>
          </w:p>
          <w:p>
            <w:pPr>
              <w:widowControl/>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 ①仓库、危废暂存间应做好防渗防腐处理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避免硬底化被破坏导致下渗；</w:t>
            </w:r>
          </w:p>
          <w:p>
            <w:pPr>
              <w:widowControl/>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 ②定期检查危险物质存储的安全状态</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定期检查其包装有无破损</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 xml:space="preserve">以防止泄露。 </w:t>
            </w:r>
          </w:p>
          <w:p>
            <w:pPr>
              <w:widowControl/>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废气事故排放：</w:t>
            </w:r>
          </w:p>
          <w:p>
            <w:pPr>
              <w:widowControl/>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 ①加强废气治理设施的日常维护管理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确保废气治理系统处在良好的运转状 态；</w:t>
            </w:r>
          </w:p>
          <w:p>
            <w:pPr>
              <w:widowControl/>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②委托有资质的监测机构定期对废气排放口监测</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掌握污染物的排放情况</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建立废气治理措施运行台账管理制度</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杜绝废气事故排放。</w:t>
            </w:r>
          </w:p>
          <w:p>
            <w:pPr>
              <w:widowControl/>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项目建设、运营过程中应加强管理</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搞好劳动保护</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采取积极的风险防范措施</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降低事故发生的概率。本评价认为</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只要采取环评提出的防范措施</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在事故发生时依照应急预案及时处理</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拟建项目造成的风险是可控制的。</w:t>
            </w:r>
          </w:p>
          <w:p>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（4）事故应急预案</w:t>
            </w:r>
          </w:p>
          <w:p>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针对以上的事故</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为保证项目内部、社会及人民生命财产的安全</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防止突发性重大化学危险品事故发生</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在事故发生后迅速有效控制处理</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防止事故蔓延、扩大</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积极组织抢救、抢险、抢修</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发挥各职能部门、社会力量的作用</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使事故发生的损失减少到最低限度</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总结经验</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吸取教训</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防患于未然。</w:t>
            </w:r>
          </w:p>
          <w:p>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根据本环境风险分析的结果</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按照《云南省企业单位突发环境事件应急预案指导目录和编制要点（试行）》对于本项目可能造成环境风险的突发性事故制定应急预案。</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bookmarkStart w:id="33" w:name="_Toc16779"/>
            <w:bookmarkStart w:id="34" w:name="_Toc12122"/>
            <w:r>
              <w:rPr>
                <w:rFonts w:hint="default" w:ascii="Times New Roman" w:hAnsi="Times New Roman" w:eastAsia="宋体" w:cs="Times New Roman"/>
                <w:color w:val="000000" w:themeColor="text1"/>
                <w:sz w:val="24"/>
                <w14:textFill>
                  <w14:solidFill>
                    <w14:schemeClr w14:val="tx1"/>
                  </w14:solidFill>
                </w14:textFill>
              </w:rPr>
              <w:t>（5）分析结论</w:t>
            </w:r>
            <w:bookmarkEnd w:id="33"/>
            <w:bookmarkEnd w:id="34"/>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本项目风险评价工作等级为简单分析</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环境风险主要为风险废物泄露污染水体和土壤</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或遇明火、高热可能发生火灾、爆炸等潜在风险。企业在采取有针对性的环境风险防范措施</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并在风险事故发生后</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及时采取相应应急措施以及应急预案的基础上</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环境风险可防控。</w:t>
            </w:r>
          </w:p>
          <w:p>
            <w:pPr>
              <w:pStyle w:val="35"/>
              <w:rPr>
                <w:rFonts w:hint="default" w:ascii="Times New Roman" w:hAnsi="Times New Roman" w:eastAsia="宋体" w:cs="Times New Roman"/>
                <w:color w:val="000000" w:themeColor="text1"/>
                <w:sz w:val="24"/>
                <w14:textFill>
                  <w14:solidFill>
                    <w14:schemeClr w14:val="tx1"/>
                  </w14:solidFill>
                </w14:textFill>
              </w:rPr>
            </w:pPr>
          </w:p>
        </w:tc>
      </w:tr>
    </w:tbl>
    <w:p>
      <w:pPr>
        <w:adjustRightInd w:val="0"/>
        <w:snapToGrid w:val="0"/>
        <w:spacing w:line="360" w:lineRule="auto"/>
        <w:rPr>
          <w:rFonts w:hint="default" w:ascii="Times New Roman" w:hAnsi="Times New Roman" w:eastAsia="宋体" w:cs="Times New Roman"/>
          <w:b/>
          <w:color w:val="000000" w:themeColor="text1"/>
          <w:kern w:val="0"/>
          <w:sz w:val="24"/>
          <w14:textFill>
            <w14:solidFill>
              <w14:schemeClr w14:val="tx1"/>
            </w14:solidFill>
          </w14:textFill>
        </w:rPr>
        <w:sectPr>
          <w:pgSz w:w="11907" w:h="16840"/>
          <w:pgMar w:top="1701" w:right="1531" w:bottom="2127" w:left="1531" w:header="851" w:footer="851" w:gutter="0"/>
          <w:cols w:space="720" w:num="1"/>
          <w:docGrid w:linePitch="312" w:charSpace="0"/>
        </w:sectPr>
      </w:pPr>
    </w:p>
    <w:p>
      <w:pPr>
        <w:pStyle w:val="23"/>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bookmarkStart w:id="35" w:name="_Toc335"/>
      <w:bookmarkStart w:id="36" w:name="_Toc16877"/>
      <w:r>
        <w:rPr>
          <w:rFonts w:hint="default" w:ascii="Times New Roman" w:hAnsi="Times New Roman" w:eastAsia="宋体" w:cs="Times New Roman"/>
          <w:snapToGrid w:val="0"/>
          <w:color w:val="000000" w:themeColor="text1"/>
          <w:sz w:val="30"/>
          <w:szCs w:val="30"/>
          <w14:textFill>
            <w14:solidFill>
              <w14:schemeClr w14:val="tx1"/>
            </w14:solidFill>
          </w14:textFill>
        </w:rPr>
        <w:t>五、</w:t>
      </w:r>
      <w:bookmarkStart w:id="37" w:name="_Hlk54167917"/>
      <w:r>
        <w:rPr>
          <w:rFonts w:hint="default" w:ascii="Times New Roman" w:hAnsi="Times New Roman" w:eastAsia="宋体" w:cs="Times New Roman"/>
          <w:snapToGrid w:val="0"/>
          <w:color w:val="000000" w:themeColor="text1"/>
          <w:sz w:val="30"/>
          <w:szCs w:val="30"/>
          <w14:textFill>
            <w14:solidFill>
              <w14:schemeClr w14:val="tx1"/>
            </w14:solidFill>
          </w14:textFill>
        </w:rPr>
        <w:t>环境保护措施监督检查清单</w:t>
      </w:r>
      <w:bookmarkEnd w:id="35"/>
      <w:bookmarkEnd w:id="36"/>
      <w:bookmarkEnd w:id="37"/>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701"/>
        <w:gridCol w:w="1408"/>
        <w:gridCol w:w="2595"/>
        <w:gridCol w:w="19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tcBorders>
              <w:tl2br w:val="single" w:color="auto" w:sz="4" w:space="0"/>
            </w:tcBorders>
            <w:vAlign w:val="center"/>
          </w:tcPr>
          <w:p>
            <w:pPr>
              <w:pStyle w:val="45"/>
              <w:spacing w:before="95"/>
              <w:ind w:right="84" w:firstLine="210" w:firstLineChars="10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内容</w:t>
            </w:r>
          </w:p>
          <w:p>
            <w:pPr>
              <w:pStyle w:val="45"/>
              <w:spacing w:before="95"/>
              <w:ind w:right="84"/>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要素</w:t>
            </w:r>
          </w:p>
        </w:tc>
        <w:tc>
          <w:tcPr>
            <w:tcW w:w="1701"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排放口(编号、</w:t>
            </w:r>
          </w:p>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名称)/污染源</w:t>
            </w:r>
          </w:p>
        </w:tc>
        <w:tc>
          <w:tcPr>
            <w:tcW w:w="1408"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污染物项目</w:t>
            </w:r>
          </w:p>
        </w:tc>
        <w:tc>
          <w:tcPr>
            <w:tcW w:w="2595"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环境保护措施</w:t>
            </w:r>
          </w:p>
        </w:tc>
        <w:tc>
          <w:tcPr>
            <w:tcW w:w="1984"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112" w:type="dxa"/>
            <w:vMerge w:val="restart"/>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大气环境</w:t>
            </w:r>
          </w:p>
        </w:tc>
        <w:tc>
          <w:tcPr>
            <w:tcW w:w="1701" w:type="dxa"/>
            <w:vAlign w:val="center"/>
          </w:tcPr>
          <w:p>
            <w:pPr>
              <w:pStyle w:val="45"/>
              <w:spacing w:before="95"/>
              <w:ind w:left="90" w:right="84"/>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DA001</w:t>
            </w:r>
            <w:r>
              <w:rPr>
                <w:rFonts w:hint="default" w:ascii="Times New Roman" w:hAnsi="Times New Roman" w:eastAsia="宋体" w:cs="Times New Roman"/>
                <w:color w:val="000000" w:themeColor="text1"/>
                <w:szCs w:val="21"/>
                <w:lang w:val="en-US"/>
                <w14:textFill>
                  <w14:solidFill>
                    <w14:schemeClr w14:val="tx1"/>
                  </w14:solidFill>
                </w14:textFill>
              </w:rPr>
              <w:t>排气筒</w:t>
            </w:r>
            <w:r>
              <w:rPr>
                <w:rFonts w:hint="default" w:ascii="Times New Roman" w:hAnsi="Times New Roman" w:eastAsia="宋体" w:cs="Times New Roman"/>
                <w:color w:val="000000" w:themeColor="text1"/>
                <w:szCs w:val="21"/>
                <w:lang w:val="en-US" w:eastAsia="zh-CN"/>
                <w14:textFill>
                  <w14:solidFill>
                    <w14:schemeClr w14:val="tx1"/>
                  </w14:solidFill>
                </w14:textFill>
              </w:rPr>
              <w:t>（AKD蜡融化工段）</w:t>
            </w:r>
          </w:p>
        </w:tc>
        <w:tc>
          <w:tcPr>
            <w:tcW w:w="1408" w:type="dxa"/>
            <w:vAlign w:val="center"/>
          </w:tcPr>
          <w:p>
            <w:pPr>
              <w:pStyle w:val="45"/>
              <w:spacing w:before="95"/>
              <w:ind w:left="90" w:right="84"/>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挥发性有机物（以非甲烷总烃计）</w:t>
            </w:r>
          </w:p>
        </w:tc>
        <w:tc>
          <w:tcPr>
            <w:tcW w:w="2595"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二级</w:t>
            </w:r>
            <w:r>
              <w:rPr>
                <w:rFonts w:hint="default" w:ascii="Times New Roman" w:hAnsi="Times New Roman" w:eastAsia="宋体" w:cs="Times New Roman"/>
                <w:color w:val="000000" w:themeColor="text1"/>
                <w:szCs w:val="21"/>
                <w14:textFill>
                  <w14:solidFill>
                    <w14:schemeClr w14:val="tx1"/>
                  </w14:solidFill>
                </w14:textFill>
              </w:rPr>
              <w:t>活性炭吸附设备+15</w:t>
            </w:r>
            <w:r>
              <w:rPr>
                <w:rFonts w:hint="default" w:ascii="Times New Roman" w:hAnsi="Times New Roman" w:eastAsia="宋体" w:cs="Times New Roman"/>
                <w:color w:val="000000" w:themeColor="text1"/>
                <w:szCs w:val="21"/>
                <w:lang w:val="en-US"/>
                <w14:textFill>
                  <w14:solidFill>
                    <w14:schemeClr w14:val="tx1"/>
                  </w14:solidFill>
                </w14:textFill>
              </w:rPr>
              <w:t>m</w:t>
            </w:r>
            <w:r>
              <w:rPr>
                <w:rFonts w:hint="default" w:ascii="Times New Roman" w:hAnsi="Times New Roman" w:eastAsia="宋体" w:cs="Times New Roman"/>
                <w:color w:val="000000" w:themeColor="text1"/>
                <w:szCs w:val="21"/>
                <w14:textFill>
                  <w14:solidFill>
                    <w14:schemeClr w14:val="tx1"/>
                  </w14:solidFill>
                </w14:textFill>
              </w:rPr>
              <w:t>高排气筒</w:t>
            </w:r>
          </w:p>
        </w:tc>
        <w:tc>
          <w:tcPr>
            <w:tcW w:w="1984" w:type="dxa"/>
            <w:vAlign w:val="center"/>
          </w:tcPr>
          <w:p>
            <w:pPr>
              <w:pStyle w:val="45"/>
              <w:spacing w:before="95"/>
              <w:ind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达GB16297-1996《大气污染物综合排放标准》表2中二级标准限值要求</w:t>
            </w:r>
            <w:r>
              <w:rPr>
                <w:rFonts w:hint="default" w:ascii="Times New Roman" w:hAnsi="Times New Roman" w:eastAsia="宋体" w:cs="Times New Roman"/>
                <w:color w:val="000000" w:themeColor="text1"/>
                <w:lang w:eastAsia="zh-CN"/>
                <w14:textFill>
                  <w14:solidFill>
                    <w14:schemeClr w14:val="tx1"/>
                  </w14:solidFill>
                </w14:textFill>
              </w:rPr>
              <w:t>即：非甲烷总烃≤</w:t>
            </w:r>
            <w:r>
              <w:rPr>
                <w:rFonts w:hint="default" w:ascii="Times New Roman" w:hAnsi="Times New Roman" w:eastAsia="宋体" w:cs="Times New Roman"/>
                <w:color w:val="000000" w:themeColor="text1"/>
                <w:lang w:val="en-US" w:eastAsia="zh-CN"/>
                <w14:textFill>
                  <w14:solidFill>
                    <w14:schemeClr w14:val="tx1"/>
                  </w14:solidFill>
                </w14:textFill>
              </w:rPr>
              <w:t>120</w:t>
            </w:r>
            <w:r>
              <w:rPr>
                <w:rFonts w:hint="default" w:ascii="Times New Roman" w:hAnsi="Times New Roman" w:eastAsia="宋体" w:cs="Times New Roman"/>
                <w:color w:val="000000" w:themeColor="text1"/>
                <w:lang w:eastAsia="zh-CN"/>
                <w14:textFill>
                  <w14:solidFill>
                    <w14:schemeClr w14:val="tx1"/>
                  </w14:solidFill>
                </w14:textFill>
              </w:rPr>
              <w:t>mg/m³</w:t>
            </w:r>
            <w:r>
              <w:rPr>
                <w:rFonts w:hint="default" w:ascii="Times New Roman" w:hAnsi="Times New Roman" w:eastAsia="宋体" w:cs="Times New Roman"/>
                <w:color w:val="000000" w:themeColor="text1"/>
                <w:lang w:val="en-US" w:eastAsia="zh-CN"/>
                <w14:textFill>
                  <w14:solidFill>
                    <w14:schemeClr w14:val="tx1"/>
                  </w14:solidFill>
                </w14:textFill>
              </w:rPr>
              <w:t>（有组织）。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3" w:hRule="atLeast"/>
          <w:jc w:val="center"/>
        </w:trPr>
        <w:tc>
          <w:tcPr>
            <w:tcW w:w="1112" w:type="dxa"/>
            <w:vMerge w:val="continue"/>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p>
        </w:tc>
        <w:tc>
          <w:tcPr>
            <w:tcW w:w="1701" w:type="dxa"/>
            <w:vAlign w:val="center"/>
          </w:tcPr>
          <w:p>
            <w:pPr>
              <w:pStyle w:val="45"/>
              <w:spacing w:before="95"/>
              <w:ind w:left="90" w:right="84"/>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w:t>
            </w:r>
            <w:r>
              <w:rPr>
                <w:rFonts w:hint="default" w:ascii="Times New Roman" w:hAnsi="Times New Roman" w:eastAsia="宋体" w:cs="Times New Roman"/>
                <w:color w:val="000000" w:themeColor="text1"/>
                <w:lang w:eastAsia="zh-CN"/>
                <w14:textFill>
                  <w14:solidFill>
                    <w14:schemeClr w14:val="tx1"/>
                  </w14:solidFill>
                </w14:textFill>
              </w:rPr>
              <w:t>界（</w:t>
            </w:r>
            <w:r>
              <w:rPr>
                <w:rFonts w:hint="default" w:ascii="Times New Roman" w:hAnsi="Times New Roman" w:eastAsia="宋体" w:cs="Times New Roman"/>
                <w:color w:val="000000" w:themeColor="text1"/>
                <w:szCs w:val="21"/>
                <w:lang w:val="en-US" w:eastAsia="zh-CN"/>
                <w14:textFill>
                  <w14:solidFill>
                    <w14:schemeClr w14:val="tx1"/>
                  </w14:solidFill>
                </w14:textFill>
              </w:rPr>
              <w:t>未收集到的AKD蜡融化废气</w:t>
            </w:r>
          </w:p>
          <w:p>
            <w:pPr>
              <w:ind w:firstLine="0" w:firstLineChars="0"/>
              <w:jc w:val="center"/>
              <w:rPr>
                <w:rFonts w:hint="default" w:ascii="Times New Roman" w:hAnsi="Times New Roman" w:eastAsia="宋体" w:cs="Times New Roman"/>
                <w:color w:val="000000" w:themeColor="text1"/>
                <w:szCs w:val="21"/>
                <w:lang w:val="en-US"/>
                <w14:textFill>
                  <w14:solidFill>
                    <w14:schemeClr w14:val="tx1"/>
                  </w14:solidFill>
                </w14:textFill>
              </w:rPr>
            </w:pPr>
          </w:p>
        </w:tc>
        <w:tc>
          <w:tcPr>
            <w:tcW w:w="1408" w:type="dxa"/>
            <w:vAlign w:val="center"/>
          </w:tcPr>
          <w:p>
            <w:pPr>
              <w:ind w:firstLine="0" w:firstLine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挥发性有机物（以非甲烷总烃计）</w:t>
            </w:r>
          </w:p>
        </w:tc>
        <w:tc>
          <w:tcPr>
            <w:tcW w:w="2595" w:type="dxa"/>
            <w:vAlign w:val="center"/>
          </w:tcPr>
          <w:p>
            <w:pPr>
              <w:pStyle w:val="2"/>
              <w:ind w:firstLine="210" w:firstLineChars="100"/>
              <w:jc w:val="both"/>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挥发性有机物（以非甲烷总烃计）</w:t>
            </w:r>
            <w:r>
              <w:rPr>
                <w:rFonts w:hint="eastAsia" w:ascii="Times New Roman" w:hAnsi="Times New Roman" w:cs="Times New Roman"/>
                <w:color w:val="000000" w:themeColor="text1"/>
                <w:sz w:val="21"/>
                <w:szCs w:val="21"/>
                <w:lang w:val="en-US" w:eastAsia="zh-CN"/>
                <w14:textFill>
                  <w14:solidFill>
                    <w14:schemeClr w14:val="tx1"/>
                  </w14:solidFill>
                </w14:textFill>
              </w:rPr>
              <w:t>经过空气稀释扩散</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ind w:firstLine="0" w:firstLineChars="0"/>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984" w:type="dxa"/>
            <w:vAlign w:val="center"/>
          </w:tcPr>
          <w:p>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《大气污染物综合排放标准》（GB16297—1996）表2中二级标准限值</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即</w:t>
            </w:r>
            <w:r>
              <w:rPr>
                <w:rFonts w:hint="default" w:ascii="Times New Roman" w:hAnsi="Times New Roman" w:eastAsia="宋体" w:cs="Times New Roman"/>
                <w:color w:val="000000" w:themeColor="text1"/>
                <w:lang w:val="en-US" w:eastAsia="zh-CN"/>
                <w14:textFill>
                  <w14:solidFill>
                    <w14:schemeClr w14:val="tx1"/>
                  </w14:solidFill>
                </w14:textFill>
              </w:rPr>
              <w:t>非甲烷总烃</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4.0</w:t>
            </w:r>
            <w:r>
              <w:rPr>
                <w:rFonts w:hint="default" w:ascii="Times New Roman" w:hAnsi="Times New Roman" w:eastAsia="宋体" w:cs="Times New Roman"/>
                <w:color w:val="000000" w:themeColor="text1"/>
                <w14:textFill>
                  <w14:solidFill>
                    <w14:schemeClr w14:val="tx1"/>
                  </w14:solidFill>
                </w14:textFill>
              </w:rPr>
              <w:t>mg/m³</w:t>
            </w:r>
            <w:r>
              <w:rPr>
                <w:rFonts w:hint="default" w:ascii="Times New Roman" w:hAnsi="Times New Roman" w:eastAsia="宋体" w:cs="Times New Roman"/>
                <w:color w:val="000000" w:themeColor="text1"/>
                <w:lang w:val="en-US" w:eastAsia="zh-CN"/>
                <w14:textFill>
                  <w14:solidFill>
                    <w14:schemeClr w14:val="tx1"/>
                  </w14:solidFill>
                </w14:textFill>
              </w:rPr>
              <w:t>（无组织）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1" w:hRule="atLeast"/>
          <w:jc w:val="center"/>
        </w:trPr>
        <w:tc>
          <w:tcPr>
            <w:tcW w:w="1112" w:type="dxa"/>
            <w:vMerge w:val="continue"/>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p>
        </w:tc>
        <w:tc>
          <w:tcPr>
            <w:tcW w:w="1701" w:type="dxa"/>
            <w:vAlign w:val="center"/>
          </w:tcPr>
          <w:p>
            <w:pPr>
              <w:pStyle w:val="49"/>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厂区内</w:t>
            </w:r>
          </w:p>
        </w:tc>
        <w:tc>
          <w:tcPr>
            <w:tcW w:w="1408" w:type="dxa"/>
            <w:vAlign w:val="center"/>
          </w:tcPr>
          <w:p>
            <w:pPr>
              <w:pStyle w:val="4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14:textFill>
                  <w14:solidFill>
                    <w14:schemeClr w14:val="tx1"/>
                  </w14:solidFill>
                </w14:textFill>
              </w:rPr>
              <w:t>无组织非甲烷总烃</w:t>
            </w:r>
          </w:p>
        </w:tc>
        <w:tc>
          <w:tcPr>
            <w:tcW w:w="2595" w:type="dxa"/>
            <w:vAlign w:val="center"/>
          </w:tcPr>
          <w:p>
            <w:pPr>
              <w:pStyle w:val="49"/>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cs="Times New Roman"/>
                <w:color w:val="000000" w:themeColor="text1"/>
                <w:lang w:eastAsia="zh-CN"/>
                <w14:textFill>
                  <w14:solidFill>
                    <w14:schemeClr w14:val="tx1"/>
                  </w14:solidFill>
                </w14:textFill>
              </w:rPr>
              <w:t>经过空气稀释扩散</w:t>
            </w:r>
          </w:p>
        </w:tc>
        <w:tc>
          <w:tcPr>
            <w:tcW w:w="1984" w:type="dxa"/>
            <w:vAlign w:val="center"/>
          </w:tcPr>
          <w:p>
            <w:pPr>
              <w:pStyle w:val="4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《挥发性有机物无组织排放控制标准》（GB37822-2019）无组织排放限值</w:t>
            </w:r>
            <w:r>
              <w:rPr>
                <w:rFonts w:hint="eastAsia" w:ascii="Times New Roman"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即监控点处1h平均浓度≦10mg/m³、监控点处任意一次浓度≦30mg/m³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Merge w:val="continue"/>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p>
        </w:tc>
        <w:tc>
          <w:tcPr>
            <w:tcW w:w="1701"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食堂厨房</w:t>
            </w:r>
          </w:p>
        </w:tc>
        <w:tc>
          <w:tcPr>
            <w:tcW w:w="1408" w:type="dxa"/>
            <w:vAlign w:val="center"/>
          </w:tcPr>
          <w:p>
            <w:pPr>
              <w:pStyle w:val="45"/>
              <w:spacing w:before="95"/>
              <w:ind w:right="84"/>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油烟废气</w:t>
            </w:r>
          </w:p>
        </w:tc>
        <w:tc>
          <w:tcPr>
            <w:tcW w:w="2595" w:type="dxa"/>
            <w:vAlign w:val="center"/>
          </w:tcPr>
          <w:p>
            <w:pPr>
              <w:pStyle w:val="45"/>
              <w:spacing w:before="95"/>
              <w:ind w:right="84"/>
              <w:jc w:val="both"/>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经过</w:t>
            </w:r>
            <w:r>
              <w:rPr>
                <w:rFonts w:hint="default" w:ascii="Times New Roman" w:hAnsi="Times New Roman" w:eastAsia="宋体" w:cs="Times New Roman"/>
                <w:color w:val="000000" w:themeColor="text1"/>
                <w:szCs w:val="21"/>
                <w14:textFill>
                  <w14:solidFill>
                    <w14:schemeClr w14:val="tx1"/>
                  </w14:solidFill>
                </w14:textFill>
              </w:rPr>
              <w:t>油烟净化设施处理后</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通过油烟排放管道排放。</w:t>
            </w:r>
          </w:p>
        </w:tc>
        <w:tc>
          <w:tcPr>
            <w:tcW w:w="1984" w:type="dxa"/>
            <w:vAlign w:val="center"/>
          </w:tcPr>
          <w:p>
            <w:pPr>
              <w:pStyle w:val="45"/>
              <w:spacing w:before="95"/>
              <w:ind w:right="84"/>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执行《饮食业油烟排放标准》（试行）（GB18483-2001）小型规模标准要求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12"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p>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地表水环境</w:t>
            </w:r>
          </w:p>
        </w:tc>
        <w:tc>
          <w:tcPr>
            <w:tcW w:w="1701"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生活废水、食堂废水</w:t>
            </w:r>
          </w:p>
        </w:tc>
        <w:tc>
          <w:tcPr>
            <w:tcW w:w="1408"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CODcr、BOD</w:t>
            </w:r>
            <w:r>
              <w:rPr>
                <w:rFonts w:hint="default" w:ascii="Times New Roman" w:hAnsi="Times New Roman" w:eastAsia="宋体" w:cs="Times New Roman"/>
                <w:color w:val="000000" w:themeColor="text1"/>
                <w:szCs w:val="21"/>
                <w:vertAlign w:val="subscript"/>
                <w14:textFill>
                  <w14:solidFill>
                    <w14:schemeClr w14:val="tx1"/>
                  </w14:solidFill>
                </w14:textFill>
              </w:rPr>
              <w:t>5</w:t>
            </w:r>
            <w:r>
              <w:rPr>
                <w:rFonts w:hint="default" w:ascii="Times New Roman" w:hAnsi="Times New Roman" w:eastAsia="宋体" w:cs="Times New Roman"/>
                <w:color w:val="000000" w:themeColor="text1"/>
                <w:szCs w:val="21"/>
                <w14:textFill>
                  <w14:solidFill>
                    <w14:schemeClr w14:val="tx1"/>
                  </w14:solidFill>
                </w14:textFill>
              </w:rPr>
              <w:t>、氨氮、总磷、动植物油、粪大肠菌、SS</w:t>
            </w:r>
          </w:p>
        </w:tc>
        <w:tc>
          <w:tcPr>
            <w:tcW w:w="2595"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项目食堂废水先经隔油池处理后</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再同生活污水排入</w:t>
            </w:r>
            <w:r>
              <w:rPr>
                <w:rFonts w:hint="default" w:ascii="Times New Roman" w:hAnsi="Times New Roman" w:eastAsia="宋体" w:cs="Times New Roman"/>
                <w:color w:val="000000" w:themeColor="text1"/>
                <w:spacing w:val="-6"/>
                <w:szCs w:val="21"/>
                <w:lang w:val="en-US"/>
                <w14:textFill>
                  <w14:solidFill>
                    <w14:schemeClr w14:val="tx1"/>
                  </w14:solidFill>
                </w14:textFill>
              </w:rPr>
              <w:t>依托</w:t>
            </w:r>
            <w:r>
              <w:rPr>
                <w:rFonts w:hint="default" w:ascii="Times New Roman" w:hAnsi="Times New Roman" w:eastAsia="宋体" w:cs="Times New Roman"/>
                <w:color w:val="000000" w:themeColor="text1"/>
                <w:szCs w:val="21"/>
                <w:lang w:eastAsia="zh-CN"/>
                <w14:textFill>
                  <w14:solidFill>
                    <w14:schemeClr w14:val="tx1"/>
                  </w14:solidFill>
                </w14:textFill>
              </w:rPr>
              <w:t>云南晋宁宏奥电梯有限公司</w:t>
            </w:r>
            <w:r>
              <w:rPr>
                <w:rFonts w:hint="default" w:ascii="Times New Roman" w:hAnsi="Times New Roman" w:eastAsia="宋体" w:cs="Times New Roman"/>
                <w:color w:val="000000" w:themeColor="text1"/>
                <w:szCs w:val="21"/>
                <w14:textFill>
                  <w14:solidFill>
                    <w14:schemeClr w14:val="tx1"/>
                  </w14:solidFill>
                </w14:textFill>
              </w:rPr>
              <w:t>的化粪池</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经处理后可满足《污水排入城镇下水道</w:t>
            </w:r>
          </w:p>
          <w:p>
            <w:pPr>
              <w:pStyle w:val="45"/>
              <w:spacing w:before="95"/>
              <w:ind w:right="84"/>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水质标准》（GB/T31962-2015）表1中A级标准后排入园区管网</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最终进入</w:t>
            </w:r>
            <w:r>
              <w:rPr>
                <w:rFonts w:hint="default" w:ascii="Times New Roman" w:hAnsi="Times New Roman" w:eastAsia="宋体" w:cs="Times New Roman"/>
                <w:color w:val="000000" w:themeColor="text1"/>
                <w:szCs w:val="21"/>
                <w:lang w:eastAsia="zh-CN"/>
                <w14:textFill>
                  <w14:solidFill>
                    <w14:schemeClr w14:val="tx1"/>
                  </w14:solidFill>
                </w14:textFill>
              </w:rPr>
              <w:t>晋宁县工业园区二街片区生活污水处理厂</w:t>
            </w:r>
            <w:r>
              <w:rPr>
                <w:rFonts w:hint="default" w:ascii="Times New Roman" w:hAnsi="Times New Roman" w:eastAsia="宋体" w:cs="Times New Roman"/>
                <w:color w:val="000000" w:themeColor="text1"/>
                <w:szCs w:val="21"/>
                <w14:textFill>
                  <w14:solidFill>
                    <w14:schemeClr w14:val="tx1"/>
                  </w14:solidFill>
                </w14:textFill>
              </w:rPr>
              <w:t>处理。不外排。</w:t>
            </w:r>
          </w:p>
        </w:tc>
        <w:tc>
          <w:tcPr>
            <w:tcW w:w="1984"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执行</w:t>
            </w:r>
            <w:r>
              <w:rPr>
                <w:rFonts w:hint="default" w:ascii="Times New Roman" w:hAnsi="Times New Roman" w:eastAsia="宋体" w:cs="Times New Roman"/>
                <w:color w:val="000000" w:themeColor="text1"/>
                <w:szCs w:val="21"/>
                <w14:textFill>
                  <w14:solidFill>
                    <w14:schemeClr w14:val="tx1"/>
                  </w14:solidFill>
                </w14:textFill>
              </w:rPr>
              <w:t>GB/T31962-2015《污水排入城镇下水道水质标准》(表1) A等级标准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声环境</w:t>
            </w:r>
          </w:p>
        </w:tc>
        <w:tc>
          <w:tcPr>
            <w:tcW w:w="1701"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生产设备</w:t>
            </w:r>
          </w:p>
        </w:tc>
        <w:tc>
          <w:tcPr>
            <w:tcW w:w="1408"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设备噪声</w:t>
            </w:r>
          </w:p>
        </w:tc>
        <w:tc>
          <w:tcPr>
            <w:tcW w:w="2595" w:type="dxa"/>
            <w:vAlign w:val="center"/>
          </w:tcPr>
          <w:p>
            <w:pPr>
              <w:pStyle w:val="45"/>
              <w:spacing w:before="1"/>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①尽量选用低噪声设备；</w:t>
            </w:r>
          </w:p>
          <w:p>
            <w:pPr>
              <w:pStyle w:val="45"/>
              <w:spacing w:before="2" w:line="242" w:lineRule="auto"/>
              <w:ind w:right="47"/>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②合理布局生产设备</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将高噪声设备尽量设置在车间内；</w:t>
            </w:r>
          </w:p>
          <w:p>
            <w:pPr>
              <w:pStyle w:val="45"/>
              <w:spacing w:before="2" w:line="244" w:lineRule="auto"/>
              <w:ind w:right="291"/>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③对高噪声设备中的机械噪声源进行加减震垫降噪；</w:t>
            </w:r>
          </w:p>
          <w:p>
            <w:pPr>
              <w:pStyle w:val="45"/>
              <w:spacing w:line="265" w:lineRule="exact"/>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④加强生产设备的维修、管理</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保证生产设备处于低噪、高效状态；</w:t>
            </w:r>
          </w:p>
        </w:tc>
        <w:tc>
          <w:tcPr>
            <w:tcW w:w="1984" w:type="dxa"/>
            <w:vAlign w:val="center"/>
          </w:tcPr>
          <w:p>
            <w:pPr>
              <w:pStyle w:val="45"/>
              <w:spacing w:before="95"/>
              <w:ind w:right="84"/>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本项目东、</w:t>
            </w:r>
            <w:r>
              <w:rPr>
                <w:rFonts w:hint="default" w:ascii="Times New Roman" w:hAnsi="Times New Roman" w:eastAsia="宋体" w:cs="Times New Roman"/>
                <w:color w:val="000000" w:themeColor="text1"/>
                <w:szCs w:val="21"/>
                <w:lang w:val="en-US" w:eastAsia="zh-CN"/>
                <w14:textFill>
                  <w14:solidFill>
                    <w14:schemeClr w14:val="tx1"/>
                  </w14:solidFill>
                </w14:textFill>
              </w:rPr>
              <w:t>南、</w:t>
            </w:r>
            <w:r>
              <w:rPr>
                <w:rFonts w:hint="default" w:ascii="Times New Roman" w:hAnsi="Times New Roman" w:eastAsia="宋体" w:cs="Times New Roman"/>
                <w:color w:val="000000" w:themeColor="text1"/>
                <w:szCs w:val="21"/>
                <w:lang w:val="en-US"/>
                <w14:textFill>
                  <w14:solidFill>
                    <w14:schemeClr w14:val="tx1"/>
                  </w14:solidFill>
                </w14:textFill>
              </w:rPr>
              <w:t>西、北侧厂界噪声执行《工业企业厂界环境噪声排放标准》（GB12348-2008）3类</w:t>
            </w:r>
            <w:r>
              <w:rPr>
                <w:rFonts w:hint="default" w:ascii="Times New Roman" w:hAnsi="Times New Roman" w:eastAsia="宋体" w:cs="Times New Roman"/>
                <w:color w:val="000000" w:themeColor="text1"/>
                <w:szCs w:val="21"/>
                <w:lang w:val="en-US" w:eastAsia="zh-CN"/>
                <w14:textFill>
                  <w14:solidFill>
                    <w14:schemeClr w14:val="tx1"/>
                  </w14:solidFill>
                </w14:textFill>
              </w:rPr>
              <w:t>区</w:t>
            </w:r>
            <w:r>
              <w:rPr>
                <w:rFonts w:hint="default" w:ascii="Times New Roman" w:hAnsi="Times New Roman" w:eastAsia="宋体" w:cs="Times New Roman"/>
                <w:color w:val="000000" w:themeColor="text1"/>
                <w:szCs w:val="21"/>
                <w:lang w:val="en-US"/>
                <w14:textFill>
                  <w14:solidFill>
                    <w14:schemeClr w14:val="tx1"/>
                  </w14:solidFill>
                </w14:textFill>
              </w:rPr>
              <w:t>标准</w:t>
            </w:r>
            <w:r>
              <w:rPr>
                <w:rFonts w:hint="eastAsia"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电磁辐射</w:t>
            </w:r>
          </w:p>
        </w:tc>
        <w:tc>
          <w:tcPr>
            <w:tcW w:w="1701"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1408"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2595"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1984"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固体废物</w:t>
            </w:r>
          </w:p>
        </w:tc>
        <w:tc>
          <w:tcPr>
            <w:tcW w:w="7688" w:type="dxa"/>
            <w:gridSpan w:val="4"/>
            <w:vAlign w:val="center"/>
          </w:tcPr>
          <w:p>
            <w:pPr>
              <w:pStyle w:val="45"/>
              <w:spacing w:before="95"/>
              <w:ind w:left="90" w:right="84"/>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①生活垃圾</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隔油池油污</w:t>
            </w:r>
            <w:r>
              <w:rPr>
                <w:rFonts w:hint="default" w:ascii="Times New Roman" w:hAnsi="Times New Roman" w:eastAsia="宋体" w:cs="Times New Roman"/>
                <w:color w:val="000000" w:themeColor="text1"/>
                <w:szCs w:val="21"/>
                <w14:textFill>
                  <w14:solidFill>
                    <w14:schemeClr w14:val="tx1"/>
                  </w14:solidFill>
                </w14:textFill>
              </w:rPr>
              <w:t>委托环卫部门清运处置；</w:t>
            </w:r>
          </w:p>
          <w:p>
            <w:pPr>
              <w:pStyle w:val="45"/>
              <w:spacing w:before="95"/>
              <w:ind w:left="90" w:right="84"/>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②</w:t>
            </w:r>
            <w:r>
              <w:rPr>
                <w:rFonts w:hint="default" w:ascii="Times New Roman" w:hAnsi="Times New Roman" w:eastAsia="宋体" w:cs="Times New Roman"/>
                <w:b w:val="0"/>
                <w:bCs w:val="0"/>
                <w:color w:val="000000" w:themeColor="text1"/>
                <w14:textFill>
                  <w14:solidFill>
                    <w14:schemeClr w14:val="tx1"/>
                  </w14:solidFill>
                </w14:textFill>
              </w:rPr>
              <w:t>废原料桶</w:t>
            </w:r>
            <w:r>
              <w:rPr>
                <w:rFonts w:hint="default" w:ascii="Times New Roman" w:hAnsi="Times New Roman" w:eastAsia="宋体" w:cs="Times New Roman"/>
                <w:b w:val="0"/>
                <w:bCs w:val="0"/>
                <w:color w:val="000000" w:themeColor="text1"/>
                <w:lang w:val="en-US" w:eastAsia="zh-CN"/>
                <w14:textFill>
                  <w14:solidFill>
                    <w14:schemeClr w14:val="tx1"/>
                  </w14:solidFill>
                </w14:textFill>
              </w:rPr>
              <w:t>与</w:t>
            </w:r>
            <w:r>
              <w:rPr>
                <w:rFonts w:hint="default" w:ascii="Times New Roman" w:hAnsi="Times New Roman" w:eastAsia="宋体" w:cs="Times New Roman"/>
                <w:b w:val="0"/>
                <w:bCs w:val="0"/>
                <w:color w:val="000000" w:themeColor="text1"/>
                <w:lang w:eastAsia="zh-CN"/>
                <w14:textFill>
                  <w14:solidFill>
                    <w14:schemeClr w14:val="tx1"/>
                  </w14:solidFill>
                </w14:textFill>
              </w:rPr>
              <w:t>原生产厂家签订回收协议</w:t>
            </w:r>
            <w:r>
              <w:rPr>
                <w:rFonts w:hint="eastAsia" w:ascii="Times New Roman" w:hAnsi="Times New Roman" w:eastAsia="宋体"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14:textFill>
                  <w14:solidFill>
                    <w14:schemeClr w14:val="tx1"/>
                  </w14:solidFill>
                </w14:textFill>
              </w:rPr>
              <w:t>废编织袋定期外售废品回收站</w:t>
            </w:r>
            <w:r>
              <w:rPr>
                <w:rFonts w:hint="default" w:ascii="Times New Roman" w:hAnsi="Times New Roman" w:eastAsia="宋体" w:cs="Times New Roman"/>
                <w:color w:val="000000" w:themeColor="text1"/>
                <w:szCs w:val="21"/>
                <w14:textFill>
                  <w14:solidFill>
                    <w14:schemeClr w14:val="tx1"/>
                  </w14:solidFill>
                </w14:textFill>
              </w:rPr>
              <w:t>；</w:t>
            </w:r>
          </w:p>
          <w:p>
            <w:pPr>
              <w:pStyle w:val="45"/>
              <w:spacing w:before="95"/>
              <w:ind w:left="90" w:right="84"/>
              <w:jc w:val="left"/>
              <w:rPr>
                <w:rFonts w:hint="eastAsia"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fldChar w:fldCharType="begin"/>
            </w:r>
            <w:r>
              <w:rPr>
                <w:rFonts w:hint="default" w:ascii="Times New Roman" w:hAnsi="Times New Roman" w:eastAsia="宋体" w:cs="Times New Roman"/>
                <w:color w:val="000000" w:themeColor="text1"/>
                <w:szCs w:val="21"/>
                <w14:textFill>
                  <w14:solidFill>
                    <w14:schemeClr w14:val="tx1"/>
                  </w14:solidFill>
                </w14:textFill>
              </w:rPr>
              <w:instrText xml:space="preserve"> = 3 \* GB3 \* MERGEFORMAT </w:instrText>
            </w:r>
            <w:r>
              <w:rPr>
                <w:rFonts w:hint="default" w:ascii="Times New Roman" w:hAnsi="Times New Roman" w:eastAsia="宋体" w:cs="Times New Roman"/>
                <w:color w:val="000000" w:themeColor="text1"/>
                <w:szCs w:val="2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③</w:t>
            </w:r>
            <w:r>
              <w:rPr>
                <w:rFonts w:hint="default" w:ascii="Times New Roman" w:hAnsi="Times New Roman" w:eastAsia="宋体" w:cs="Times New Roman"/>
                <w:color w:val="000000" w:themeColor="text1"/>
                <w:szCs w:val="21"/>
                <w14:textFill>
                  <w14:solidFill>
                    <w14:schemeClr w14:val="tx1"/>
                  </w14:solidFill>
                </w14:textFill>
              </w:rPr>
              <w:fldChar w:fldCharType="end"/>
            </w:r>
            <w:r>
              <w:rPr>
                <w:rFonts w:hint="default" w:ascii="Times New Roman" w:hAnsi="Times New Roman" w:eastAsia="宋体" w:cs="Times New Roman"/>
                <w:color w:val="000000" w:themeColor="text1"/>
                <w:szCs w:val="21"/>
                <w:lang w:val="en-US"/>
                <w14:textFill>
                  <w14:solidFill>
                    <w14:schemeClr w14:val="tx1"/>
                  </w14:solidFill>
                </w14:textFill>
              </w:rPr>
              <w:t>废机油</w:t>
            </w:r>
            <w:r>
              <w:rPr>
                <w:rFonts w:hint="default" w:ascii="Times New Roman" w:hAnsi="Times New Roman" w:eastAsia="宋体" w:cs="Times New Roman"/>
                <w:color w:val="000000" w:themeColor="text1"/>
                <w:szCs w:val="21"/>
                <w14:textFill>
                  <w14:solidFill>
                    <w14:schemeClr w14:val="tx1"/>
                  </w14:solidFill>
                </w14:textFill>
              </w:rPr>
              <w:t>使用高密度的聚丙烯桶进行收集</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并将收集容器贴上标签</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设置警告牌</w:t>
            </w:r>
            <w:r>
              <w:rPr>
                <w:rFonts w:hint="eastAsia" w:ascii="Times New Roman" w:hAnsi="Times New Roman" w:cs="Times New Roman"/>
                <w:color w:val="000000" w:themeColor="text1"/>
                <w:szCs w:val="21"/>
                <w:lang w:eastAsia="zh-CN"/>
                <w14:textFill>
                  <w14:solidFill>
                    <w14:schemeClr w14:val="tx1"/>
                  </w14:solidFill>
                </w14:textFill>
              </w:rPr>
              <w:t>，</w:t>
            </w:r>
          </w:p>
          <w:p>
            <w:pPr>
              <w:pStyle w:val="45"/>
              <w:spacing w:before="95"/>
              <w:ind w:right="84"/>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与</w:t>
            </w:r>
            <w:r>
              <w:rPr>
                <w:rFonts w:hint="default" w:ascii="Times New Roman" w:hAnsi="Times New Roman" w:eastAsia="宋体" w:cs="Times New Roman"/>
                <w:color w:val="000000" w:themeColor="text1"/>
                <w:szCs w:val="21"/>
                <w14:textFill>
                  <w14:solidFill>
                    <w14:schemeClr w14:val="tx1"/>
                  </w14:solidFill>
                </w14:textFill>
              </w:rPr>
              <w:t>废活性炭统一暂存于危废暂存间内</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委托有资质的单位处理</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建立相关台账管理记录。固体废物处置率 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112" w:type="dxa"/>
            <w:vAlign w:val="center"/>
          </w:tcPr>
          <w:p>
            <w:pPr>
              <w:pStyle w:val="45"/>
              <w:spacing w:before="95"/>
              <w:ind w:left="90" w:right="84"/>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土壤及地下水污染防治措施</w:t>
            </w:r>
          </w:p>
        </w:tc>
        <w:tc>
          <w:tcPr>
            <w:tcW w:w="7688" w:type="dxa"/>
            <w:gridSpan w:val="4"/>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112"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生态保护措施</w:t>
            </w:r>
          </w:p>
        </w:tc>
        <w:tc>
          <w:tcPr>
            <w:tcW w:w="7688" w:type="dxa"/>
            <w:gridSpan w:val="4"/>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厂区四周设置乔木、灌木及草本植物。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环境风</w:t>
            </w:r>
          </w:p>
          <w:p>
            <w:pPr>
              <w:pStyle w:val="45"/>
              <w:spacing w:before="95"/>
              <w:ind w:left="90" w:right="84"/>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险防范措施</w:t>
            </w:r>
          </w:p>
        </w:tc>
        <w:tc>
          <w:tcPr>
            <w:tcW w:w="7688" w:type="dxa"/>
            <w:gridSpan w:val="4"/>
            <w:vAlign w:val="center"/>
          </w:tcPr>
          <w:p>
            <w:pPr>
              <w:pStyle w:val="45"/>
              <w:spacing w:before="3" w:line="242" w:lineRule="auto"/>
              <w:ind w:right="88"/>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①机油及维修产生的废机油需有专门的房间储存废机油暂存间设计满足“防风、防雨、防晒、防渗漏”要求</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并设置导流槽及事故收集池</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警示标识等。使用高密度的聚丙烯桶对废机油进行收集</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并将收集容器贴上标签</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设置警告牌</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将其统一暂存于危废暂存间内</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定期委托有资质的单位处理</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建立相关台账管理记录。</w:t>
            </w:r>
          </w:p>
          <w:p>
            <w:pPr>
              <w:pStyle w:val="45"/>
              <w:spacing w:before="3" w:line="242" w:lineRule="auto"/>
              <w:ind w:right="88"/>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fldChar w:fldCharType="begin"/>
            </w:r>
            <w:r>
              <w:rPr>
                <w:rFonts w:hint="default" w:ascii="Times New Roman" w:hAnsi="Times New Roman" w:eastAsia="宋体" w:cs="Times New Roman"/>
                <w:color w:val="000000" w:themeColor="text1"/>
                <w:szCs w:val="21"/>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②</w:t>
            </w:r>
            <w:r>
              <w:rPr>
                <w:rFonts w:hint="default" w:ascii="Times New Roman" w:hAnsi="Times New Roman" w:eastAsia="宋体" w:cs="Times New Roman"/>
                <w:color w:val="000000" w:themeColor="text1"/>
                <w:szCs w:val="21"/>
                <w14:textFill>
                  <w14:solidFill>
                    <w14:schemeClr w14:val="tx1"/>
                  </w14:solidFill>
                </w14:textFill>
              </w:rPr>
              <w:fldChar w:fldCharType="end"/>
            </w:r>
            <w:r>
              <w:rPr>
                <w:rFonts w:hint="default" w:ascii="Times New Roman" w:hAnsi="Times New Roman" w:eastAsia="宋体" w:cs="Times New Roman"/>
                <w:color w:val="000000" w:themeColor="text1"/>
                <w:szCs w:val="21"/>
                <w14:textFill>
                  <w14:solidFill>
                    <w14:schemeClr w14:val="tx1"/>
                  </w14:solidFill>
                </w14:textFill>
              </w:rPr>
              <w:t>应急处理：迅速撤离火灾污染区人员至上风处</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并立即进行隔离</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若发生爆炸事故</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撤离距离需加长</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并严格限制出入。</w:t>
            </w:r>
          </w:p>
          <w:p>
            <w:pPr>
              <w:pStyle w:val="45"/>
              <w:spacing w:before="3" w:line="242" w:lineRule="auto"/>
              <w:ind w:right="88"/>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fldChar w:fldCharType="begin"/>
            </w:r>
            <w:r>
              <w:rPr>
                <w:rFonts w:hint="default" w:ascii="Times New Roman" w:hAnsi="Times New Roman" w:eastAsia="宋体" w:cs="Times New Roman"/>
                <w:color w:val="000000" w:themeColor="text1"/>
                <w:szCs w:val="21"/>
                <w14:textFill>
                  <w14:solidFill>
                    <w14:schemeClr w14:val="tx1"/>
                  </w14:solidFill>
                </w14:textFill>
              </w:rPr>
              <w:instrText xml:space="preserve"> = 3 \* GB3 \* MERGEFORMAT </w:instrText>
            </w:r>
            <w:r>
              <w:rPr>
                <w:rFonts w:hint="default" w:ascii="Times New Roman" w:hAnsi="Times New Roman" w:eastAsia="宋体" w:cs="Times New Roman"/>
                <w:color w:val="000000" w:themeColor="text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③</w:t>
            </w:r>
            <w:r>
              <w:rPr>
                <w:rFonts w:hint="default" w:ascii="Times New Roman" w:hAnsi="Times New Roman" w:eastAsia="宋体" w:cs="Times New Roman"/>
                <w:color w:val="000000" w:themeColor="text1"/>
                <w:szCs w:val="21"/>
                <w14:textFill>
                  <w14:solidFill>
                    <w14:schemeClr w14:val="tx1"/>
                  </w14:solidFill>
                </w14:textFill>
              </w:rPr>
              <w:fldChar w:fldCharType="end"/>
            </w:r>
            <w:r>
              <w:rPr>
                <w:rFonts w:hint="default" w:ascii="Times New Roman" w:hAnsi="Times New Roman" w:eastAsia="宋体" w:cs="Times New Roman"/>
                <w:color w:val="000000" w:themeColor="text1"/>
                <w:szCs w:val="21"/>
                <w14:textFill>
                  <w14:solidFill>
                    <w14:schemeClr w14:val="tx1"/>
                  </w14:solidFill>
                </w14:textFill>
              </w:rPr>
              <w:t>制定操作管理规程</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并对相关人员进行培训</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配备相关措施。</w:t>
            </w:r>
          </w:p>
          <w:p>
            <w:pPr>
              <w:pStyle w:val="45"/>
              <w:spacing w:before="3" w:line="242" w:lineRule="auto"/>
              <w:ind w:right="88"/>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fldChar w:fldCharType="begin"/>
            </w:r>
            <w:r>
              <w:rPr>
                <w:rFonts w:hint="default" w:ascii="Times New Roman" w:hAnsi="Times New Roman" w:eastAsia="宋体" w:cs="Times New Roman"/>
                <w:color w:val="000000" w:themeColor="text1"/>
                <w:szCs w:val="21"/>
                <w14:textFill>
                  <w14:solidFill>
                    <w14:schemeClr w14:val="tx1"/>
                  </w14:solidFill>
                </w14:textFill>
              </w:rPr>
              <w:instrText xml:space="preserve"> = 4 \* GB3 \* MERGEFORMAT </w:instrText>
            </w:r>
            <w:r>
              <w:rPr>
                <w:rFonts w:hint="default" w:ascii="Times New Roman" w:hAnsi="Times New Roman" w:eastAsia="宋体" w:cs="Times New Roman"/>
                <w:color w:val="000000" w:themeColor="text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④</w:t>
            </w:r>
            <w:r>
              <w:rPr>
                <w:rFonts w:hint="default" w:ascii="Times New Roman" w:hAnsi="Times New Roman" w:eastAsia="宋体" w:cs="Times New Roman"/>
                <w:color w:val="000000" w:themeColor="text1"/>
                <w:szCs w:val="21"/>
                <w14:textFill>
                  <w14:solidFill>
                    <w14:schemeClr w14:val="tx1"/>
                  </w14:solidFill>
                </w14:textFill>
              </w:rPr>
              <w:fldChar w:fldCharType="end"/>
            </w:r>
            <w:r>
              <w:rPr>
                <w:rFonts w:hint="default" w:ascii="Times New Roman" w:hAnsi="Times New Roman" w:eastAsia="宋体" w:cs="Times New Roman"/>
                <w:color w:val="000000" w:themeColor="text1"/>
                <w:szCs w:val="21"/>
                <w14:textFill>
                  <w14:solidFill>
                    <w14:schemeClr w14:val="tx1"/>
                  </w14:solidFill>
                </w14:textFill>
              </w:rPr>
              <w:t>严格规范员工操作</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做好防护措施</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加强职工的安全教育</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提高安全素质</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严格执行作业规程</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严禁无证上岗</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严禁违章作业</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防止因失误操作造成环境风险事故的发生；</w:t>
            </w:r>
          </w:p>
          <w:p>
            <w:pPr>
              <w:pStyle w:val="45"/>
              <w:spacing w:before="3" w:line="242" w:lineRule="auto"/>
              <w:ind w:right="88"/>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fldChar w:fldCharType="begin"/>
            </w:r>
            <w:r>
              <w:rPr>
                <w:rFonts w:hint="default" w:ascii="Times New Roman" w:hAnsi="Times New Roman" w:eastAsia="宋体" w:cs="Times New Roman"/>
                <w:color w:val="000000" w:themeColor="text1"/>
                <w:szCs w:val="21"/>
                <w14:textFill>
                  <w14:solidFill>
                    <w14:schemeClr w14:val="tx1"/>
                  </w14:solidFill>
                </w14:textFill>
              </w:rPr>
              <w:instrText xml:space="preserve"> = 5 \* GB3 \* MERGEFORMAT </w:instrText>
            </w:r>
            <w:r>
              <w:rPr>
                <w:rFonts w:hint="default" w:ascii="Times New Roman" w:hAnsi="Times New Roman" w:eastAsia="宋体" w:cs="Times New Roman"/>
                <w:color w:val="000000" w:themeColor="text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⑤</w:t>
            </w:r>
            <w:r>
              <w:rPr>
                <w:rFonts w:hint="default" w:ascii="Times New Roman" w:hAnsi="Times New Roman" w:eastAsia="宋体" w:cs="Times New Roman"/>
                <w:color w:val="000000" w:themeColor="text1"/>
                <w:szCs w:val="21"/>
                <w14:textFill>
                  <w14:solidFill>
                    <w14:schemeClr w14:val="tx1"/>
                  </w14:solidFill>
                </w14:textFill>
              </w:rPr>
              <w:fldChar w:fldCharType="end"/>
            </w:r>
            <w:r>
              <w:rPr>
                <w:rFonts w:hint="default" w:ascii="Times New Roman" w:hAnsi="Times New Roman" w:eastAsia="宋体" w:cs="Times New Roman"/>
                <w:color w:val="000000" w:themeColor="text1"/>
                <w:szCs w:val="21"/>
                <w14:textFill>
                  <w14:solidFill>
                    <w14:schemeClr w14:val="tx1"/>
                  </w14:solidFill>
                </w14:textFill>
              </w:rPr>
              <w:t>为保证企业及人民生命财产的安全</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防止突发性重大化学事故发生</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并在发生事故时</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能迅速有序地开展救援工作</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尽最大努力减少事故的危害和损失</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项目应编制相关的应急预案。</w:t>
            </w:r>
          </w:p>
          <w:p>
            <w:pPr>
              <w:pStyle w:val="45"/>
              <w:spacing w:before="3" w:line="242" w:lineRule="auto"/>
              <w:ind w:right="88"/>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1</w:t>
            </w:r>
            <w:r>
              <w:rPr>
                <w:rFonts w:hint="default" w:ascii="Times New Roman" w:hAnsi="Times New Roman" w:eastAsia="宋体" w:cs="Times New Roman"/>
                <w:color w:val="000000" w:themeColor="text1"/>
                <w:szCs w:val="21"/>
                <w14:textFill>
                  <w14:solidFill>
                    <w14:schemeClr w14:val="tx1"/>
                  </w14:solidFill>
                </w14:textFill>
              </w:rPr>
              <w:t>）加强对施工员工的管理教育</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严禁</w:t>
            </w:r>
            <w:r>
              <w:rPr>
                <w:rFonts w:hint="default" w:ascii="Times New Roman" w:hAnsi="Times New Roman" w:eastAsia="宋体" w:cs="Times New Roman"/>
                <w:color w:val="000000" w:themeColor="text1"/>
                <w:szCs w:val="21"/>
                <w:lang w:val="en-US"/>
                <w14:textFill>
                  <w14:solidFill>
                    <w14:schemeClr w14:val="tx1"/>
                  </w14:solidFill>
                </w14:textFill>
              </w:rPr>
              <w:t>使用明</w:t>
            </w:r>
            <w:r>
              <w:rPr>
                <w:rFonts w:hint="default" w:ascii="Times New Roman" w:hAnsi="Times New Roman" w:eastAsia="宋体" w:cs="Times New Roman"/>
                <w:color w:val="000000" w:themeColor="text1"/>
                <w:szCs w:val="21"/>
                <w14:textFill>
                  <w14:solidFill>
                    <w14:schemeClr w14:val="tx1"/>
                  </w14:solidFill>
                </w14:textFill>
              </w:rPr>
              <w:t>火。</w:t>
            </w:r>
          </w:p>
          <w:p>
            <w:pPr>
              <w:pStyle w:val="45"/>
              <w:spacing w:before="3" w:line="242" w:lineRule="auto"/>
              <w:ind w:right="88"/>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）搞好宣传教育</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进一步工</w:t>
            </w:r>
            <w:r>
              <w:rPr>
                <w:rFonts w:hint="default" w:ascii="Times New Roman" w:hAnsi="Times New Roman" w:eastAsia="宋体" w:cs="Times New Roman"/>
                <w:color w:val="000000" w:themeColor="text1"/>
                <w:szCs w:val="21"/>
                <w:lang w:val="en-US"/>
                <w14:textFill>
                  <w14:solidFill>
                    <w14:schemeClr w14:val="tx1"/>
                  </w14:solidFill>
                </w14:textFill>
              </w:rPr>
              <w:t>作</w:t>
            </w:r>
            <w:r>
              <w:rPr>
                <w:rFonts w:hint="default" w:ascii="Times New Roman" w:hAnsi="Times New Roman" w:eastAsia="宋体" w:cs="Times New Roman"/>
                <w:color w:val="000000" w:themeColor="text1"/>
                <w:szCs w:val="21"/>
                <w14:textFill>
                  <w14:solidFill>
                    <w14:schemeClr w14:val="tx1"/>
                  </w14:solidFill>
                </w14:textFill>
              </w:rPr>
              <w:t>人员的防火自觉性。</w:t>
            </w:r>
          </w:p>
          <w:p>
            <w:pPr>
              <w:pStyle w:val="45"/>
              <w:spacing w:before="3" w:line="242" w:lineRule="auto"/>
              <w:ind w:right="88"/>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）设置预防事故设施：检测、报警设施如设置可燃气体报警仪</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设置安全警示标志等。</w:t>
            </w:r>
          </w:p>
          <w:p>
            <w:pPr>
              <w:pStyle w:val="45"/>
              <w:spacing w:before="3" w:line="242" w:lineRule="auto"/>
              <w:ind w:right="88"/>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4</w:t>
            </w:r>
            <w:r>
              <w:rPr>
                <w:rFonts w:hint="default" w:ascii="Times New Roman" w:hAnsi="Times New Roman" w:eastAsia="宋体" w:cs="Times New Roman"/>
                <w:color w:val="000000" w:themeColor="text1"/>
                <w:szCs w:val="21"/>
                <w14:textFill>
                  <w14:solidFill>
                    <w14:schemeClr w14:val="tx1"/>
                  </w14:solidFill>
                </w14:textFill>
              </w:rPr>
              <w:t>）设置控制事故设施如安全阀、紧急备用电源设施、紧急停车设施等。</w:t>
            </w:r>
          </w:p>
          <w:p>
            <w:pPr>
              <w:pStyle w:val="45"/>
              <w:spacing w:before="3" w:line="242" w:lineRule="auto"/>
              <w:ind w:right="88"/>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5</w:t>
            </w:r>
            <w:r>
              <w:rPr>
                <w:rFonts w:hint="default" w:ascii="Times New Roman" w:hAnsi="Times New Roman" w:eastAsia="宋体" w:cs="Times New Roman"/>
                <w:color w:val="000000" w:themeColor="text1"/>
                <w:szCs w:val="21"/>
                <w14:textFill>
                  <w14:solidFill>
                    <w14:schemeClr w14:val="tx1"/>
                  </w14:solidFill>
                </w14:textFill>
              </w:rPr>
              <w:t>）设置减少与消除事故影响设施如设置防爆墙</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涂刷防火涂料</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设置灭火设施</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配备一定种类和数量的药品及医疗器械</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员工配备劳动防护用品及装备等。</w:t>
            </w:r>
          </w:p>
          <w:p>
            <w:pPr>
              <w:pStyle w:val="45"/>
              <w:spacing w:before="3" w:line="242" w:lineRule="auto"/>
              <w:ind w:right="88"/>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6</w:t>
            </w:r>
            <w:r>
              <w:rPr>
                <w:rFonts w:hint="default" w:ascii="Times New Roman" w:hAnsi="Times New Roman" w:eastAsia="宋体" w:cs="Times New Roman"/>
                <w:color w:val="000000" w:themeColor="text1"/>
                <w:szCs w:val="21"/>
                <w14:textFill>
                  <w14:solidFill>
                    <w14:schemeClr w14:val="tx1"/>
                  </w14:solidFill>
                </w14:textFill>
              </w:rPr>
              <w:t>）严格按照有关法规及规范选址</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防火间距必须满足规范的有关要求</w:t>
            </w:r>
          </w:p>
          <w:p>
            <w:pPr>
              <w:pStyle w:val="45"/>
              <w:spacing w:before="3" w:line="242" w:lineRule="auto"/>
              <w:ind w:right="88"/>
              <w:jc w:val="left"/>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7</w:t>
            </w:r>
            <w:r>
              <w:rPr>
                <w:rFonts w:hint="default" w:ascii="Times New Roman" w:hAnsi="Times New Roman" w:eastAsia="宋体" w:cs="Times New Roman"/>
                <w:color w:val="000000" w:themeColor="text1"/>
                <w:szCs w:val="21"/>
                <w14:textFill>
                  <w14:solidFill>
                    <w14:schemeClr w14:val="tx1"/>
                  </w14:solidFill>
                </w14:textFill>
              </w:rPr>
              <w:t>）加强设计单位相互间的配合</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做好衔接、交叉部分的协调</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减少设计误操作</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使总体设计质量为优。</w:t>
            </w:r>
          </w:p>
          <w:p>
            <w:pPr>
              <w:pStyle w:val="45"/>
              <w:spacing w:before="3" w:line="242" w:lineRule="auto"/>
              <w:ind w:right="88"/>
              <w:jc w:val="left"/>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8</w:t>
            </w:r>
            <w:r>
              <w:rPr>
                <w:rFonts w:hint="default" w:ascii="Times New Roman" w:hAnsi="Times New Roman" w:eastAsia="宋体" w:cs="Times New Roman"/>
                <w:color w:val="000000" w:themeColor="text1"/>
                <w:szCs w:val="21"/>
                <w14:textFill>
                  <w14:solidFill>
                    <w14:schemeClr w14:val="tx1"/>
                  </w14:solidFill>
                </w14:textFill>
              </w:rPr>
              <w:t>）操作注意事项：密闭操作</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全而通风。操作人员必须经过专门培训</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严格遵守操作规程。远离火种、热源。工作场所严禁吸烟。使用防爆型的通风系统和设备。防止气体泄漏到工作场所空气中</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避免与氧化剂、卤素接触。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1112" w:type="dxa"/>
            <w:vAlign w:val="center"/>
          </w:tcPr>
          <w:p>
            <w:pPr>
              <w:pStyle w:val="45"/>
              <w:spacing w:before="95"/>
              <w:ind w:left="90" w:right="84"/>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其他环</w:t>
            </w:r>
          </w:p>
          <w:p>
            <w:pPr>
              <w:pStyle w:val="45"/>
              <w:spacing w:before="95"/>
              <w:ind w:right="84"/>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境管理要求</w:t>
            </w:r>
          </w:p>
        </w:tc>
        <w:tc>
          <w:tcPr>
            <w:tcW w:w="7688" w:type="dxa"/>
            <w:gridSpan w:val="4"/>
            <w:vAlign w:val="center"/>
          </w:tcPr>
          <w:p>
            <w:pPr>
              <w:pStyle w:val="45"/>
              <w:spacing w:line="242" w:lineRule="auto"/>
              <w:ind w:right="88" w:firstLine="420" w:firstLineChars="200"/>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①项目在建设和营运中应认真执行国家、地方环境保护的有关规定和要求。按照当地环保部门的要求及时反映发生的环保问题</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随时接受各级环保部门的检查监督。</w:t>
            </w:r>
          </w:p>
          <w:p>
            <w:pPr>
              <w:pStyle w:val="45"/>
              <w:spacing w:before="95"/>
              <w:ind w:right="84" w:firstLine="420" w:firstLineChars="20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②建设单位以后如需增加本报告表所涉及之外的污染源或对其功能进行改变</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则应按要求向有关环保部门进行申报</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并按污染控制目标采取相应的污染治理措施。</w:t>
            </w:r>
          </w:p>
        </w:tc>
      </w:tr>
    </w:tbl>
    <w:p>
      <w:pPr>
        <w:rPr>
          <w:rFonts w:hint="default" w:ascii="Times New Roman" w:hAnsi="Times New Roman" w:eastAsia="宋体" w:cs="Times New Roman"/>
          <w:color w:val="000000" w:themeColor="text1"/>
          <w:sz w:val="24"/>
          <w14:textFill>
            <w14:solidFill>
              <w14:schemeClr w14:val="tx1"/>
            </w14:solidFill>
          </w14:textFill>
        </w:rPr>
      </w:pPr>
    </w:p>
    <w:p>
      <w:pPr>
        <w:pStyle w:val="23"/>
        <w:jc w:val="center"/>
        <w:outlineLvl w:val="0"/>
        <w:rPr>
          <w:rFonts w:hint="default" w:ascii="Times New Roman" w:hAnsi="Times New Roman" w:eastAsia="宋体" w:cs="Times New Roman"/>
          <w:snapToGrid w:val="0"/>
          <w:color w:val="000000" w:themeColor="text1"/>
          <w:szCs w:val="24"/>
          <w14:textFill>
            <w14:solidFill>
              <w14:schemeClr w14:val="tx1"/>
            </w14:solidFill>
          </w14:textFill>
        </w:rPr>
      </w:pPr>
      <w:r>
        <w:rPr>
          <w:rFonts w:hint="default" w:ascii="Times New Roman" w:hAnsi="Times New Roman" w:eastAsia="宋体" w:cs="Times New Roman"/>
          <w:snapToGrid w:val="0"/>
          <w:color w:val="000000" w:themeColor="text1"/>
          <w:szCs w:val="24"/>
          <w14:textFill>
            <w14:solidFill>
              <w14:schemeClr w14:val="tx1"/>
            </w14:solidFill>
          </w14:textFill>
        </w:rPr>
        <w:br w:type="page"/>
      </w:r>
      <w:bookmarkStart w:id="38" w:name="_Toc8609"/>
      <w:bookmarkStart w:id="39" w:name="_Toc5151"/>
      <w:r>
        <w:rPr>
          <w:rFonts w:hint="default" w:ascii="Times New Roman" w:hAnsi="Times New Roman" w:eastAsia="宋体" w:cs="Times New Roman"/>
          <w:snapToGrid w:val="0"/>
          <w:color w:val="000000" w:themeColor="text1"/>
          <w:szCs w:val="24"/>
          <w14:textFill>
            <w14:solidFill>
              <w14:schemeClr w14:val="tx1"/>
            </w14:solidFill>
          </w14:textFill>
        </w:rPr>
        <w:t>六、结论</w:t>
      </w:r>
      <w:bookmarkEnd w:id="38"/>
      <w:bookmarkEnd w:id="39"/>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本项目符合国家有关产业政策</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符合当地相关政策</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项目贯彻了“总量控制、节能减排、综合利用”的原则。项目厂址区域大气环境、地表水环境、声环境质量现状均能达到相应的标准。项目在各项污染治理措施实施</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确保废水、废渣综合利用</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废气、噪声达标排放的前提下</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不会对地表水、环境空气、声环境产生明显不利影响</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能维持当地环境功能要求。只要严格按照环境影响报告表和工程设计提出的环保对策及措施</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严格执行“三同时”制度</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确保项目所产生的污染物达标排放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则从环保角度本项目的建设运营是可行的。</w:t>
            </w:r>
          </w:p>
        </w:tc>
      </w:tr>
    </w:tbl>
    <w:p>
      <w:pPr>
        <w:rPr>
          <w:rFonts w:hint="default" w:ascii="Times New Roman" w:hAnsi="Times New Roman" w:eastAsia="宋体" w:cs="Times New Roman"/>
          <w:color w:val="000000" w:themeColor="text1"/>
          <w:sz w:val="24"/>
          <w14:textFill>
            <w14:solidFill>
              <w14:schemeClr w14:val="tx1"/>
            </w14:solidFill>
          </w14:textFill>
        </w:rPr>
        <w:sectPr>
          <w:pgSz w:w="11906" w:h="16838"/>
          <w:pgMar w:top="1701" w:right="1531" w:bottom="1701" w:left="1531" w:header="851" w:footer="851" w:gutter="0"/>
          <w:cols w:space="720" w:num="1"/>
          <w:docGrid w:linePitch="312" w:charSpace="0"/>
        </w:sectPr>
      </w:pPr>
    </w:p>
    <w:p>
      <w:pPr>
        <w:pStyle w:val="23"/>
        <w:keepNext w:val="0"/>
        <w:keepLines w:val="0"/>
        <w:pageBreakBefore w:val="0"/>
        <w:kinsoku/>
        <w:wordWrap/>
        <w:overflowPunct/>
        <w:topLinePunct w:val="0"/>
        <w:autoSpaceDE/>
        <w:autoSpaceDN/>
        <w:bidi w:val="0"/>
        <w:adjustRightInd w:val="0"/>
        <w:snapToGrid w:val="0"/>
        <w:spacing w:before="0" w:beforeAutospacing="0" w:after="0" w:afterAutospacing="0" w:line="240" w:lineRule="atLeast"/>
        <w:textAlignment w:val="auto"/>
        <w:rPr>
          <w:rFonts w:hint="default" w:ascii="Times New Roman" w:hAnsi="Times New Roman" w:eastAsia="宋体" w:cs="Times New Roman"/>
          <w:snapToGrid w:val="0"/>
          <w:color w:val="000000" w:themeColor="text1"/>
          <w:szCs w:val="24"/>
          <w14:textFill>
            <w14:solidFill>
              <w14:schemeClr w14:val="tx1"/>
            </w14:solidFill>
          </w14:textFill>
        </w:rPr>
      </w:pPr>
      <w:r>
        <w:rPr>
          <w:rFonts w:hint="default" w:ascii="Times New Roman" w:hAnsi="Times New Roman" w:eastAsia="宋体" w:cs="Times New Roman"/>
          <w:snapToGrid w:val="0"/>
          <w:color w:val="000000" w:themeColor="text1"/>
          <w:szCs w:val="24"/>
          <w14:textFill>
            <w14:solidFill>
              <w14:schemeClr w14:val="tx1"/>
            </w14:solidFill>
          </w14:textFill>
        </w:rPr>
        <w:t>附表</w:t>
      </w:r>
    </w:p>
    <w:p>
      <w:pPr>
        <w:pStyle w:val="23"/>
        <w:keepNext w:val="0"/>
        <w:keepLines w:val="0"/>
        <w:pageBreakBefore w:val="0"/>
        <w:kinsoku/>
        <w:wordWrap/>
        <w:overflowPunct/>
        <w:topLinePunct w:val="0"/>
        <w:autoSpaceDE/>
        <w:autoSpaceDN/>
        <w:bidi w:val="0"/>
        <w:adjustRightInd w:val="0"/>
        <w:snapToGrid w:val="0"/>
        <w:spacing w:before="0" w:beforeAutospacing="0" w:after="0" w:afterAutospacing="0" w:line="240" w:lineRule="atLeast"/>
        <w:jc w:val="center"/>
        <w:textAlignment w:val="auto"/>
        <w:rPr>
          <w:rFonts w:hint="default" w:ascii="Times New Roman" w:hAnsi="Times New Roman" w:eastAsia="宋体" w:cs="Times New Roman"/>
          <w:snapToGrid w:val="0"/>
          <w:color w:val="000000" w:themeColor="text1"/>
          <w:szCs w:val="24"/>
          <w14:textFill>
            <w14:solidFill>
              <w14:schemeClr w14:val="tx1"/>
            </w14:solidFill>
          </w14:textFill>
        </w:rPr>
      </w:pPr>
      <w:r>
        <w:rPr>
          <w:rFonts w:hint="default" w:ascii="Times New Roman" w:hAnsi="Times New Roman" w:eastAsia="宋体" w:cs="Times New Roman"/>
          <w:snapToGrid w:val="0"/>
          <w:color w:val="000000" w:themeColor="text1"/>
          <w:szCs w:val="24"/>
          <w14:textFill>
            <w14:solidFill>
              <w14:schemeClr w14:val="tx1"/>
            </w14:solidFill>
          </w14:textFill>
        </w:rPr>
        <w:t>建设项目污染物排放量汇总表</w:t>
      </w:r>
    </w:p>
    <w:tbl>
      <w:tblPr>
        <w:tblStyle w:val="27"/>
        <w:tblpPr w:leftFromText="180" w:rightFromText="180" w:vertAnchor="text" w:horzAnchor="page" w:tblpX="1544" w:tblpY="474"/>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597"/>
        <w:gridCol w:w="1663"/>
        <w:gridCol w:w="1363"/>
        <w:gridCol w:w="1550"/>
        <w:gridCol w:w="16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49"/>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项目</w:t>
            </w:r>
          </w:p>
          <w:p>
            <w:pPr>
              <w:pStyle w:val="49"/>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分类</w:t>
            </w:r>
          </w:p>
        </w:tc>
        <w:tc>
          <w:tcPr>
            <w:tcW w:w="1417" w:type="dxa"/>
            <w:tcMar>
              <w:left w:w="28" w:type="dxa"/>
              <w:right w:w="28" w:type="dxa"/>
            </w:tcMar>
            <w:vAlign w:val="center"/>
          </w:tcPr>
          <w:p>
            <w:pPr>
              <w:pStyle w:val="49"/>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污染物名称</w:t>
            </w:r>
          </w:p>
        </w:tc>
        <w:tc>
          <w:tcPr>
            <w:tcW w:w="1701" w:type="dxa"/>
            <w:tcMar>
              <w:left w:w="28" w:type="dxa"/>
              <w:right w:w="28" w:type="dxa"/>
            </w:tcMar>
            <w:vAlign w:val="center"/>
          </w:tcPr>
          <w:p>
            <w:pPr>
              <w:pStyle w:val="49"/>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现有工程</w:t>
            </w:r>
          </w:p>
          <w:p>
            <w:pPr>
              <w:pStyle w:val="49"/>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bCs/>
                <w:color w:val="000000" w:themeColor="text1"/>
                <w:kern w:val="2"/>
                <w:szCs w:val="21"/>
                <w14:textFill>
                  <w14:solidFill>
                    <w14:schemeClr w14:val="tx1"/>
                  </w14:solidFill>
                </w14:textFill>
              </w:rPr>
              <w:t>①</w: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end"/>
            </w:r>
          </w:p>
        </w:tc>
        <w:tc>
          <w:tcPr>
            <w:tcW w:w="1276" w:type="dxa"/>
            <w:tcMar>
              <w:left w:w="28" w:type="dxa"/>
              <w:right w:w="28" w:type="dxa"/>
            </w:tcMar>
            <w:vAlign w:val="center"/>
          </w:tcPr>
          <w:p>
            <w:pPr>
              <w:pStyle w:val="49"/>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现有工程</w:t>
            </w:r>
          </w:p>
          <w:p>
            <w:pPr>
              <w:pStyle w:val="49"/>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许可排放量</w:t>
            </w:r>
          </w:p>
          <w:p>
            <w:pPr>
              <w:pStyle w:val="49"/>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instrText xml:space="preserve"> = 2 \* GB3 \* MERGEFORMAT </w:instrTex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②</w: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end"/>
            </w:r>
          </w:p>
        </w:tc>
        <w:tc>
          <w:tcPr>
            <w:tcW w:w="1597" w:type="dxa"/>
            <w:tcMar>
              <w:left w:w="28" w:type="dxa"/>
              <w:right w:w="28" w:type="dxa"/>
            </w:tcMar>
            <w:vAlign w:val="center"/>
          </w:tcPr>
          <w:p>
            <w:pPr>
              <w:pStyle w:val="49"/>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在建工程</w:t>
            </w:r>
          </w:p>
          <w:p>
            <w:pPr>
              <w:pStyle w:val="49"/>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bCs/>
                <w:color w:val="000000" w:themeColor="text1"/>
                <w:kern w:val="2"/>
                <w:szCs w:val="21"/>
                <w14:textFill>
                  <w14:solidFill>
                    <w14:schemeClr w14:val="tx1"/>
                  </w14:solidFill>
                </w14:textFill>
              </w:rPr>
              <w:t>③</w: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end"/>
            </w:r>
          </w:p>
        </w:tc>
        <w:tc>
          <w:tcPr>
            <w:tcW w:w="1663" w:type="dxa"/>
            <w:tcMar>
              <w:left w:w="28" w:type="dxa"/>
              <w:right w:w="28" w:type="dxa"/>
            </w:tcMar>
            <w:vAlign w:val="center"/>
          </w:tcPr>
          <w:p>
            <w:pPr>
              <w:pStyle w:val="49"/>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本项目</w:t>
            </w:r>
          </w:p>
          <w:p>
            <w:pPr>
              <w:pStyle w:val="49"/>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bCs/>
                <w:color w:val="000000" w:themeColor="text1"/>
                <w:kern w:val="2"/>
                <w:szCs w:val="21"/>
                <w14:textFill>
                  <w14:solidFill>
                    <w14:schemeClr w14:val="tx1"/>
                  </w14:solidFill>
                </w14:textFill>
              </w:rPr>
              <w:t>④</w: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end"/>
            </w:r>
          </w:p>
        </w:tc>
        <w:tc>
          <w:tcPr>
            <w:tcW w:w="1363" w:type="dxa"/>
            <w:tcMar>
              <w:left w:w="28" w:type="dxa"/>
              <w:right w:w="28" w:type="dxa"/>
            </w:tcMar>
            <w:vAlign w:val="center"/>
          </w:tcPr>
          <w:p>
            <w:pPr>
              <w:pStyle w:val="49"/>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t>以新带老削减量</w:t>
            </w:r>
          </w:p>
          <w:p>
            <w:pPr>
              <w:pStyle w:val="49"/>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t>（新建项目不填）</w:t>
            </w: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bCs/>
                <w:color w:val="000000" w:themeColor="text1"/>
                <w:kern w:val="2"/>
                <w:szCs w:val="21"/>
                <w14:textFill>
                  <w14:solidFill>
                    <w14:schemeClr w14:val="tx1"/>
                  </w14:solidFill>
                </w14:textFill>
              </w:rPr>
              <w:t>⑤</w:t>
            </w: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fldChar w:fldCharType="end"/>
            </w:r>
          </w:p>
        </w:tc>
        <w:tc>
          <w:tcPr>
            <w:tcW w:w="1550" w:type="dxa"/>
            <w:tcMar>
              <w:left w:w="28" w:type="dxa"/>
              <w:right w:w="28" w:type="dxa"/>
            </w:tcMar>
            <w:vAlign w:val="center"/>
          </w:tcPr>
          <w:p>
            <w:pPr>
              <w:pStyle w:val="49"/>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t>本项目建成后</w:t>
            </w:r>
          </w:p>
          <w:p>
            <w:pPr>
              <w:pStyle w:val="49"/>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t>全厂排放量（固体废物产生量）</w:t>
            </w: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bCs/>
                <w:color w:val="000000" w:themeColor="text1"/>
                <w:kern w:val="2"/>
                <w:szCs w:val="21"/>
                <w14:textFill>
                  <w14:solidFill>
                    <w14:schemeClr w14:val="tx1"/>
                  </w14:solidFill>
                </w14:textFill>
              </w:rPr>
              <w:t>⑥</w:t>
            </w: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fldChar w:fldCharType="end"/>
            </w:r>
          </w:p>
        </w:tc>
        <w:tc>
          <w:tcPr>
            <w:tcW w:w="1633" w:type="dxa"/>
            <w:tcMar>
              <w:left w:w="28" w:type="dxa"/>
              <w:right w:w="28" w:type="dxa"/>
            </w:tcMar>
            <w:vAlign w:val="center"/>
          </w:tcPr>
          <w:p>
            <w:pPr>
              <w:pStyle w:val="49"/>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变化量</w:t>
            </w:r>
          </w:p>
          <w:p>
            <w:pPr>
              <w:pStyle w:val="49"/>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bCs/>
                <w:color w:val="000000" w:themeColor="text1"/>
                <w:kern w:val="2"/>
                <w:szCs w:val="21"/>
                <w14:textFill>
                  <w14:solidFill>
                    <w14:schemeClr w14:val="tx1"/>
                  </w14:solidFill>
                </w14:textFill>
              </w:rPr>
              <w:t>⑦</w: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Cs w:val="21"/>
                <w14:textFill>
                  <w14:solidFill>
                    <w14:schemeClr w14:val="tx1"/>
                  </w14:solidFill>
                </w14:textFill>
              </w:rPr>
              <w:t>废气</w:t>
            </w:r>
          </w:p>
        </w:tc>
        <w:tc>
          <w:tcPr>
            <w:tcW w:w="1417"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Cs w:val="21"/>
                <w14:textFill>
                  <w14:solidFill>
                    <w14:schemeClr w14:val="tx1"/>
                  </w14:solidFill>
                </w14:textFill>
              </w:rPr>
              <w:t>挥发性有机物（以非甲烷总烃计）</w:t>
            </w:r>
          </w:p>
        </w:tc>
        <w:tc>
          <w:tcPr>
            <w:tcW w:w="1701"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276"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97"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63"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0.0059</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363"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50" w:type="dxa"/>
            <w:vAlign w:val="center"/>
          </w:tcPr>
          <w:p>
            <w:pPr>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0.0059</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633" w:type="dxa"/>
            <w:vAlign w:val="center"/>
          </w:tcPr>
          <w:p>
            <w:pPr>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0.0059</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417"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21"/>
                <w:szCs w:val="21"/>
                <w:lang w:val="en-US" w:eastAsia="zh-CN"/>
                <w14:textFill>
                  <w14:solidFill>
                    <w14:schemeClr w14:val="tx1"/>
                  </w14:solidFill>
                </w14:textFill>
              </w:rPr>
              <w:t>无组织有机废气（以非甲烷总烃计）</w:t>
            </w:r>
          </w:p>
        </w:tc>
        <w:tc>
          <w:tcPr>
            <w:tcW w:w="1701"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276"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97"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63" w:type="dxa"/>
            <w:vAlign w:val="center"/>
          </w:tcPr>
          <w:p>
            <w:pPr>
              <w:spacing w:beforeLines="0" w:afterLines="0" w:line="240" w:lineRule="auto"/>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0.00012</w:t>
            </w:r>
            <w:r>
              <w:rPr>
                <w:rFonts w:hint="default" w:ascii="Times New Roman" w:hAnsi="Times New Roman" w:eastAsia="宋体" w:cs="Times New Roman"/>
                <w:color w:val="000000" w:themeColor="text1"/>
                <w14:textFill>
                  <w14:solidFill>
                    <w14:schemeClr w14:val="tx1"/>
                  </w14:solidFill>
                </w14:textFill>
              </w:rPr>
              <w:t>t/a</w:t>
            </w:r>
          </w:p>
        </w:tc>
        <w:tc>
          <w:tcPr>
            <w:tcW w:w="1363" w:type="dxa"/>
            <w:vAlign w:val="center"/>
          </w:tcPr>
          <w:p>
            <w:pPr>
              <w:spacing w:beforeLines="0" w:afterLines="0" w:line="240" w:lineRule="auto"/>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p>
        </w:tc>
        <w:tc>
          <w:tcPr>
            <w:tcW w:w="1550" w:type="dxa"/>
            <w:vAlign w:val="center"/>
          </w:tcPr>
          <w:p>
            <w:pPr>
              <w:spacing w:beforeLines="0" w:afterLines="0" w:line="240" w:lineRule="auto"/>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0.00012</w:t>
            </w:r>
            <w:r>
              <w:rPr>
                <w:rFonts w:hint="default" w:ascii="Times New Roman" w:hAnsi="Times New Roman" w:eastAsia="宋体" w:cs="Times New Roman"/>
                <w:color w:val="000000" w:themeColor="text1"/>
                <w14:textFill>
                  <w14:solidFill>
                    <w14:schemeClr w14:val="tx1"/>
                  </w14:solidFill>
                </w14:textFill>
              </w:rPr>
              <w:t>t/a</w:t>
            </w:r>
          </w:p>
        </w:tc>
        <w:tc>
          <w:tcPr>
            <w:tcW w:w="1633" w:type="dxa"/>
            <w:vAlign w:val="center"/>
          </w:tcPr>
          <w:p>
            <w:pPr>
              <w:spacing w:beforeLines="0" w:afterLines="0" w:line="240" w:lineRule="auto"/>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0.00012</w:t>
            </w:r>
            <w:r>
              <w:rPr>
                <w:rFonts w:hint="default" w:ascii="Times New Roman" w:hAnsi="Times New Roman" w:eastAsia="宋体" w:cs="Times New Roman"/>
                <w:color w:val="000000" w:themeColor="text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Cs w:val="21"/>
                <w14:textFill>
                  <w14:solidFill>
                    <w14:schemeClr w14:val="tx1"/>
                  </w14:solidFill>
                </w14:textFill>
              </w:rPr>
              <w:t>废水</w:t>
            </w:r>
          </w:p>
        </w:tc>
        <w:tc>
          <w:tcPr>
            <w:tcW w:w="1417"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Cs w:val="21"/>
                <w14:textFill>
                  <w14:solidFill>
                    <w14:schemeClr w14:val="tx1"/>
                  </w14:solidFill>
                </w14:textFill>
              </w:rPr>
              <w:t>生活污水</w:t>
            </w:r>
          </w:p>
        </w:tc>
        <w:tc>
          <w:tcPr>
            <w:tcW w:w="1701"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276"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97"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63"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720</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363"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50" w:type="dxa"/>
            <w:vAlign w:val="center"/>
          </w:tcPr>
          <w:p>
            <w:pPr>
              <w:spacing w:beforeLines="0" w:afterLines="0" w:line="240" w:lineRule="auto"/>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720</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633" w:type="dxa"/>
            <w:vAlign w:val="center"/>
          </w:tcPr>
          <w:p>
            <w:pPr>
              <w:spacing w:beforeLines="0" w:afterLines="0" w:line="240" w:lineRule="auto"/>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720</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Cs w:val="21"/>
                <w14:textFill>
                  <w14:solidFill>
                    <w14:schemeClr w14:val="tx1"/>
                  </w14:solidFill>
                </w14:textFill>
              </w:rPr>
              <w:t>一般工业</w:t>
            </w:r>
          </w:p>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Cs w:val="21"/>
                <w14:textFill>
                  <w14:solidFill>
                    <w14:schemeClr w14:val="tx1"/>
                  </w14:solidFill>
                </w14:textFill>
              </w:rPr>
              <w:t>固体废物</w:t>
            </w:r>
          </w:p>
        </w:tc>
        <w:tc>
          <w:tcPr>
            <w:tcW w:w="1417"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Cs w:val="21"/>
                <w14:textFill>
                  <w14:solidFill>
                    <w14:schemeClr w14:val="tx1"/>
                  </w14:solidFill>
                </w14:textFill>
              </w:rPr>
              <w:t>职工办公垃圾</w:t>
            </w:r>
          </w:p>
        </w:tc>
        <w:tc>
          <w:tcPr>
            <w:tcW w:w="1701"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276"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97"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63"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9</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363"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50" w:type="dxa"/>
            <w:vAlign w:val="center"/>
          </w:tcPr>
          <w:p>
            <w:pPr>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9</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633" w:type="dxa"/>
            <w:vAlign w:val="center"/>
          </w:tcPr>
          <w:p>
            <w:pPr>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9</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417"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Cs w:val="21"/>
                <w14:textFill>
                  <w14:solidFill>
                    <w14:schemeClr w14:val="tx1"/>
                  </w14:solidFill>
                </w14:textFill>
              </w:rPr>
              <w:t>废包装材料</w:t>
            </w:r>
          </w:p>
        </w:tc>
        <w:tc>
          <w:tcPr>
            <w:tcW w:w="1701"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276"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97"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63"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20</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363"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50"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20</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633"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20</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417"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Cs w:val="21"/>
                <w14:textFill>
                  <w14:solidFill>
                    <w14:schemeClr w14:val="tx1"/>
                  </w14:solidFill>
                </w14:textFill>
              </w:rPr>
              <w:t>隔油池油污</w:t>
            </w:r>
          </w:p>
        </w:tc>
        <w:tc>
          <w:tcPr>
            <w:tcW w:w="1701"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276"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97"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63"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0.01</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363"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50"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0.01</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633"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0.01</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417"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Cs w:val="21"/>
                <w14:textFill>
                  <w14:solidFill>
                    <w14:schemeClr w14:val="tx1"/>
                  </w14:solidFill>
                </w14:textFill>
              </w:rPr>
              <w:t>废活性炭</w:t>
            </w:r>
          </w:p>
        </w:tc>
        <w:tc>
          <w:tcPr>
            <w:tcW w:w="1701"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276"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97"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63"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0.025</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363"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50"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0.025</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633"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0.025</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417"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21"/>
                <w:szCs w:val="21"/>
                <w14:textFill>
                  <w14:solidFill>
                    <w14:schemeClr w14:val="tx1"/>
                  </w14:solidFill>
                </w14:textFill>
              </w:rPr>
              <w:t>废</w:t>
            </w:r>
            <w:r>
              <w:rPr>
                <w:rFonts w:hint="eastAsia" w:ascii="Times New Roman" w:cs="Times New Roman"/>
                <w:bCs/>
                <w:snapToGrid w:val="0"/>
                <w:color w:val="000000" w:themeColor="text1"/>
                <w:kern w:val="21"/>
                <w:szCs w:val="21"/>
                <w:lang w:val="en-US" w:eastAsia="zh-CN"/>
                <w14:textFill>
                  <w14:solidFill>
                    <w14:schemeClr w14:val="tx1"/>
                  </w14:solidFill>
                </w14:textFill>
              </w:rPr>
              <w:t>机油、废机油桶</w:t>
            </w:r>
          </w:p>
        </w:tc>
        <w:tc>
          <w:tcPr>
            <w:tcW w:w="1701"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276"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97"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63"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0.15</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363"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50"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0.15</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633" w:type="dxa"/>
            <w:vAlign w:val="center"/>
          </w:tcPr>
          <w:p>
            <w:pPr>
              <w:pStyle w:val="49"/>
              <w:spacing w:beforeLines="0" w:afterLines="0" w:line="240" w:lineRule="auto"/>
              <w:jc w:val="center"/>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0.15</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r>
    </w:tbl>
    <w:p>
      <w:pPr>
        <w:pStyle w:val="49"/>
        <w:spacing w:beforeLines="80" w:after="24" w:line="360" w:lineRule="auto"/>
        <w:jc w:val="left"/>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snapToGrid w:val="0"/>
          <w:color w:val="000000" w:themeColor="text1"/>
          <w:kern w:val="21"/>
          <w:szCs w:val="24"/>
          <w14:textFill>
            <w14:solidFill>
              <w14:schemeClr w14:val="tx1"/>
            </w14:solidFill>
          </w14:textFill>
        </w:rPr>
        <w:t>注：</w:t>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fldChar w:fldCharType="separate"/>
      </w:r>
      <w:r>
        <w:rPr>
          <w:rFonts w:hint="default" w:ascii="Times New Roman" w:hAnsi="Times New Roman" w:eastAsia="宋体" w:cs="Times New Roman"/>
          <w:color w:val="000000" w:themeColor="text1"/>
          <w:szCs w:val="24"/>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separate"/>
      </w:r>
      <w:r>
        <w:rPr>
          <w:rFonts w:hint="default" w:ascii="Times New Roman" w:hAnsi="Times New Roman" w:eastAsia="宋体" w:cs="Times New Roman"/>
          <w:color w:val="000000" w:themeColor="text1"/>
          <w:szCs w:val="24"/>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separate"/>
      </w:r>
      <w:r>
        <w:rPr>
          <w:rFonts w:hint="default" w:ascii="Times New Roman" w:hAnsi="Times New Roman" w:eastAsia="宋体" w:cs="Times New Roman"/>
          <w:color w:val="000000" w:themeColor="text1"/>
          <w:szCs w:val="24"/>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separate"/>
      </w:r>
      <w:r>
        <w:rPr>
          <w:rFonts w:hint="default" w:ascii="Times New Roman" w:hAnsi="Times New Roman" w:eastAsia="宋体" w:cs="Times New Roman"/>
          <w:color w:val="000000" w:themeColor="text1"/>
          <w:szCs w:val="24"/>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fldChar w:fldCharType="separate"/>
      </w:r>
      <w:r>
        <w:rPr>
          <w:rFonts w:hint="default" w:ascii="Times New Roman" w:hAnsi="Times New Roman" w:eastAsia="宋体" w:cs="Times New Roman"/>
          <w:color w:val="000000" w:themeColor="text1"/>
          <w:szCs w:val="24"/>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separate"/>
      </w:r>
      <w:r>
        <w:rPr>
          <w:rFonts w:hint="default" w:ascii="Times New Roman" w:hAnsi="Times New Roman" w:eastAsia="宋体" w:cs="Times New Roman"/>
          <w:color w:val="000000" w:themeColor="text1"/>
          <w:szCs w:val="24"/>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fldChar w:fldCharType="separate"/>
      </w:r>
      <w:r>
        <w:rPr>
          <w:rFonts w:hint="default" w:ascii="Times New Roman" w:hAnsi="Times New Roman" w:eastAsia="宋体" w:cs="Times New Roman"/>
          <w:color w:val="000000" w:themeColor="text1"/>
          <w:szCs w:val="24"/>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separate"/>
      </w:r>
      <w:r>
        <w:rPr>
          <w:rFonts w:hint="default" w:ascii="Times New Roman" w:hAnsi="Times New Roman" w:eastAsia="宋体" w:cs="Times New Roman"/>
          <w:color w:val="000000" w:themeColor="text1"/>
          <w:szCs w:val="24"/>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end"/>
      </w:r>
    </w:p>
    <w:p>
      <w:pPr>
        <w:pStyle w:val="49"/>
        <w:spacing w:beforeLines="80" w:after="24" w:line="360" w:lineRule="auto"/>
        <w:jc w:val="left"/>
        <w:rPr>
          <w:rFonts w:hint="default" w:ascii="Times New Roman" w:hAnsi="Times New Roman" w:eastAsia="宋体" w:cs="Times New Roman"/>
          <w:color w:val="000000" w:themeColor="text1"/>
          <w:szCs w:val="24"/>
          <w14:textFill>
            <w14:solidFill>
              <w14:schemeClr w14:val="tx1"/>
            </w14:solidFill>
          </w14:textFill>
        </w:rPr>
        <w:sectPr>
          <w:footerReference r:id="rId6" w:type="default"/>
          <w:pgSz w:w="16838" w:h="11906" w:orient="landscape"/>
          <w:pgMar w:top="1701" w:right="1531" w:bottom="1701" w:left="1531" w:header="851" w:footer="851" w:gutter="0"/>
          <w:cols w:space="720" w:num="1"/>
          <w:docGrid w:linePitch="312" w:charSpace="0"/>
        </w:sectPr>
      </w:pPr>
    </w:p>
    <w:p>
      <w:pPr>
        <w:rPr>
          <w:rFonts w:hint="default" w:ascii="Times New Roman" w:hAnsi="Times New Roman" w:eastAsia="宋体" w:cs="Times New Roman"/>
          <w:color w:val="000000" w:themeColor="text1"/>
          <w:sz w:val="24"/>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sectPr>
      <w:footerReference r:id="rId7" w:type="default"/>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2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auto"/>
    <w:pitch w:val="default"/>
    <w:sig w:usb0="A00002AF" w:usb1="400078FB" w:usb2="00000000" w:usb3="00000000" w:csb0="6000009F" w:csb1="DFD7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9"/>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98</w:t>
                          </w:r>
                          <w:r>
                            <w:rPr>
                              <w:sz w:val="24"/>
                              <w:szCs w:val="24"/>
                            </w:rPr>
                            <w:fldChar w:fldCharType="end"/>
                          </w:r>
                          <w:r>
                            <w:rPr>
                              <w:sz w:val="24"/>
                              <w:szCs w:val="24"/>
                            </w:rPr>
                            <w:t xml:space="preserve"> —</w:t>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GaylbM0BAACnAwAADgAAAAAAAAABACAAAAAeAQAAZHJzL2Uy&#10;b0RvYy54bWxQSwUGAAAAAAYABgBZAQAAXQUAAAAA&#10;">
              <v:fill on="f" focussize="0,0"/>
              <v:stroke on="f"/>
              <v:imagedata o:title=""/>
              <o:lock v:ext="edit" aspectratio="f"/>
              <v:textbox inset="0mm,0mm,0mm,0mm" style="mso-fit-shape-to-text:t;">
                <w:txbxContent>
                  <w:p>
                    <w:pPr>
                      <w:pStyle w:val="19"/>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98</w:t>
                    </w:r>
                    <w:r>
                      <w:rPr>
                        <w:sz w:val="24"/>
                        <w:szCs w:val="24"/>
                      </w:rPr>
                      <w:fldChar w:fldCharType="end"/>
                    </w:r>
                    <w:r>
                      <w:rPr>
                        <w:sz w:val="24"/>
                        <w:szCs w:val="24"/>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9"/>
                          </w:pPr>
                          <w:r>
                            <w:t xml:space="preserve">— </w:t>
                          </w:r>
                          <w:r>
                            <w:fldChar w:fldCharType="begin"/>
                          </w:r>
                          <w:r>
                            <w:instrText xml:space="preserve"> PAGE  \* MERGEFORMAT </w:instrText>
                          </w:r>
                          <w:r>
                            <w:fldChar w:fldCharType="separate"/>
                          </w:r>
                          <w:r>
                            <w:t>100</w:t>
                          </w:r>
                          <w:r>
                            <w:fldChar w:fldCharType="end"/>
                          </w:r>
                          <w:r>
                            <w:t xml:space="preserve"> —</w:t>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p5gnJ80BAACnAwAADgAAAAAAAAABACAAAAAeAQAAZHJzL2Uy&#10;b0RvYy54bWxQSwUGAAAAAAYABgBZAQAAXQUAAAAA&#10;">
              <v:fill on="f" focussize="0,0"/>
              <v:stroke on="f"/>
              <v:imagedata o:title=""/>
              <o:lock v:ext="edit" aspectratio="f"/>
              <v:textbox inset="0mm,0mm,0mm,0mm" style="mso-fit-shape-to-text:t;">
                <w:txbxContent>
                  <w:p>
                    <w:pPr>
                      <w:pStyle w:val="19"/>
                    </w:pPr>
                    <w:r>
                      <w:t xml:space="preserve">— </w:t>
                    </w:r>
                    <w:r>
                      <w:fldChar w:fldCharType="begin"/>
                    </w:r>
                    <w:r>
                      <w:instrText xml:space="preserve"> PAGE  \* MERGEFORMAT </w:instrText>
                    </w:r>
                    <w:r>
                      <w:fldChar w:fldCharType="separate"/>
                    </w:r>
                    <w:r>
                      <w:t>100</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9"/>
                          </w:pPr>
                          <w:r>
                            <w:t xml:space="preserve">— </w:t>
                          </w:r>
                          <w:r>
                            <w:fldChar w:fldCharType="begin"/>
                          </w:r>
                          <w:r>
                            <w:instrText xml:space="preserve"> PAGE  \* MERGEFORMAT </w:instrText>
                          </w:r>
                          <w:r>
                            <w:fldChar w:fldCharType="separate"/>
                          </w:r>
                          <w:r>
                            <w:t>101</w:t>
                          </w:r>
                          <w:r>
                            <w:fldChar w:fldCharType="end"/>
                          </w:r>
                          <w:r>
                            <w:t xml:space="preserve"> —</w:t>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aBE3c0BAACoAwAADgAAAAAAAAABACAAAAAeAQAAZHJzL2Uy&#10;b0RvYy54bWxQSwUGAAAAAAYABgBZAQAAXQUAAAAA&#10;">
              <v:fill on="f" focussize="0,0"/>
              <v:stroke on="f"/>
              <v:imagedata o:title=""/>
              <o:lock v:ext="edit" aspectratio="f"/>
              <v:textbox inset="0mm,0mm,0mm,0mm" style="mso-fit-shape-to-text:t;">
                <w:txbxContent>
                  <w:p>
                    <w:pPr>
                      <w:pStyle w:val="19"/>
                    </w:pPr>
                    <w:r>
                      <w:t xml:space="preserve">— </w:t>
                    </w:r>
                    <w:r>
                      <w:fldChar w:fldCharType="begin"/>
                    </w:r>
                    <w:r>
                      <w:instrText xml:space="preserve"> PAGE  \* MERGEFORMAT </w:instrText>
                    </w:r>
                    <w:r>
                      <w:fldChar w:fldCharType="separate"/>
                    </w:r>
                    <w:r>
                      <w:t>101</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91B0AB"/>
    <w:multiLevelType w:val="singleLevel"/>
    <w:tmpl w:val="8791B0AB"/>
    <w:lvl w:ilvl="0" w:tentative="0">
      <w:start w:val="1"/>
      <w:numFmt w:val="decimal"/>
      <w:suff w:val="nothing"/>
      <w:lvlText w:val="（%1）"/>
      <w:lvlJc w:val="left"/>
    </w:lvl>
  </w:abstractNum>
  <w:abstractNum w:abstractNumId="1">
    <w:nsid w:val="AD66AA1C"/>
    <w:multiLevelType w:val="singleLevel"/>
    <w:tmpl w:val="AD66AA1C"/>
    <w:lvl w:ilvl="0" w:tentative="0">
      <w:start w:val="2"/>
      <w:numFmt w:val="chineseCounting"/>
      <w:suff w:val="nothing"/>
      <w:lvlText w:val="（%1）"/>
      <w:lvlJc w:val="left"/>
      <w:rPr>
        <w:rFonts w:hint="eastAsia"/>
      </w:rPr>
    </w:lvl>
  </w:abstractNum>
  <w:abstractNum w:abstractNumId="2">
    <w:nsid w:val="00000002"/>
    <w:multiLevelType w:val="singleLevel"/>
    <w:tmpl w:val="00000002"/>
    <w:lvl w:ilvl="0" w:tentative="0">
      <w:start w:val="1"/>
      <w:numFmt w:val="decimal"/>
      <w:suff w:val="nothing"/>
      <w:lvlText w:val="%1、"/>
      <w:lvlJc w:val="left"/>
      <w:pPr>
        <w:ind w:left="-64"/>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attachedTemplate r:id="rId1"/>
  <w:documentProtection w:edit="trackedChanges" w:enforcement="0"/>
  <w:defaultTabStop w:val="42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kODM3ZjdhNGEwZThkOGI4NGY4Nzc0MzE5OTlhNTkifQ=="/>
  </w:docVars>
  <w:rsids>
    <w:rsidRoot w:val="00172A27"/>
    <w:rsid w:val="00000751"/>
    <w:rsid w:val="00002889"/>
    <w:rsid w:val="00002B9A"/>
    <w:rsid w:val="00003A95"/>
    <w:rsid w:val="000060B3"/>
    <w:rsid w:val="0000747C"/>
    <w:rsid w:val="00007E91"/>
    <w:rsid w:val="00014916"/>
    <w:rsid w:val="00014FC9"/>
    <w:rsid w:val="00015A31"/>
    <w:rsid w:val="00015CE9"/>
    <w:rsid w:val="00021F3D"/>
    <w:rsid w:val="00022717"/>
    <w:rsid w:val="00022C11"/>
    <w:rsid w:val="00023AD3"/>
    <w:rsid w:val="00025A7A"/>
    <w:rsid w:val="00030CA1"/>
    <w:rsid w:val="00036188"/>
    <w:rsid w:val="000362C9"/>
    <w:rsid w:val="00040A1D"/>
    <w:rsid w:val="00041464"/>
    <w:rsid w:val="0004364B"/>
    <w:rsid w:val="0004592C"/>
    <w:rsid w:val="000607D3"/>
    <w:rsid w:val="00061B1F"/>
    <w:rsid w:val="00066622"/>
    <w:rsid w:val="000668BA"/>
    <w:rsid w:val="0006697E"/>
    <w:rsid w:val="00070DD8"/>
    <w:rsid w:val="00071000"/>
    <w:rsid w:val="000733C4"/>
    <w:rsid w:val="000734F4"/>
    <w:rsid w:val="00074783"/>
    <w:rsid w:val="00074BB1"/>
    <w:rsid w:val="0008070B"/>
    <w:rsid w:val="000810AC"/>
    <w:rsid w:val="00081505"/>
    <w:rsid w:val="00081A02"/>
    <w:rsid w:val="00081EDB"/>
    <w:rsid w:val="00082231"/>
    <w:rsid w:val="00082803"/>
    <w:rsid w:val="00082BCA"/>
    <w:rsid w:val="00090706"/>
    <w:rsid w:val="00092D38"/>
    <w:rsid w:val="0009377B"/>
    <w:rsid w:val="00095D8A"/>
    <w:rsid w:val="00096C1B"/>
    <w:rsid w:val="000A0D40"/>
    <w:rsid w:val="000A1932"/>
    <w:rsid w:val="000A20C9"/>
    <w:rsid w:val="000A4086"/>
    <w:rsid w:val="000A7FEA"/>
    <w:rsid w:val="000B058F"/>
    <w:rsid w:val="000B40F6"/>
    <w:rsid w:val="000B4467"/>
    <w:rsid w:val="000B4AFD"/>
    <w:rsid w:val="000B4DB9"/>
    <w:rsid w:val="000B749C"/>
    <w:rsid w:val="000B7D20"/>
    <w:rsid w:val="000C09AC"/>
    <w:rsid w:val="000C0AAF"/>
    <w:rsid w:val="000C1486"/>
    <w:rsid w:val="000C349B"/>
    <w:rsid w:val="000C35CC"/>
    <w:rsid w:val="000C69F0"/>
    <w:rsid w:val="000C6F37"/>
    <w:rsid w:val="000C767F"/>
    <w:rsid w:val="000C7E15"/>
    <w:rsid w:val="000D2BE2"/>
    <w:rsid w:val="000D34BD"/>
    <w:rsid w:val="000D39C3"/>
    <w:rsid w:val="000D5A44"/>
    <w:rsid w:val="000E10B4"/>
    <w:rsid w:val="000E1113"/>
    <w:rsid w:val="000E2014"/>
    <w:rsid w:val="000E3ED2"/>
    <w:rsid w:val="000E4811"/>
    <w:rsid w:val="000F1E40"/>
    <w:rsid w:val="000F4CB1"/>
    <w:rsid w:val="000F7BFB"/>
    <w:rsid w:val="001006ED"/>
    <w:rsid w:val="00105FAD"/>
    <w:rsid w:val="00106723"/>
    <w:rsid w:val="0011251B"/>
    <w:rsid w:val="001168E5"/>
    <w:rsid w:val="00116BDE"/>
    <w:rsid w:val="001170EA"/>
    <w:rsid w:val="00126FE7"/>
    <w:rsid w:val="001313C5"/>
    <w:rsid w:val="0013153C"/>
    <w:rsid w:val="00131DA2"/>
    <w:rsid w:val="00131F42"/>
    <w:rsid w:val="001357F1"/>
    <w:rsid w:val="00136CA2"/>
    <w:rsid w:val="00140E55"/>
    <w:rsid w:val="00140E6E"/>
    <w:rsid w:val="00140FA8"/>
    <w:rsid w:val="001422B7"/>
    <w:rsid w:val="00142FEB"/>
    <w:rsid w:val="00143A2D"/>
    <w:rsid w:val="0014462D"/>
    <w:rsid w:val="0014492B"/>
    <w:rsid w:val="00145A41"/>
    <w:rsid w:val="00150821"/>
    <w:rsid w:val="00151675"/>
    <w:rsid w:val="0015336E"/>
    <w:rsid w:val="00156BE6"/>
    <w:rsid w:val="00157435"/>
    <w:rsid w:val="00157845"/>
    <w:rsid w:val="001607B6"/>
    <w:rsid w:val="00160CCF"/>
    <w:rsid w:val="00166A32"/>
    <w:rsid w:val="00170E00"/>
    <w:rsid w:val="00172A27"/>
    <w:rsid w:val="0017385F"/>
    <w:rsid w:val="00173FF2"/>
    <w:rsid w:val="0017504D"/>
    <w:rsid w:val="00175557"/>
    <w:rsid w:val="001756A5"/>
    <w:rsid w:val="0017671A"/>
    <w:rsid w:val="001771DD"/>
    <w:rsid w:val="00177422"/>
    <w:rsid w:val="00180E19"/>
    <w:rsid w:val="00183D26"/>
    <w:rsid w:val="00184590"/>
    <w:rsid w:val="001856F7"/>
    <w:rsid w:val="00185A56"/>
    <w:rsid w:val="0018661D"/>
    <w:rsid w:val="00186F8E"/>
    <w:rsid w:val="001870D1"/>
    <w:rsid w:val="0018781E"/>
    <w:rsid w:val="0019176A"/>
    <w:rsid w:val="0019262D"/>
    <w:rsid w:val="001926D2"/>
    <w:rsid w:val="001958BF"/>
    <w:rsid w:val="0019613E"/>
    <w:rsid w:val="00197FB2"/>
    <w:rsid w:val="001A1B35"/>
    <w:rsid w:val="001A48A2"/>
    <w:rsid w:val="001A6F61"/>
    <w:rsid w:val="001B27EA"/>
    <w:rsid w:val="001B5251"/>
    <w:rsid w:val="001B72B8"/>
    <w:rsid w:val="001C0688"/>
    <w:rsid w:val="001C0B2D"/>
    <w:rsid w:val="001C1A80"/>
    <w:rsid w:val="001C69B3"/>
    <w:rsid w:val="001D5595"/>
    <w:rsid w:val="001D64B8"/>
    <w:rsid w:val="001D7874"/>
    <w:rsid w:val="001D7F22"/>
    <w:rsid w:val="001E253A"/>
    <w:rsid w:val="001E5AC7"/>
    <w:rsid w:val="001E74C5"/>
    <w:rsid w:val="001F0F17"/>
    <w:rsid w:val="001F0F46"/>
    <w:rsid w:val="001F3347"/>
    <w:rsid w:val="001F51C8"/>
    <w:rsid w:val="001F63E3"/>
    <w:rsid w:val="001F69E4"/>
    <w:rsid w:val="001F6D7A"/>
    <w:rsid w:val="00201021"/>
    <w:rsid w:val="00202643"/>
    <w:rsid w:val="002035FE"/>
    <w:rsid w:val="00203885"/>
    <w:rsid w:val="00206F48"/>
    <w:rsid w:val="002113AC"/>
    <w:rsid w:val="002125B4"/>
    <w:rsid w:val="002152FC"/>
    <w:rsid w:val="002155B8"/>
    <w:rsid w:val="00221DE4"/>
    <w:rsid w:val="00222697"/>
    <w:rsid w:val="00222827"/>
    <w:rsid w:val="00224839"/>
    <w:rsid w:val="002249B2"/>
    <w:rsid w:val="002264FB"/>
    <w:rsid w:val="00226574"/>
    <w:rsid w:val="00226B1E"/>
    <w:rsid w:val="00226E67"/>
    <w:rsid w:val="002278EC"/>
    <w:rsid w:val="00227D73"/>
    <w:rsid w:val="0023169E"/>
    <w:rsid w:val="002318C5"/>
    <w:rsid w:val="0023280E"/>
    <w:rsid w:val="00235641"/>
    <w:rsid w:val="00236E9B"/>
    <w:rsid w:val="002377D1"/>
    <w:rsid w:val="00237FC5"/>
    <w:rsid w:val="00240602"/>
    <w:rsid w:val="00244B8A"/>
    <w:rsid w:val="00245EF1"/>
    <w:rsid w:val="002466E3"/>
    <w:rsid w:val="002473BB"/>
    <w:rsid w:val="002506BC"/>
    <w:rsid w:val="002511AB"/>
    <w:rsid w:val="00251F04"/>
    <w:rsid w:val="00252EC4"/>
    <w:rsid w:val="00254345"/>
    <w:rsid w:val="00255467"/>
    <w:rsid w:val="00256931"/>
    <w:rsid w:val="0026177A"/>
    <w:rsid w:val="00262B8C"/>
    <w:rsid w:val="00262C20"/>
    <w:rsid w:val="00264557"/>
    <w:rsid w:val="002669D6"/>
    <w:rsid w:val="002711EA"/>
    <w:rsid w:val="00271893"/>
    <w:rsid w:val="002805AB"/>
    <w:rsid w:val="00281DE0"/>
    <w:rsid w:val="00284204"/>
    <w:rsid w:val="00285686"/>
    <w:rsid w:val="00285CA7"/>
    <w:rsid w:val="002862E5"/>
    <w:rsid w:val="0028675D"/>
    <w:rsid w:val="002873C5"/>
    <w:rsid w:val="00287780"/>
    <w:rsid w:val="002913C7"/>
    <w:rsid w:val="00291773"/>
    <w:rsid w:val="002948D5"/>
    <w:rsid w:val="0029614E"/>
    <w:rsid w:val="002A168C"/>
    <w:rsid w:val="002A1A4A"/>
    <w:rsid w:val="002A3481"/>
    <w:rsid w:val="002A3940"/>
    <w:rsid w:val="002A3DC7"/>
    <w:rsid w:val="002A400F"/>
    <w:rsid w:val="002A513A"/>
    <w:rsid w:val="002A642E"/>
    <w:rsid w:val="002A659B"/>
    <w:rsid w:val="002B1510"/>
    <w:rsid w:val="002B3636"/>
    <w:rsid w:val="002B4763"/>
    <w:rsid w:val="002B49E2"/>
    <w:rsid w:val="002B5ED4"/>
    <w:rsid w:val="002B7B00"/>
    <w:rsid w:val="002B7C44"/>
    <w:rsid w:val="002C2B17"/>
    <w:rsid w:val="002C3DC1"/>
    <w:rsid w:val="002C4881"/>
    <w:rsid w:val="002D0DE6"/>
    <w:rsid w:val="002D1ACA"/>
    <w:rsid w:val="002D1DAC"/>
    <w:rsid w:val="002D3DD0"/>
    <w:rsid w:val="002D5236"/>
    <w:rsid w:val="002D5963"/>
    <w:rsid w:val="002D5D29"/>
    <w:rsid w:val="002D754F"/>
    <w:rsid w:val="002E04B0"/>
    <w:rsid w:val="002E1F3A"/>
    <w:rsid w:val="002E298A"/>
    <w:rsid w:val="002E6292"/>
    <w:rsid w:val="002F1591"/>
    <w:rsid w:val="002F3526"/>
    <w:rsid w:val="002F413F"/>
    <w:rsid w:val="002F46BB"/>
    <w:rsid w:val="002F7FA4"/>
    <w:rsid w:val="00301978"/>
    <w:rsid w:val="00302FC2"/>
    <w:rsid w:val="0030332C"/>
    <w:rsid w:val="00303BDF"/>
    <w:rsid w:val="003051C2"/>
    <w:rsid w:val="00312048"/>
    <w:rsid w:val="00312296"/>
    <w:rsid w:val="00314F0E"/>
    <w:rsid w:val="00320EFD"/>
    <w:rsid w:val="00321D8E"/>
    <w:rsid w:val="003220D2"/>
    <w:rsid w:val="00325928"/>
    <w:rsid w:val="0033096A"/>
    <w:rsid w:val="00331020"/>
    <w:rsid w:val="00331984"/>
    <w:rsid w:val="00332863"/>
    <w:rsid w:val="00333701"/>
    <w:rsid w:val="003340CE"/>
    <w:rsid w:val="003358A0"/>
    <w:rsid w:val="003364F0"/>
    <w:rsid w:val="0033684D"/>
    <w:rsid w:val="003370F7"/>
    <w:rsid w:val="00337B42"/>
    <w:rsid w:val="00340141"/>
    <w:rsid w:val="00340CFE"/>
    <w:rsid w:val="00341B42"/>
    <w:rsid w:val="0034278E"/>
    <w:rsid w:val="0034348F"/>
    <w:rsid w:val="00351DE3"/>
    <w:rsid w:val="00355C01"/>
    <w:rsid w:val="00356653"/>
    <w:rsid w:val="0035743F"/>
    <w:rsid w:val="00357BE2"/>
    <w:rsid w:val="0036150E"/>
    <w:rsid w:val="003616C0"/>
    <w:rsid w:val="0036170C"/>
    <w:rsid w:val="00361EB4"/>
    <w:rsid w:val="0036512A"/>
    <w:rsid w:val="003652DB"/>
    <w:rsid w:val="00365AC2"/>
    <w:rsid w:val="00366011"/>
    <w:rsid w:val="0036690B"/>
    <w:rsid w:val="00366E0F"/>
    <w:rsid w:val="0037530E"/>
    <w:rsid w:val="00375FE3"/>
    <w:rsid w:val="00381A72"/>
    <w:rsid w:val="00383681"/>
    <w:rsid w:val="00384676"/>
    <w:rsid w:val="00385909"/>
    <w:rsid w:val="00386F82"/>
    <w:rsid w:val="00390857"/>
    <w:rsid w:val="00395928"/>
    <w:rsid w:val="003A2804"/>
    <w:rsid w:val="003A2AF9"/>
    <w:rsid w:val="003A3A0F"/>
    <w:rsid w:val="003A3EAB"/>
    <w:rsid w:val="003A4BF3"/>
    <w:rsid w:val="003A6E0E"/>
    <w:rsid w:val="003A7D98"/>
    <w:rsid w:val="003B2B87"/>
    <w:rsid w:val="003B420D"/>
    <w:rsid w:val="003C0140"/>
    <w:rsid w:val="003C14A3"/>
    <w:rsid w:val="003C53E5"/>
    <w:rsid w:val="003C6C16"/>
    <w:rsid w:val="003D24DA"/>
    <w:rsid w:val="003D2B40"/>
    <w:rsid w:val="003D70AA"/>
    <w:rsid w:val="003D7451"/>
    <w:rsid w:val="003D794D"/>
    <w:rsid w:val="003E0A3F"/>
    <w:rsid w:val="003E3058"/>
    <w:rsid w:val="003E701F"/>
    <w:rsid w:val="003E76A9"/>
    <w:rsid w:val="003F0809"/>
    <w:rsid w:val="003F0EAF"/>
    <w:rsid w:val="003F1BEB"/>
    <w:rsid w:val="003F421A"/>
    <w:rsid w:val="003F5E38"/>
    <w:rsid w:val="003F6A8C"/>
    <w:rsid w:val="003F6BC8"/>
    <w:rsid w:val="003F755C"/>
    <w:rsid w:val="003F771C"/>
    <w:rsid w:val="00400799"/>
    <w:rsid w:val="00401808"/>
    <w:rsid w:val="00402CBC"/>
    <w:rsid w:val="00406F01"/>
    <w:rsid w:val="004104F7"/>
    <w:rsid w:val="0041447F"/>
    <w:rsid w:val="00416D50"/>
    <w:rsid w:val="00416FD5"/>
    <w:rsid w:val="00417131"/>
    <w:rsid w:val="00417772"/>
    <w:rsid w:val="004177ED"/>
    <w:rsid w:val="00420E6A"/>
    <w:rsid w:val="0042414A"/>
    <w:rsid w:val="0042444B"/>
    <w:rsid w:val="00425A9E"/>
    <w:rsid w:val="00426D6B"/>
    <w:rsid w:val="004311B6"/>
    <w:rsid w:val="00431E6C"/>
    <w:rsid w:val="00433CE7"/>
    <w:rsid w:val="00433E0A"/>
    <w:rsid w:val="00434DB0"/>
    <w:rsid w:val="0043570B"/>
    <w:rsid w:val="00437BC4"/>
    <w:rsid w:val="00437EBE"/>
    <w:rsid w:val="00441C39"/>
    <w:rsid w:val="00452738"/>
    <w:rsid w:val="00453DB5"/>
    <w:rsid w:val="004545E8"/>
    <w:rsid w:val="0045594D"/>
    <w:rsid w:val="00455C1C"/>
    <w:rsid w:val="00456091"/>
    <w:rsid w:val="0046163A"/>
    <w:rsid w:val="004632D1"/>
    <w:rsid w:val="00466321"/>
    <w:rsid w:val="00467AF1"/>
    <w:rsid w:val="00470AA0"/>
    <w:rsid w:val="0047112F"/>
    <w:rsid w:val="00475CB9"/>
    <w:rsid w:val="004767E9"/>
    <w:rsid w:val="00477B91"/>
    <w:rsid w:val="00480369"/>
    <w:rsid w:val="00482190"/>
    <w:rsid w:val="0048246B"/>
    <w:rsid w:val="00484B9B"/>
    <w:rsid w:val="004855F6"/>
    <w:rsid w:val="0048661E"/>
    <w:rsid w:val="00494670"/>
    <w:rsid w:val="00494C30"/>
    <w:rsid w:val="00496EB1"/>
    <w:rsid w:val="004A196E"/>
    <w:rsid w:val="004A2B44"/>
    <w:rsid w:val="004A3823"/>
    <w:rsid w:val="004A557C"/>
    <w:rsid w:val="004B7164"/>
    <w:rsid w:val="004C0458"/>
    <w:rsid w:val="004C39E9"/>
    <w:rsid w:val="004C598A"/>
    <w:rsid w:val="004C6549"/>
    <w:rsid w:val="004D1582"/>
    <w:rsid w:val="004E1E26"/>
    <w:rsid w:val="004E234C"/>
    <w:rsid w:val="004E6946"/>
    <w:rsid w:val="004F1AD8"/>
    <w:rsid w:val="004F2E06"/>
    <w:rsid w:val="004F32DC"/>
    <w:rsid w:val="004F459C"/>
    <w:rsid w:val="004F4C76"/>
    <w:rsid w:val="00501715"/>
    <w:rsid w:val="00501885"/>
    <w:rsid w:val="005039CB"/>
    <w:rsid w:val="005052B7"/>
    <w:rsid w:val="0050558F"/>
    <w:rsid w:val="00506180"/>
    <w:rsid w:val="00506286"/>
    <w:rsid w:val="00506F1E"/>
    <w:rsid w:val="00507205"/>
    <w:rsid w:val="0050720E"/>
    <w:rsid w:val="00510813"/>
    <w:rsid w:val="00511990"/>
    <w:rsid w:val="00511DE0"/>
    <w:rsid w:val="00514870"/>
    <w:rsid w:val="00514B9B"/>
    <w:rsid w:val="00516459"/>
    <w:rsid w:val="00517891"/>
    <w:rsid w:val="00517F02"/>
    <w:rsid w:val="00520B72"/>
    <w:rsid w:val="00524303"/>
    <w:rsid w:val="005258A2"/>
    <w:rsid w:val="005260E2"/>
    <w:rsid w:val="005352A3"/>
    <w:rsid w:val="005360FF"/>
    <w:rsid w:val="005401AE"/>
    <w:rsid w:val="005421EB"/>
    <w:rsid w:val="00542E07"/>
    <w:rsid w:val="00545424"/>
    <w:rsid w:val="00546F47"/>
    <w:rsid w:val="005500DA"/>
    <w:rsid w:val="0055287C"/>
    <w:rsid w:val="005537EA"/>
    <w:rsid w:val="00554A7B"/>
    <w:rsid w:val="00554AD5"/>
    <w:rsid w:val="00554E94"/>
    <w:rsid w:val="005551E1"/>
    <w:rsid w:val="0055572C"/>
    <w:rsid w:val="0056106A"/>
    <w:rsid w:val="0056391E"/>
    <w:rsid w:val="00564FF7"/>
    <w:rsid w:val="0057051F"/>
    <w:rsid w:val="005720AE"/>
    <w:rsid w:val="00574197"/>
    <w:rsid w:val="0057664C"/>
    <w:rsid w:val="00577E3D"/>
    <w:rsid w:val="00580518"/>
    <w:rsid w:val="005811DF"/>
    <w:rsid w:val="00584072"/>
    <w:rsid w:val="00584BD9"/>
    <w:rsid w:val="00586F41"/>
    <w:rsid w:val="00594D77"/>
    <w:rsid w:val="005966FE"/>
    <w:rsid w:val="005969E4"/>
    <w:rsid w:val="005A03E2"/>
    <w:rsid w:val="005A06B7"/>
    <w:rsid w:val="005A1759"/>
    <w:rsid w:val="005A2260"/>
    <w:rsid w:val="005A2C8A"/>
    <w:rsid w:val="005A2EEE"/>
    <w:rsid w:val="005A3B8E"/>
    <w:rsid w:val="005A68A7"/>
    <w:rsid w:val="005A7AA2"/>
    <w:rsid w:val="005C5593"/>
    <w:rsid w:val="005C5A71"/>
    <w:rsid w:val="005D36AB"/>
    <w:rsid w:val="005D61BC"/>
    <w:rsid w:val="005E0D65"/>
    <w:rsid w:val="005E1326"/>
    <w:rsid w:val="005E5448"/>
    <w:rsid w:val="005F06AA"/>
    <w:rsid w:val="005F20E2"/>
    <w:rsid w:val="005F240A"/>
    <w:rsid w:val="005F27BE"/>
    <w:rsid w:val="0060008E"/>
    <w:rsid w:val="00601185"/>
    <w:rsid w:val="00603F6B"/>
    <w:rsid w:val="00610BBC"/>
    <w:rsid w:val="00616B84"/>
    <w:rsid w:val="00617CC3"/>
    <w:rsid w:val="00621DA2"/>
    <w:rsid w:val="00632A8B"/>
    <w:rsid w:val="00634587"/>
    <w:rsid w:val="006377A6"/>
    <w:rsid w:val="00637A3D"/>
    <w:rsid w:val="0064116F"/>
    <w:rsid w:val="006411EF"/>
    <w:rsid w:val="006537D5"/>
    <w:rsid w:val="006544E7"/>
    <w:rsid w:val="00655E18"/>
    <w:rsid w:val="00656FF0"/>
    <w:rsid w:val="006601B3"/>
    <w:rsid w:val="00665338"/>
    <w:rsid w:val="006748B8"/>
    <w:rsid w:val="006775C3"/>
    <w:rsid w:val="0067782F"/>
    <w:rsid w:val="00677A41"/>
    <w:rsid w:val="00683B84"/>
    <w:rsid w:val="00685C14"/>
    <w:rsid w:val="006909F1"/>
    <w:rsid w:val="00691521"/>
    <w:rsid w:val="00691ADE"/>
    <w:rsid w:val="0069290A"/>
    <w:rsid w:val="00695425"/>
    <w:rsid w:val="00696102"/>
    <w:rsid w:val="0069775A"/>
    <w:rsid w:val="00697813"/>
    <w:rsid w:val="006A3E4F"/>
    <w:rsid w:val="006A3EAE"/>
    <w:rsid w:val="006A3EE8"/>
    <w:rsid w:val="006A5AFA"/>
    <w:rsid w:val="006A72BF"/>
    <w:rsid w:val="006B03F2"/>
    <w:rsid w:val="006B1EF0"/>
    <w:rsid w:val="006B2B12"/>
    <w:rsid w:val="006B37DC"/>
    <w:rsid w:val="006B4F68"/>
    <w:rsid w:val="006C0592"/>
    <w:rsid w:val="006C05D0"/>
    <w:rsid w:val="006C272E"/>
    <w:rsid w:val="006C2779"/>
    <w:rsid w:val="006C370B"/>
    <w:rsid w:val="006C43C9"/>
    <w:rsid w:val="006C5479"/>
    <w:rsid w:val="006C6FFD"/>
    <w:rsid w:val="006D0B02"/>
    <w:rsid w:val="006D0D72"/>
    <w:rsid w:val="006D13B5"/>
    <w:rsid w:val="006D41C2"/>
    <w:rsid w:val="006D61B9"/>
    <w:rsid w:val="006D7FEF"/>
    <w:rsid w:val="006E12FF"/>
    <w:rsid w:val="006E1708"/>
    <w:rsid w:val="006E1E2B"/>
    <w:rsid w:val="006E2F96"/>
    <w:rsid w:val="006E607E"/>
    <w:rsid w:val="006F4C6C"/>
    <w:rsid w:val="0070233E"/>
    <w:rsid w:val="00702C63"/>
    <w:rsid w:val="00705E4B"/>
    <w:rsid w:val="007060C5"/>
    <w:rsid w:val="00706485"/>
    <w:rsid w:val="00706C5D"/>
    <w:rsid w:val="00711D82"/>
    <w:rsid w:val="00713A17"/>
    <w:rsid w:val="00713C68"/>
    <w:rsid w:val="0071441A"/>
    <w:rsid w:val="00716297"/>
    <w:rsid w:val="007176B6"/>
    <w:rsid w:val="007208DE"/>
    <w:rsid w:val="00721C86"/>
    <w:rsid w:val="007221A2"/>
    <w:rsid w:val="007222DD"/>
    <w:rsid w:val="00730B25"/>
    <w:rsid w:val="00732922"/>
    <w:rsid w:val="0073509B"/>
    <w:rsid w:val="007358D5"/>
    <w:rsid w:val="00735C57"/>
    <w:rsid w:val="00736FD8"/>
    <w:rsid w:val="00737862"/>
    <w:rsid w:val="00740767"/>
    <w:rsid w:val="00746F6E"/>
    <w:rsid w:val="0075162E"/>
    <w:rsid w:val="00753E24"/>
    <w:rsid w:val="00754034"/>
    <w:rsid w:val="007548F9"/>
    <w:rsid w:val="00756556"/>
    <w:rsid w:val="007618C4"/>
    <w:rsid w:val="0076466E"/>
    <w:rsid w:val="00764851"/>
    <w:rsid w:val="00765CFD"/>
    <w:rsid w:val="0076776C"/>
    <w:rsid w:val="00767980"/>
    <w:rsid w:val="00770B19"/>
    <w:rsid w:val="00771232"/>
    <w:rsid w:val="00772854"/>
    <w:rsid w:val="0077463F"/>
    <w:rsid w:val="00777095"/>
    <w:rsid w:val="007808CD"/>
    <w:rsid w:val="007836EA"/>
    <w:rsid w:val="00784CDA"/>
    <w:rsid w:val="007854C7"/>
    <w:rsid w:val="007906C4"/>
    <w:rsid w:val="007923EF"/>
    <w:rsid w:val="007940EA"/>
    <w:rsid w:val="007967E8"/>
    <w:rsid w:val="007A1C14"/>
    <w:rsid w:val="007A2170"/>
    <w:rsid w:val="007A22BF"/>
    <w:rsid w:val="007A2A46"/>
    <w:rsid w:val="007A3323"/>
    <w:rsid w:val="007A3D43"/>
    <w:rsid w:val="007A7FB5"/>
    <w:rsid w:val="007B236A"/>
    <w:rsid w:val="007B2EE1"/>
    <w:rsid w:val="007B5A68"/>
    <w:rsid w:val="007B699F"/>
    <w:rsid w:val="007B72B8"/>
    <w:rsid w:val="007B7A58"/>
    <w:rsid w:val="007C1744"/>
    <w:rsid w:val="007C21B5"/>
    <w:rsid w:val="007C4A60"/>
    <w:rsid w:val="007D1F73"/>
    <w:rsid w:val="007D2EE8"/>
    <w:rsid w:val="007D51EF"/>
    <w:rsid w:val="007D76AE"/>
    <w:rsid w:val="007E02B0"/>
    <w:rsid w:val="007E3D60"/>
    <w:rsid w:val="007E4BD2"/>
    <w:rsid w:val="007F0656"/>
    <w:rsid w:val="007F2F71"/>
    <w:rsid w:val="007F50E1"/>
    <w:rsid w:val="00801393"/>
    <w:rsid w:val="00802F88"/>
    <w:rsid w:val="00803468"/>
    <w:rsid w:val="00803D91"/>
    <w:rsid w:val="00804DC9"/>
    <w:rsid w:val="00805604"/>
    <w:rsid w:val="00810C4D"/>
    <w:rsid w:val="0081293E"/>
    <w:rsid w:val="00815283"/>
    <w:rsid w:val="00815465"/>
    <w:rsid w:val="00817D03"/>
    <w:rsid w:val="00817E9A"/>
    <w:rsid w:val="00820248"/>
    <w:rsid w:val="00821422"/>
    <w:rsid w:val="0082153C"/>
    <w:rsid w:val="008215F5"/>
    <w:rsid w:val="008231CB"/>
    <w:rsid w:val="008232C3"/>
    <w:rsid w:val="008238CA"/>
    <w:rsid w:val="0082539D"/>
    <w:rsid w:val="008306BD"/>
    <w:rsid w:val="00830981"/>
    <w:rsid w:val="00830F7A"/>
    <w:rsid w:val="00831A80"/>
    <w:rsid w:val="00833743"/>
    <w:rsid w:val="00833CC7"/>
    <w:rsid w:val="008340A4"/>
    <w:rsid w:val="00837179"/>
    <w:rsid w:val="00837E7E"/>
    <w:rsid w:val="008453EA"/>
    <w:rsid w:val="0085599B"/>
    <w:rsid w:val="00860CEA"/>
    <w:rsid w:val="00867DA7"/>
    <w:rsid w:val="0087135F"/>
    <w:rsid w:val="00871FC2"/>
    <w:rsid w:val="00872D94"/>
    <w:rsid w:val="00874568"/>
    <w:rsid w:val="00874F37"/>
    <w:rsid w:val="00875942"/>
    <w:rsid w:val="00875E58"/>
    <w:rsid w:val="00877A73"/>
    <w:rsid w:val="00880364"/>
    <w:rsid w:val="0088225A"/>
    <w:rsid w:val="00885740"/>
    <w:rsid w:val="00891592"/>
    <w:rsid w:val="00891E9E"/>
    <w:rsid w:val="00892683"/>
    <w:rsid w:val="00894247"/>
    <w:rsid w:val="008947C6"/>
    <w:rsid w:val="008978C4"/>
    <w:rsid w:val="008A2F68"/>
    <w:rsid w:val="008A5BB3"/>
    <w:rsid w:val="008A7055"/>
    <w:rsid w:val="008A74D1"/>
    <w:rsid w:val="008B4FA6"/>
    <w:rsid w:val="008B5282"/>
    <w:rsid w:val="008B5572"/>
    <w:rsid w:val="008B7C17"/>
    <w:rsid w:val="008C1174"/>
    <w:rsid w:val="008C2D01"/>
    <w:rsid w:val="008C40E6"/>
    <w:rsid w:val="008C5283"/>
    <w:rsid w:val="008C54C4"/>
    <w:rsid w:val="008C6E90"/>
    <w:rsid w:val="008C7DBB"/>
    <w:rsid w:val="008D0F7A"/>
    <w:rsid w:val="008D1A4A"/>
    <w:rsid w:val="008D4E14"/>
    <w:rsid w:val="008D52B0"/>
    <w:rsid w:val="008D67EE"/>
    <w:rsid w:val="008D68E4"/>
    <w:rsid w:val="008E0506"/>
    <w:rsid w:val="008E0CFF"/>
    <w:rsid w:val="008E2131"/>
    <w:rsid w:val="008E5D6B"/>
    <w:rsid w:val="008E76F0"/>
    <w:rsid w:val="008E7F6C"/>
    <w:rsid w:val="008F046A"/>
    <w:rsid w:val="008F0976"/>
    <w:rsid w:val="008F15FE"/>
    <w:rsid w:val="008F2D29"/>
    <w:rsid w:val="008F3829"/>
    <w:rsid w:val="008F4117"/>
    <w:rsid w:val="008F5187"/>
    <w:rsid w:val="008F5403"/>
    <w:rsid w:val="008F60D8"/>
    <w:rsid w:val="0090116C"/>
    <w:rsid w:val="00902675"/>
    <w:rsid w:val="00902727"/>
    <w:rsid w:val="0090312B"/>
    <w:rsid w:val="00903DFB"/>
    <w:rsid w:val="009054EB"/>
    <w:rsid w:val="009072A5"/>
    <w:rsid w:val="009100CD"/>
    <w:rsid w:val="0091328B"/>
    <w:rsid w:val="0091619B"/>
    <w:rsid w:val="0091736D"/>
    <w:rsid w:val="00917CD5"/>
    <w:rsid w:val="009242B7"/>
    <w:rsid w:val="0093037A"/>
    <w:rsid w:val="00934A21"/>
    <w:rsid w:val="00937FC1"/>
    <w:rsid w:val="00940649"/>
    <w:rsid w:val="0094154D"/>
    <w:rsid w:val="00941F7F"/>
    <w:rsid w:val="00942602"/>
    <w:rsid w:val="009478DA"/>
    <w:rsid w:val="00950895"/>
    <w:rsid w:val="0095155F"/>
    <w:rsid w:val="00952E69"/>
    <w:rsid w:val="00954429"/>
    <w:rsid w:val="00954AA2"/>
    <w:rsid w:val="009552C8"/>
    <w:rsid w:val="009563CE"/>
    <w:rsid w:val="00956453"/>
    <w:rsid w:val="0095650F"/>
    <w:rsid w:val="00957234"/>
    <w:rsid w:val="00957F60"/>
    <w:rsid w:val="00970DC3"/>
    <w:rsid w:val="009725BC"/>
    <w:rsid w:val="00972A52"/>
    <w:rsid w:val="009741B6"/>
    <w:rsid w:val="00976328"/>
    <w:rsid w:val="0097680D"/>
    <w:rsid w:val="00982438"/>
    <w:rsid w:val="00982BBE"/>
    <w:rsid w:val="0098404C"/>
    <w:rsid w:val="00984A5C"/>
    <w:rsid w:val="00985283"/>
    <w:rsid w:val="00986D5D"/>
    <w:rsid w:val="00990191"/>
    <w:rsid w:val="009922FD"/>
    <w:rsid w:val="00995992"/>
    <w:rsid w:val="009967E0"/>
    <w:rsid w:val="009A03E5"/>
    <w:rsid w:val="009A0F3B"/>
    <w:rsid w:val="009A1B12"/>
    <w:rsid w:val="009A1BB4"/>
    <w:rsid w:val="009A2628"/>
    <w:rsid w:val="009A3200"/>
    <w:rsid w:val="009A6A74"/>
    <w:rsid w:val="009A7EA9"/>
    <w:rsid w:val="009B0897"/>
    <w:rsid w:val="009B0C06"/>
    <w:rsid w:val="009B11DB"/>
    <w:rsid w:val="009B12EE"/>
    <w:rsid w:val="009B3D06"/>
    <w:rsid w:val="009B66CD"/>
    <w:rsid w:val="009B723C"/>
    <w:rsid w:val="009B771B"/>
    <w:rsid w:val="009B7BD9"/>
    <w:rsid w:val="009C0044"/>
    <w:rsid w:val="009C1E02"/>
    <w:rsid w:val="009C2193"/>
    <w:rsid w:val="009C2E06"/>
    <w:rsid w:val="009C534E"/>
    <w:rsid w:val="009C6163"/>
    <w:rsid w:val="009C7DD5"/>
    <w:rsid w:val="009D11AC"/>
    <w:rsid w:val="009D194B"/>
    <w:rsid w:val="009D3D79"/>
    <w:rsid w:val="009D4667"/>
    <w:rsid w:val="009D593D"/>
    <w:rsid w:val="009D5C5E"/>
    <w:rsid w:val="009D7F15"/>
    <w:rsid w:val="009E227D"/>
    <w:rsid w:val="009E3A21"/>
    <w:rsid w:val="009E5019"/>
    <w:rsid w:val="009E6F91"/>
    <w:rsid w:val="009E7FF0"/>
    <w:rsid w:val="009F0D57"/>
    <w:rsid w:val="009F375E"/>
    <w:rsid w:val="009F3784"/>
    <w:rsid w:val="009F3C29"/>
    <w:rsid w:val="00A04139"/>
    <w:rsid w:val="00A04F1B"/>
    <w:rsid w:val="00A0501B"/>
    <w:rsid w:val="00A06744"/>
    <w:rsid w:val="00A067E7"/>
    <w:rsid w:val="00A10E23"/>
    <w:rsid w:val="00A14947"/>
    <w:rsid w:val="00A14B57"/>
    <w:rsid w:val="00A15646"/>
    <w:rsid w:val="00A15C6A"/>
    <w:rsid w:val="00A16749"/>
    <w:rsid w:val="00A16F25"/>
    <w:rsid w:val="00A179C3"/>
    <w:rsid w:val="00A274FA"/>
    <w:rsid w:val="00A30A4E"/>
    <w:rsid w:val="00A317BE"/>
    <w:rsid w:val="00A32A83"/>
    <w:rsid w:val="00A33632"/>
    <w:rsid w:val="00A35061"/>
    <w:rsid w:val="00A36158"/>
    <w:rsid w:val="00A36463"/>
    <w:rsid w:val="00A368DB"/>
    <w:rsid w:val="00A421A5"/>
    <w:rsid w:val="00A423AA"/>
    <w:rsid w:val="00A42535"/>
    <w:rsid w:val="00A435A6"/>
    <w:rsid w:val="00A43689"/>
    <w:rsid w:val="00A45E41"/>
    <w:rsid w:val="00A46654"/>
    <w:rsid w:val="00A46EAF"/>
    <w:rsid w:val="00A5042E"/>
    <w:rsid w:val="00A52531"/>
    <w:rsid w:val="00A5323B"/>
    <w:rsid w:val="00A537BD"/>
    <w:rsid w:val="00A53EC6"/>
    <w:rsid w:val="00A556EA"/>
    <w:rsid w:val="00A55C0F"/>
    <w:rsid w:val="00A568CF"/>
    <w:rsid w:val="00A63997"/>
    <w:rsid w:val="00A67F2E"/>
    <w:rsid w:val="00A71680"/>
    <w:rsid w:val="00A71EEA"/>
    <w:rsid w:val="00A75A37"/>
    <w:rsid w:val="00A8320C"/>
    <w:rsid w:val="00A84526"/>
    <w:rsid w:val="00A85912"/>
    <w:rsid w:val="00A8713F"/>
    <w:rsid w:val="00A90BA1"/>
    <w:rsid w:val="00A90F8E"/>
    <w:rsid w:val="00A92D7E"/>
    <w:rsid w:val="00A93CAA"/>
    <w:rsid w:val="00A953BF"/>
    <w:rsid w:val="00A97A9A"/>
    <w:rsid w:val="00AA0671"/>
    <w:rsid w:val="00AA0F15"/>
    <w:rsid w:val="00AA2531"/>
    <w:rsid w:val="00AA50A4"/>
    <w:rsid w:val="00AA71CC"/>
    <w:rsid w:val="00AB1E09"/>
    <w:rsid w:val="00AB24B0"/>
    <w:rsid w:val="00AB5330"/>
    <w:rsid w:val="00AB5524"/>
    <w:rsid w:val="00AB66D7"/>
    <w:rsid w:val="00AB7747"/>
    <w:rsid w:val="00AC14CE"/>
    <w:rsid w:val="00AC2A56"/>
    <w:rsid w:val="00AC78AD"/>
    <w:rsid w:val="00AD055E"/>
    <w:rsid w:val="00AD42E6"/>
    <w:rsid w:val="00AD47A7"/>
    <w:rsid w:val="00AD5713"/>
    <w:rsid w:val="00AD7BCC"/>
    <w:rsid w:val="00AE428B"/>
    <w:rsid w:val="00AE4EA2"/>
    <w:rsid w:val="00AE5988"/>
    <w:rsid w:val="00AF0443"/>
    <w:rsid w:val="00AF0CBF"/>
    <w:rsid w:val="00AF17FB"/>
    <w:rsid w:val="00AF257F"/>
    <w:rsid w:val="00AF33CF"/>
    <w:rsid w:val="00AF42A6"/>
    <w:rsid w:val="00AF4D50"/>
    <w:rsid w:val="00AF513C"/>
    <w:rsid w:val="00AF6179"/>
    <w:rsid w:val="00AF6B35"/>
    <w:rsid w:val="00AF6D8B"/>
    <w:rsid w:val="00B068E5"/>
    <w:rsid w:val="00B126D5"/>
    <w:rsid w:val="00B1295A"/>
    <w:rsid w:val="00B14C3E"/>
    <w:rsid w:val="00B15FB3"/>
    <w:rsid w:val="00B1707B"/>
    <w:rsid w:val="00B20A45"/>
    <w:rsid w:val="00B21DDE"/>
    <w:rsid w:val="00B22C5C"/>
    <w:rsid w:val="00B24F30"/>
    <w:rsid w:val="00B27AF9"/>
    <w:rsid w:val="00B305B7"/>
    <w:rsid w:val="00B30F43"/>
    <w:rsid w:val="00B31ABF"/>
    <w:rsid w:val="00B33BE3"/>
    <w:rsid w:val="00B341B1"/>
    <w:rsid w:val="00B36495"/>
    <w:rsid w:val="00B40D37"/>
    <w:rsid w:val="00B411FA"/>
    <w:rsid w:val="00B43BE0"/>
    <w:rsid w:val="00B47121"/>
    <w:rsid w:val="00B474B5"/>
    <w:rsid w:val="00B50D9C"/>
    <w:rsid w:val="00B53B5D"/>
    <w:rsid w:val="00B55317"/>
    <w:rsid w:val="00B6055E"/>
    <w:rsid w:val="00B61CA8"/>
    <w:rsid w:val="00B627DA"/>
    <w:rsid w:val="00B62844"/>
    <w:rsid w:val="00B6317D"/>
    <w:rsid w:val="00B63C81"/>
    <w:rsid w:val="00B64D84"/>
    <w:rsid w:val="00B64F10"/>
    <w:rsid w:val="00B72050"/>
    <w:rsid w:val="00B72A76"/>
    <w:rsid w:val="00B75AA5"/>
    <w:rsid w:val="00B7723F"/>
    <w:rsid w:val="00B77867"/>
    <w:rsid w:val="00B778EE"/>
    <w:rsid w:val="00B80534"/>
    <w:rsid w:val="00B81397"/>
    <w:rsid w:val="00B8433C"/>
    <w:rsid w:val="00B849D5"/>
    <w:rsid w:val="00B868CF"/>
    <w:rsid w:val="00B87491"/>
    <w:rsid w:val="00B87B67"/>
    <w:rsid w:val="00B91E3A"/>
    <w:rsid w:val="00B9309C"/>
    <w:rsid w:val="00B96968"/>
    <w:rsid w:val="00B96BFB"/>
    <w:rsid w:val="00B97213"/>
    <w:rsid w:val="00BA0C0C"/>
    <w:rsid w:val="00BA29E9"/>
    <w:rsid w:val="00BA3A95"/>
    <w:rsid w:val="00BA43DC"/>
    <w:rsid w:val="00BA7142"/>
    <w:rsid w:val="00BA7540"/>
    <w:rsid w:val="00BB0F4C"/>
    <w:rsid w:val="00BB237C"/>
    <w:rsid w:val="00BB275F"/>
    <w:rsid w:val="00BB41A3"/>
    <w:rsid w:val="00BB6A47"/>
    <w:rsid w:val="00BC0294"/>
    <w:rsid w:val="00BC0E8C"/>
    <w:rsid w:val="00BC1DF8"/>
    <w:rsid w:val="00BC2BEB"/>
    <w:rsid w:val="00BC32DC"/>
    <w:rsid w:val="00BC35B6"/>
    <w:rsid w:val="00BC3DD9"/>
    <w:rsid w:val="00BC4A37"/>
    <w:rsid w:val="00BC5382"/>
    <w:rsid w:val="00BD0B39"/>
    <w:rsid w:val="00BD0F2F"/>
    <w:rsid w:val="00BD1B51"/>
    <w:rsid w:val="00BD4596"/>
    <w:rsid w:val="00BD6822"/>
    <w:rsid w:val="00BE1405"/>
    <w:rsid w:val="00BE312D"/>
    <w:rsid w:val="00BE535C"/>
    <w:rsid w:val="00BF0392"/>
    <w:rsid w:val="00BF1C20"/>
    <w:rsid w:val="00BF1C57"/>
    <w:rsid w:val="00BF23AB"/>
    <w:rsid w:val="00BF38F7"/>
    <w:rsid w:val="00BF5200"/>
    <w:rsid w:val="00BF6DF3"/>
    <w:rsid w:val="00C0345A"/>
    <w:rsid w:val="00C039E9"/>
    <w:rsid w:val="00C04315"/>
    <w:rsid w:val="00C044C1"/>
    <w:rsid w:val="00C045FA"/>
    <w:rsid w:val="00C10578"/>
    <w:rsid w:val="00C10FDB"/>
    <w:rsid w:val="00C123C0"/>
    <w:rsid w:val="00C12672"/>
    <w:rsid w:val="00C135BC"/>
    <w:rsid w:val="00C154AA"/>
    <w:rsid w:val="00C15C95"/>
    <w:rsid w:val="00C16128"/>
    <w:rsid w:val="00C17272"/>
    <w:rsid w:val="00C179BA"/>
    <w:rsid w:val="00C20E8A"/>
    <w:rsid w:val="00C2150B"/>
    <w:rsid w:val="00C23B59"/>
    <w:rsid w:val="00C24FB5"/>
    <w:rsid w:val="00C2596A"/>
    <w:rsid w:val="00C27537"/>
    <w:rsid w:val="00C328FE"/>
    <w:rsid w:val="00C32F9C"/>
    <w:rsid w:val="00C33462"/>
    <w:rsid w:val="00C33507"/>
    <w:rsid w:val="00C408A2"/>
    <w:rsid w:val="00C411A8"/>
    <w:rsid w:val="00C41738"/>
    <w:rsid w:val="00C4337E"/>
    <w:rsid w:val="00C4409D"/>
    <w:rsid w:val="00C44E72"/>
    <w:rsid w:val="00C45A06"/>
    <w:rsid w:val="00C47E5B"/>
    <w:rsid w:val="00C50C15"/>
    <w:rsid w:val="00C527CA"/>
    <w:rsid w:val="00C54A69"/>
    <w:rsid w:val="00C576EA"/>
    <w:rsid w:val="00C61181"/>
    <w:rsid w:val="00C61E4B"/>
    <w:rsid w:val="00C62F0C"/>
    <w:rsid w:val="00C64BFF"/>
    <w:rsid w:val="00C655D5"/>
    <w:rsid w:val="00C6574A"/>
    <w:rsid w:val="00C6681C"/>
    <w:rsid w:val="00C702E5"/>
    <w:rsid w:val="00C704E9"/>
    <w:rsid w:val="00C70E1E"/>
    <w:rsid w:val="00C71351"/>
    <w:rsid w:val="00C71917"/>
    <w:rsid w:val="00C72C1D"/>
    <w:rsid w:val="00C763C9"/>
    <w:rsid w:val="00C763D9"/>
    <w:rsid w:val="00C7761D"/>
    <w:rsid w:val="00C77DB3"/>
    <w:rsid w:val="00C80057"/>
    <w:rsid w:val="00C82232"/>
    <w:rsid w:val="00C82913"/>
    <w:rsid w:val="00C8506B"/>
    <w:rsid w:val="00C9313A"/>
    <w:rsid w:val="00C972B1"/>
    <w:rsid w:val="00CA2716"/>
    <w:rsid w:val="00CA2CCE"/>
    <w:rsid w:val="00CA43FD"/>
    <w:rsid w:val="00CA47DC"/>
    <w:rsid w:val="00CA61C5"/>
    <w:rsid w:val="00CA6763"/>
    <w:rsid w:val="00CA68A2"/>
    <w:rsid w:val="00CA7EF8"/>
    <w:rsid w:val="00CB782B"/>
    <w:rsid w:val="00CC090B"/>
    <w:rsid w:val="00CC30DB"/>
    <w:rsid w:val="00CC489B"/>
    <w:rsid w:val="00CC548F"/>
    <w:rsid w:val="00CC7950"/>
    <w:rsid w:val="00CC7E16"/>
    <w:rsid w:val="00CD1A8E"/>
    <w:rsid w:val="00CD278D"/>
    <w:rsid w:val="00CD2BCD"/>
    <w:rsid w:val="00CD3986"/>
    <w:rsid w:val="00CD3A4C"/>
    <w:rsid w:val="00CD4A94"/>
    <w:rsid w:val="00CE10E9"/>
    <w:rsid w:val="00CE23F4"/>
    <w:rsid w:val="00CE2910"/>
    <w:rsid w:val="00CE40F8"/>
    <w:rsid w:val="00CE491E"/>
    <w:rsid w:val="00CE5038"/>
    <w:rsid w:val="00CE5393"/>
    <w:rsid w:val="00CE5FEB"/>
    <w:rsid w:val="00CF07A2"/>
    <w:rsid w:val="00CF36BE"/>
    <w:rsid w:val="00CF3CB0"/>
    <w:rsid w:val="00CF6000"/>
    <w:rsid w:val="00D003F3"/>
    <w:rsid w:val="00D0075D"/>
    <w:rsid w:val="00D01B19"/>
    <w:rsid w:val="00D024DC"/>
    <w:rsid w:val="00D03026"/>
    <w:rsid w:val="00D0364F"/>
    <w:rsid w:val="00D0474A"/>
    <w:rsid w:val="00D058EE"/>
    <w:rsid w:val="00D06834"/>
    <w:rsid w:val="00D07BA4"/>
    <w:rsid w:val="00D1324D"/>
    <w:rsid w:val="00D25A69"/>
    <w:rsid w:val="00D26D91"/>
    <w:rsid w:val="00D308ED"/>
    <w:rsid w:val="00D319B9"/>
    <w:rsid w:val="00D3452B"/>
    <w:rsid w:val="00D34C40"/>
    <w:rsid w:val="00D36D86"/>
    <w:rsid w:val="00D415DE"/>
    <w:rsid w:val="00D428AA"/>
    <w:rsid w:val="00D47E14"/>
    <w:rsid w:val="00D50A34"/>
    <w:rsid w:val="00D53EFA"/>
    <w:rsid w:val="00D61BDC"/>
    <w:rsid w:val="00D63177"/>
    <w:rsid w:val="00D649AE"/>
    <w:rsid w:val="00D66602"/>
    <w:rsid w:val="00D7066C"/>
    <w:rsid w:val="00D70DF3"/>
    <w:rsid w:val="00D7561B"/>
    <w:rsid w:val="00D82BF1"/>
    <w:rsid w:val="00D853D5"/>
    <w:rsid w:val="00D85DBA"/>
    <w:rsid w:val="00D864E8"/>
    <w:rsid w:val="00D9011F"/>
    <w:rsid w:val="00D90576"/>
    <w:rsid w:val="00D94A7C"/>
    <w:rsid w:val="00D95047"/>
    <w:rsid w:val="00D95896"/>
    <w:rsid w:val="00DA2525"/>
    <w:rsid w:val="00DA7143"/>
    <w:rsid w:val="00DA77CC"/>
    <w:rsid w:val="00DB2983"/>
    <w:rsid w:val="00DC1257"/>
    <w:rsid w:val="00DC3DC0"/>
    <w:rsid w:val="00DC5B2B"/>
    <w:rsid w:val="00DC7045"/>
    <w:rsid w:val="00DC7B2E"/>
    <w:rsid w:val="00DD1B0C"/>
    <w:rsid w:val="00DD318D"/>
    <w:rsid w:val="00DD4629"/>
    <w:rsid w:val="00DD5524"/>
    <w:rsid w:val="00DD59A0"/>
    <w:rsid w:val="00DE02E3"/>
    <w:rsid w:val="00DE12D4"/>
    <w:rsid w:val="00DE260B"/>
    <w:rsid w:val="00DE54A0"/>
    <w:rsid w:val="00DE579B"/>
    <w:rsid w:val="00DE5BE3"/>
    <w:rsid w:val="00DF050C"/>
    <w:rsid w:val="00DF0E9B"/>
    <w:rsid w:val="00DF2B37"/>
    <w:rsid w:val="00DF2E12"/>
    <w:rsid w:val="00DF3291"/>
    <w:rsid w:val="00DF3FCC"/>
    <w:rsid w:val="00DF514A"/>
    <w:rsid w:val="00DF6690"/>
    <w:rsid w:val="00DF6804"/>
    <w:rsid w:val="00E02C05"/>
    <w:rsid w:val="00E0358D"/>
    <w:rsid w:val="00E04323"/>
    <w:rsid w:val="00E051BB"/>
    <w:rsid w:val="00E058C1"/>
    <w:rsid w:val="00E05B91"/>
    <w:rsid w:val="00E070A2"/>
    <w:rsid w:val="00E07264"/>
    <w:rsid w:val="00E1069D"/>
    <w:rsid w:val="00E14DF6"/>
    <w:rsid w:val="00E23CC8"/>
    <w:rsid w:val="00E248C7"/>
    <w:rsid w:val="00E25195"/>
    <w:rsid w:val="00E2656A"/>
    <w:rsid w:val="00E2725F"/>
    <w:rsid w:val="00E275C0"/>
    <w:rsid w:val="00E32E48"/>
    <w:rsid w:val="00E35361"/>
    <w:rsid w:val="00E37FFA"/>
    <w:rsid w:val="00E412D0"/>
    <w:rsid w:val="00E41DFB"/>
    <w:rsid w:val="00E44872"/>
    <w:rsid w:val="00E56322"/>
    <w:rsid w:val="00E57CDE"/>
    <w:rsid w:val="00E608DE"/>
    <w:rsid w:val="00E60982"/>
    <w:rsid w:val="00E6198C"/>
    <w:rsid w:val="00E62C62"/>
    <w:rsid w:val="00E6432B"/>
    <w:rsid w:val="00E65036"/>
    <w:rsid w:val="00E654C1"/>
    <w:rsid w:val="00E65D97"/>
    <w:rsid w:val="00E72A5A"/>
    <w:rsid w:val="00E73354"/>
    <w:rsid w:val="00E77927"/>
    <w:rsid w:val="00E77BBA"/>
    <w:rsid w:val="00E8366F"/>
    <w:rsid w:val="00E8416F"/>
    <w:rsid w:val="00E84B34"/>
    <w:rsid w:val="00E8526D"/>
    <w:rsid w:val="00E85C99"/>
    <w:rsid w:val="00E9024C"/>
    <w:rsid w:val="00E9242D"/>
    <w:rsid w:val="00E93493"/>
    <w:rsid w:val="00E93861"/>
    <w:rsid w:val="00E97066"/>
    <w:rsid w:val="00EA7A41"/>
    <w:rsid w:val="00EB05A1"/>
    <w:rsid w:val="00EB0AE0"/>
    <w:rsid w:val="00EB3D60"/>
    <w:rsid w:val="00EB5255"/>
    <w:rsid w:val="00EB5C47"/>
    <w:rsid w:val="00EC0AF1"/>
    <w:rsid w:val="00EC7784"/>
    <w:rsid w:val="00EC7EB1"/>
    <w:rsid w:val="00EC7F9F"/>
    <w:rsid w:val="00ED0639"/>
    <w:rsid w:val="00ED114F"/>
    <w:rsid w:val="00ED2044"/>
    <w:rsid w:val="00ED2F53"/>
    <w:rsid w:val="00ED4CC1"/>
    <w:rsid w:val="00EE0BE0"/>
    <w:rsid w:val="00EE25C9"/>
    <w:rsid w:val="00EE2A54"/>
    <w:rsid w:val="00EE2F88"/>
    <w:rsid w:val="00EE3091"/>
    <w:rsid w:val="00EE3F53"/>
    <w:rsid w:val="00EE7607"/>
    <w:rsid w:val="00EF10E9"/>
    <w:rsid w:val="00EF1A45"/>
    <w:rsid w:val="00EF4755"/>
    <w:rsid w:val="00EF5342"/>
    <w:rsid w:val="00EF7135"/>
    <w:rsid w:val="00F00611"/>
    <w:rsid w:val="00F025CE"/>
    <w:rsid w:val="00F027DB"/>
    <w:rsid w:val="00F04500"/>
    <w:rsid w:val="00F0568A"/>
    <w:rsid w:val="00F14A7A"/>
    <w:rsid w:val="00F22985"/>
    <w:rsid w:val="00F254C1"/>
    <w:rsid w:val="00F32C46"/>
    <w:rsid w:val="00F33073"/>
    <w:rsid w:val="00F3383E"/>
    <w:rsid w:val="00F36251"/>
    <w:rsid w:val="00F3774C"/>
    <w:rsid w:val="00F4043A"/>
    <w:rsid w:val="00F4360B"/>
    <w:rsid w:val="00F465A7"/>
    <w:rsid w:val="00F473AA"/>
    <w:rsid w:val="00F50B7C"/>
    <w:rsid w:val="00F51585"/>
    <w:rsid w:val="00F542CC"/>
    <w:rsid w:val="00F550E6"/>
    <w:rsid w:val="00F60CB7"/>
    <w:rsid w:val="00F618DF"/>
    <w:rsid w:val="00F73541"/>
    <w:rsid w:val="00F738DA"/>
    <w:rsid w:val="00F73F6A"/>
    <w:rsid w:val="00F74345"/>
    <w:rsid w:val="00F75D10"/>
    <w:rsid w:val="00F76A56"/>
    <w:rsid w:val="00F775E5"/>
    <w:rsid w:val="00F803CE"/>
    <w:rsid w:val="00F80A0A"/>
    <w:rsid w:val="00F82B19"/>
    <w:rsid w:val="00F8524F"/>
    <w:rsid w:val="00F855DF"/>
    <w:rsid w:val="00F90DE6"/>
    <w:rsid w:val="00F920F6"/>
    <w:rsid w:val="00F9212D"/>
    <w:rsid w:val="00F94016"/>
    <w:rsid w:val="00F94696"/>
    <w:rsid w:val="00F965DA"/>
    <w:rsid w:val="00F96D2A"/>
    <w:rsid w:val="00F97572"/>
    <w:rsid w:val="00FA406A"/>
    <w:rsid w:val="00FA72A4"/>
    <w:rsid w:val="00FA76B8"/>
    <w:rsid w:val="00FB2B2E"/>
    <w:rsid w:val="00FB503A"/>
    <w:rsid w:val="00FB516C"/>
    <w:rsid w:val="00FC0962"/>
    <w:rsid w:val="00FC1305"/>
    <w:rsid w:val="00FC7BB2"/>
    <w:rsid w:val="00FD0236"/>
    <w:rsid w:val="00FD18F4"/>
    <w:rsid w:val="00FD1E26"/>
    <w:rsid w:val="00FD2071"/>
    <w:rsid w:val="00FD54DB"/>
    <w:rsid w:val="00FD619F"/>
    <w:rsid w:val="00FE0505"/>
    <w:rsid w:val="00FE3C05"/>
    <w:rsid w:val="00FE47A1"/>
    <w:rsid w:val="00FF041B"/>
    <w:rsid w:val="00FF1640"/>
    <w:rsid w:val="00FF1F46"/>
    <w:rsid w:val="00FF472B"/>
    <w:rsid w:val="00FF6784"/>
    <w:rsid w:val="01290F7E"/>
    <w:rsid w:val="015475DB"/>
    <w:rsid w:val="015D1E09"/>
    <w:rsid w:val="01641873"/>
    <w:rsid w:val="019D6932"/>
    <w:rsid w:val="02396E1C"/>
    <w:rsid w:val="02630B26"/>
    <w:rsid w:val="02697903"/>
    <w:rsid w:val="028530FC"/>
    <w:rsid w:val="02F96569"/>
    <w:rsid w:val="034C50A7"/>
    <w:rsid w:val="03EA7B21"/>
    <w:rsid w:val="045F30BC"/>
    <w:rsid w:val="048738DE"/>
    <w:rsid w:val="04AE32D9"/>
    <w:rsid w:val="04B0586D"/>
    <w:rsid w:val="05052D95"/>
    <w:rsid w:val="05782A31"/>
    <w:rsid w:val="05F83EAE"/>
    <w:rsid w:val="05FD48FB"/>
    <w:rsid w:val="06304C93"/>
    <w:rsid w:val="063E7D85"/>
    <w:rsid w:val="064922FC"/>
    <w:rsid w:val="07293586"/>
    <w:rsid w:val="07295285"/>
    <w:rsid w:val="07552FDE"/>
    <w:rsid w:val="07636392"/>
    <w:rsid w:val="07770C56"/>
    <w:rsid w:val="07982448"/>
    <w:rsid w:val="092217DD"/>
    <w:rsid w:val="093A7294"/>
    <w:rsid w:val="09450580"/>
    <w:rsid w:val="097C5031"/>
    <w:rsid w:val="09DC52CE"/>
    <w:rsid w:val="0A263993"/>
    <w:rsid w:val="0A2D3AC2"/>
    <w:rsid w:val="0A684FB8"/>
    <w:rsid w:val="0AA755DF"/>
    <w:rsid w:val="0AAB1C87"/>
    <w:rsid w:val="0B120D44"/>
    <w:rsid w:val="0B9B0BAA"/>
    <w:rsid w:val="0BD27BF6"/>
    <w:rsid w:val="0BF00B41"/>
    <w:rsid w:val="0C3B3C7D"/>
    <w:rsid w:val="0C90329C"/>
    <w:rsid w:val="0CAB2EAE"/>
    <w:rsid w:val="0D1F40CF"/>
    <w:rsid w:val="0D621C7D"/>
    <w:rsid w:val="0DC555CE"/>
    <w:rsid w:val="0DF312D9"/>
    <w:rsid w:val="0E73034D"/>
    <w:rsid w:val="0F13775A"/>
    <w:rsid w:val="0F5F45FE"/>
    <w:rsid w:val="0F9A112B"/>
    <w:rsid w:val="106D2F64"/>
    <w:rsid w:val="10A1576E"/>
    <w:rsid w:val="10B63710"/>
    <w:rsid w:val="10F10820"/>
    <w:rsid w:val="111C2F7A"/>
    <w:rsid w:val="11665CA1"/>
    <w:rsid w:val="116A3BB7"/>
    <w:rsid w:val="119C15EF"/>
    <w:rsid w:val="11BC34B7"/>
    <w:rsid w:val="11F511AE"/>
    <w:rsid w:val="11F66260"/>
    <w:rsid w:val="13951726"/>
    <w:rsid w:val="13E77138"/>
    <w:rsid w:val="13EE5846"/>
    <w:rsid w:val="14396509"/>
    <w:rsid w:val="14DD2C3C"/>
    <w:rsid w:val="154132BB"/>
    <w:rsid w:val="156032F5"/>
    <w:rsid w:val="15CA2D02"/>
    <w:rsid w:val="15EF483E"/>
    <w:rsid w:val="16087E1D"/>
    <w:rsid w:val="16176216"/>
    <w:rsid w:val="169360FD"/>
    <w:rsid w:val="17701D14"/>
    <w:rsid w:val="17735226"/>
    <w:rsid w:val="17B65D3A"/>
    <w:rsid w:val="189F624C"/>
    <w:rsid w:val="194C5451"/>
    <w:rsid w:val="1A1C66C0"/>
    <w:rsid w:val="1A42393B"/>
    <w:rsid w:val="1AAD45DE"/>
    <w:rsid w:val="1AC05F8E"/>
    <w:rsid w:val="1B046F80"/>
    <w:rsid w:val="1B3267B5"/>
    <w:rsid w:val="1B40161D"/>
    <w:rsid w:val="1B441859"/>
    <w:rsid w:val="1B6606B1"/>
    <w:rsid w:val="1BF66692"/>
    <w:rsid w:val="1BF678B0"/>
    <w:rsid w:val="1C5E7925"/>
    <w:rsid w:val="1C83147E"/>
    <w:rsid w:val="1CDB767F"/>
    <w:rsid w:val="1CFD070F"/>
    <w:rsid w:val="1D532878"/>
    <w:rsid w:val="1D5F6196"/>
    <w:rsid w:val="1D6132A5"/>
    <w:rsid w:val="1D8E56D5"/>
    <w:rsid w:val="1DB40FD6"/>
    <w:rsid w:val="1E7A43DA"/>
    <w:rsid w:val="1FE7539E"/>
    <w:rsid w:val="20671BE0"/>
    <w:rsid w:val="20963CB8"/>
    <w:rsid w:val="20A81A1B"/>
    <w:rsid w:val="20A83451"/>
    <w:rsid w:val="20B07FB6"/>
    <w:rsid w:val="20B646FB"/>
    <w:rsid w:val="213B74B1"/>
    <w:rsid w:val="215916B3"/>
    <w:rsid w:val="215A2310"/>
    <w:rsid w:val="215E61CC"/>
    <w:rsid w:val="21DE318A"/>
    <w:rsid w:val="21EF5B80"/>
    <w:rsid w:val="22576990"/>
    <w:rsid w:val="22F47480"/>
    <w:rsid w:val="23A24F68"/>
    <w:rsid w:val="23DE1C48"/>
    <w:rsid w:val="240210CD"/>
    <w:rsid w:val="24BF09F7"/>
    <w:rsid w:val="252D53FE"/>
    <w:rsid w:val="25EC2D81"/>
    <w:rsid w:val="25F335F6"/>
    <w:rsid w:val="2739211A"/>
    <w:rsid w:val="277057A2"/>
    <w:rsid w:val="290D2188"/>
    <w:rsid w:val="29206EB8"/>
    <w:rsid w:val="29595666"/>
    <w:rsid w:val="29874881"/>
    <w:rsid w:val="29E325E0"/>
    <w:rsid w:val="2A452503"/>
    <w:rsid w:val="2AA765D9"/>
    <w:rsid w:val="2BA936A8"/>
    <w:rsid w:val="2C315A5A"/>
    <w:rsid w:val="2C4B1C25"/>
    <w:rsid w:val="2CCF7B5E"/>
    <w:rsid w:val="2D4571BE"/>
    <w:rsid w:val="2D861DA5"/>
    <w:rsid w:val="2D9E56F5"/>
    <w:rsid w:val="2E093FA4"/>
    <w:rsid w:val="2E127349"/>
    <w:rsid w:val="2E373AA8"/>
    <w:rsid w:val="2E667F96"/>
    <w:rsid w:val="2E8226AB"/>
    <w:rsid w:val="2EA97EC6"/>
    <w:rsid w:val="2EE80814"/>
    <w:rsid w:val="2F605477"/>
    <w:rsid w:val="2F940314"/>
    <w:rsid w:val="2FC20B8A"/>
    <w:rsid w:val="2FD065E6"/>
    <w:rsid w:val="2FD96870"/>
    <w:rsid w:val="2FEA5962"/>
    <w:rsid w:val="30580BC9"/>
    <w:rsid w:val="305B4616"/>
    <w:rsid w:val="311E2ED7"/>
    <w:rsid w:val="315619EE"/>
    <w:rsid w:val="315C449C"/>
    <w:rsid w:val="31B82709"/>
    <w:rsid w:val="31D05482"/>
    <w:rsid w:val="31F0551C"/>
    <w:rsid w:val="32400B34"/>
    <w:rsid w:val="325C03F5"/>
    <w:rsid w:val="329E6876"/>
    <w:rsid w:val="32A8091F"/>
    <w:rsid w:val="32C018E0"/>
    <w:rsid w:val="333015F2"/>
    <w:rsid w:val="334B6320"/>
    <w:rsid w:val="33A65509"/>
    <w:rsid w:val="33D934D4"/>
    <w:rsid w:val="33FE2F6A"/>
    <w:rsid w:val="340E07E5"/>
    <w:rsid w:val="34235BF7"/>
    <w:rsid w:val="353024A6"/>
    <w:rsid w:val="357C67E1"/>
    <w:rsid w:val="358C5FA8"/>
    <w:rsid w:val="35C15DF1"/>
    <w:rsid w:val="36074A7F"/>
    <w:rsid w:val="361A75A8"/>
    <w:rsid w:val="36923549"/>
    <w:rsid w:val="3697660D"/>
    <w:rsid w:val="36B75FBF"/>
    <w:rsid w:val="36BD0C45"/>
    <w:rsid w:val="36C64B8E"/>
    <w:rsid w:val="36F401D1"/>
    <w:rsid w:val="37594FB1"/>
    <w:rsid w:val="37B840B6"/>
    <w:rsid w:val="37E00298"/>
    <w:rsid w:val="38062140"/>
    <w:rsid w:val="385319C7"/>
    <w:rsid w:val="38B302F9"/>
    <w:rsid w:val="38F12CD3"/>
    <w:rsid w:val="38F508D0"/>
    <w:rsid w:val="38F94775"/>
    <w:rsid w:val="392971ED"/>
    <w:rsid w:val="39325651"/>
    <w:rsid w:val="3A872856"/>
    <w:rsid w:val="3B3763D1"/>
    <w:rsid w:val="3C2F6E1E"/>
    <w:rsid w:val="3C4F64BA"/>
    <w:rsid w:val="3CDA245A"/>
    <w:rsid w:val="3D1E06B7"/>
    <w:rsid w:val="3DAB2B5F"/>
    <w:rsid w:val="3EDA0523"/>
    <w:rsid w:val="3F861DEC"/>
    <w:rsid w:val="3FBE54C7"/>
    <w:rsid w:val="407A6407"/>
    <w:rsid w:val="40A9082C"/>
    <w:rsid w:val="4153125A"/>
    <w:rsid w:val="41E77DC5"/>
    <w:rsid w:val="4200449D"/>
    <w:rsid w:val="423A3BCC"/>
    <w:rsid w:val="424E57D2"/>
    <w:rsid w:val="42B26C49"/>
    <w:rsid w:val="433A6FE6"/>
    <w:rsid w:val="43480868"/>
    <w:rsid w:val="4350713C"/>
    <w:rsid w:val="436653E0"/>
    <w:rsid w:val="43C4431A"/>
    <w:rsid w:val="43E455E1"/>
    <w:rsid w:val="44714AAB"/>
    <w:rsid w:val="44B204BA"/>
    <w:rsid w:val="44B951CC"/>
    <w:rsid w:val="44CD14E0"/>
    <w:rsid w:val="44F20B0B"/>
    <w:rsid w:val="452E5F4C"/>
    <w:rsid w:val="45612018"/>
    <w:rsid w:val="456A330C"/>
    <w:rsid w:val="458946E9"/>
    <w:rsid w:val="45A47C0E"/>
    <w:rsid w:val="46184745"/>
    <w:rsid w:val="46577FD6"/>
    <w:rsid w:val="46D955A7"/>
    <w:rsid w:val="47133957"/>
    <w:rsid w:val="474610C3"/>
    <w:rsid w:val="47A07E0C"/>
    <w:rsid w:val="48401E0D"/>
    <w:rsid w:val="4870272E"/>
    <w:rsid w:val="48A3668E"/>
    <w:rsid w:val="49190B79"/>
    <w:rsid w:val="499A4CF2"/>
    <w:rsid w:val="499C4F87"/>
    <w:rsid w:val="49DC7715"/>
    <w:rsid w:val="49E04D7A"/>
    <w:rsid w:val="4A023139"/>
    <w:rsid w:val="4A7B576F"/>
    <w:rsid w:val="4AF561A9"/>
    <w:rsid w:val="4C483165"/>
    <w:rsid w:val="4C4A0649"/>
    <w:rsid w:val="4C7E5ECA"/>
    <w:rsid w:val="4C876AA5"/>
    <w:rsid w:val="4CA044E4"/>
    <w:rsid w:val="4CC62C97"/>
    <w:rsid w:val="4CE306C6"/>
    <w:rsid w:val="4D0E00FB"/>
    <w:rsid w:val="4D176606"/>
    <w:rsid w:val="4DA47B04"/>
    <w:rsid w:val="4DDA4557"/>
    <w:rsid w:val="4DEC4FB0"/>
    <w:rsid w:val="4E075D8A"/>
    <w:rsid w:val="4EC00FAD"/>
    <w:rsid w:val="4EC46D82"/>
    <w:rsid w:val="4F8B0CAC"/>
    <w:rsid w:val="4F9843DC"/>
    <w:rsid w:val="4FC62A8C"/>
    <w:rsid w:val="4FD50DA8"/>
    <w:rsid w:val="4FE20F0D"/>
    <w:rsid w:val="4FE51552"/>
    <w:rsid w:val="503641A7"/>
    <w:rsid w:val="50504C4B"/>
    <w:rsid w:val="509C6E7C"/>
    <w:rsid w:val="50C34B04"/>
    <w:rsid w:val="514270E6"/>
    <w:rsid w:val="5162104E"/>
    <w:rsid w:val="51DC12F8"/>
    <w:rsid w:val="52E463D1"/>
    <w:rsid w:val="537851D5"/>
    <w:rsid w:val="53A039CC"/>
    <w:rsid w:val="53A1505A"/>
    <w:rsid w:val="540401A1"/>
    <w:rsid w:val="54063E08"/>
    <w:rsid w:val="543437E8"/>
    <w:rsid w:val="54D73AF9"/>
    <w:rsid w:val="54F73313"/>
    <w:rsid w:val="54F80955"/>
    <w:rsid w:val="555170A7"/>
    <w:rsid w:val="5587536D"/>
    <w:rsid w:val="55972E0F"/>
    <w:rsid w:val="559B174B"/>
    <w:rsid w:val="55CB58C2"/>
    <w:rsid w:val="55CE0CF4"/>
    <w:rsid w:val="56B22A9C"/>
    <w:rsid w:val="575B3852"/>
    <w:rsid w:val="57B72A76"/>
    <w:rsid w:val="57C3426C"/>
    <w:rsid w:val="57CE1F93"/>
    <w:rsid w:val="588743D1"/>
    <w:rsid w:val="5887701A"/>
    <w:rsid w:val="589669CA"/>
    <w:rsid w:val="58AC4D4F"/>
    <w:rsid w:val="59C0439F"/>
    <w:rsid w:val="59C474C2"/>
    <w:rsid w:val="59CF5B1A"/>
    <w:rsid w:val="5A5C7952"/>
    <w:rsid w:val="5ABE2233"/>
    <w:rsid w:val="5BB77F27"/>
    <w:rsid w:val="5BDF5D95"/>
    <w:rsid w:val="5BFE7528"/>
    <w:rsid w:val="5C07081F"/>
    <w:rsid w:val="5C685DC6"/>
    <w:rsid w:val="5CC20884"/>
    <w:rsid w:val="5D0D1D6F"/>
    <w:rsid w:val="5D667149"/>
    <w:rsid w:val="5D9A5E1E"/>
    <w:rsid w:val="5D9D2109"/>
    <w:rsid w:val="5DBB3FB7"/>
    <w:rsid w:val="5DF07DB4"/>
    <w:rsid w:val="5DF44B08"/>
    <w:rsid w:val="5E2467F1"/>
    <w:rsid w:val="5F1A2B43"/>
    <w:rsid w:val="5F435464"/>
    <w:rsid w:val="5FB837BB"/>
    <w:rsid w:val="60CC405A"/>
    <w:rsid w:val="61341D16"/>
    <w:rsid w:val="61E215D8"/>
    <w:rsid w:val="621B3775"/>
    <w:rsid w:val="62364782"/>
    <w:rsid w:val="6297679D"/>
    <w:rsid w:val="62C6286A"/>
    <w:rsid w:val="633862E8"/>
    <w:rsid w:val="6394356A"/>
    <w:rsid w:val="639F2BB8"/>
    <w:rsid w:val="63C61B2C"/>
    <w:rsid w:val="63D40BE9"/>
    <w:rsid w:val="64102431"/>
    <w:rsid w:val="64686F03"/>
    <w:rsid w:val="64922384"/>
    <w:rsid w:val="64A46D72"/>
    <w:rsid w:val="64A5243A"/>
    <w:rsid w:val="64F531DE"/>
    <w:rsid w:val="65373578"/>
    <w:rsid w:val="65BE5E13"/>
    <w:rsid w:val="661F4B0C"/>
    <w:rsid w:val="66937143"/>
    <w:rsid w:val="66C16FA1"/>
    <w:rsid w:val="671F124A"/>
    <w:rsid w:val="67611620"/>
    <w:rsid w:val="677A33C6"/>
    <w:rsid w:val="67E30C59"/>
    <w:rsid w:val="681F6961"/>
    <w:rsid w:val="68610A2F"/>
    <w:rsid w:val="68805514"/>
    <w:rsid w:val="688D6595"/>
    <w:rsid w:val="69316E2F"/>
    <w:rsid w:val="6945507D"/>
    <w:rsid w:val="694874AE"/>
    <w:rsid w:val="694E2071"/>
    <w:rsid w:val="69682DE9"/>
    <w:rsid w:val="696A6E60"/>
    <w:rsid w:val="69766163"/>
    <w:rsid w:val="697A3B33"/>
    <w:rsid w:val="69D44760"/>
    <w:rsid w:val="6A0E36C1"/>
    <w:rsid w:val="6A263560"/>
    <w:rsid w:val="6A4A0D79"/>
    <w:rsid w:val="6A520EC7"/>
    <w:rsid w:val="6AC01D0D"/>
    <w:rsid w:val="6AF87E20"/>
    <w:rsid w:val="6B322639"/>
    <w:rsid w:val="6C636C38"/>
    <w:rsid w:val="6C6E4201"/>
    <w:rsid w:val="6C84169B"/>
    <w:rsid w:val="6CD87B70"/>
    <w:rsid w:val="6DB34098"/>
    <w:rsid w:val="6DB545B6"/>
    <w:rsid w:val="6DE02FB4"/>
    <w:rsid w:val="6E514CED"/>
    <w:rsid w:val="6E6B0064"/>
    <w:rsid w:val="6EB563D5"/>
    <w:rsid w:val="6ED92677"/>
    <w:rsid w:val="6F225983"/>
    <w:rsid w:val="6F851307"/>
    <w:rsid w:val="6FFC5590"/>
    <w:rsid w:val="70190E1F"/>
    <w:rsid w:val="706D1DD0"/>
    <w:rsid w:val="70856B87"/>
    <w:rsid w:val="70D527EE"/>
    <w:rsid w:val="70FB3D10"/>
    <w:rsid w:val="71294C42"/>
    <w:rsid w:val="715B5300"/>
    <w:rsid w:val="71A244E6"/>
    <w:rsid w:val="71D27F8A"/>
    <w:rsid w:val="72185C6E"/>
    <w:rsid w:val="72553024"/>
    <w:rsid w:val="727672CF"/>
    <w:rsid w:val="7286182A"/>
    <w:rsid w:val="72B40C35"/>
    <w:rsid w:val="73122968"/>
    <w:rsid w:val="731F5D5E"/>
    <w:rsid w:val="73C51AD5"/>
    <w:rsid w:val="73FC1299"/>
    <w:rsid w:val="741E793C"/>
    <w:rsid w:val="74565E97"/>
    <w:rsid w:val="745E3944"/>
    <w:rsid w:val="74EE6638"/>
    <w:rsid w:val="75AB65F4"/>
    <w:rsid w:val="75DB22FF"/>
    <w:rsid w:val="75F03407"/>
    <w:rsid w:val="760E6FBE"/>
    <w:rsid w:val="7616199F"/>
    <w:rsid w:val="7635099D"/>
    <w:rsid w:val="769E2684"/>
    <w:rsid w:val="77762421"/>
    <w:rsid w:val="77882028"/>
    <w:rsid w:val="77B56B1F"/>
    <w:rsid w:val="77DA2D08"/>
    <w:rsid w:val="780F09F4"/>
    <w:rsid w:val="78A90480"/>
    <w:rsid w:val="78EE048B"/>
    <w:rsid w:val="797D2716"/>
    <w:rsid w:val="79E030DA"/>
    <w:rsid w:val="7A364017"/>
    <w:rsid w:val="7A8265E1"/>
    <w:rsid w:val="7AB43E11"/>
    <w:rsid w:val="7B686D42"/>
    <w:rsid w:val="7B841746"/>
    <w:rsid w:val="7BE75B20"/>
    <w:rsid w:val="7C3F494D"/>
    <w:rsid w:val="7C5D1248"/>
    <w:rsid w:val="7C6C5AC7"/>
    <w:rsid w:val="7C8602BB"/>
    <w:rsid w:val="7CC6544B"/>
    <w:rsid w:val="7D0239FF"/>
    <w:rsid w:val="7D2F6326"/>
    <w:rsid w:val="7D5E40CD"/>
    <w:rsid w:val="7DCD56F2"/>
    <w:rsid w:val="7E1B30AF"/>
    <w:rsid w:val="7EB6282B"/>
    <w:rsid w:val="7F001CE7"/>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uiPriority w:val="0"/>
    <w:pPr>
      <w:pageBreakBefore/>
      <w:tabs>
        <w:tab w:val="right" w:leader="dot" w:pos="8165"/>
      </w:tabs>
      <w:adjustRightInd w:val="0"/>
      <w:spacing w:line="360" w:lineRule="auto"/>
      <w:jc w:val="left"/>
      <w:outlineLvl w:val="1"/>
    </w:pPr>
    <w:rPr>
      <w:rFonts w:hint="eastAsia" w:ascii="黑体" w:hAnsi="黑体" w:cs="Arial Black"/>
      <w:b/>
      <w:kern w:val="0"/>
      <w:szCs w:val="20"/>
    </w:rPr>
  </w:style>
  <w:style w:type="paragraph" w:styleId="5">
    <w:name w:val="heading 3"/>
    <w:basedOn w:val="1"/>
    <w:next w:val="1"/>
    <w:qFormat/>
    <w:uiPriority w:val="0"/>
    <w:pPr>
      <w:keepNext/>
      <w:keepLines/>
      <w:spacing w:line="360" w:lineRule="auto"/>
      <w:outlineLvl w:val="2"/>
    </w:pPr>
    <w:rPr>
      <w:b/>
      <w:bCs/>
      <w:szCs w:val="32"/>
    </w:rPr>
  </w:style>
  <w:style w:type="paragraph" w:styleId="6">
    <w:name w:val="heading 4"/>
    <w:basedOn w:val="1"/>
    <w:next w:val="1"/>
    <w:qFormat/>
    <w:uiPriority w:val="0"/>
    <w:pPr>
      <w:outlineLvl w:val="3"/>
    </w:pPr>
    <w:rPr>
      <w:rFonts w:ascii="宋体" w:hAnsi="宋体" w:cs="宋体"/>
      <w:b/>
      <w:bCs/>
      <w:sz w:val="24"/>
      <w:lang w:val="zh-CN" w:bidi="zh-CN"/>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qFormat/>
    <w:uiPriority w:val="0"/>
    <w:rPr>
      <w:rFonts w:ascii="宋体" w:hAnsi="Courier New"/>
      <w:sz w:val="28"/>
      <w:szCs w:val="21"/>
    </w:rPr>
  </w:style>
  <w:style w:type="paragraph" w:styleId="7">
    <w:name w:val="Normal Indent"/>
    <w:basedOn w:val="1"/>
    <w:next w:val="8"/>
    <w:qFormat/>
    <w:uiPriority w:val="0"/>
    <w:pPr>
      <w:tabs>
        <w:tab w:val="left" w:pos="5530"/>
      </w:tabs>
      <w:adjustRightInd w:val="0"/>
      <w:snapToGrid w:val="0"/>
      <w:spacing w:line="320" w:lineRule="atLeast"/>
      <w:jc w:val="center"/>
    </w:pPr>
    <w:rPr>
      <w:rFonts w:ascii="宋体" w:hAnsi="宋体"/>
      <w:bCs/>
      <w:sz w:val="24"/>
    </w:rPr>
  </w:style>
  <w:style w:type="paragraph" w:customStyle="1" w:styleId="8">
    <w:name w:val="表头"/>
    <w:basedOn w:val="9"/>
    <w:next w:val="1"/>
    <w:qFormat/>
    <w:uiPriority w:val="0"/>
    <w:pPr>
      <w:spacing w:line="240" w:lineRule="auto"/>
      <w:ind w:firstLine="0" w:firstLineChars="0"/>
      <w:jc w:val="center"/>
    </w:pPr>
    <w:rPr>
      <w:rFonts w:eastAsia="宋体"/>
      <w:b/>
      <w:bCs/>
      <w:sz w:val="21"/>
      <w:szCs w:val="21"/>
    </w:rPr>
  </w:style>
  <w:style w:type="paragraph" w:customStyle="1" w:styleId="9">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styleId="10">
    <w:name w:val="toa heading"/>
    <w:basedOn w:val="1"/>
    <w:next w:val="1"/>
    <w:qFormat/>
    <w:uiPriority w:val="0"/>
    <w:pPr>
      <w:spacing w:before="120"/>
    </w:pPr>
    <w:rPr>
      <w:rFonts w:ascii="Arial" w:hAnsi="Arial" w:cs="Arial"/>
      <w:sz w:val="24"/>
    </w:rPr>
  </w:style>
  <w:style w:type="paragraph" w:styleId="11">
    <w:name w:val="annotation text"/>
    <w:basedOn w:val="1"/>
    <w:link w:val="36"/>
    <w:qFormat/>
    <w:uiPriority w:val="0"/>
    <w:pPr>
      <w:jc w:val="left"/>
    </w:pPr>
    <w:rPr>
      <w:kern w:val="0"/>
      <w:sz w:val="24"/>
      <w:szCs w:val="20"/>
    </w:rPr>
  </w:style>
  <w:style w:type="paragraph" w:styleId="12">
    <w:name w:val="Body Text"/>
    <w:basedOn w:val="1"/>
    <w:next w:val="13"/>
    <w:link w:val="37"/>
    <w:qFormat/>
    <w:uiPriority w:val="0"/>
    <w:pPr>
      <w:widowControl/>
      <w:snapToGrid w:val="0"/>
      <w:spacing w:before="60" w:after="160" w:line="259" w:lineRule="auto"/>
      <w:ind w:right="113"/>
    </w:pPr>
    <w:rPr>
      <w:kern w:val="0"/>
      <w:sz w:val="18"/>
      <w:szCs w:val="20"/>
    </w:rPr>
  </w:style>
  <w:style w:type="paragraph" w:customStyle="1" w:styleId="13">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4">
    <w:name w:val="Body Text Indent"/>
    <w:basedOn w:val="1"/>
    <w:next w:val="15"/>
    <w:link w:val="38"/>
    <w:qFormat/>
    <w:uiPriority w:val="0"/>
    <w:pPr>
      <w:spacing w:after="120"/>
      <w:ind w:left="420" w:leftChars="200"/>
    </w:pPr>
    <w:rPr>
      <w:kern w:val="0"/>
      <w:sz w:val="24"/>
      <w:szCs w:val="20"/>
    </w:rPr>
  </w:style>
  <w:style w:type="paragraph" w:styleId="15">
    <w:name w:val="header"/>
    <w:basedOn w:val="1"/>
    <w:next w:val="1"/>
    <w:link w:val="39"/>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List 2"/>
    <w:basedOn w:val="1"/>
    <w:qFormat/>
    <w:uiPriority w:val="0"/>
    <w:pPr>
      <w:ind w:left="100" w:leftChars="200" w:hanging="200" w:hangingChars="200"/>
    </w:pPr>
  </w:style>
  <w:style w:type="paragraph" w:styleId="17">
    <w:name w:val="Date"/>
    <w:basedOn w:val="1"/>
    <w:next w:val="1"/>
    <w:link w:val="40"/>
    <w:qFormat/>
    <w:uiPriority w:val="0"/>
    <w:pPr>
      <w:ind w:left="100" w:leftChars="2500"/>
    </w:pPr>
    <w:rPr>
      <w:kern w:val="0"/>
      <w:sz w:val="24"/>
      <w:szCs w:val="20"/>
    </w:rPr>
  </w:style>
  <w:style w:type="paragraph" w:styleId="18">
    <w:name w:val="Balloon Text"/>
    <w:basedOn w:val="1"/>
    <w:link w:val="41"/>
    <w:qFormat/>
    <w:uiPriority w:val="0"/>
    <w:rPr>
      <w:kern w:val="0"/>
      <w:sz w:val="18"/>
      <w:szCs w:val="20"/>
    </w:rPr>
  </w:style>
  <w:style w:type="paragraph" w:styleId="19">
    <w:name w:val="footer"/>
    <w:basedOn w:val="1"/>
    <w:link w:val="42"/>
    <w:qFormat/>
    <w:uiPriority w:val="99"/>
    <w:pPr>
      <w:tabs>
        <w:tab w:val="center" w:pos="4153"/>
        <w:tab w:val="right" w:pos="8306"/>
      </w:tabs>
      <w:snapToGrid w:val="0"/>
      <w:jc w:val="left"/>
    </w:pPr>
    <w:rPr>
      <w:kern w:val="0"/>
      <w:sz w:val="18"/>
      <w:szCs w:val="20"/>
    </w:rPr>
  </w:style>
  <w:style w:type="paragraph" w:styleId="20">
    <w:name w:val="toc 1"/>
    <w:basedOn w:val="1"/>
    <w:next w:val="1"/>
    <w:qFormat/>
    <w:uiPriority w:val="0"/>
    <w:pPr>
      <w:adjustRightInd w:val="0"/>
      <w:snapToGrid w:val="0"/>
      <w:spacing w:line="360" w:lineRule="auto"/>
      <w:jc w:val="left"/>
    </w:pPr>
    <w:rPr>
      <w:sz w:val="28"/>
      <w:szCs w:val="28"/>
    </w:rPr>
  </w:style>
  <w:style w:type="paragraph" w:styleId="21">
    <w:name w:val="index heading"/>
    <w:basedOn w:val="1"/>
    <w:next w:val="22"/>
    <w:qFormat/>
    <w:uiPriority w:val="0"/>
    <w:rPr>
      <w:bCs/>
    </w:rPr>
  </w:style>
  <w:style w:type="paragraph" w:styleId="22">
    <w:name w:val="index 1"/>
    <w:basedOn w:val="1"/>
    <w:next w:val="1"/>
    <w:qFormat/>
    <w:uiPriority w:val="0"/>
    <w:rPr>
      <w:kern w:val="28"/>
    </w:rPr>
  </w:style>
  <w:style w:type="paragraph" w:styleId="23">
    <w:name w:val="Normal (Web)"/>
    <w:basedOn w:val="1"/>
    <w:link w:val="43"/>
    <w:qFormat/>
    <w:uiPriority w:val="0"/>
    <w:pPr>
      <w:widowControl/>
      <w:spacing w:before="100" w:beforeAutospacing="1" w:after="100" w:afterAutospacing="1"/>
      <w:jc w:val="left"/>
    </w:pPr>
    <w:rPr>
      <w:rFonts w:ascii="宋体" w:hAnsi="宋体"/>
      <w:kern w:val="0"/>
      <w:sz w:val="24"/>
      <w:szCs w:val="20"/>
    </w:rPr>
  </w:style>
  <w:style w:type="paragraph" w:styleId="24">
    <w:name w:val="annotation subject"/>
    <w:basedOn w:val="11"/>
    <w:next w:val="11"/>
    <w:link w:val="44"/>
    <w:qFormat/>
    <w:uiPriority w:val="0"/>
    <w:rPr>
      <w:b/>
      <w:kern w:val="2"/>
    </w:rPr>
  </w:style>
  <w:style w:type="paragraph" w:styleId="25">
    <w:name w:val="Body Text First Indent"/>
    <w:basedOn w:val="12"/>
    <w:next w:val="1"/>
    <w:qFormat/>
    <w:uiPriority w:val="0"/>
    <w:pPr>
      <w:spacing w:line="240" w:lineRule="auto"/>
      <w:ind w:firstLine="420" w:firstLineChars="100"/>
    </w:pPr>
    <w:rPr>
      <w:sz w:val="21"/>
      <w:szCs w:val="24"/>
    </w:rPr>
  </w:style>
  <w:style w:type="paragraph" w:styleId="26">
    <w:name w:val="Body Text First Indent 2"/>
    <w:basedOn w:val="14"/>
    <w:next w:val="25"/>
    <w:qFormat/>
    <w:uiPriority w:val="0"/>
    <w:pPr>
      <w:ind w:firstLine="420" w:firstLineChars="200"/>
    </w:p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rFonts w:ascii="Times New Roman" w:hAnsi="Times New Roman" w:eastAsia="宋体" w:cs="Times New Roman"/>
      <w:b/>
    </w:rPr>
  </w:style>
  <w:style w:type="character" w:styleId="31">
    <w:name w:val="page number"/>
    <w:basedOn w:val="29"/>
    <w:qFormat/>
    <w:uiPriority w:val="0"/>
    <w:rPr>
      <w:rFonts w:ascii="Times New Roman" w:hAnsi="Times New Roman" w:eastAsia="宋体" w:cs="Times New Roman"/>
    </w:rPr>
  </w:style>
  <w:style w:type="character" w:styleId="32">
    <w:name w:val="Emphasis"/>
    <w:qFormat/>
    <w:uiPriority w:val="0"/>
    <w:rPr>
      <w:rFonts w:ascii="Times New Roman" w:hAnsi="Times New Roman" w:eastAsia="宋体" w:cs="Times New Roman"/>
    </w:rPr>
  </w:style>
  <w:style w:type="character" w:styleId="33">
    <w:name w:val="Hyperlink"/>
    <w:basedOn w:val="29"/>
    <w:qFormat/>
    <w:uiPriority w:val="0"/>
    <w:rPr>
      <w:rFonts w:ascii="Times New Roman" w:hAnsi="Times New Roman" w:eastAsia="宋体" w:cs="Times New Roman"/>
      <w:color w:val="0000FF"/>
      <w:u w:val="single"/>
    </w:rPr>
  </w:style>
  <w:style w:type="character" w:styleId="34">
    <w:name w:val="annotation reference"/>
    <w:basedOn w:val="29"/>
    <w:qFormat/>
    <w:uiPriority w:val="0"/>
    <w:rPr>
      <w:rFonts w:ascii="Times New Roman" w:hAnsi="Times New Roman" w:eastAsia="宋体" w:cs="Times New Roman"/>
      <w:sz w:val="21"/>
    </w:rPr>
  </w:style>
  <w:style w:type="paragraph" w:customStyle="1" w:styleId="35">
    <w:name w:val="正文首行缩进2"/>
    <w:basedOn w:val="1"/>
    <w:qFormat/>
    <w:uiPriority w:val="0"/>
    <w:pPr>
      <w:spacing w:line="500" w:lineRule="atLeast"/>
      <w:ind w:firstLine="560"/>
    </w:pPr>
  </w:style>
  <w:style w:type="character" w:customStyle="1" w:styleId="36">
    <w:name w:val="批注文字 Char"/>
    <w:link w:val="11"/>
    <w:qFormat/>
    <w:uiPriority w:val="0"/>
    <w:rPr>
      <w:rFonts w:ascii="Times New Roman" w:hAnsi="Times New Roman" w:eastAsia="宋体" w:cs="Times New Roman"/>
      <w:sz w:val="24"/>
    </w:rPr>
  </w:style>
  <w:style w:type="character" w:customStyle="1" w:styleId="37">
    <w:name w:val="正文文本 Char"/>
    <w:link w:val="12"/>
    <w:qFormat/>
    <w:uiPriority w:val="0"/>
    <w:rPr>
      <w:rFonts w:ascii="Times New Roman" w:hAnsi="Times New Roman" w:eastAsia="宋体" w:cs="Times New Roman"/>
      <w:sz w:val="18"/>
    </w:rPr>
  </w:style>
  <w:style w:type="character" w:customStyle="1" w:styleId="38">
    <w:name w:val="正文文本缩进 Char"/>
    <w:link w:val="14"/>
    <w:qFormat/>
    <w:uiPriority w:val="0"/>
    <w:rPr>
      <w:rFonts w:ascii="Times New Roman" w:hAnsi="Times New Roman" w:eastAsia="宋体" w:cs="Times New Roman"/>
      <w:sz w:val="24"/>
    </w:rPr>
  </w:style>
  <w:style w:type="character" w:customStyle="1" w:styleId="39">
    <w:name w:val="页眉 Char"/>
    <w:link w:val="15"/>
    <w:qFormat/>
    <w:uiPriority w:val="0"/>
    <w:rPr>
      <w:rFonts w:ascii="Times New Roman" w:hAnsi="Times New Roman" w:eastAsia="宋体" w:cs="Times New Roman"/>
      <w:sz w:val="18"/>
    </w:rPr>
  </w:style>
  <w:style w:type="character" w:customStyle="1" w:styleId="40">
    <w:name w:val="日期 Char"/>
    <w:link w:val="17"/>
    <w:qFormat/>
    <w:uiPriority w:val="0"/>
    <w:rPr>
      <w:rFonts w:ascii="Times New Roman" w:hAnsi="Times New Roman" w:eastAsia="宋体" w:cs="Times New Roman"/>
      <w:sz w:val="24"/>
    </w:rPr>
  </w:style>
  <w:style w:type="character" w:customStyle="1" w:styleId="41">
    <w:name w:val="批注框文本 Char"/>
    <w:link w:val="18"/>
    <w:qFormat/>
    <w:uiPriority w:val="0"/>
    <w:rPr>
      <w:rFonts w:ascii="Times New Roman" w:hAnsi="Times New Roman" w:eastAsia="宋体" w:cs="Times New Roman"/>
      <w:sz w:val="18"/>
    </w:rPr>
  </w:style>
  <w:style w:type="character" w:customStyle="1" w:styleId="42">
    <w:name w:val="页脚 Char"/>
    <w:link w:val="19"/>
    <w:qFormat/>
    <w:uiPriority w:val="99"/>
    <w:rPr>
      <w:rFonts w:ascii="Times New Roman" w:hAnsi="Times New Roman" w:eastAsia="宋体" w:cs="Times New Roman"/>
      <w:sz w:val="18"/>
    </w:rPr>
  </w:style>
  <w:style w:type="character" w:customStyle="1" w:styleId="43">
    <w:name w:val="普通(网站) Char"/>
    <w:link w:val="23"/>
    <w:qFormat/>
    <w:uiPriority w:val="0"/>
    <w:rPr>
      <w:rFonts w:ascii="宋体" w:hAnsi="宋体" w:eastAsia="宋体" w:cs="Times New Roman"/>
      <w:sz w:val="24"/>
    </w:rPr>
  </w:style>
  <w:style w:type="character" w:customStyle="1" w:styleId="44">
    <w:name w:val="批注主题 Char"/>
    <w:link w:val="24"/>
    <w:qFormat/>
    <w:uiPriority w:val="0"/>
    <w:rPr>
      <w:rFonts w:ascii="Times New Roman" w:hAnsi="Times New Roman" w:eastAsia="宋体" w:cs="Times New Roman"/>
      <w:b/>
      <w:kern w:val="2"/>
      <w:sz w:val="24"/>
    </w:rPr>
  </w:style>
  <w:style w:type="paragraph" w:customStyle="1" w:styleId="45">
    <w:name w:val="Table Paragraph"/>
    <w:basedOn w:val="1"/>
    <w:qFormat/>
    <w:uiPriority w:val="0"/>
    <w:pPr>
      <w:jc w:val="center"/>
    </w:pPr>
    <w:rPr>
      <w:rFonts w:ascii="宋体" w:hAnsi="宋体" w:cs="宋体"/>
      <w:lang w:val="zh-CN" w:bidi="zh-CN"/>
    </w:rPr>
  </w:style>
  <w:style w:type="paragraph" w:customStyle="1" w:styleId="46">
    <w:name w:val="表格文字2"/>
    <w:basedOn w:val="1"/>
    <w:qFormat/>
    <w:uiPriority w:val="0"/>
    <w:pPr>
      <w:tabs>
        <w:tab w:val="left" w:pos="277"/>
        <w:tab w:val="left" w:pos="600"/>
        <w:tab w:val="left" w:pos="780"/>
        <w:tab w:val="left" w:pos="2517"/>
      </w:tabs>
      <w:adjustRightInd w:val="0"/>
      <w:jc w:val="center"/>
      <w:textAlignment w:val="baseline"/>
    </w:pPr>
    <w:rPr>
      <w:kern w:val="0"/>
      <w:szCs w:val="21"/>
    </w:rPr>
  </w:style>
  <w:style w:type="paragraph" w:customStyle="1" w:styleId="47">
    <w:name w:val="表格文字"/>
    <w:basedOn w:val="8"/>
    <w:next w:val="1"/>
    <w:qFormat/>
    <w:uiPriority w:val="0"/>
    <w:pPr>
      <w:autoSpaceDE w:val="0"/>
      <w:autoSpaceDN w:val="0"/>
      <w:spacing w:line="240" w:lineRule="atLeast"/>
      <w:textAlignment w:val="bottom"/>
    </w:pPr>
    <w:rPr>
      <w:color w:val="000000"/>
    </w:rPr>
  </w:style>
  <w:style w:type="character" w:customStyle="1" w:styleId="48">
    <w:name w:val="表格 Char"/>
    <w:link w:val="49"/>
    <w:qFormat/>
    <w:uiPriority w:val="0"/>
    <w:rPr>
      <w:rFonts w:ascii="宋体" w:hAnsi="Times New Roman" w:eastAsia="宋体" w:cs="Times New Roman"/>
      <w:sz w:val="21"/>
    </w:rPr>
  </w:style>
  <w:style w:type="paragraph" w:customStyle="1" w:styleId="49">
    <w:name w:val="表格"/>
    <w:basedOn w:val="7"/>
    <w:next w:val="1"/>
    <w:link w:val="48"/>
    <w:qFormat/>
    <w:uiPriority w:val="0"/>
    <w:pPr>
      <w:spacing w:beforeLines="16" w:afterLines="16" w:line="259" w:lineRule="auto"/>
    </w:pPr>
    <w:rPr>
      <w:rFonts w:hAnsi="Times New Roman"/>
      <w:bCs w:val="0"/>
      <w:kern w:val="0"/>
      <w:sz w:val="21"/>
      <w:szCs w:val="20"/>
    </w:rPr>
  </w:style>
  <w:style w:type="paragraph" w:customStyle="1" w:styleId="50">
    <w:name w:val="翔一正文"/>
    <w:basedOn w:val="1"/>
    <w:next w:val="1"/>
    <w:qFormat/>
    <w:uiPriority w:val="0"/>
    <w:pPr>
      <w:spacing w:line="360" w:lineRule="auto"/>
      <w:ind w:firstLine="1446" w:firstLineChars="200"/>
    </w:pPr>
    <w:rPr>
      <w:sz w:val="24"/>
      <w:szCs w:val="21"/>
    </w:rPr>
  </w:style>
  <w:style w:type="character" w:customStyle="1" w:styleId="51">
    <w:name w:val="样式1"/>
    <w:basedOn w:val="29"/>
    <w:qFormat/>
    <w:uiPriority w:val="0"/>
    <w:rPr>
      <w:rFonts w:ascii="Times New Roman" w:hAnsi="Times New Roman" w:eastAsia="宋体" w:cs="Times New Roman"/>
      <w:sz w:val="24"/>
      <w:szCs w:val="24"/>
      <w:lang w:val="en-US" w:eastAsia="zh-CN"/>
    </w:rPr>
  </w:style>
  <w:style w:type="paragraph" w:customStyle="1" w:styleId="52">
    <w:name w:val="正常段落"/>
    <w:basedOn w:val="7"/>
    <w:qFormat/>
    <w:uiPriority w:val="0"/>
    <w:pPr>
      <w:spacing w:line="440" w:lineRule="exact"/>
    </w:pPr>
    <w:rPr>
      <w:rFonts w:hAnsi="Times New Roman"/>
    </w:rPr>
  </w:style>
  <w:style w:type="paragraph" w:customStyle="1" w:styleId="53">
    <w:name w:val="三级正文"/>
    <w:basedOn w:val="1"/>
    <w:qFormat/>
    <w:uiPriority w:val="0"/>
    <w:rPr>
      <w:b/>
      <w:szCs w:val="21"/>
    </w:rPr>
  </w:style>
  <w:style w:type="paragraph" w:customStyle="1" w:styleId="54">
    <w:name w:val="正文1"/>
    <w:qFormat/>
    <w:uiPriority w:val="0"/>
    <w:pPr>
      <w:jc w:val="both"/>
    </w:pPr>
    <w:rPr>
      <w:rFonts w:ascii="Times New Roman" w:hAnsi="Times New Roman" w:eastAsia="宋体" w:cs="Times New Roman"/>
      <w:kern w:val="2"/>
      <w:sz w:val="21"/>
      <w:szCs w:val="21"/>
      <w:lang w:val="en-US" w:eastAsia="zh-CN" w:bidi="ar-SA"/>
    </w:rPr>
  </w:style>
  <w:style w:type="paragraph" w:styleId="55">
    <w:name w:val="List Paragraph"/>
    <w:basedOn w:val="1"/>
    <w:qFormat/>
    <w:uiPriority w:val="0"/>
    <w:pPr>
      <w:ind w:left="1856" w:hanging="602"/>
    </w:pPr>
    <w:rPr>
      <w:rFonts w:ascii="宋体" w:hAnsi="宋体" w:cs="宋体"/>
      <w:lang w:val="zh-CN" w:bidi="zh-CN"/>
    </w:rPr>
  </w:style>
  <w:style w:type="paragraph" w:customStyle="1" w:styleId="56">
    <w:name w:val="环科院正文"/>
    <w:basedOn w:val="1"/>
    <w:qFormat/>
    <w:uiPriority w:val="0"/>
    <w:pPr>
      <w:tabs>
        <w:tab w:val="left" w:pos="5760"/>
      </w:tabs>
      <w:spacing w:line="360" w:lineRule="auto"/>
      <w:ind w:firstLine="480" w:firstLineChars="200"/>
    </w:pPr>
    <w:rPr>
      <w:rFonts w:hAnsi="宋体"/>
      <w:bCs/>
      <w:sz w:val="24"/>
      <w:szCs w:val="20"/>
    </w:rPr>
  </w:style>
  <w:style w:type="paragraph" w:customStyle="1" w:styleId="57">
    <w:name w:val="11"/>
    <w:basedOn w:val="12"/>
    <w:qFormat/>
    <w:uiPriority w:val="0"/>
    <w:pPr>
      <w:widowControl w:val="0"/>
      <w:autoSpaceDE w:val="0"/>
      <w:autoSpaceDN w:val="0"/>
      <w:adjustRightInd w:val="0"/>
      <w:snapToGrid/>
      <w:spacing w:before="0" w:after="0" w:line="360" w:lineRule="auto"/>
      <w:ind w:right="0" w:firstLine="1320" w:firstLineChars="550"/>
    </w:pPr>
    <w:rPr>
      <w:kern w:val="24"/>
      <w:sz w:val="21"/>
    </w:rPr>
  </w:style>
  <w:style w:type="character" w:customStyle="1" w:styleId="58">
    <w:name w:val="页脚 字符"/>
    <w:basedOn w:val="29"/>
    <w:qFormat/>
    <w:uiPriority w:val="0"/>
    <w:rPr>
      <w:rFonts w:ascii="Times New Roman" w:hAnsi="Times New Roman" w:eastAsia="宋体" w:cs="Times New Roman"/>
    </w:rPr>
  </w:style>
  <w:style w:type="character" w:customStyle="1" w:styleId="59">
    <w:name w:val="正文文本 字符1"/>
    <w:qFormat/>
    <w:uiPriority w:val="0"/>
    <w:rPr>
      <w:rFonts w:ascii="Times New Roman" w:hAnsi="Times New Roman" w:eastAsia="宋体" w:cs="Times New Roman"/>
      <w:sz w:val="24"/>
    </w:rPr>
  </w:style>
  <w:style w:type="character" w:customStyle="1" w:styleId="60">
    <w:name w:val="日期 字符"/>
    <w:qFormat/>
    <w:uiPriority w:val="0"/>
    <w:rPr>
      <w:rFonts w:ascii="Times New Roman" w:hAnsi="Times New Roman" w:eastAsia="宋体" w:cs="Times New Roman"/>
      <w:sz w:val="24"/>
    </w:rPr>
  </w:style>
  <w:style w:type="character" w:customStyle="1" w:styleId="61">
    <w:name w:val="批注文字 字符1"/>
    <w:qFormat/>
    <w:uiPriority w:val="0"/>
    <w:rPr>
      <w:rFonts w:ascii="Times New Roman" w:hAnsi="Times New Roman" w:eastAsia="宋体" w:cs="Times New Roman"/>
      <w:sz w:val="24"/>
    </w:rPr>
  </w:style>
  <w:style w:type="paragraph" w:customStyle="1" w:styleId="6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4">
    <w:name w:val="Default1"/>
    <w:basedOn w:val="1"/>
    <w:qFormat/>
    <w:uiPriority w:val="0"/>
    <w:pPr>
      <w:autoSpaceDE w:val="0"/>
      <w:autoSpaceDN w:val="0"/>
      <w:adjustRightInd w:val="0"/>
      <w:jc w:val="left"/>
    </w:pPr>
    <w:rPr>
      <w:rFonts w:hint="eastAsia" w:ascii="宋体"/>
      <w:color w:val="000000"/>
      <w:kern w:val="0"/>
      <w:sz w:val="24"/>
    </w:rPr>
  </w:style>
  <w:style w:type="paragraph" w:customStyle="1" w:styleId="65">
    <w:name w:val="表格格式"/>
    <w:basedOn w:val="1"/>
    <w:next w:val="1"/>
    <w:qFormat/>
    <w:uiPriority w:val="0"/>
    <w:pPr>
      <w:adjustRightInd w:val="0"/>
      <w:snapToGrid w:val="0"/>
      <w:ind w:left="-120" w:leftChars="-50" w:right="-120" w:rightChars="-50"/>
      <w:jc w:val="center"/>
    </w:pPr>
    <w:rPr>
      <w:sz w:val="18"/>
    </w:rPr>
  </w:style>
  <w:style w:type="paragraph" w:customStyle="1" w:styleId="66">
    <w:name w:val="正"/>
    <w:basedOn w:val="1"/>
    <w:qFormat/>
    <w:uiPriority w:val="0"/>
    <w:pPr>
      <w:ind w:firstLine="200"/>
    </w:pPr>
  </w:style>
  <w:style w:type="paragraph" w:customStyle="1" w:styleId="67">
    <w:name w:val="翔一表格"/>
    <w:basedOn w:val="1"/>
    <w:next w:val="1"/>
    <w:qFormat/>
    <w:uiPriority w:val="0"/>
    <w:pPr>
      <w:autoSpaceDE w:val="0"/>
      <w:autoSpaceDN w:val="0"/>
      <w:jc w:val="center"/>
      <w:textAlignment w:val="baseline"/>
    </w:pPr>
    <w:rPr>
      <w:kern w:val="0"/>
      <w:szCs w:val="21"/>
    </w:rPr>
  </w:style>
  <w:style w:type="paragraph" w:customStyle="1" w:styleId="68">
    <w:name w:val="WPSOffice手动目录 1"/>
    <w:qFormat/>
    <w:uiPriority w:val="0"/>
    <w:rPr>
      <w:rFonts w:ascii="Times New Roman" w:hAnsi="Times New Roman" w:eastAsia="宋体" w:cs="Times New Roman"/>
      <w:lang w:val="en-US" w:eastAsia="zh-CN" w:bidi="ar-SA"/>
    </w:rPr>
  </w:style>
  <w:style w:type="paragraph" w:customStyle="1" w:styleId="69">
    <w:name w:val="正文▲"/>
    <w:qFormat/>
    <w:uiPriority w:val="0"/>
    <w:pPr>
      <w:spacing w:line="360" w:lineRule="auto"/>
      <w:ind w:firstLine="200" w:firstLineChars="200"/>
    </w:pPr>
    <w:rPr>
      <w:rFonts w:ascii="Times New Roman" w:hAnsi="Times New Roman" w:eastAsia="宋体" w:cs="Times New Roman"/>
      <w:color w:val="000000"/>
      <w:kern w:val="2"/>
      <w:sz w:val="24"/>
      <w:szCs w:val="24"/>
      <w:lang w:val="en-US" w:eastAsia="zh-CN" w:bidi="ar-SA"/>
    </w:rPr>
  </w:style>
  <w:style w:type="paragraph" w:customStyle="1" w:styleId="70">
    <w:name w:val="p0"/>
    <w:basedOn w:val="1"/>
    <w:qFormat/>
    <w:uiPriority w:val="0"/>
    <w:pPr>
      <w:widowControl/>
    </w:pPr>
    <w:rPr>
      <w:rFonts w:eastAsia="Arial Black"/>
      <w:szCs w:val="21"/>
    </w:rPr>
  </w:style>
  <w:style w:type="paragraph" w:customStyle="1" w:styleId="71">
    <w:name w:val="表题"/>
    <w:basedOn w:val="1"/>
    <w:qFormat/>
    <w:uiPriority w:val="0"/>
    <w:pPr>
      <w:tabs>
        <w:tab w:val="right" w:pos="0"/>
      </w:tabs>
      <w:adjustRightInd w:val="0"/>
      <w:snapToGrid w:val="0"/>
      <w:jc w:val="center"/>
    </w:pPr>
    <w:rPr>
      <w:b/>
      <w:spacing w:val="11"/>
    </w:rPr>
  </w:style>
  <w:style w:type="paragraph" w:customStyle="1" w:styleId="72">
    <w:name w:val="Char Char Char Char"/>
    <w:basedOn w:val="1"/>
    <w:qFormat/>
    <w:uiPriority w:val="0"/>
    <w:pPr>
      <w:snapToGrid w:val="0"/>
      <w:spacing w:line="360" w:lineRule="auto"/>
      <w:ind w:firstLine="200" w:firstLineChars="200"/>
    </w:pPr>
    <w:rPr>
      <w:szCs w:val="20"/>
    </w:rPr>
  </w:style>
  <w:style w:type="paragraph" w:customStyle="1" w:styleId="73">
    <w:name w:val="样式 标题 1 + 四号 段前: 0 磅 段后: 0 磅 行距: 1.5 倍行距"/>
    <w:basedOn w:val="74"/>
    <w:next w:val="75"/>
    <w:qFormat/>
    <w:uiPriority w:val="0"/>
    <w:pPr>
      <w:spacing w:line="360" w:lineRule="auto"/>
      <w:jc w:val="center"/>
    </w:pPr>
  </w:style>
  <w:style w:type="paragraph" w:customStyle="1" w:styleId="74">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75">
    <w:name w:val="文本正文"/>
    <w:basedOn w:val="1"/>
    <w:qFormat/>
    <w:uiPriority w:val="0"/>
    <w:pPr>
      <w:snapToGrid w:val="0"/>
      <w:spacing w:line="360" w:lineRule="auto"/>
      <w:ind w:firstLine="510"/>
      <w:jc w:val="left"/>
    </w:pPr>
    <w:rPr>
      <w:spacing w:val="4"/>
      <w:kern w:val="24"/>
      <w:lang w:val="zh-CN"/>
    </w:rPr>
  </w:style>
  <w:style w:type="character" w:customStyle="1" w:styleId="76">
    <w:name w:val="font21"/>
    <w:basedOn w:val="29"/>
    <w:qFormat/>
    <w:uiPriority w:val="0"/>
    <w:rPr>
      <w:rFonts w:hint="default" w:ascii="Times New Roman" w:hAnsi="Times New Roman" w:cs="Times New Roman"/>
      <w:color w:val="000000"/>
      <w:sz w:val="21"/>
      <w:szCs w:val="21"/>
      <w:u w:val="none"/>
    </w:rPr>
  </w:style>
  <w:style w:type="character" w:customStyle="1" w:styleId="77">
    <w:name w:val="font41"/>
    <w:basedOn w:val="29"/>
    <w:qFormat/>
    <w:uiPriority w:val="0"/>
    <w:rPr>
      <w:rFonts w:hint="default" w:ascii="Times New Roman" w:hAnsi="Times New Roman" w:cs="Times New Roman"/>
      <w:color w:val="000000"/>
      <w:sz w:val="21"/>
      <w:szCs w:val="21"/>
      <w:u w:val="none"/>
      <w:vertAlign w:val="superscript"/>
    </w:rPr>
  </w:style>
  <w:style w:type="character" w:customStyle="1" w:styleId="78">
    <w:name w:val="font11"/>
    <w:basedOn w:val="29"/>
    <w:qFormat/>
    <w:uiPriority w:val="0"/>
    <w:rPr>
      <w:rFonts w:hint="eastAsia" w:ascii="宋体" w:hAnsi="宋体" w:eastAsia="宋体" w:cs="宋体"/>
      <w:color w:val="000000"/>
      <w:sz w:val="21"/>
      <w:szCs w:val="21"/>
      <w:u w:val="none"/>
    </w:rPr>
  </w:style>
  <w:style w:type="character" w:customStyle="1" w:styleId="79">
    <w:name w:val="font31"/>
    <w:basedOn w:val="29"/>
    <w:qFormat/>
    <w:uiPriority w:val="0"/>
    <w:rPr>
      <w:rFonts w:hint="default" w:ascii="Times New Roman" w:hAnsi="Times New Roman" w:cs="Times New Roman"/>
      <w:color w:val="000000"/>
      <w:sz w:val="21"/>
      <w:szCs w:val="21"/>
      <w:u w:val="none"/>
    </w:rPr>
  </w:style>
  <w:style w:type="paragraph" w:customStyle="1" w:styleId="80">
    <w:name w:val="表格字体"/>
    <w:basedOn w:val="1"/>
    <w:qFormat/>
    <w:uiPriority w:val="0"/>
    <w:pPr>
      <w:spacing w:line="240" w:lineRule="exact"/>
      <w:jc w:val="center"/>
    </w:pPr>
    <w:rPr>
      <w:rFonts w:ascii="Times New Roman" w:hAnsi="Times New Roman" w:cs="Times New Roman"/>
      <w:sz w:val="21"/>
      <w:szCs w:val="21"/>
      <w:lang w:val="en-US" w:bidi="ar-SA"/>
    </w:rPr>
  </w:style>
  <w:style w:type="paragraph" w:customStyle="1" w:styleId="81">
    <w:name w:val="自定义表格内容"/>
    <w:basedOn w:val="82"/>
    <w:qFormat/>
    <w:uiPriority w:val="0"/>
    <w:pPr>
      <w:spacing w:line="360" w:lineRule="auto"/>
      <w:ind w:firstLine="0" w:firstLineChars="0"/>
      <w:jc w:val="center"/>
    </w:pPr>
    <w:rPr>
      <w:rFonts w:eastAsia="宋体" w:cs="Times New Roman"/>
      <w:sz w:val="21"/>
      <w:szCs w:val="21"/>
    </w:rPr>
  </w:style>
  <w:style w:type="paragraph" w:customStyle="1" w:styleId="82">
    <w:name w:val="正文样式"/>
    <w:basedOn w:val="1"/>
    <w:qFormat/>
    <w:uiPriority w:val="0"/>
    <w:pPr>
      <w:spacing w:line="500" w:lineRule="exact"/>
      <w:ind w:firstLine="560" w:firstLineChars="200"/>
    </w:pPr>
    <w:rPr>
      <w:rFonts w:ascii="Times New Roman" w:hAnsi="Times New Roman"/>
      <w:sz w:val="28"/>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5.bin"/><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oleObject" Target="embeddings/oleObject4.bin"/><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9DC3D2-8CE8-4692-964B-4AD5F194808E}">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73</Pages>
  <Words>42275</Words>
  <Characters>47208</Characters>
  <Lines>545</Lines>
  <Paragraphs>153</Paragraphs>
  <TotalTime>33</TotalTime>
  <ScaleCrop>false</ScaleCrop>
  <LinksUpToDate>false</LinksUpToDate>
  <CharactersWithSpaces>47596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就闹</cp:lastModifiedBy>
  <cp:lastPrinted>2022-10-31T03:02:00Z</cp:lastPrinted>
  <dcterms:modified xsi:type="dcterms:W3CDTF">2022-11-03T02:19:28Z</dcterms:modified>
  <dc:title>附件2</dc:title>
  <cp:revision>271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44B08A7004A749C985863878FE0B5C13</vt:lpwstr>
  </property>
</Properties>
</file>