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9" w:firstLineChars="49"/>
        <w:rPr>
          <w:rFonts w:hint="default" w:ascii="Times New Roman" w:hAnsi="Times New Roman" w:eastAsia="仿宋_GB2312" w:cs="Times New Roman"/>
          <w:sz w:val="32"/>
          <w:szCs w:val="32"/>
        </w:rPr>
      </w:pPr>
      <w:r>
        <w:rPr>
          <w:rFonts w:hint="default" w:ascii="Times New Roman" w:hAnsi="Times New Roman" w:eastAsia="方正小标宋简体" w:cs="Times New Roman"/>
          <w:color w:val="FF0000"/>
          <w:w w:val="70"/>
          <w:sz w:val="96"/>
          <w:szCs w:val="96"/>
        </w:rPr>
        <w:t>昆明市公安局晋宁分局文件</w:t>
      </w:r>
    </w:p>
    <w:p>
      <w:pPr>
        <w:rPr>
          <w:rFonts w:hint="default" w:ascii="Times New Roman" w:hAnsi="Times New Roman" w:eastAsia="仿宋_GB2312" w:cs="Times New Roman"/>
          <w:color w:val="FF0000"/>
          <w:sz w:val="32"/>
          <w:szCs w:val="32"/>
          <w:u w:val="thick"/>
        </w:rPr>
      </w:pPr>
      <w:r>
        <w:rPr>
          <w:rFonts w:hint="default" w:ascii="Times New Roman" w:hAnsi="Times New Roman" w:eastAsia="仿宋_GB2312" w:cs="Times New Roman"/>
          <w:color w:val="FF0000"/>
          <w:sz w:val="32"/>
          <w:szCs w:val="32"/>
          <w:u w:val="thick"/>
        </w:rPr>
        <w:t xml:space="preserve">               </w:t>
      </w:r>
      <w:r>
        <w:rPr>
          <w:rFonts w:hint="default" w:ascii="Times New Roman" w:hAnsi="Times New Roman" w:eastAsia="仿宋_GB2312" w:cs="Times New Roman"/>
          <w:color w:val="FF0000"/>
          <w:sz w:val="32"/>
          <w:szCs w:val="32"/>
          <w:u w:val="thick"/>
          <w:lang w:val="en-US" w:eastAsia="zh-CN"/>
        </w:rPr>
        <w:t xml:space="preserve">    </w:t>
      </w:r>
      <w:r>
        <w:rPr>
          <w:rFonts w:hint="default" w:ascii="Times New Roman" w:hAnsi="Times New Roman" w:eastAsia="仿宋_GB2312" w:cs="Times New Roman"/>
          <w:color w:val="FF0000"/>
          <w:sz w:val="32"/>
          <w:szCs w:val="32"/>
          <w:u w:val="thick"/>
        </w:rPr>
        <w:t xml:space="preserve">                             </w:t>
      </w:r>
      <w:r>
        <w:rPr>
          <w:rFonts w:hint="default" w:ascii="Times New Roman" w:hAnsi="Times New Roman" w:eastAsia="仿宋_GB2312" w:cs="Times New Roman"/>
          <w:color w:val="FF0000"/>
          <w:sz w:val="32"/>
          <w:szCs w:val="32"/>
          <w:u w:val="thick"/>
          <w:lang w:val="en-US" w:eastAsia="zh-CN"/>
        </w:rPr>
        <w:t xml:space="preserve">  </w:t>
      </w:r>
      <w:r>
        <w:rPr>
          <w:rFonts w:hint="default" w:ascii="Times New Roman" w:hAnsi="Times New Roman" w:eastAsia="仿宋_GB2312" w:cs="Times New Roman"/>
          <w:color w:val="FF0000"/>
          <w:sz w:val="32"/>
          <w:szCs w:val="32"/>
          <w:u w:val="thick"/>
        </w:rPr>
        <w:t xml:space="preserve">     </w:t>
      </w:r>
    </w:p>
    <w:p>
      <w:pPr>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B</w:t>
      </w:r>
      <w:bookmarkStart w:id="0" w:name="_GoBack"/>
      <w:bookmarkEnd w:id="0"/>
      <w:r>
        <w:rPr>
          <w:rFonts w:hint="default" w:ascii="Times New Roman" w:hAnsi="Times New Roman" w:eastAsia="仿宋_GB2312" w:cs="Times New Roman"/>
          <w:sz w:val="32"/>
          <w:szCs w:val="32"/>
        </w:rPr>
        <w:t>〕</w:t>
      </w:r>
    </w:p>
    <w:p>
      <w:pPr>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昆公晋</w:t>
      </w:r>
      <w:r>
        <w:rPr>
          <w:rFonts w:hint="eastAsia"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83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关于对昆明市晋宁区第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人大</w:t>
      </w: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次会议</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74</w:t>
      </w:r>
      <w:r>
        <w:rPr>
          <w:rFonts w:hint="eastAsia" w:ascii="方正小标宋简体" w:hAnsi="方正小标宋简体" w:eastAsia="方正小标宋简体" w:cs="方正小标宋简体"/>
          <w:sz w:val="44"/>
          <w:szCs w:val="44"/>
        </w:rPr>
        <w:t>号建议答复的</w:t>
      </w:r>
      <w:r>
        <w:rPr>
          <w:rFonts w:hint="eastAsia" w:ascii="方正小标宋简体" w:hAnsi="方正小标宋简体" w:eastAsia="方正小标宋简体" w:cs="方正小标宋简体"/>
          <w:sz w:val="44"/>
          <w:szCs w:val="44"/>
          <w:lang w:eastAsia="zh-CN"/>
        </w:rPr>
        <w:t>函</w:t>
      </w: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刘枚鑫、方建华、阮永华</w:t>
      </w:r>
      <w:r>
        <w:rPr>
          <w:rFonts w:hint="eastAsia" w:ascii="仿宋_GB2312" w:hAnsi="仿宋_GB2312" w:eastAsia="仿宋_GB2312" w:cs="仿宋_GB2312"/>
          <w:sz w:val="32"/>
          <w:szCs w:val="32"/>
        </w:rPr>
        <w:t>代表：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w:t>
      </w:r>
      <w:r>
        <w:rPr>
          <w:rFonts w:hint="eastAsia" w:ascii="仿宋_GB2312" w:hAnsi="仿宋_GB2312" w:eastAsia="仿宋_GB2312" w:cs="仿宋_GB2312"/>
          <w:sz w:val="32"/>
          <w:szCs w:val="32"/>
          <w:lang w:eastAsia="zh-CN"/>
        </w:rPr>
        <w:t>们</w:t>
      </w:r>
      <w:r>
        <w:rPr>
          <w:rFonts w:hint="eastAsia" w:ascii="仿宋_GB2312" w:hAnsi="仿宋_GB2312" w:eastAsia="仿宋_GB2312" w:cs="仿宋_GB2312"/>
          <w:sz w:val="32"/>
          <w:szCs w:val="32"/>
        </w:rPr>
        <w:t>提出的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关于给予资金支持在晋城街道重点区域安装功能型结构性摄像头的建议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建议收悉</w:t>
      </w:r>
      <w:r>
        <w:rPr>
          <w:rFonts w:hint="eastAsia" w:ascii="仿宋_GB2312" w:hAnsi="仿宋_GB2312" w:eastAsia="仿宋_GB2312" w:cs="仿宋_GB2312"/>
          <w:sz w:val="32"/>
          <w:szCs w:val="32"/>
        </w:rPr>
        <w:t>，现答复如下：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FF000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近年来，晋城街道经济社会快速发展，外来流动人口与日俱增，随之带来的社会治安问题也日益增多，社会综合治理难度较大。目前，街道辖区内公建监控设施共500余套，但具备人脸抓拍、广角录像功能的仅有20余套，远远不能满足现在及将来社会治安管控需要，为有效增强社会治安管控能力，协助辖区派出所及时有效打击辖区突出违法犯罪行为，精准掌握特殊重点人员情况，拟在辖区主要道路口、人员密集场所、村（社区）主要出入口安装布控100余套功能型结构性摄像头。</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意见建议办理情况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为坚决贯彻市委、市政府工作部署，切实加强全区特别是晋城镇立体化治安防控水平，提高人民群众安全感、满意度。近年来，在晋宁区委、区政府及晋城街办道的支持与帮助下，晋宁公安分局结合晋城社会治安实际，先后在晋城街道办重点区域、主要出入口、治安乱点建设信息化技防设施1047路，其中结构化视频监控64路、常规视频监控683路、卡口（含车辆、人脸抓拍）47路、人脸抓拍200路、电警35路、电子围栏18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随着晋城街道经济、社会的发展，原有视频监控点位难于满足日常工作需要，2021年度，晋宁分局围绕COP15安保要求结合晋宁辖区实际开展COP15接待酒店及周边安保信息化项目建设分别在晋城片区布建结构化视频监控50路（其中古滇28路、新街16路、晋城6路），合计投入资金125万；2022年开展扫黑除恶圈层防控智慧检查站建设项目暨COP15圈层防控体系建设，在出入晋城的富有、河西场高速路口及环湖路古滇、晋江公路关岭、晋城白沙路口、十里交通执法检查站布建13路结构化智能摄像头，合计投入资金26万余元；在晋城马镫桥、富有立交、古滇环湖路、一乘驾校、古滇公园、三建司路口分别建设9套电子围栏，合计投入资金63万余元。2022年6月申请采用整体租用方式继续租用宁区晋城重点地区121路高清视频监控系统（广济村、富有村及晋城高发案区），项目租金162.4万元，以维护晋城地区社会治安大局平安稳定。</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三、下一步工作方向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晋城辖区现有视频摄像头的监控区域及存在的监控盲区，为达到全面监控、兼顾重点，结合实际情况，晋城街道办拟投资200余万元在晋城辖区开展视频监控补充点位建设100余路。晋宁分局配合晋城街道办完成点位踏勘工作、2022年度经费预算申报工作。晋宁分局将继续配合晋城街道办开展后续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感谢您对政府工作的关心和支持。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以上答复</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如有不妥，请批评指正。</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90" w:lineRule="exact"/>
        <w:ind w:left="6080" w:right="0" w:rightChars="0" w:hanging="6080" w:hangingChars="1900"/>
        <w:jc w:val="righ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after="0" w:line="59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eastAsia="zh-CN"/>
        </w:rPr>
        <w:t>（联系人及电话：</w:t>
      </w:r>
      <w:r>
        <w:rPr>
          <w:rFonts w:hint="eastAsia" w:eastAsia="仿宋_GB2312" w:cs="Times New Roman"/>
          <w:sz w:val="32"/>
          <w:szCs w:val="32"/>
          <w:lang w:eastAsia="zh-CN"/>
        </w:rPr>
        <w:t>网安</w:t>
      </w:r>
      <w:r>
        <w:rPr>
          <w:rFonts w:hint="eastAsia" w:ascii="Times New Roman" w:hAnsi="Times New Roman" w:eastAsia="仿宋_GB2312" w:cs="Times New Roman"/>
          <w:sz w:val="32"/>
          <w:szCs w:val="32"/>
          <w:lang w:eastAsia="zh-CN"/>
        </w:rPr>
        <w:t>大队</w:t>
      </w:r>
      <w:r>
        <w:rPr>
          <w:rFonts w:hint="eastAsia" w:ascii="Times New Roman" w:hAnsi="Times New Roman" w:eastAsia="仿宋_GB2312" w:cs="Times New Roman"/>
          <w:sz w:val="32"/>
          <w:szCs w:val="32"/>
          <w:lang w:val="en-US" w:eastAsia="zh-CN"/>
        </w:rPr>
        <w:t xml:space="preserve"> 67802</w:t>
      </w:r>
      <w:r>
        <w:rPr>
          <w:rFonts w:hint="eastAsia" w:eastAsia="仿宋_GB2312" w:cs="Times New Roman"/>
          <w:sz w:val="32"/>
          <w:szCs w:val="32"/>
          <w:lang w:val="en-US" w:eastAsia="zh-CN"/>
        </w:rPr>
        <w:t>817</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抄送：区人大</w:t>
      </w:r>
      <w:r>
        <w:rPr>
          <w:rFonts w:hint="eastAsia" w:ascii="Times New Roman" w:hAnsi="Times New Roman" w:eastAsia="仿宋_GB2312" w:cs="Times New Roman"/>
          <w:color w:val="auto"/>
          <w:sz w:val="32"/>
          <w:szCs w:val="32"/>
          <w:lang w:eastAsia="zh-CN"/>
        </w:rPr>
        <w:t>常委会</w:t>
      </w:r>
      <w:r>
        <w:rPr>
          <w:rFonts w:hint="default" w:ascii="Times New Roman" w:hAnsi="Times New Roman" w:eastAsia="仿宋_GB2312" w:cs="Times New Roman"/>
          <w:color w:val="auto"/>
          <w:sz w:val="32"/>
          <w:szCs w:val="32"/>
        </w:rPr>
        <w:t>人事代表</w:t>
      </w:r>
      <w:r>
        <w:rPr>
          <w:rFonts w:hint="eastAsia" w:ascii="Times New Roman" w:hAnsi="Times New Roman" w:eastAsia="仿宋_GB2312" w:cs="Times New Roman"/>
          <w:color w:val="auto"/>
          <w:sz w:val="32"/>
          <w:szCs w:val="32"/>
          <w:lang w:eastAsia="zh-CN"/>
        </w:rPr>
        <w:t>委员会</w:t>
      </w:r>
      <w:r>
        <w:rPr>
          <w:rFonts w:hint="default" w:ascii="Times New Roman" w:hAnsi="Times New Roman" w:eastAsia="仿宋_GB2312" w:cs="Times New Roman"/>
          <w:color w:val="auto"/>
          <w:sz w:val="32"/>
          <w:szCs w:val="32"/>
        </w:rPr>
        <w:t>，区</w:t>
      </w:r>
      <w:r>
        <w:rPr>
          <w:rFonts w:hint="eastAsia" w:ascii="Times New Roman" w:hAnsi="Times New Roman" w:eastAsia="仿宋_GB2312" w:cs="Times New Roman"/>
          <w:color w:val="auto"/>
          <w:sz w:val="32"/>
          <w:szCs w:val="32"/>
          <w:lang w:eastAsia="zh-CN"/>
        </w:rPr>
        <w:t>政府办</w:t>
      </w:r>
      <w:r>
        <w:rPr>
          <w:rFonts w:hint="default" w:ascii="Times New Roman" w:hAnsi="Times New Roman" w:eastAsia="仿宋_GB2312" w:cs="Times New Roman"/>
          <w:color w:val="auto"/>
          <w:sz w:val="32"/>
          <w:szCs w:val="32"/>
        </w:rPr>
        <w:t>。</w:t>
      </w:r>
    </w:p>
    <w:p>
      <w:pPr>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53340</wp:posOffset>
                </wp:positionV>
                <wp:extent cx="5895975" cy="635"/>
                <wp:effectExtent l="0" t="10795" r="9525" b="17145"/>
                <wp:wrapNone/>
                <wp:docPr id="1" name="直接连接符 1"/>
                <wp:cNvGraphicFramePr/>
                <a:graphic xmlns:a="http://schemas.openxmlformats.org/drawingml/2006/main">
                  <a:graphicData uri="http://schemas.microsoft.com/office/word/2010/wordprocessingShape">
                    <wps:wsp>
                      <wps:cNvCnPr/>
                      <wps:spPr>
                        <a:xfrm>
                          <a:off x="0" y="0"/>
                          <a:ext cx="5895975"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4.2pt;height:0.05pt;width:464.25pt;z-index:251658240;mso-width-relative:page;mso-height-relative:page;" filled="f" stroked="t" coordsize="21600,21600" o:gfxdata="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iY2J9MAAAAFAQAADwAAAAAAAAAB&#10;ACAAAAAiAAAAZHJzL2Rvd25yZXYueG1sUEsBAhQAFAAAAAgAh07iQCiPbjPcAQAAmQMAAA4AAAAA&#10;AAAAAQAgAAAAIgEAAGRycy9lMm9Eb2MueG1sUEsFBgAAAAAGAAYAWQEAAHAFAAAAAA==&#10;">
                <v:fill on="f" focussize="0,0"/>
                <v:stroke weight="1.75pt" color="#FF0000" joinstyle="round"/>
                <v:imagedata o:title=""/>
                <o:lock v:ext="edit" aspectratio="f"/>
              </v:line>
            </w:pict>
          </mc:Fallback>
        </mc:AlternateContent>
      </w:r>
    </w:p>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36BC7"/>
    <w:multiLevelType w:val="singleLevel"/>
    <w:tmpl w:val="35B36B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20D0"/>
    <w:rsid w:val="001F04DF"/>
    <w:rsid w:val="00F02089"/>
    <w:rsid w:val="02FF7339"/>
    <w:rsid w:val="07EF6534"/>
    <w:rsid w:val="0E7C10E8"/>
    <w:rsid w:val="0F857EE7"/>
    <w:rsid w:val="101135B7"/>
    <w:rsid w:val="101A6020"/>
    <w:rsid w:val="140578AF"/>
    <w:rsid w:val="14ED2668"/>
    <w:rsid w:val="15DE20D0"/>
    <w:rsid w:val="1A4A3A04"/>
    <w:rsid w:val="1AA65F94"/>
    <w:rsid w:val="1CDB2C24"/>
    <w:rsid w:val="21790E41"/>
    <w:rsid w:val="23B7171D"/>
    <w:rsid w:val="23F702C9"/>
    <w:rsid w:val="25FA555C"/>
    <w:rsid w:val="269C2069"/>
    <w:rsid w:val="29C40682"/>
    <w:rsid w:val="2BE62EAF"/>
    <w:rsid w:val="2C611032"/>
    <w:rsid w:val="33CE02E2"/>
    <w:rsid w:val="33E908D2"/>
    <w:rsid w:val="37DC09AC"/>
    <w:rsid w:val="38EE4791"/>
    <w:rsid w:val="3BD61109"/>
    <w:rsid w:val="3D0D3005"/>
    <w:rsid w:val="3D556981"/>
    <w:rsid w:val="3F41615B"/>
    <w:rsid w:val="429B4B53"/>
    <w:rsid w:val="43BA65DB"/>
    <w:rsid w:val="46711E37"/>
    <w:rsid w:val="46E10B34"/>
    <w:rsid w:val="4FCF25A8"/>
    <w:rsid w:val="5C0B67DB"/>
    <w:rsid w:val="5F8C2D3D"/>
    <w:rsid w:val="61E214C3"/>
    <w:rsid w:val="65B92CA3"/>
    <w:rsid w:val="65EB5B58"/>
    <w:rsid w:val="67FE4030"/>
    <w:rsid w:val="67FE6DF3"/>
    <w:rsid w:val="68937E90"/>
    <w:rsid w:val="69240857"/>
    <w:rsid w:val="6A97185F"/>
    <w:rsid w:val="6CA6446F"/>
    <w:rsid w:val="6ECF4A7A"/>
    <w:rsid w:val="6F3F66B5"/>
    <w:rsid w:val="701D1D37"/>
    <w:rsid w:val="707F008B"/>
    <w:rsid w:val="70962310"/>
    <w:rsid w:val="70D0291E"/>
    <w:rsid w:val="71F82A56"/>
    <w:rsid w:val="726E63D0"/>
    <w:rsid w:val="73347318"/>
    <w:rsid w:val="76255261"/>
    <w:rsid w:val="7C436EDE"/>
    <w:rsid w:val="7DD620CE"/>
    <w:rsid w:val="7FCA4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2021-07-29T02:47:00Z</dcterms:created>
  <dc:creator>Administrator</dc:creator>
  <cp:lastModifiedBy>Administrator</cp:lastModifiedBy>
  <dcterms:modified xsi:type="dcterms:W3CDTF">2022-07-01T08:05:21Z</dcterms:modified>
  <dc:title>昆明市公安局晋宁分局文件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