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p>
    <w:p>
      <w:pPr>
        <w:rPr>
          <w:sz w:val="36"/>
          <w:szCs w:val="36"/>
        </w:rPr>
      </w:pPr>
    </w:p>
    <w:p>
      <w:pPr>
        <w:pStyle w:val="88"/>
        <w:ind w:firstLine="0" w:firstLineChars="0"/>
        <w:jc w:val="center"/>
        <w:rPr>
          <w:rFonts w:ascii="Times New Roman"/>
          <w:sz w:val="72"/>
          <w:szCs w:val="72"/>
        </w:rPr>
      </w:pPr>
      <w:r>
        <w:rPr>
          <w:rFonts w:ascii="Times New Roman"/>
          <w:sz w:val="72"/>
          <w:szCs w:val="72"/>
        </w:rPr>
        <w:t>建设项目环境影响报告表</w:t>
      </w:r>
    </w:p>
    <w:p>
      <w:pPr>
        <w:adjustRightInd w:val="0"/>
        <w:snapToGrid w:val="0"/>
        <w:spacing w:before="192" w:beforeLines="80"/>
        <w:jc w:val="center"/>
        <w:rPr>
          <w:bCs/>
          <w:sz w:val="48"/>
          <w:szCs w:val="48"/>
        </w:rPr>
      </w:pPr>
      <w:r>
        <w:rPr>
          <w:bCs/>
          <w:sz w:val="48"/>
          <w:szCs w:val="48"/>
        </w:rPr>
        <w:t>（污染影响类）</w:t>
      </w:r>
    </w:p>
    <w:p/>
    <w:p>
      <w:pPr>
        <w:jc w:val="center"/>
        <w:rPr>
          <w:sz w:val="52"/>
          <w:szCs w:val="52"/>
        </w:rPr>
      </w:pPr>
    </w:p>
    <w:p>
      <w:pPr>
        <w:ind w:firstLine="1040"/>
        <w:rPr>
          <w:sz w:val="44"/>
          <w:szCs w:val="44"/>
        </w:rPr>
      </w:pPr>
    </w:p>
    <w:p>
      <w:pPr>
        <w:ind w:firstLine="1040"/>
        <w:rPr>
          <w:sz w:val="44"/>
          <w:szCs w:val="44"/>
        </w:rPr>
      </w:pPr>
    </w:p>
    <w:p>
      <w:pPr>
        <w:ind w:firstLine="1040"/>
        <w:rPr>
          <w:sz w:val="44"/>
          <w:szCs w:val="44"/>
        </w:rPr>
      </w:pPr>
    </w:p>
    <w:p>
      <w:pPr>
        <w:ind w:firstLine="1040"/>
        <w:rPr>
          <w:sz w:val="44"/>
          <w:szCs w:val="44"/>
        </w:rPr>
      </w:pPr>
    </w:p>
    <w:p>
      <w:pPr>
        <w:ind w:firstLine="1040"/>
        <w:rPr>
          <w:sz w:val="44"/>
          <w:szCs w:val="44"/>
        </w:rPr>
      </w:pPr>
    </w:p>
    <w:p>
      <w:pPr>
        <w:ind w:firstLine="1040"/>
        <w:rPr>
          <w:sz w:val="44"/>
          <w:szCs w:val="44"/>
        </w:rPr>
      </w:pPr>
    </w:p>
    <w:p>
      <w:pPr>
        <w:adjustRightInd w:val="0"/>
        <w:snapToGrid w:val="0"/>
        <w:spacing w:line="288" w:lineRule="auto"/>
        <w:rPr>
          <w:sz w:val="36"/>
          <w:szCs w:val="36"/>
          <w:u w:val="single"/>
        </w:rPr>
      </w:pPr>
      <w:r>
        <w:rPr>
          <w:sz w:val="36"/>
          <w:szCs w:val="36"/>
        </w:rPr>
        <w:t>项目名称：</w:t>
      </w:r>
      <w:r>
        <w:rPr>
          <w:rFonts w:hint="eastAsia"/>
          <w:sz w:val="36"/>
          <w:szCs w:val="36"/>
          <w:u w:val="single"/>
        </w:rPr>
        <w:t xml:space="preserve">昆明城轨装备基地架大修建设项目 </w:t>
      </w:r>
      <w:r>
        <w:rPr>
          <w:sz w:val="36"/>
          <w:szCs w:val="36"/>
          <w:u w:val="single"/>
        </w:rPr>
        <w:t xml:space="preserve">  </w:t>
      </w:r>
      <w:r>
        <w:rPr>
          <w:rFonts w:hint="eastAsia"/>
          <w:sz w:val="36"/>
          <w:szCs w:val="36"/>
          <w:u w:val="single"/>
        </w:rPr>
        <w:t xml:space="preserve"> </w:t>
      </w:r>
      <w:r>
        <w:rPr>
          <w:sz w:val="36"/>
          <w:szCs w:val="36"/>
          <w:u w:val="single"/>
        </w:rPr>
        <w:t xml:space="preserve">      </w:t>
      </w:r>
    </w:p>
    <w:p>
      <w:pPr>
        <w:adjustRightInd w:val="0"/>
        <w:snapToGrid w:val="0"/>
        <w:spacing w:line="288" w:lineRule="auto"/>
        <w:rPr>
          <w:sz w:val="36"/>
          <w:szCs w:val="36"/>
          <w:u w:val="single"/>
        </w:rPr>
      </w:pPr>
    </w:p>
    <w:p>
      <w:pPr>
        <w:adjustRightInd w:val="0"/>
        <w:snapToGrid w:val="0"/>
        <w:spacing w:line="288" w:lineRule="auto"/>
        <w:rPr>
          <w:sz w:val="36"/>
          <w:szCs w:val="36"/>
          <w:u w:val="single"/>
        </w:rPr>
      </w:pPr>
      <w:r>
        <w:rPr>
          <w:sz w:val="36"/>
          <w:szCs w:val="36"/>
        </w:rPr>
        <w:t>建设单位（盖章）：</w:t>
      </w:r>
      <w:r>
        <w:rPr>
          <w:rFonts w:hint="eastAsia"/>
          <w:sz w:val="36"/>
          <w:szCs w:val="36"/>
          <w:u w:val="single"/>
        </w:rPr>
        <w:t>昆明中车轨道交通装备有限公司</w:t>
      </w:r>
      <w:r>
        <w:rPr>
          <w:sz w:val="36"/>
          <w:szCs w:val="36"/>
          <w:u w:val="single"/>
        </w:rPr>
        <w:t xml:space="preserve"> </w:t>
      </w:r>
    </w:p>
    <w:p>
      <w:pPr>
        <w:adjustRightInd w:val="0"/>
        <w:snapToGrid w:val="0"/>
        <w:spacing w:line="288" w:lineRule="auto"/>
        <w:ind w:firstLine="1040"/>
        <w:rPr>
          <w:sz w:val="36"/>
          <w:szCs w:val="36"/>
        </w:rPr>
      </w:pPr>
    </w:p>
    <w:p>
      <w:pPr>
        <w:adjustRightInd w:val="0"/>
        <w:snapToGrid w:val="0"/>
        <w:spacing w:line="288" w:lineRule="auto"/>
        <w:ind w:firstLine="1040"/>
        <w:rPr>
          <w:sz w:val="36"/>
          <w:szCs w:val="36"/>
        </w:rPr>
      </w:pPr>
    </w:p>
    <w:p>
      <w:pPr>
        <w:adjustRightInd w:val="0"/>
        <w:snapToGrid w:val="0"/>
        <w:spacing w:line="288" w:lineRule="auto"/>
        <w:ind w:firstLine="1040"/>
        <w:rPr>
          <w:sz w:val="36"/>
          <w:szCs w:val="36"/>
          <w:u w:val="single"/>
        </w:rPr>
      </w:pPr>
      <w:r>
        <w:rPr>
          <w:sz w:val="36"/>
          <w:szCs w:val="36"/>
        </w:rPr>
        <w:t>编制日期：</w:t>
      </w:r>
      <w:r>
        <w:rPr>
          <w:sz w:val="36"/>
          <w:szCs w:val="36"/>
          <w:u w:val="single"/>
        </w:rPr>
        <w:t xml:space="preserve">     2022年10月            </w:t>
      </w:r>
    </w:p>
    <w:p>
      <w:pPr>
        <w:adjustRightInd w:val="0"/>
        <w:snapToGrid w:val="0"/>
        <w:spacing w:line="288" w:lineRule="auto"/>
        <w:ind w:firstLine="1040"/>
        <w:rPr>
          <w:sz w:val="36"/>
          <w:szCs w:val="36"/>
          <w:u w:val="single"/>
        </w:rPr>
      </w:pPr>
    </w:p>
    <w:p>
      <w:pPr>
        <w:adjustRightInd w:val="0"/>
        <w:snapToGrid w:val="0"/>
        <w:spacing w:line="288" w:lineRule="auto"/>
        <w:ind w:firstLine="1040"/>
        <w:rPr>
          <w:sz w:val="36"/>
          <w:szCs w:val="36"/>
          <w:u w:val="single"/>
        </w:rPr>
      </w:pPr>
    </w:p>
    <w:p>
      <w:pPr>
        <w:adjustRightInd w:val="0"/>
        <w:snapToGrid w:val="0"/>
        <w:spacing w:line="288" w:lineRule="auto"/>
        <w:ind w:firstLine="1040"/>
        <w:rPr>
          <w:sz w:val="36"/>
          <w:szCs w:val="36"/>
          <w:u w:val="single"/>
        </w:rPr>
      </w:pPr>
    </w:p>
    <w:p>
      <w:pPr>
        <w:adjustRightInd w:val="0"/>
        <w:snapToGrid w:val="0"/>
        <w:spacing w:line="288" w:lineRule="auto"/>
        <w:jc w:val="center"/>
        <w:rPr>
          <w:sz w:val="36"/>
          <w:szCs w:val="36"/>
        </w:rPr>
      </w:pPr>
      <w:r>
        <w:rPr>
          <w:sz w:val="36"/>
          <w:szCs w:val="36"/>
        </w:rPr>
        <w:t>中华人民共和国生态环境部制</w:t>
      </w:r>
    </w:p>
    <w:p>
      <w:pPr>
        <w:adjustRightInd w:val="0"/>
        <w:snapToGrid w:val="0"/>
        <w:spacing w:line="288" w:lineRule="auto"/>
        <w:jc w:val="center"/>
        <w:rPr>
          <w:sz w:val="36"/>
          <w:szCs w:val="36"/>
        </w:rPr>
      </w:pPr>
    </w:p>
    <w:p>
      <w:pPr>
        <w:adjustRightInd w:val="0"/>
        <w:snapToGrid w:val="0"/>
        <w:spacing w:line="288" w:lineRule="auto"/>
        <w:jc w:val="center"/>
        <w:rPr>
          <w:sz w:val="36"/>
          <w:szCs w:val="36"/>
        </w:rPr>
      </w:pPr>
    </w:p>
    <w:p>
      <w:pPr>
        <w:pStyle w:val="145"/>
        <w:ind w:firstLine="562"/>
        <w:rPr>
          <w:rFonts w:ascii="Times New Roman" w:hAnsi="Times New Roman"/>
        </w:rPr>
      </w:pPr>
      <w:r>
        <w:rPr>
          <w:rFonts w:ascii="Times New Roman" w:hAnsi="Times New Roman"/>
          <w:lang w:val="zh-CN"/>
        </w:rPr>
        <w:t>目录</w:t>
      </w:r>
    </w:p>
    <w:p>
      <w:pPr>
        <w:pStyle w:val="30"/>
        <w:ind w:firstLine="560"/>
        <w:rPr>
          <w:b w:val="0"/>
          <w:kern w:val="2"/>
          <w:sz w:val="21"/>
          <w:szCs w:val="22"/>
        </w:rPr>
      </w:pPr>
      <w:r>
        <w:rPr>
          <w:b w:val="0"/>
        </w:rPr>
        <w:fldChar w:fldCharType="begin"/>
      </w:r>
      <w:r>
        <w:rPr>
          <w:b w:val="0"/>
        </w:rPr>
        <w:instrText xml:space="preserve"> TOC \o "1-1" \h \z \u </w:instrText>
      </w:r>
      <w:r>
        <w:rPr>
          <w:b w:val="0"/>
        </w:rPr>
        <w:fldChar w:fldCharType="separate"/>
      </w:r>
      <w:r>
        <w:fldChar w:fldCharType="begin"/>
      </w:r>
      <w:r>
        <w:instrText xml:space="preserve"> HYPERLINK \l "_Toc69230293" </w:instrText>
      </w:r>
      <w:r>
        <w:fldChar w:fldCharType="separate"/>
      </w:r>
      <w:r>
        <w:rPr>
          <w:rStyle w:val="50"/>
          <w:snapToGrid w:val="0"/>
        </w:rPr>
        <w:t>一、建设项目基本情况</w:t>
      </w:r>
      <w:r>
        <w:tab/>
      </w:r>
      <w:r>
        <w:fldChar w:fldCharType="begin"/>
      </w:r>
      <w:r>
        <w:instrText xml:space="preserve"> PAGEREF _Toc69230293 \h </w:instrText>
      </w:r>
      <w:r>
        <w:fldChar w:fldCharType="separate"/>
      </w:r>
      <w:r>
        <w:t>1</w:t>
      </w:r>
      <w:r>
        <w:fldChar w:fldCharType="end"/>
      </w:r>
      <w:r>
        <w:fldChar w:fldCharType="end"/>
      </w:r>
    </w:p>
    <w:p>
      <w:pPr>
        <w:pStyle w:val="30"/>
        <w:ind w:firstLine="562"/>
        <w:rPr>
          <w:b w:val="0"/>
          <w:kern w:val="2"/>
          <w:sz w:val="21"/>
          <w:szCs w:val="22"/>
        </w:rPr>
      </w:pPr>
      <w:r>
        <w:fldChar w:fldCharType="begin"/>
      </w:r>
      <w:r>
        <w:instrText xml:space="preserve"> HYPERLINK \l "_Toc69230294" </w:instrText>
      </w:r>
      <w:r>
        <w:fldChar w:fldCharType="separate"/>
      </w:r>
      <w:r>
        <w:rPr>
          <w:rStyle w:val="50"/>
          <w:snapToGrid w:val="0"/>
        </w:rPr>
        <w:t>二、建设项目工程分析</w:t>
      </w:r>
      <w:r>
        <w:tab/>
      </w:r>
      <w:r>
        <w:fldChar w:fldCharType="begin"/>
      </w:r>
      <w:r>
        <w:instrText xml:space="preserve"> PAGEREF _Toc69230294 \h </w:instrText>
      </w:r>
      <w:r>
        <w:fldChar w:fldCharType="separate"/>
      </w:r>
      <w:r>
        <w:t>19</w:t>
      </w:r>
      <w:r>
        <w:fldChar w:fldCharType="end"/>
      </w:r>
      <w:r>
        <w:fldChar w:fldCharType="end"/>
      </w:r>
    </w:p>
    <w:p>
      <w:pPr>
        <w:pStyle w:val="30"/>
        <w:ind w:firstLine="562"/>
        <w:rPr>
          <w:b w:val="0"/>
          <w:kern w:val="2"/>
          <w:sz w:val="21"/>
          <w:szCs w:val="22"/>
        </w:rPr>
      </w:pPr>
      <w:r>
        <w:fldChar w:fldCharType="begin"/>
      </w:r>
      <w:r>
        <w:instrText xml:space="preserve"> HYPERLINK \l "_Toc69230295" </w:instrText>
      </w:r>
      <w:r>
        <w:fldChar w:fldCharType="separate"/>
      </w:r>
      <w:r>
        <w:rPr>
          <w:rStyle w:val="50"/>
          <w:snapToGrid w:val="0"/>
        </w:rPr>
        <w:t>三、区域环境质量现状、环境保护目标及评价标准</w:t>
      </w:r>
      <w:r>
        <w:tab/>
      </w:r>
      <w:r>
        <w:fldChar w:fldCharType="begin"/>
      </w:r>
      <w:r>
        <w:instrText xml:space="preserve"> PAGEREF _Toc69230295 \h </w:instrText>
      </w:r>
      <w:r>
        <w:fldChar w:fldCharType="separate"/>
      </w:r>
      <w:r>
        <w:t>56</w:t>
      </w:r>
      <w:r>
        <w:fldChar w:fldCharType="end"/>
      </w:r>
      <w:r>
        <w:fldChar w:fldCharType="end"/>
      </w:r>
    </w:p>
    <w:p>
      <w:pPr>
        <w:pStyle w:val="30"/>
        <w:ind w:firstLine="562"/>
        <w:rPr>
          <w:b w:val="0"/>
          <w:kern w:val="2"/>
          <w:sz w:val="21"/>
          <w:szCs w:val="22"/>
        </w:rPr>
      </w:pPr>
      <w:r>
        <w:fldChar w:fldCharType="begin"/>
      </w:r>
      <w:r>
        <w:instrText xml:space="preserve"> HYPERLINK \l "_Toc69230296" </w:instrText>
      </w:r>
      <w:r>
        <w:fldChar w:fldCharType="separate"/>
      </w:r>
      <w:r>
        <w:rPr>
          <w:rStyle w:val="50"/>
          <w:snapToGrid w:val="0"/>
        </w:rPr>
        <w:t>四、主要环境影响和保护措施</w:t>
      </w:r>
      <w:r>
        <w:tab/>
      </w:r>
      <w:r>
        <w:fldChar w:fldCharType="begin"/>
      </w:r>
      <w:r>
        <w:instrText xml:space="preserve"> PAGEREF _Toc69230296 \h </w:instrText>
      </w:r>
      <w:r>
        <w:fldChar w:fldCharType="separate"/>
      </w:r>
      <w:r>
        <w:t>62</w:t>
      </w:r>
      <w:r>
        <w:fldChar w:fldCharType="end"/>
      </w:r>
      <w:r>
        <w:fldChar w:fldCharType="end"/>
      </w:r>
    </w:p>
    <w:p>
      <w:pPr>
        <w:pStyle w:val="30"/>
        <w:ind w:firstLine="562"/>
        <w:rPr>
          <w:b w:val="0"/>
          <w:kern w:val="2"/>
          <w:sz w:val="21"/>
          <w:szCs w:val="22"/>
        </w:rPr>
      </w:pPr>
      <w:r>
        <w:fldChar w:fldCharType="begin"/>
      </w:r>
      <w:r>
        <w:instrText xml:space="preserve"> HYPERLINK \l "_Toc69230301" </w:instrText>
      </w:r>
      <w:r>
        <w:fldChar w:fldCharType="separate"/>
      </w:r>
      <w:r>
        <w:rPr>
          <w:rStyle w:val="50"/>
          <w:snapToGrid w:val="0"/>
        </w:rPr>
        <w:t>五、环境保护措施监督检查清单</w:t>
      </w:r>
      <w:r>
        <w:tab/>
      </w:r>
      <w:r>
        <w:fldChar w:fldCharType="begin"/>
      </w:r>
      <w:r>
        <w:instrText xml:space="preserve"> PAGEREF _Toc69230301 \h </w:instrText>
      </w:r>
      <w:r>
        <w:fldChar w:fldCharType="separate"/>
      </w:r>
      <w:r>
        <w:t>103</w:t>
      </w:r>
      <w:r>
        <w:fldChar w:fldCharType="end"/>
      </w:r>
      <w:r>
        <w:fldChar w:fldCharType="end"/>
      </w:r>
    </w:p>
    <w:p>
      <w:pPr>
        <w:pStyle w:val="30"/>
        <w:ind w:firstLine="562"/>
        <w:rPr>
          <w:b w:val="0"/>
          <w:kern w:val="2"/>
          <w:sz w:val="21"/>
          <w:szCs w:val="22"/>
        </w:rPr>
      </w:pPr>
      <w:r>
        <w:fldChar w:fldCharType="begin"/>
      </w:r>
      <w:r>
        <w:instrText xml:space="preserve"> HYPERLINK \l "_Toc69230302" </w:instrText>
      </w:r>
      <w:r>
        <w:fldChar w:fldCharType="separate"/>
      </w:r>
      <w:r>
        <w:rPr>
          <w:rStyle w:val="50"/>
          <w:snapToGrid w:val="0"/>
        </w:rPr>
        <w:t>六、结论</w:t>
      </w:r>
      <w:r>
        <w:tab/>
      </w:r>
      <w:r>
        <w:fldChar w:fldCharType="begin"/>
      </w:r>
      <w:r>
        <w:instrText xml:space="preserve"> PAGEREF _Toc69230302 \h </w:instrText>
      </w:r>
      <w:r>
        <w:fldChar w:fldCharType="separate"/>
      </w:r>
      <w:r>
        <w:t>108</w:t>
      </w:r>
      <w:r>
        <w:fldChar w:fldCharType="end"/>
      </w:r>
      <w:r>
        <w:fldChar w:fldCharType="end"/>
      </w:r>
    </w:p>
    <w:p>
      <w:pPr>
        <w:spacing w:line="360" w:lineRule="auto"/>
        <w:rPr>
          <w:kern w:val="0"/>
          <w:sz w:val="24"/>
        </w:rPr>
      </w:pPr>
      <w:r>
        <w:rPr>
          <w:b/>
          <w:kern w:val="0"/>
          <w:sz w:val="28"/>
        </w:rPr>
        <w:fldChar w:fldCharType="end"/>
      </w:r>
      <w:r>
        <w:rPr>
          <w:kern w:val="0"/>
          <w:sz w:val="24"/>
        </w:rPr>
        <w:t>附图</w:t>
      </w:r>
    </w:p>
    <w:p>
      <w:pPr>
        <w:spacing w:line="360" w:lineRule="auto"/>
        <w:rPr>
          <w:kern w:val="0"/>
          <w:sz w:val="24"/>
        </w:rPr>
      </w:pPr>
      <w:r>
        <w:rPr>
          <w:kern w:val="0"/>
          <w:sz w:val="24"/>
        </w:rPr>
        <w:t>附图</w:t>
      </w:r>
      <w:r>
        <w:rPr>
          <w:rFonts w:hint="eastAsia"/>
          <w:kern w:val="0"/>
          <w:sz w:val="24"/>
        </w:rPr>
        <w:t>1：地理位置示意图</w:t>
      </w:r>
    </w:p>
    <w:p>
      <w:pPr>
        <w:spacing w:line="360" w:lineRule="auto"/>
        <w:rPr>
          <w:kern w:val="0"/>
          <w:sz w:val="24"/>
        </w:rPr>
      </w:pPr>
      <w:r>
        <w:rPr>
          <w:kern w:val="0"/>
          <w:sz w:val="24"/>
        </w:rPr>
        <w:t>附图</w:t>
      </w:r>
      <w:r>
        <w:rPr>
          <w:rFonts w:hint="eastAsia"/>
          <w:kern w:val="0"/>
          <w:sz w:val="24"/>
        </w:rPr>
        <w:t>2：总平面布置示意图</w:t>
      </w:r>
    </w:p>
    <w:p>
      <w:pPr>
        <w:spacing w:line="360" w:lineRule="auto"/>
        <w:rPr>
          <w:kern w:val="0"/>
          <w:sz w:val="24"/>
        </w:rPr>
      </w:pPr>
      <w:r>
        <w:rPr>
          <w:kern w:val="0"/>
          <w:sz w:val="24"/>
        </w:rPr>
        <w:t>附图</w:t>
      </w:r>
      <w:r>
        <w:rPr>
          <w:rFonts w:hint="eastAsia"/>
          <w:kern w:val="0"/>
          <w:sz w:val="24"/>
        </w:rPr>
        <w:t>3：评价范围及周边环境关系示意图</w:t>
      </w:r>
    </w:p>
    <w:p>
      <w:pPr>
        <w:spacing w:line="360" w:lineRule="auto"/>
        <w:rPr>
          <w:kern w:val="0"/>
          <w:sz w:val="24"/>
        </w:rPr>
      </w:pPr>
      <w:r>
        <w:rPr>
          <w:kern w:val="0"/>
          <w:sz w:val="24"/>
        </w:rPr>
        <w:t>附件</w:t>
      </w:r>
    </w:p>
    <w:p>
      <w:pPr>
        <w:spacing w:line="360" w:lineRule="auto"/>
        <w:rPr>
          <w:kern w:val="0"/>
          <w:sz w:val="24"/>
        </w:rPr>
      </w:pPr>
      <w:r>
        <w:rPr>
          <w:kern w:val="0"/>
          <w:sz w:val="24"/>
        </w:rPr>
        <w:t>附件</w:t>
      </w:r>
      <w:r>
        <w:rPr>
          <w:rFonts w:hint="eastAsia"/>
          <w:kern w:val="0"/>
          <w:sz w:val="24"/>
        </w:rPr>
        <w:t>1：委托书</w:t>
      </w:r>
    </w:p>
    <w:p>
      <w:pPr>
        <w:spacing w:line="360" w:lineRule="auto"/>
        <w:rPr>
          <w:kern w:val="0"/>
          <w:sz w:val="24"/>
        </w:rPr>
      </w:pPr>
      <w:r>
        <w:rPr>
          <w:kern w:val="0"/>
          <w:sz w:val="24"/>
        </w:rPr>
        <w:t>附件</w:t>
      </w:r>
      <w:r>
        <w:rPr>
          <w:rFonts w:hint="eastAsia"/>
          <w:kern w:val="0"/>
          <w:sz w:val="24"/>
        </w:rPr>
        <w:t>2：投资备案证</w:t>
      </w:r>
    </w:p>
    <w:p>
      <w:pPr>
        <w:spacing w:line="360" w:lineRule="auto"/>
        <w:rPr>
          <w:kern w:val="0"/>
          <w:sz w:val="24"/>
        </w:rPr>
      </w:pPr>
      <w:r>
        <w:rPr>
          <w:kern w:val="0"/>
          <w:sz w:val="24"/>
        </w:rPr>
        <w:t>附件</w:t>
      </w:r>
      <w:r>
        <w:rPr>
          <w:rFonts w:hint="eastAsia"/>
          <w:kern w:val="0"/>
          <w:sz w:val="24"/>
        </w:rPr>
        <w:t>3：一期项目环评批复</w:t>
      </w:r>
    </w:p>
    <w:p>
      <w:pPr>
        <w:spacing w:line="360" w:lineRule="auto"/>
        <w:rPr>
          <w:kern w:val="0"/>
          <w:sz w:val="24"/>
        </w:rPr>
      </w:pPr>
      <w:r>
        <w:rPr>
          <w:kern w:val="0"/>
          <w:sz w:val="24"/>
        </w:rPr>
        <w:t>附件</w:t>
      </w:r>
      <w:r>
        <w:rPr>
          <w:rFonts w:hint="eastAsia"/>
          <w:kern w:val="0"/>
          <w:sz w:val="24"/>
        </w:rPr>
        <w:t>4：一期项目补充环评批复</w:t>
      </w:r>
    </w:p>
    <w:p>
      <w:pPr>
        <w:spacing w:line="360" w:lineRule="auto"/>
        <w:rPr>
          <w:kern w:val="0"/>
          <w:sz w:val="24"/>
        </w:rPr>
      </w:pPr>
      <w:r>
        <w:rPr>
          <w:kern w:val="0"/>
          <w:sz w:val="24"/>
        </w:rPr>
        <w:t>附件</w:t>
      </w:r>
      <w:r>
        <w:rPr>
          <w:rFonts w:hint="eastAsia"/>
          <w:kern w:val="0"/>
          <w:sz w:val="24"/>
        </w:rPr>
        <w:t>5：一期项目竣工环境保护验收批复</w:t>
      </w:r>
    </w:p>
    <w:p>
      <w:pPr>
        <w:spacing w:line="360" w:lineRule="auto"/>
        <w:rPr>
          <w:kern w:val="0"/>
          <w:sz w:val="24"/>
        </w:rPr>
      </w:pPr>
      <w:r>
        <w:rPr>
          <w:kern w:val="0"/>
          <w:sz w:val="24"/>
        </w:rPr>
        <w:t>附件</w:t>
      </w:r>
      <w:r>
        <w:rPr>
          <w:rFonts w:hint="eastAsia"/>
          <w:kern w:val="0"/>
          <w:sz w:val="24"/>
        </w:rPr>
        <w:t>6：应急预案备案登记表</w:t>
      </w:r>
    </w:p>
    <w:p>
      <w:pPr>
        <w:spacing w:line="360" w:lineRule="auto"/>
        <w:rPr>
          <w:kern w:val="0"/>
          <w:sz w:val="24"/>
        </w:rPr>
      </w:pPr>
      <w:r>
        <w:rPr>
          <w:kern w:val="0"/>
          <w:sz w:val="24"/>
        </w:rPr>
        <w:t>附件</w:t>
      </w:r>
      <w:r>
        <w:rPr>
          <w:rFonts w:hint="eastAsia"/>
          <w:kern w:val="0"/>
          <w:sz w:val="24"/>
        </w:rPr>
        <w:t>7：滇池流域开发建设项目审查意见书</w:t>
      </w:r>
    </w:p>
    <w:p>
      <w:pPr>
        <w:spacing w:line="360" w:lineRule="auto"/>
        <w:rPr>
          <w:kern w:val="0"/>
          <w:sz w:val="24"/>
        </w:rPr>
      </w:pPr>
      <w:r>
        <w:rPr>
          <w:kern w:val="0"/>
          <w:sz w:val="24"/>
        </w:rPr>
        <w:t>附件</w:t>
      </w:r>
      <w:r>
        <w:rPr>
          <w:rFonts w:hint="eastAsia"/>
          <w:kern w:val="0"/>
          <w:sz w:val="24"/>
        </w:rPr>
        <w:t>8</w:t>
      </w:r>
      <w:r>
        <w:rPr>
          <w:kern w:val="0"/>
          <w:sz w:val="24"/>
        </w:rPr>
        <w:t>：危废处置协议</w:t>
      </w:r>
    </w:p>
    <w:p>
      <w:pPr>
        <w:spacing w:line="360" w:lineRule="auto"/>
        <w:rPr>
          <w:kern w:val="0"/>
          <w:sz w:val="24"/>
        </w:rPr>
      </w:pPr>
      <w:r>
        <w:rPr>
          <w:kern w:val="0"/>
          <w:sz w:val="24"/>
        </w:rPr>
        <w:t>附件</w:t>
      </w:r>
      <w:r>
        <w:rPr>
          <w:rFonts w:hint="eastAsia"/>
          <w:kern w:val="0"/>
          <w:sz w:val="24"/>
        </w:rPr>
        <w:t>9：全本公示</w:t>
      </w:r>
    </w:p>
    <w:p>
      <w:pPr>
        <w:spacing w:line="360" w:lineRule="auto"/>
        <w:rPr>
          <w:kern w:val="0"/>
          <w:sz w:val="24"/>
        </w:rPr>
      </w:pPr>
      <w:r>
        <w:rPr>
          <w:kern w:val="0"/>
          <w:sz w:val="24"/>
        </w:rPr>
        <w:t>附件</w:t>
      </w:r>
      <w:r>
        <w:rPr>
          <w:rFonts w:hint="eastAsia"/>
          <w:kern w:val="0"/>
          <w:sz w:val="24"/>
        </w:rPr>
        <w:t>1</w:t>
      </w:r>
      <w:r>
        <w:rPr>
          <w:kern w:val="0"/>
          <w:sz w:val="24"/>
        </w:rPr>
        <w:t>0：</w:t>
      </w:r>
      <w:r>
        <w:rPr>
          <w:rFonts w:hint="eastAsia"/>
          <w:kern w:val="0"/>
          <w:sz w:val="24"/>
        </w:rPr>
        <w:t>入园情况</w:t>
      </w:r>
      <w:r>
        <w:rPr>
          <w:kern w:val="0"/>
          <w:sz w:val="24"/>
        </w:rPr>
        <w:t>说明</w:t>
      </w:r>
    </w:p>
    <w:p>
      <w:pPr>
        <w:spacing w:line="360" w:lineRule="auto"/>
        <w:rPr>
          <w:b/>
          <w:kern w:val="0"/>
          <w:sz w:val="28"/>
        </w:rPr>
        <w:sectPr>
          <w:footerReference r:id="rId3" w:type="default"/>
          <w:pgSz w:w="11906" w:h="16838"/>
          <w:pgMar w:top="1701" w:right="1531" w:bottom="1701" w:left="1531" w:header="851" w:footer="1077" w:gutter="0"/>
          <w:pgNumType w:start="1"/>
          <w:cols w:space="720" w:num="1"/>
          <w:docGrid w:linePitch="312" w:charSpace="0"/>
        </w:sectPr>
      </w:pPr>
    </w:p>
    <w:p>
      <w:pPr>
        <w:pStyle w:val="39"/>
        <w:jc w:val="center"/>
        <w:outlineLvl w:val="0"/>
        <w:rPr>
          <w:rFonts w:ascii="Times New Roman" w:hAnsi="Times New Roman"/>
          <w:snapToGrid w:val="0"/>
          <w:sz w:val="30"/>
          <w:szCs w:val="30"/>
        </w:rPr>
      </w:pPr>
      <w:bookmarkStart w:id="0" w:name="_Toc69230293"/>
      <w:r>
        <w:rPr>
          <w:rFonts w:ascii="Times New Roman" w:hAnsi="Times New Roman"/>
          <w:snapToGrid w:val="0"/>
          <w:sz w:val="30"/>
          <w:szCs w:val="30"/>
        </w:rPr>
        <w:t>一、建设项目基本情况</w:t>
      </w:r>
      <w:bookmarkEnd w:id="0"/>
    </w:p>
    <w:tbl>
      <w:tblPr>
        <w:tblStyle w:val="44"/>
        <w:tblW w:w="887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91"/>
        <w:gridCol w:w="2328"/>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91" w:type="dxa"/>
            <w:tcMar>
              <w:top w:w="16" w:type="dxa"/>
              <w:left w:w="16" w:type="dxa"/>
              <w:right w:w="16" w:type="dxa"/>
            </w:tcMar>
            <w:vAlign w:val="center"/>
          </w:tcPr>
          <w:p>
            <w:pPr>
              <w:adjustRightInd w:val="0"/>
              <w:snapToGrid w:val="0"/>
              <w:jc w:val="center"/>
              <w:rPr>
                <w:sz w:val="24"/>
              </w:rPr>
            </w:pPr>
            <w:r>
              <w:rPr>
                <w:sz w:val="24"/>
              </w:rPr>
              <w:t>建设项目名称</w:t>
            </w:r>
          </w:p>
        </w:tc>
        <w:tc>
          <w:tcPr>
            <w:tcW w:w="7179" w:type="dxa"/>
            <w:gridSpan w:val="3"/>
            <w:vAlign w:val="center"/>
          </w:tcPr>
          <w:p>
            <w:pPr>
              <w:adjustRightInd w:val="0"/>
              <w:snapToGrid w:val="0"/>
              <w:jc w:val="center"/>
              <w:rPr>
                <w:sz w:val="24"/>
              </w:rPr>
            </w:pPr>
            <w:r>
              <w:rPr>
                <w:rFonts w:hint="eastAsia"/>
                <w:sz w:val="24"/>
              </w:rPr>
              <w:t>昆明城轨装备基地架大修建设项目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91" w:type="dxa"/>
            <w:tcMar>
              <w:top w:w="16" w:type="dxa"/>
              <w:left w:w="16" w:type="dxa"/>
              <w:right w:w="16" w:type="dxa"/>
            </w:tcMar>
            <w:vAlign w:val="center"/>
          </w:tcPr>
          <w:p>
            <w:pPr>
              <w:adjustRightInd w:val="0"/>
              <w:snapToGrid w:val="0"/>
              <w:jc w:val="center"/>
              <w:rPr>
                <w:sz w:val="24"/>
              </w:rPr>
            </w:pPr>
            <w:r>
              <w:rPr>
                <w:sz w:val="24"/>
              </w:rPr>
              <w:t>项目代码</w:t>
            </w:r>
          </w:p>
        </w:tc>
        <w:tc>
          <w:tcPr>
            <w:tcW w:w="7179" w:type="dxa"/>
            <w:gridSpan w:val="3"/>
            <w:vAlign w:val="center"/>
          </w:tcPr>
          <w:p>
            <w:pPr>
              <w:adjustRightInd w:val="0"/>
              <w:snapToGrid w:val="0"/>
              <w:jc w:val="center"/>
              <w:rPr>
                <w:sz w:val="24"/>
              </w:rPr>
            </w:pPr>
            <w:r>
              <w:rPr>
                <w:sz w:val="24"/>
              </w:rPr>
              <w:t>2112-530115-04-05-816244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91" w:type="dxa"/>
            <w:tcMar>
              <w:top w:w="16" w:type="dxa"/>
              <w:left w:w="16" w:type="dxa"/>
              <w:right w:w="16" w:type="dxa"/>
            </w:tcMar>
            <w:vAlign w:val="center"/>
          </w:tcPr>
          <w:p>
            <w:pPr>
              <w:adjustRightInd w:val="0"/>
              <w:snapToGrid w:val="0"/>
              <w:jc w:val="center"/>
              <w:rPr>
                <w:sz w:val="24"/>
              </w:rPr>
            </w:pPr>
            <w:r>
              <w:rPr>
                <w:sz w:val="24"/>
              </w:rPr>
              <w:t>建设单位联系人</w:t>
            </w:r>
          </w:p>
        </w:tc>
        <w:tc>
          <w:tcPr>
            <w:tcW w:w="2328" w:type="dxa"/>
            <w:vAlign w:val="center"/>
          </w:tcPr>
          <w:p>
            <w:pPr>
              <w:adjustRightInd w:val="0"/>
              <w:snapToGrid w:val="0"/>
              <w:jc w:val="center"/>
              <w:rPr>
                <w:sz w:val="24"/>
              </w:rPr>
            </w:pPr>
            <w:r>
              <w:rPr>
                <w:sz w:val="24"/>
              </w:rPr>
              <w:t>党海波</w:t>
            </w:r>
          </w:p>
        </w:tc>
        <w:tc>
          <w:tcPr>
            <w:tcW w:w="2212" w:type="dxa"/>
            <w:vAlign w:val="center"/>
          </w:tcPr>
          <w:p>
            <w:pPr>
              <w:adjustRightInd w:val="0"/>
              <w:snapToGrid w:val="0"/>
              <w:jc w:val="center"/>
              <w:rPr>
                <w:sz w:val="24"/>
              </w:rPr>
            </w:pPr>
            <w:r>
              <w:rPr>
                <w:sz w:val="24"/>
              </w:rPr>
              <w:t>联系方式</w:t>
            </w:r>
          </w:p>
        </w:tc>
        <w:tc>
          <w:tcPr>
            <w:tcW w:w="2639" w:type="dxa"/>
            <w:vAlign w:val="center"/>
          </w:tcPr>
          <w:p>
            <w:pPr>
              <w:adjustRightInd w:val="0"/>
              <w:snapToGrid w:val="0"/>
              <w:jc w:val="center"/>
              <w:rPr>
                <w:sz w:val="24"/>
              </w:rPr>
            </w:pPr>
            <w:bookmarkStart w:id="138" w:name="_GoBack"/>
            <w:bookmarkEnd w:id="13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91" w:type="dxa"/>
            <w:tcMar>
              <w:top w:w="16" w:type="dxa"/>
              <w:left w:w="16" w:type="dxa"/>
              <w:right w:w="16" w:type="dxa"/>
            </w:tcMar>
            <w:vAlign w:val="center"/>
          </w:tcPr>
          <w:p>
            <w:pPr>
              <w:adjustRightInd w:val="0"/>
              <w:snapToGrid w:val="0"/>
              <w:jc w:val="center"/>
              <w:rPr>
                <w:sz w:val="24"/>
              </w:rPr>
            </w:pPr>
            <w:r>
              <w:rPr>
                <w:sz w:val="24"/>
              </w:rPr>
              <w:t>建设地点</w:t>
            </w:r>
          </w:p>
        </w:tc>
        <w:tc>
          <w:tcPr>
            <w:tcW w:w="7179" w:type="dxa"/>
            <w:gridSpan w:val="3"/>
            <w:vAlign w:val="center"/>
          </w:tcPr>
          <w:p>
            <w:pPr>
              <w:adjustRightInd w:val="0"/>
              <w:snapToGrid w:val="0"/>
              <w:jc w:val="center"/>
              <w:rPr>
                <w:sz w:val="24"/>
              </w:rPr>
            </w:pPr>
            <w:r>
              <w:rPr>
                <w:sz w:val="24"/>
                <w:u w:val="single"/>
              </w:rPr>
              <w:t>云南</w:t>
            </w:r>
            <w:r>
              <w:rPr>
                <w:sz w:val="24"/>
              </w:rPr>
              <w:t>省</w:t>
            </w:r>
            <w:r>
              <w:rPr>
                <w:rFonts w:hint="eastAsia"/>
                <w:sz w:val="24"/>
                <w:u w:val="single"/>
              </w:rPr>
              <w:t>昆明</w:t>
            </w:r>
            <w:r>
              <w:rPr>
                <w:sz w:val="24"/>
              </w:rPr>
              <w:t>市</w:t>
            </w:r>
            <w:r>
              <w:rPr>
                <w:sz w:val="24"/>
                <w:u w:val="single"/>
              </w:rPr>
              <w:t xml:space="preserve"> </w:t>
            </w:r>
            <w:r>
              <w:rPr>
                <w:rFonts w:hint="eastAsia"/>
                <w:sz w:val="24"/>
                <w:u w:val="single"/>
              </w:rPr>
              <w:t>晋宁</w:t>
            </w:r>
            <w:r>
              <w:rPr>
                <w:sz w:val="24"/>
              </w:rPr>
              <w:t>区</w:t>
            </w:r>
            <w:r>
              <w:rPr>
                <w:rFonts w:hint="eastAsia"/>
                <w:sz w:val="24"/>
                <w:u w:val="single"/>
              </w:rPr>
              <w:t>晋宁工业园区晋城基地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91" w:type="dxa"/>
            <w:tcMar>
              <w:top w:w="16" w:type="dxa"/>
              <w:left w:w="16" w:type="dxa"/>
              <w:right w:w="16" w:type="dxa"/>
            </w:tcMar>
            <w:vAlign w:val="center"/>
          </w:tcPr>
          <w:p>
            <w:pPr>
              <w:adjustRightInd w:val="0"/>
              <w:snapToGrid w:val="0"/>
              <w:jc w:val="center"/>
              <w:rPr>
                <w:sz w:val="24"/>
              </w:rPr>
            </w:pPr>
            <w:r>
              <w:rPr>
                <w:sz w:val="24"/>
              </w:rPr>
              <w:t>地理坐标</w:t>
            </w:r>
          </w:p>
        </w:tc>
        <w:tc>
          <w:tcPr>
            <w:tcW w:w="7179" w:type="dxa"/>
            <w:gridSpan w:val="3"/>
            <w:vAlign w:val="center"/>
          </w:tcPr>
          <w:p>
            <w:pPr>
              <w:jc w:val="center"/>
              <w:rPr>
                <w:sz w:val="24"/>
              </w:rPr>
            </w:pPr>
            <w:r>
              <w:rPr>
                <w:sz w:val="24"/>
              </w:rPr>
              <w:t>（</w:t>
            </w:r>
            <w:r>
              <w:rPr>
                <w:sz w:val="24"/>
                <w:u w:val="single"/>
              </w:rPr>
              <w:t xml:space="preserve">  100  </w:t>
            </w:r>
            <w:r>
              <w:rPr>
                <w:sz w:val="24"/>
              </w:rPr>
              <w:t>度</w:t>
            </w:r>
            <w:r>
              <w:rPr>
                <w:sz w:val="24"/>
                <w:u w:val="single"/>
              </w:rPr>
              <w:t xml:space="preserve">  4  </w:t>
            </w:r>
            <w:r>
              <w:rPr>
                <w:sz w:val="24"/>
              </w:rPr>
              <w:t>分</w:t>
            </w:r>
            <w:r>
              <w:rPr>
                <w:sz w:val="24"/>
                <w:u w:val="single"/>
              </w:rPr>
              <w:t xml:space="preserve"> 30.983 </w:t>
            </w:r>
            <w:r>
              <w:rPr>
                <w:sz w:val="24"/>
              </w:rPr>
              <w:t>秒，</w:t>
            </w:r>
            <w:r>
              <w:rPr>
                <w:sz w:val="24"/>
                <w:u w:val="single"/>
              </w:rPr>
              <w:t xml:space="preserve"> 27 </w:t>
            </w:r>
            <w:r>
              <w:rPr>
                <w:sz w:val="24"/>
              </w:rPr>
              <w:t>度</w:t>
            </w:r>
            <w:r>
              <w:rPr>
                <w:sz w:val="24"/>
                <w:u w:val="single"/>
              </w:rPr>
              <w:t xml:space="preserve">  3 </w:t>
            </w:r>
            <w:r>
              <w:rPr>
                <w:sz w:val="24"/>
              </w:rPr>
              <w:t>分</w:t>
            </w:r>
            <w:r>
              <w:rPr>
                <w:sz w:val="24"/>
                <w:u w:val="single"/>
              </w:rPr>
              <w:t xml:space="preserve"> 10.512 </w:t>
            </w:r>
            <w:r>
              <w:rPr>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1691" w:type="dxa"/>
            <w:tcMar>
              <w:top w:w="16" w:type="dxa"/>
              <w:left w:w="16" w:type="dxa"/>
              <w:right w:w="16" w:type="dxa"/>
            </w:tcMar>
            <w:vAlign w:val="center"/>
          </w:tcPr>
          <w:p>
            <w:pPr>
              <w:adjustRightInd w:val="0"/>
              <w:snapToGrid w:val="0"/>
              <w:jc w:val="center"/>
              <w:rPr>
                <w:sz w:val="24"/>
              </w:rPr>
            </w:pPr>
            <w:r>
              <w:rPr>
                <w:sz w:val="24"/>
              </w:rPr>
              <w:t>国民经济</w:t>
            </w:r>
          </w:p>
          <w:p>
            <w:pPr>
              <w:adjustRightInd w:val="0"/>
              <w:snapToGrid w:val="0"/>
              <w:jc w:val="center"/>
              <w:rPr>
                <w:sz w:val="24"/>
              </w:rPr>
            </w:pPr>
            <w:r>
              <w:rPr>
                <w:sz w:val="24"/>
              </w:rPr>
              <w:t>行业类别</w:t>
            </w:r>
          </w:p>
        </w:tc>
        <w:tc>
          <w:tcPr>
            <w:tcW w:w="2328" w:type="dxa"/>
            <w:vAlign w:val="center"/>
          </w:tcPr>
          <w:p>
            <w:pPr>
              <w:adjustRightInd w:val="0"/>
              <w:snapToGrid w:val="0"/>
              <w:jc w:val="center"/>
              <w:rPr>
                <w:sz w:val="24"/>
              </w:rPr>
            </w:pPr>
            <w:r>
              <w:rPr>
                <w:sz w:val="24"/>
              </w:rPr>
              <w:t>C4341</w:t>
            </w:r>
            <w:r>
              <w:rPr>
                <w:rFonts w:hint="eastAsia"/>
                <w:sz w:val="24"/>
              </w:rPr>
              <w:t>铁路运输设备修理</w:t>
            </w:r>
          </w:p>
        </w:tc>
        <w:tc>
          <w:tcPr>
            <w:tcW w:w="2212" w:type="dxa"/>
            <w:vAlign w:val="center"/>
          </w:tcPr>
          <w:p>
            <w:pPr>
              <w:adjustRightInd w:val="0"/>
              <w:snapToGrid w:val="0"/>
              <w:jc w:val="center"/>
              <w:rPr>
                <w:sz w:val="24"/>
              </w:rPr>
            </w:pPr>
            <w:bookmarkStart w:id="1" w:name="_Hlk49843745"/>
            <w:r>
              <w:rPr>
                <w:sz w:val="24"/>
              </w:rPr>
              <w:t>建设项目</w:t>
            </w:r>
          </w:p>
          <w:p>
            <w:pPr>
              <w:adjustRightInd w:val="0"/>
              <w:snapToGrid w:val="0"/>
              <w:jc w:val="center"/>
              <w:rPr>
                <w:sz w:val="24"/>
              </w:rPr>
            </w:pPr>
            <w:r>
              <w:rPr>
                <w:sz w:val="24"/>
              </w:rPr>
              <w:t>行业类别</w:t>
            </w:r>
            <w:bookmarkEnd w:id="1"/>
          </w:p>
        </w:tc>
        <w:tc>
          <w:tcPr>
            <w:tcW w:w="2639" w:type="dxa"/>
            <w:vAlign w:val="center"/>
          </w:tcPr>
          <w:p>
            <w:pPr>
              <w:adjustRightInd w:val="0"/>
              <w:snapToGrid w:val="0"/>
              <w:rPr>
                <w:sz w:val="24"/>
              </w:rPr>
            </w:pPr>
            <w:r>
              <w:rPr>
                <w:rFonts w:hint="eastAsia"/>
                <w:sz w:val="24"/>
              </w:rPr>
              <w:t>铁路、船舶、航空航天等运输设备修理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1691" w:type="dxa"/>
            <w:tcMar>
              <w:top w:w="16" w:type="dxa"/>
              <w:left w:w="16" w:type="dxa"/>
              <w:right w:w="16" w:type="dxa"/>
            </w:tcMar>
            <w:vAlign w:val="center"/>
          </w:tcPr>
          <w:p>
            <w:pPr>
              <w:adjustRightInd w:val="0"/>
              <w:snapToGrid w:val="0"/>
              <w:jc w:val="center"/>
              <w:rPr>
                <w:sz w:val="24"/>
              </w:rPr>
            </w:pPr>
            <w:r>
              <w:rPr>
                <w:sz w:val="24"/>
              </w:rPr>
              <w:t>建设性质</w:t>
            </w:r>
          </w:p>
        </w:tc>
        <w:tc>
          <w:tcPr>
            <w:tcW w:w="2328" w:type="dxa"/>
            <w:vAlign w:val="center"/>
          </w:tcPr>
          <w:p>
            <w:pPr>
              <w:jc w:val="left"/>
              <w:rPr>
                <w:sz w:val="24"/>
              </w:rPr>
            </w:pPr>
            <w:r>
              <w:rPr>
                <w:b/>
                <w:sz w:val="24"/>
              </w:rPr>
              <w:fldChar w:fldCharType="begin"/>
            </w:r>
            <w:r>
              <w:rPr>
                <w:b/>
                <w:sz w:val="24"/>
              </w:rPr>
              <w:instrText xml:space="preserve"> eq \o\ac(□,√)</w:instrText>
            </w:r>
            <w:r>
              <w:rPr>
                <w:sz w:val="24"/>
              </w:rPr>
              <w:fldChar w:fldCharType="end"/>
            </w:r>
            <w:r>
              <w:rPr>
                <w:sz w:val="24"/>
              </w:rPr>
              <w:t>新建（迁建）</w:t>
            </w:r>
          </w:p>
          <w:p>
            <w:pPr>
              <w:jc w:val="left"/>
              <w:rPr>
                <w:sz w:val="24"/>
              </w:rPr>
            </w:pPr>
            <w:r>
              <w:rPr>
                <w:sz w:val="24"/>
              </w:rPr>
              <w:t>□改建</w:t>
            </w:r>
          </w:p>
          <w:p>
            <w:pPr>
              <w:jc w:val="left"/>
              <w:rPr>
                <w:sz w:val="24"/>
              </w:rPr>
            </w:pPr>
            <w:r>
              <w:rPr>
                <w:sz w:val="24"/>
              </w:rPr>
              <w:t>□扩建</w:t>
            </w:r>
          </w:p>
          <w:p>
            <w:pPr>
              <w:jc w:val="left"/>
              <w:rPr>
                <w:sz w:val="24"/>
              </w:rPr>
            </w:pPr>
            <w:r>
              <w:rPr>
                <w:sz w:val="24"/>
              </w:rPr>
              <w:t>□技术改造</w:t>
            </w:r>
          </w:p>
        </w:tc>
        <w:tc>
          <w:tcPr>
            <w:tcW w:w="2212" w:type="dxa"/>
            <w:vAlign w:val="center"/>
          </w:tcPr>
          <w:p>
            <w:pPr>
              <w:adjustRightInd w:val="0"/>
              <w:snapToGrid w:val="0"/>
              <w:jc w:val="center"/>
              <w:rPr>
                <w:sz w:val="24"/>
              </w:rPr>
            </w:pPr>
            <w:r>
              <w:rPr>
                <w:sz w:val="24"/>
              </w:rPr>
              <w:t>建设项目</w:t>
            </w:r>
          </w:p>
          <w:p>
            <w:pPr>
              <w:adjustRightInd w:val="0"/>
              <w:snapToGrid w:val="0"/>
              <w:jc w:val="center"/>
              <w:rPr>
                <w:sz w:val="24"/>
              </w:rPr>
            </w:pPr>
            <w:r>
              <w:rPr>
                <w:sz w:val="24"/>
              </w:rPr>
              <w:t>申报情形</w:t>
            </w:r>
          </w:p>
        </w:tc>
        <w:tc>
          <w:tcPr>
            <w:tcW w:w="2639" w:type="dxa"/>
            <w:vAlign w:val="center"/>
          </w:tcPr>
          <w:p>
            <w:pPr>
              <w:jc w:val="left"/>
              <w:rPr>
                <w:sz w:val="24"/>
              </w:rPr>
            </w:pPr>
            <w:r>
              <w:rPr>
                <w:b/>
                <w:sz w:val="24"/>
              </w:rPr>
              <w:fldChar w:fldCharType="begin"/>
            </w:r>
            <w:r>
              <w:rPr>
                <w:b/>
                <w:sz w:val="24"/>
              </w:rPr>
              <w:instrText xml:space="preserve"> eq \o\ac(□,</w:instrText>
            </w:r>
            <w:r>
              <w:rPr>
                <w:b/>
                <w:position w:val="2"/>
                <w:sz w:val="24"/>
              </w:rPr>
              <w:instrText xml:space="preserve">√</w:instrText>
            </w:r>
            <w:r>
              <w:rPr>
                <w:b/>
                <w:sz w:val="24"/>
              </w:rPr>
              <w:instrText xml:space="preserve">)</w:instrText>
            </w:r>
            <w:r>
              <w:rPr>
                <w:b/>
                <w:sz w:val="24"/>
              </w:rPr>
              <w:fldChar w:fldCharType="end"/>
            </w:r>
            <w:r>
              <w:rPr>
                <w:sz w:val="24"/>
              </w:rPr>
              <w:t xml:space="preserve">首次申报项目             </w:t>
            </w:r>
          </w:p>
          <w:p>
            <w:pPr>
              <w:jc w:val="left"/>
              <w:rPr>
                <w:sz w:val="24"/>
              </w:rPr>
            </w:pPr>
            <w:r>
              <w:rPr>
                <w:sz w:val="24"/>
              </w:rPr>
              <w:t>□不予批准后再次申报项目</w:t>
            </w:r>
          </w:p>
          <w:p>
            <w:pPr>
              <w:jc w:val="left"/>
              <w:rPr>
                <w:sz w:val="24"/>
              </w:rPr>
            </w:pPr>
            <w:r>
              <w:rPr>
                <w:sz w:val="24"/>
              </w:rPr>
              <w:sym w:font="Wingdings 2" w:char="00A3"/>
            </w:r>
            <w:r>
              <w:rPr>
                <w:sz w:val="24"/>
              </w:rPr>
              <w:t xml:space="preserve">超五年重新审核项目     </w:t>
            </w:r>
          </w:p>
          <w:p>
            <w:pPr>
              <w:jc w:val="left"/>
              <w:rPr>
                <w:sz w:val="24"/>
              </w:rPr>
            </w:pPr>
            <w:r>
              <w:rPr>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691" w:type="dxa"/>
            <w:tcMar>
              <w:top w:w="16" w:type="dxa"/>
              <w:left w:w="16" w:type="dxa"/>
              <w:right w:w="16" w:type="dxa"/>
            </w:tcMar>
            <w:vAlign w:val="center"/>
          </w:tcPr>
          <w:p>
            <w:pPr>
              <w:adjustRightInd w:val="0"/>
              <w:snapToGrid w:val="0"/>
              <w:rPr>
                <w:sz w:val="24"/>
              </w:rPr>
            </w:pPr>
            <w:r>
              <w:rPr>
                <w:sz w:val="24"/>
              </w:rPr>
              <w:t>项目审批（核准/备案）部门（选填）</w:t>
            </w:r>
          </w:p>
        </w:tc>
        <w:tc>
          <w:tcPr>
            <w:tcW w:w="2328" w:type="dxa"/>
            <w:vAlign w:val="center"/>
          </w:tcPr>
          <w:p>
            <w:pPr>
              <w:adjustRightInd w:val="0"/>
              <w:snapToGrid w:val="0"/>
              <w:jc w:val="center"/>
              <w:rPr>
                <w:sz w:val="24"/>
              </w:rPr>
            </w:pPr>
            <w:r>
              <w:rPr>
                <w:sz w:val="24"/>
              </w:rPr>
              <w:t>——</w:t>
            </w:r>
          </w:p>
        </w:tc>
        <w:tc>
          <w:tcPr>
            <w:tcW w:w="2212" w:type="dxa"/>
            <w:vAlign w:val="center"/>
          </w:tcPr>
          <w:p>
            <w:pPr>
              <w:adjustRightInd w:val="0"/>
              <w:snapToGrid w:val="0"/>
              <w:rPr>
                <w:sz w:val="24"/>
              </w:rPr>
            </w:pPr>
            <w:r>
              <w:rPr>
                <w:sz w:val="24"/>
              </w:rPr>
              <w:t>项目审批（核准/</w:t>
            </w:r>
          </w:p>
          <w:p>
            <w:pPr>
              <w:adjustRightInd w:val="0"/>
              <w:snapToGrid w:val="0"/>
              <w:jc w:val="center"/>
              <w:rPr>
                <w:sz w:val="24"/>
              </w:rPr>
            </w:pPr>
            <w:r>
              <w:rPr>
                <w:sz w:val="24"/>
              </w:rPr>
              <w:t>备案）文号（选填）</w:t>
            </w:r>
          </w:p>
        </w:tc>
        <w:tc>
          <w:tcPr>
            <w:tcW w:w="2639" w:type="dxa"/>
            <w:vAlign w:val="center"/>
          </w:tcPr>
          <w:p>
            <w:pPr>
              <w:adjustRightInd w:val="0"/>
              <w:snapToGrid w:val="0"/>
              <w:jc w:val="center"/>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91" w:type="dxa"/>
            <w:tcMar>
              <w:top w:w="16" w:type="dxa"/>
              <w:left w:w="16" w:type="dxa"/>
              <w:right w:w="16" w:type="dxa"/>
            </w:tcMar>
            <w:vAlign w:val="center"/>
          </w:tcPr>
          <w:p>
            <w:pPr>
              <w:adjustRightInd w:val="0"/>
              <w:snapToGrid w:val="0"/>
              <w:jc w:val="center"/>
              <w:rPr>
                <w:sz w:val="24"/>
              </w:rPr>
            </w:pPr>
            <w:r>
              <w:rPr>
                <w:sz w:val="24"/>
              </w:rPr>
              <w:t>总投资（万元）</w:t>
            </w:r>
          </w:p>
        </w:tc>
        <w:tc>
          <w:tcPr>
            <w:tcW w:w="2328" w:type="dxa"/>
            <w:vAlign w:val="center"/>
          </w:tcPr>
          <w:p>
            <w:pPr>
              <w:adjustRightInd w:val="0"/>
              <w:snapToGrid w:val="0"/>
              <w:jc w:val="center"/>
              <w:rPr>
                <w:sz w:val="24"/>
              </w:rPr>
            </w:pPr>
            <w:r>
              <w:rPr>
                <w:sz w:val="24"/>
              </w:rPr>
              <w:t>8194.66</w:t>
            </w:r>
          </w:p>
        </w:tc>
        <w:tc>
          <w:tcPr>
            <w:tcW w:w="2212" w:type="dxa"/>
            <w:tcMar>
              <w:top w:w="16" w:type="dxa"/>
              <w:left w:w="16" w:type="dxa"/>
              <w:right w:w="16" w:type="dxa"/>
            </w:tcMar>
            <w:vAlign w:val="center"/>
          </w:tcPr>
          <w:p>
            <w:pPr>
              <w:adjustRightInd w:val="0"/>
              <w:snapToGrid w:val="0"/>
              <w:jc w:val="center"/>
              <w:rPr>
                <w:sz w:val="24"/>
              </w:rPr>
            </w:pPr>
            <w:r>
              <w:rPr>
                <w:sz w:val="24"/>
              </w:rPr>
              <w:t>环保投资（万元）</w:t>
            </w:r>
          </w:p>
        </w:tc>
        <w:tc>
          <w:tcPr>
            <w:tcW w:w="2639" w:type="dxa"/>
            <w:vAlign w:val="center"/>
          </w:tcPr>
          <w:p>
            <w:pPr>
              <w:adjustRightInd w:val="0"/>
              <w:snapToGrid w:val="0"/>
              <w:jc w:val="center"/>
              <w:rPr>
                <w:sz w:val="24"/>
              </w:rPr>
            </w:pPr>
            <w:r>
              <w:rPr>
                <w:sz w:val="24"/>
              </w:rPr>
              <w:t>81.7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91" w:type="dxa"/>
            <w:tcMar>
              <w:top w:w="16" w:type="dxa"/>
              <w:left w:w="16" w:type="dxa"/>
              <w:right w:w="16" w:type="dxa"/>
            </w:tcMar>
            <w:vAlign w:val="center"/>
          </w:tcPr>
          <w:p>
            <w:pPr>
              <w:adjustRightInd w:val="0"/>
              <w:snapToGrid w:val="0"/>
              <w:jc w:val="center"/>
              <w:rPr>
                <w:sz w:val="24"/>
              </w:rPr>
            </w:pPr>
            <w:r>
              <w:rPr>
                <w:sz w:val="24"/>
              </w:rPr>
              <w:t>环保投资占比（%）</w:t>
            </w:r>
          </w:p>
        </w:tc>
        <w:tc>
          <w:tcPr>
            <w:tcW w:w="2328" w:type="dxa"/>
            <w:vAlign w:val="center"/>
          </w:tcPr>
          <w:p>
            <w:pPr>
              <w:adjustRightInd w:val="0"/>
              <w:snapToGrid w:val="0"/>
              <w:jc w:val="center"/>
              <w:rPr>
                <w:sz w:val="24"/>
              </w:rPr>
            </w:pPr>
            <w:r>
              <w:rPr>
                <w:sz w:val="24"/>
              </w:rPr>
              <w:t>0.997</w:t>
            </w:r>
          </w:p>
        </w:tc>
        <w:tc>
          <w:tcPr>
            <w:tcW w:w="2212" w:type="dxa"/>
            <w:tcMar>
              <w:top w:w="16" w:type="dxa"/>
              <w:left w:w="16" w:type="dxa"/>
              <w:right w:w="16" w:type="dxa"/>
            </w:tcMar>
            <w:vAlign w:val="center"/>
          </w:tcPr>
          <w:p>
            <w:pPr>
              <w:adjustRightInd w:val="0"/>
              <w:snapToGrid w:val="0"/>
              <w:jc w:val="center"/>
              <w:rPr>
                <w:sz w:val="24"/>
              </w:rPr>
            </w:pPr>
            <w:r>
              <w:rPr>
                <w:sz w:val="24"/>
              </w:rPr>
              <w:t>施工工期</w:t>
            </w:r>
          </w:p>
        </w:tc>
        <w:tc>
          <w:tcPr>
            <w:tcW w:w="2639" w:type="dxa"/>
            <w:vAlign w:val="center"/>
          </w:tcPr>
          <w:p>
            <w:pPr>
              <w:adjustRightInd w:val="0"/>
              <w:snapToGrid w:val="0"/>
              <w:jc w:val="center"/>
              <w:rPr>
                <w:sz w:val="24"/>
              </w:rPr>
            </w:pPr>
            <w:r>
              <w:rPr>
                <w:rFonts w:hint="eastAsia"/>
                <w:sz w:val="24"/>
              </w:rPr>
              <w:t>2</w:t>
            </w:r>
            <w:r>
              <w:rPr>
                <w:sz w:val="24"/>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91" w:type="dxa"/>
            <w:tcMar>
              <w:top w:w="16" w:type="dxa"/>
              <w:left w:w="16" w:type="dxa"/>
              <w:right w:w="16" w:type="dxa"/>
            </w:tcMar>
            <w:vAlign w:val="center"/>
          </w:tcPr>
          <w:p>
            <w:pPr>
              <w:adjustRightInd w:val="0"/>
              <w:snapToGrid w:val="0"/>
              <w:jc w:val="center"/>
              <w:rPr>
                <w:sz w:val="24"/>
              </w:rPr>
            </w:pPr>
            <w:r>
              <w:rPr>
                <w:sz w:val="24"/>
              </w:rPr>
              <w:t>是否开工建设</w:t>
            </w:r>
          </w:p>
        </w:tc>
        <w:tc>
          <w:tcPr>
            <w:tcW w:w="2328" w:type="dxa"/>
            <w:vAlign w:val="center"/>
          </w:tcPr>
          <w:p>
            <w:pPr>
              <w:adjustRightInd w:val="0"/>
              <w:snapToGrid w:val="0"/>
              <w:rPr>
                <w:sz w:val="24"/>
              </w:rPr>
            </w:pPr>
            <w:r>
              <w:rPr>
                <w:b/>
                <w:sz w:val="24"/>
              </w:rPr>
              <w:fldChar w:fldCharType="begin"/>
            </w:r>
            <w:r>
              <w:rPr>
                <w:b/>
                <w:sz w:val="24"/>
              </w:rPr>
              <w:instrText xml:space="preserve"> eq \o\ac(□,√)</w:instrText>
            </w:r>
            <w:r>
              <w:rPr>
                <w:sz w:val="24"/>
              </w:rPr>
              <w:fldChar w:fldCharType="end"/>
            </w:r>
            <w:r>
              <w:rPr>
                <w:sz w:val="24"/>
              </w:rPr>
              <w:t>否</w:t>
            </w:r>
          </w:p>
          <w:p>
            <w:pPr>
              <w:adjustRightInd w:val="0"/>
              <w:snapToGrid w:val="0"/>
              <w:rPr>
                <w:sz w:val="24"/>
              </w:rPr>
            </w:pPr>
            <w:r>
              <w:rPr>
                <w:sz w:val="24"/>
              </w:rPr>
              <w:sym w:font="Wingdings 2" w:char="00A3"/>
            </w:r>
            <w:r>
              <w:rPr>
                <w:sz w:val="24"/>
              </w:rPr>
              <w:t>是：</w:t>
            </w:r>
            <w:r>
              <w:rPr>
                <w:sz w:val="24"/>
                <w:u w:val="single"/>
              </w:rPr>
              <w:t xml:space="preserve">             </w:t>
            </w:r>
          </w:p>
        </w:tc>
        <w:tc>
          <w:tcPr>
            <w:tcW w:w="2212" w:type="dxa"/>
            <w:tcMar>
              <w:top w:w="16" w:type="dxa"/>
              <w:left w:w="16" w:type="dxa"/>
              <w:right w:w="16" w:type="dxa"/>
            </w:tcMar>
            <w:vAlign w:val="center"/>
          </w:tcPr>
          <w:p>
            <w:pPr>
              <w:adjustRightInd w:val="0"/>
              <w:snapToGrid w:val="0"/>
              <w:jc w:val="center"/>
              <w:rPr>
                <w:spacing w:val="-6"/>
                <w:sz w:val="24"/>
              </w:rPr>
            </w:pPr>
            <w:r>
              <w:rPr>
                <w:spacing w:val="-6"/>
                <w:sz w:val="24"/>
              </w:rPr>
              <w:t>用地（用海）</w:t>
            </w:r>
          </w:p>
          <w:p>
            <w:pPr>
              <w:adjustRightInd w:val="0"/>
              <w:snapToGrid w:val="0"/>
              <w:jc w:val="center"/>
              <w:rPr>
                <w:sz w:val="24"/>
              </w:rPr>
            </w:pPr>
            <w:r>
              <w:rPr>
                <w:spacing w:val="-6"/>
                <w:sz w:val="24"/>
              </w:rPr>
              <w:t>面积（m</w:t>
            </w:r>
            <w:r>
              <w:rPr>
                <w:spacing w:val="-6"/>
                <w:sz w:val="24"/>
                <w:vertAlign w:val="superscript"/>
              </w:rPr>
              <w:t>2</w:t>
            </w:r>
            <w:r>
              <w:rPr>
                <w:spacing w:val="-6"/>
                <w:sz w:val="24"/>
              </w:rPr>
              <w:t>）</w:t>
            </w:r>
          </w:p>
        </w:tc>
        <w:tc>
          <w:tcPr>
            <w:tcW w:w="2639" w:type="dxa"/>
            <w:vAlign w:val="center"/>
          </w:tcPr>
          <w:p>
            <w:pPr>
              <w:adjustRightInd w:val="0"/>
              <w:snapToGrid w:val="0"/>
              <w:jc w:val="center"/>
              <w:rPr>
                <w:sz w:val="24"/>
              </w:rPr>
            </w:pPr>
            <w:r>
              <w:rPr>
                <w:sz w:val="24"/>
              </w:rPr>
              <w:t>10000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691" w:type="dxa"/>
            <w:vAlign w:val="center"/>
          </w:tcPr>
          <w:p>
            <w:pPr>
              <w:autoSpaceDE w:val="0"/>
              <w:autoSpaceDN w:val="0"/>
              <w:adjustRightInd w:val="0"/>
              <w:snapToGrid w:val="0"/>
              <w:jc w:val="center"/>
              <w:rPr>
                <w:kern w:val="0"/>
                <w:sz w:val="24"/>
              </w:rPr>
            </w:pPr>
            <w:r>
              <w:rPr>
                <w:kern w:val="0"/>
                <w:sz w:val="24"/>
              </w:rPr>
              <w:t>专项评价设置情况</w:t>
            </w:r>
          </w:p>
        </w:tc>
        <w:tc>
          <w:tcPr>
            <w:tcW w:w="7179" w:type="dxa"/>
            <w:gridSpan w:val="3"/>
            <w:vAlign w:val="center"/>
          </w:tcPr>
          <w:p>
            <w:pPr>
              <w:autoSpaceDE w:val="0"/>
              <w:autoSpaceDN w:val="0"/>
              <w:adjustRightInd w:val="0"/>
              <w:snapToGrid w:val="0"/>
              <w:spacing w:line="360" w:lineRule="auto"/>
              <w:rPr>
                <w:kern w:val="0"/>
                <w:sz w:val="24"/>
              </w:rPr>
            </w:pPr>
            <w:r>
              <w:rPr>
                <w:rFonts w:hint="eastAsia"/>
                <w:kern w:val="0"/>
                <w:sz w:val="24"/>
              </w:rPr>
              <w:t xml:space="preserve">  </w:t>
            </w:r>
            <w:r>
              <w:rPr>
                <w:kern w:val="0"/>
                <w:sz w:val="24"/>
              </w:rPr>
              <w:t>根据《建设项目环境影响报告表编制技术指南（污染影响类）（试行）》，本项目为</w:t>
            </w:r>
            <w:r>
              <w:rPr>
                <w:rFonts w:hint="eastAsia"/>
                <w:kern w:val="0"/>
                <w:sz w:val="24"/>
              </w:rPr>
              <w:t>地铁</w:t>
            </w:r>
            <w:r>
              <w:rPr>
                <w:kern w:val="0"/>
                <w:sz w:val="24"/>
              </w:rPr>
              <w:t>维修建设项目，不排放有毒有害废气、二噁英、苯并芘、氰化物、氯气，生产废水回用，不新增取水口，风险物质也未超过临界值，因此项目不需设置专项评价。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691" w:type="dxa"/>
            <w:vAlign w:val="center"/>
          </w:tcPr>
          <w:p>
            <w:pPr>
              <w:autoSpaceDE w:val="0"/>
              <w:autoSpaceDN w:val="0"/>
              <w:adjustRightInd w:val="0"/>
              <w:snapToGrid w:val="0"/>
              <w:jc w:val="center"/>
              <w:rPr>
                <w:kern w:val="0"/>
                <w:sz w:val="24"/>
              </w:rPr>
            </w:pPr>
            <w:r>
              <w:rPr>
                <w:sz w:val="24"/>
              </w:rPr>
              <w:t>规划情况</w:t>
            </w:r>
          </w:p>
        </w:tc>
        <w:tc>
          <w:tcPr>
            <w:tcW w:w="7179" w:type="dxa"/>
            <w:gridSpan w:val="3"/>
            <w:vAlign w:val="center"/>
          </w:tcPr>
          <w:p>
            <w:pPr>
              <w:autoSpaceDE w:val="0"/>
              <w:autoSpaceDN w:val="0"/>
              <w:adjustRightInd w:val="0"/>
              <w:snapToGrid w:val="0"/>
              <w:spacing w:line="360" w:lineRule="auto"/>
              <w:rPr>
                <w:kern w:val="0"/>
                <w:sz w:val="24"/>
              </w:rPr>
            </w:pPr>
            <w:r>
              <w:rPr>
                <w:kern w:val="0"/>
                <w:sz w:val="24"/>
              </w:rPr>
              <w:t>一、</w:t>
            </w:r>
            <w:r>
              <w:rPr>
                <w:rFonts w:hint="eastAsia"/>
                <w:kern w:val="0"/>
                <w:sz w:val="24"/>
              </w:rPr>
              <w:t>《云南晋宁工业园区总体规划修编（2012-2030）》</w:t>
            </w:r>
          </w:p>
          <w:p>
            <w:pPr>
              <w:spacing w:line="360" w:lineRule="auto"/>
              <w:ind w:firstLine="480"/>
              <w:rPr>
                <w:kern w:val="0"/>
                <w:sz w:val="24"/>
              </w:rPr>
            </w:pPr>
            <w:r>
              <w:rPr>
                <w:kern w:val="0"/>
                <w:sz w:val="24"/>
              </w:rPr>
              <w:t>云南晋宁工业园位于晋宁区的二街镇、晋城镇、上蒜镇、昆阳街道办事处的部分区域，于 2007年编制完成了《晋宁特色工业园区总体规划》和《晋宁特色工业园区建设可行性研究报告》，并批准实施，并且于 2008 年 6 月取得了《晋宁特色工业园区总体规划环境影响报告书》审查意见。2010年编制完成了《晋宁特色工业园区总体规划修编（2010-2030）》和《晋宁特色工业园区建设可行性研究报告》，并批准实施，但《晋宁特色工业园区总体规划修编（2010-2030）》的规划环评编制完成后，未出具审查意见。</w:t>
            </w:r>
          </w:p>
          <w:p>
            <w:pPr>
              <w:widowControl/>
              <w:spacing w:line="360" w:lineRule="auto"/>
              <w:ind w:firstLine="480" w:firstLineChars="200"/>
              <w:jc w:val="left"/>
              <w:rPr>
                <w:kern w:val="0"/>
                <w:sz w:val="24"/>
              </w:rPr>
            </w:pPr>
            <w:r>
              <w:rPr>
                <w:kern w:val="0"/>
                <w:sz w:val="24"/>
              </w:rPr>
              <w:t>根据晋宁区人民政府文件（晋政复【2011】381 号）《晋宁区人民政府关于将云南泛亚家具产业基地等 3 个产业基地划归工业园区管理的批复》，云南泛亚家具产业基地、昆明轨道交通产业基地、乌龙轻工业产业基地划归晋宁工业园区管委会统一管理，使园区的工业用地格局发生改变，规模扩大，原有的工业区布局思路已不适应发展需要须对原《晋宁特色工业园区总体规划修编（2010-2030）》再次修编。</w:t>
            </w:r>
          </w:p>
          <w:p>
            <w:pPr>
              <w:widowControl/>
              <w:spacing w:line="360" w:lineRule="auto"/>
              <w:ind w:firstLine="480" w:firstLineChars="200"/>
              <w:jc w:val="left"/>
              <w:rPr>
                <w:kern w:val="0"/>
                <w:sz w:val="24"/>
              </w:rPr>
            </w:pPr>
            <w:r>
              <w:rPr>
                <w:kern w:val="0"/>
                <w:sz w:val="24"/>
              </w:rPr>
              <w:t>在此背景下，晋宁工业园区管委会委托云南省城乡规划设计研究院承接了《云南晋宁工业园区总体规划修编（2012-2030）》（以下简称《规划修编》）的任务，并于 2012 年 8 月 27 日取得了昆明市工业和信息化委员会文件（昆工信发【2012】194 号）《关于实施&lt;云南晋宁工业园区总体规划修编（2012-2030）&gt;的意见》。云南省工业和信息化委员会于 2012 年 9 月 17 日出具了《云南省工业和信息化委关于对晋宁工业园区总体规划修编予以备案的意见》，同意备案。</w:t>
            </w:r>
          </w:p>
          <w:p>
            <w:pPr>
              <w:widowControl/>
              <w:spacing w:line="360" w:lineRule="auto"/>
              <w:ind w:firstLine="480" w:firstLineChars="200"/>
              <w:jc w:val="left"/>
              <w:rPr>
                <w:kern w:val="0"/>
                <w:sz w:val="24"/>
              </w:rPr>
            </w:pPr>
            <w:r>
              <w:rPr>
                <w:kern w:val="0"/>
                <w:sz w:val="24"/>
              </w:rPr>
              <w:t>规划涉及晋宁区的二街镇、晋城镇、上蒜镇、昆阳街道办事处的部分区域，规划总用地面积约为 92.69 km</w:t>
            </w:r>
            <w:r>
              <w:rPr>
                <w:kern w:val="0"/>
                <w:sz w:val="24"/>
                <w:vertAlign w:val="superscript"/>
              </w:rPr>
              <w:t>2</w:t>
            </w:r>
            <w:r>
              <w:rPr>
                <w:kern w:val="0"/>
                <w:sz w:val="24"/>
              </w:rPr>
              <w:t>，包含六个工业基地，即：二街工业基地、上蒜工业基地、晋城工业基地、青山工业基地、宝峰工业基地和乌龙工业基地。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691" w:type="dxa"/>
            <w:vAlign w:val="center"/>
          </w:tcPr>
          <w:p>
            <w:pPr>
              <w:adjustRightInd w:val="0"/>
              <w:snapToGrid w:val="0"/>
              <w:jc w:val="center"/>
              <w:rPr>
                <w:sz w:val="24"/>
              </w:rPr>
            </w:pPr>
            <w:r>
              <w:rPr>
                <w:sz w:val="24"/>
              </w:rPr>
              <w:t>规划环境影响</w:t>
            </w:r>
          </w:p>
          <w:p>
            <w:pPr>
              <w:adjustRightInd w:val="0"/>
              <w:snapToGrid w:val="0"/>
              <w:jc w:val="center"/>
              <w:rPr>
                <w:kern w:val="0"/>
                <w:sz w:val="24"/>
              </w:rPr>
            </w:pPr>
            <w:r>
              <w:rPr>
                <w:sz w:val="24"/>
              </w:rPr>
              <w:t>评价情况</w:t>
            </w:r>
          </w:p>
        </w:tc>
        <w:tc>
          <w:tcPr>
            <w:tcW w:w="7179" w:type="dxa"/>
            <w:gridSpan w:val="3"/>
            <w:vAlign w:val="center"/>
          </w:tcPr>
          <w:p>
            <w:pPr>
              <w:autoSpaceDE w:val="0"/>
              <w:autoSpaceDN w:val="0"/>
              <w:adjustRightInd w:val="0"/>
              <w:snapToGrid w:val="0"/>
              <w:spacing w:line="360" w:lineRule="auto"/>
              <w:rPr>
                <w:kern w:val="0"/>
                <w:sz w:val="24"/>
              </w:rPr>
            </w:pPr>
            <w:r>
              <w:rPr>
                <w:kern w:val="0"/>
                <w:sz w:val="24"/>
              </w:rPr>
              <w:t>2013年，《云南晋宁工业园区总体规划修编（2012-2030）环境影响报告书》，于2014年获云南省环境保护厅关于《晋宁工业园区总体规划修编（2012-2030）》环境影响报告书》审查意见的函。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691" w:type="dxa"/>
            <w:vAlign w:val="center"/>
          </w:tcPr>
          <w:p>
            <w:pPr>
              <w:autoSpaceDE w:val="0"/>
              <w:autoSpaceDN w:val="0"/>
              <w:adjustRightInd w:val="0"/>
              <w:snapToGrid w:val="0"/>
              <w:jc w:val="center"/>
              <w:rPr>
                <w:kern w:val="0"/>
                <w:sz w:val="24"/>
              </w:rPr>
            </w:pPr>
            <w:r>
              <w:rPr>
                <w:kern w:val="0"/>
                <w:sz w:val="24"/>
              </w:rPr>
              <w:t>规划及规划环境</w:t>
            </w:r>
          </w:p>
          <w:p>
            <w:pPr>
              <w:autoSpaceDE w:val="0"/>
              <w:autoSpaceDN w:val="0"/>
              <w:adjustRightInd w:val="0"/>
              <w:snapToGrid w:val="0"/>
              <w:jc w:val="center"/>
              <w:rPr>
                <w:kern w:val="0"/>
                <w:sz w:val="24"/>
              </w:rPr>
            </w:pPr>
            <w:r>
              <w:rPr>
                <w:kern w:val="0"/>
                <w:sz w:val="24"/>
              </w:rPr>
              <w:t>影响评价符合性分析</w:t>
            </w:r>
          </w:p>
        </w:tc>
        <w:tc>
          <w:tcPr>
            <w:tcW w:w="7179" w:type="dxa"/>
            <w:gridSpan w:val="3"/>
            <w:vAlign w:val="center"/>
          </w:tcPr>
          <w:p>
            <w:pPr>
              <w:autoSpaceDE w:val="0"/>
              <w:autoSpaceDN w:val="0"/>
              <w:adjustRightInd w:val="0"/>
              <w:snapToGrid w:val="0"/>
              <w:spacing w:line="360" w:lineRule="auto"/>
              <w:rPr>
                <w:kern w:val="0"/>
                <w:sz w:val="24"/>
              </w:rPr>
            </w:pPr>
            <w:r>
              <w:rPr>
                <w:rFonts w:hint="eastAsia"/>
                <w:kern w:val="0"/>
                <w:sz w:val="24"/>
              </w:rPr>
              <w:t>一</w:t>
            </w:r>
            <w:r>
              <w:rPr>
                <w:kern w:val="0"/>
                <w:sz w:val="24"/>
              </w:rPr>
              <w:t>、与</w:t>
            </w:r>
            <w:r>
              <w:rPr>
                <w:rFonts w:hint="eastAsia"/>
                <w:kern w:val="0"/>
                <w:sz w:val="24"/>
              </w:rPr>
              <w:t>《云南晋宁工业园区总体规划修编（2012-2030）》符合性分析</w:t>
            </w:r>
          </w:p>
          <w:p>
            <w:pPr>
              <w:autoSpaceDE w:val="0"/>
              <w:autoSpaceDN w:val="0"/>
              <w:adjustRightInd w:val="0"/>
              <w:snapToGrid w:val="0"/>
              <w:spacing w:line="360" w:lineRule="auto"/>
              <w:rPr>
                <w:kern w:val="0"/>
                <w:sz w:val="24"/>
              </w:rPr>
            </w:pPr>
            <w:r>
              <w:rPr>
                <w:rFonts w:hint="eastAsia"/>
                <w:kern w:val="0"/>
                <w:sz w:val="24"/>
              </w:rPr>
              <w:t xml:space="preserve"> </w:t>
            </w:r>
            <w:r>
              <w:rPr>
                <w:kern w:val="0"/>
                <w:sz w:val="24"/>
              </w:rPr>
              <w:t xml:space="preserve">  </w:t>
            </w:r>
            <w:r>
              <w:rPr>
                <w:rFonts w:hint="eastAsia"/>
                <w:kern w:val="0"/>
                <w:sz w:val="24"/>
              </w:rPr>
              <w:t>根据《云南晋宁工业园区总体规划修编（2012-2030）》，晋宁工业园区由二街、上蒜、晋城、青山、宝峰镇、乌龙六个工业基地组成（一园六基地）。总规划用地面积92.69km</w:t>
            </w:r>
            <w:r>
              <w:rPr>
                <w:rFonts w:hint="eastAsia"/>
                <w:kern w:val="0"/>
                <w:sz w:val="24"/>
                <w:vertAlign w:val="superscript"/>
              </w:rPr>
              <w:t>2</w:t>
            </w:r>
            <w:r>
              <w:rPr>
                <w:rFonts w:hint="eastAsia"/>
                <w:kern w:val="0"/>
                <w:sz w:val="24"/>
              </w:rPr>
              <w:t>。规划性质定为云南乃至中国面向东南亚、南亚地区的产品出口加工中心、精细磷化工基地、装备制造产业、有色金属产业有主导产业，以生物资源加工、家具制造、建材产业、商贸物流为辅助和配套产业的，具有新型工业化特征的现代化综合工业园区。</w:t>
            </w:r>
          </w:p>
          <w:p>
            <w:pPr>
              <w:autoSpaceDE w:val="0"/>
              <w:autoSpaceDN w:val="0"/>
              <w:adjustRightInd w:val="0"/>
              <w:snapToGrid w:val="0"/>
              <w:spacing w:line="360" w:lineRule="auto"/>
              <w:ind w:firstLine="480" w:firstLineChars="200"/>
              <w:rPr>
                <w:kern w:val="0"/>
                <w:sz w:val="24"/>
              </w:rPr>
            </w:pPr>
            <w:r>
              <w:rPr>
                <w:rFonts w:hint="eastAsia"/>
                <w:kern w:val="0"/>
                <w:sz w:val="24"/>
              </w:rPr>
              <w:t>建设项目位于晋宁工业园区晋城基地规划范围内。根据《云南晋宁工业园区总体规划修编（2012-2030）》，</w:t>
            </w:r>
            <w:r>
              <w:rPr>
                <w:kern w:val="0"/>
                <w:sz w:val="24"/>
              </w:rPr>
              <w:t>晋城基地规划如下：</w:t>
            </w:r>
          </w:p>
          <w:p>
            <w:pPr>
              <w:autoSpaceDE w:val="0"/>
              <w:autoSpaceDN w:val="0"/>
              <w:adjustRightInd w:val="0"/>
              <w:snapToGrid w:val="0"/>
              <w:spacing w:line="360" w:lineRule="auto"/>
              <w:rPr>
                <w:kern w:val="0"/>
                <w:sz w:val="24"/>
              </w:rPr>
            </w:pPr>
            <w:r>
              <w:rPr>
                <w:kern w:val="0"/>
                <w:sz w:val="24"/>
              </w:rPr>
              <w:t>（1）规划期限</w:t>
            </w:r>
          </w:p>
          <w:p>
            <w:pPr>
              <w:autoSpaceDE w:val="0"/>
              <w:autoSpaceDN w:val="0"/>
              <w:adjustRightInd w:val="0"/>
              <w:snapToGrid w:val="0"/>
              <w:spacing w:line="360" w:lineRule="auto"/>
              <w:ind w:firstLine="480" w:firstLineChars="200"/>
              <w:rPr>
                <w:kern w:val="0"/>
                <w:sz w:val="24"/>
              </w:rPr>
            </w:pPr>
            <w:r>
              <w:rPr>
                <w:kern w:val="0"/>
                <w:sz w:val="24"/>
              </w:rPr>
              <w:t>规划期限为2012～2030年，其中现状为2011年，近期规划期限为2012～2015年，中期规划期限为2016～2020年，远期规划期限为2021～2030年。</w:t>
            </w:r>
          </w:p>
          <w:p>
            <w:pPr>
              <w:autoSpaceDE w:val="0"/>
              <w:autoSpaceDN w:val="0"/>
              <w:adjustRightInd w:val="0"/>
              <w:snapToGrid w:val="0"/>
              <w:spacing w:line="360" w:lineRule="auto"/>
              <w:rPr>
                <w:kern w:val="0"/>
                <w:sz w:val="24"/>
              </w:rPr>
            </w:pPr>
            <w:r>
              <w:rPr>
                <w:kern w:val="0"/>
                <w:sz w:val="24"/>
              </w:rPr>
              <w:t>（2）规划范围</w:t>
            </w:r>
          </w:p>
          <w:p>
            <w:pPr>
              <w:autoSpaceDE w:val="0"/>
              <w:autoSpaceDN w:val="0"/>
              <w:adjustRightInd w:val="0"/>
              <w:snapToGrid w:val="0"/>
              <w:spacing w:line="360" w:lineRule="auto"/>
              <w:ind w:firstLine="480" w:firstLineChars="200"/>
              <w:rPr>
                <w:kern w:val="0"/>
                <w:sz w:val="24"/>
              </w:rPr>
            </w:pPr>
            <w:r>
              <w:rPr>
                <w:kern w:val="0"/>
                <w:sz w:val="24"/>
              </w:rPr>
              <w:t>晋宁工业园区包含六个工业基地，本项目所在晋城基地由泛亚家具及汽车装备制造产业园、轨道交通产业园两部分构成。</w:t>
            </w:r>
          </w:p>
          <w:p>
            <w:pPr>
              <w:autoSpaceDE w:val="0"/>
              <w:autoSpaceDN w:val="0"/>
              <w:adjustRightInd w:val="0"/>
              <w:snapToGrid w:val="0"/>
              <w:spacing w:line="360" w:lineRule="auto"/>
              <w:ind w:firstLine="480" w:firstLineChars="200"/>
              <w:rPr>
                <w:kern w:val="0"/>
                <w:sz w:val="24"/>
              </w:rPr>
            </w:pPr>
            <w:r>
              <w:rPr>
                <w:kern w:val="0"/>
                <w:sz w:val="24"/>
              </w:rPr>
              <w:t>泛亚家具及汽车装备制造产业园南起化乐村及东南绕城高速公路，北接新昆明南城，抵昆玉高速公路，东临凤凰山，西临规划中的晋江高速公路。</w:t>
            </w:r>
          </w:p>
          <w:p>
            <w:pPr>
              <w:autoSpaceDE w:val="0"/>
              <w:autoSpaceDN w:val="0"/>
              <w:adjustRightInd w:val="0"/>
              <w:snapToGrid w:val="0"/>
              <w:spacing w:line="360" w:lineRule="auto"/>
              <w:ind w:firstLine="480" w:firstLineChars="200"/>
              <w:rPr>
                <w:kern w:val="0"/>
                <w:sz w:val="24"/>
              </w:rPr>
            </w:pPr>
            <w:r>
              <w:rPr>
                <w:kern w:val="0"/>
                <w:sz w:val="24"/>
              </w:rPr>
              <w:t>轨道交通产业园北至南北大道，南至南城片区规划南外环路，西靠晋城工业品商贸中心，东至本母山。</w:t>
            </w:r>
          </w:p>
          <w:p>
            <w:pPr>
              <w:autoSpaceDE w:val="0"/>
              <w:autoSpaceDN w:val="0"/>
              <w:adjustRightInd w:val="0"/>
              <w:snapToGrid w:val="0"/>
              <w:spacing w:line="360" w:lineRule="auto"/>
              <w:rPr>
                <w:kern w:val="0"/>
                <w:sz w:val="24"/>
              </w:rPr>
            </w:pPr>
            <w:r>
              <w:rPr>
                <w:kern w:val="0"/>
                <w:sz w:val="24"/>
              </w:rPr>
              <w:t>（3）规划规模</w:t>
            </w:r>
          </w:p>
          <w:p>
            <w:pPr>
              <w:autoSpaceDE w:val="0"/>
              <w:autoSpaceDN w:val="0"/>
              <w:adjustRightInd w:val="0"/>
              <w:snapToGrid w:val="0"/>
              <w:spacing w:line="360" w:lineRule="auto"/>
              <w:ind w:firstLine="480" w:firstLineChars="200"/>
              <w:rPr>
                <w:kern w:val="0"/>
                <w:sz w:val="24"/>
              </w:rPr>
            </w:pPr>
            <w:r>
              <w:rPr>
                <w:kern w:val="0"/>
                <w:sz w:val="24"/>
              </w:rPr>
              <w:t>晋城基地规划用地面积为42.39km</w:t>
            </w:r>
            <w:r>
              <w:rPr>
                <w:kern w:val="0"/>
                <w:sz w:val="24"/>
                <w:vertAlign w:val="superscript"/>
              </w:rPr>
              <w:t>2</w:t>
            </w:r>
            <w:r>
              <w:rPr>
                <w:kern w:val="0"/>
                <w:sz w:val="24"/>
              </w:rPr>
              <w:t>。</w:t>
            </w:r>
          </w:p>
          <w:p>
            <w:pPr>
              <w:autoSpaceDE w:val="0"/>
              <w:autoSpaceDN w:val="0"/>
              <w:adjustRightInd w:val="0"/>
              <w:snapToGrid w:val="0"/>
              <w:spacing w:line="360" w:lineRule="auto"/>
              <w:rPr>
                <w:kern w:val="0"/>
                <w:sz w:val="24"/>
              </w:rPr>
            </w:pPr>
            <w:r>
              <w:rPr>
                <w:kern w:val="0"/>
                <w:sz w:val="24"/>
              </w:rPr>
              <w:t>（4）产业结构</w:t>
            </w:r>
          </w:p>
          <w:p>
            <w:pPr>
              <w:autoSpaceDE w:val="0"/>
              <w:autoSpaceDN w:val="0"/>
              <w:adjustRightInd w:val="0"/>
              <w:snapToGrid w:val="0"/>
              <w:spacing w:line="360" w:lineRule="auto"/>
              <w:ind w:firstLine="480" w:firstLineChars="200"/>
              <w:rPr>
                <w:kern w:val="0"/>
                <w:sz w:val="24"/>
              </w:rPr>
            </w:pPr>
            <w:r>
              <w:rPr>
                <w:kern w:val="0"/>
                <w:sz w:val="24"/>
              </w:rPr>
              <w:t>晋宁特色工业园区的产业发展方向为：形成以精细磷化工产业、装备制造产业、有色金属产业为主导产业，以生物资源加工、家具制造、建材产业、商贸物流为辅助和配套产业的格局，重点发展壮大优势产业，改造提升传统产业加快发展新兴产业。</w:t>
            </w:r>
          </w:p>
          <w:p>
            <w:pPr>
              <w:autoSpaceDE w:val="0"/>
              <w:autoSpaceDN w:val="0"/>
              <w:adjustRightInd w:val="0"/>
              <w:snapToGrid w:val="0"/>
              <w:spacing w:line="360" w:lineRule="auto"/>
              <w:ind w:firstLine="480" w:firstLineChars="200"/>
              <w:rPr>
                <w:kern w:val="0"/>
                <w:sz w:val="24"/>
              </w:rPr>
            </w:pPr>
            <w:r>
              <w:rPr>
                <w:kern w:val="0"/>
                <w:sz w:val="24"/>
              </w:rPr>
              <w:t>晋城基地发展方向为：云南省重要的装备制造及相关产业基地。</w:t>
            </w:r>
          </w:p>
          <w:p>
            <w:pPr>
              <w:autoSpaceDE w:val="0"/>
              <w:autoSpaceDN w:val="0"/>
              <w:adjustRightInd w:val="0"/>
              <w:snapToGrid w:val="0"/>
              <w:spacing w:line="360" w:lineRule="auto"/>
              <w:rPr>
                <w:kern w:val="0"/>
                <w:sz w:val="24"/>
              </w:rPr>
            </w:pPr>
            <w:r>
              <w:rPr>
                <w:kern w:val="0"/>
                <w:sz w:val="24"/>
              </w:rPr>
              <w:t>（5）排水规划</w:t>
            </w:r>
          </w:p>
          <w:p>
            <w:pPr>
              <w:autoSpaceDE w:val="0"/>
              <w:autoSpaceDN w:val="0"/>
              <w:adjustRightInd w:val="0"/>
              <w:snapToGrid w:val="0"/>
              <w:spacing w:line="360" w:lineRule="auto"/>
              <w:ind w:firstLine="480" w:firstLineChars="200"/>
              <w:rPr>
                <w:kern w:val="0"/>
                <w:sz w:val="24"/>
              </w:rPr>
            </w:pPr>
            <w:r>
              <w:rPr>
                <w:kern w:val="0"/>
                <w:sz w:val="24"/>
              </w:rPr>
              <w:t>A、晋城基地泛亚家具及汽车装备制造产业园不建污水处理厂，污水与滇池环湖截污统一考虑，该基地的污水排入环湖截污管中。</w:t>
            </w:r>
          </w:p>
          <w:p>
            <w:pPr>
              <w:autoSpaceDE w:val="0"/>
              <w:autoSpaceDN w:val="0"/>
              <w:adjustRightInd w:val="0"/>
              <w:snapToGrid w:val="0"/>
              <w:spacing w:line="360" w:lineRule="auto"/>
              <w:ind w:firstLine="480" w:firstLineChars="200"/>
              <w:rPr>
                <w:kern w:val="0"/>
                <w:sz w:val="24"/>
              </w:rPr>
            </w:pPr>
            <w:r>
              <w:rPr>
                <w:kern w:val="0"/>
                <w:sz w:val="24"/>
              </w:rPr>
              <w:t>B、晋城基地轨道交通产业园按《南城给排水专项规划（2008－2020）》相关规定，基地内排水采用雨污分流排水体制。规划基地整体地势南高北低、东高西低，污水管沿规划道路布设，最终汇于基地北侧规划南北向30m路、站前路及南北大道西段污水干管，基地污水最终经下游市政污水干管排入位于基地西北侧的淤泥河污水处理厂。</w:t>
            </w:r>
          </w:p>
          <w:p>
            <w:pPr>
              <w:autoSpaceDE w:val="0"/>
              <w:autoSpaceDN w:val="0"/>
              <w:adjustRightInd w:val="0"/>
              <w:snapToGrid w:val="0"/>
              <w:spacing w:line="360" w:lineRule="auto"/>
              <w:ind w:firstLine="480" w:firstLineChars="200"/>
              <w:rPr>
                <w:kern w:val="0"/>
                <w:sz w:val="24"/>
              </w:rPr>
            </w:pPr>
            <w:r>
              <w:rPr>
                <w:rFonts w:hint="eastAsia"/>
                <w:kern w:val="0"/>
                <w:sz w:val="24"/>
              </w:rPr>
              <w:t>本项目为城轨装备基地架大修建设项目，建设地位于已建成投产的昆明南车城市轨道车辆有限公司（现昆明中车轨道交通装备有限公司）城轨装备基地</w:t>
            </w:r>
            <w:r>
              <w:rPr>
                <w:kern w:val="0"/>
                <w:sz w:val="24"/>
              </w:rPr>
              <w:t>建设项目占地范围内（总占地面积272666.667㎡），为</w:t>
            </w:r>
            <w:r>
              <w:rPr>
                <w:rFonts w:hint="eastAsia"/>
                <w:kern w:val="0"/>
                <w:sz w:val="24"/>
              </w:rPr>
              <w:t>城轨装备基地</w:t>
            </w:r>
            <w:r>
              <w:rPr>
                <w:kern w:val="0"/>
                <w:sz w:val="24"/>
              </w:rPr>
              <w:t>建设项目规划预留的二期项目；整体项目位于晋城工业基地晋城基地轨道交通产业园。本项目</w:t>
            </w:r>
            <w:r>
              <w:rPr>
                <w:rFonts w:hint="eastAsia"/>
                <w:kern w:val="0"/>
                <w:sz w:val="24"/>
              </w:rPr>
              <w:t>为</w:t>
            </w:r>
            <w:r>
              <w:rPr>
                <w:kern w:val="0"/>
                <w:sz w:val="24"/>
              </w:rPr>
              <w:t>地铁车辆、有轨电车</w:t>
            </w:r>
            <w:r>
              <w:rPr>
                <w:rFonts w:hint="eastAsia"/>
                <w:kern w:val="0"/>
                <w:sz w:val="24"/>
              </w:rPr>
              <w:t>架修</w:t>
            </w:r>
            <w:r>
              <w:rPr>
                <w:kern w:val="0"/>
                <w:sz w:val="24"/>
              </w:rPr>
              <w:t>建设项目</w:t>
            </w:r>
            <w:r>
              <w:rPr>
                <w:rFonts w:hint="eastAsia"/>
                <w:kern w:val="0"/>
                <w:sz w:val="24"/>
              </w:rPr>
              <w:t>，符合晋城基地</w:t>
            </w:r>
            <w:r>
              <w:rPr>
                <w:kern w:val="0"/>
                <w:sz w:val="24"/>
              </w:rPr>
              <w:t>晋城基地轨道交通产业园规划中的装备制造及相关产业发展定位，符合</w:t>
            </w:r>
            <w:r>
              <w:rPr>
                <w:rFonts w:hint="eastAsia"/>
                <w:kern w:val="0"/>
                <w:sz w:val="24"/>
              </w:rPr>
              <w:t>规划功能定位，符合晋宁工业园总体规划产业发展要求。</w:t>
            </w:r>
          </w:p>
          <w:p>
            <w:pPr>
              <w:autoSpaceDE w:val="0"/>
              <w:autoSpaceDN w:val="0"/>
              <w:adjustRightInd w:val="0"/>
              <w:spacing w:line="360" w:lineRule="auto"/>
              <w:ind w:right="105" w:rightChars="50" w:firstLine="240" w:firstLineChars="100"/>
              <w:jc w:val="left"/>
              <w:rPr>
                <w:kern w:val="0"/>
                <w:sz w:val="24"/>
              </w:rPr>
            </w:pPr>
            <w:r>
              <w:rPr>
                <w:rFonts w:hint="eastAsia"/>
                <w:bCs/>
                <w:kern w:val="0"/>
                <w:sz w:val="24"/>
              </w:rPr>
              <w:t>（二）与《云南晋宁工业园区总体规划修编（2012-2030）环境影响报告书》及其审查意见相符性分析</w:t>
            </w:r>
          </w:p>
          <w:p>
            <w:pPr>
              <w:autoSpaceDE w:val="0"/>
              <w:autoSpaceDN w:val="0"/>
              <w:adjustRightInd w:val="0"/>
              <w:spacing w:line="360" w:lineRule="auto"/>
              <w:ind w:left="105" w:leftChars="50" w:right="105" w:rightChars="50" w:firstLine="240" w:firstLineChars="100"/>
              <w:jc w:val="left"/>
              <w:rPr>
                <w:kern w:val="0"/>
                <w:sz w:val="24"/>
              </w:rPr>
            </w:pPr>
            <w:r>
              <w:rPr>
                <w:rFonts w:hint="eastAsia"/>
                <w:kern w:val="0"/>
                <w:sz w:val="24"/>
              </w:rPr>
              <w:t>（1）与《云南晋宁工业园区总体规划修编（2012-2030）环境影响报告书》相符性分析</w:t>
            </w:r>
          </w:p>
          <w:p>
            <w:pPr>
              <w:autoSpaceDE w:val="0"/>
              <w:autoSpaceDN w:val="0"/>
              <w:adjustRightInd w:val="0"/>
              <w:spacing w:line="360" w:lineRule="auto"/>
              <w:ind w:left="105" w:leftChars="50" w:right="105" w:rightChars="50" w:firstLine="240" w:firstLineChars="100"/>
              <w:jc w:val="left"/>
              <w:rPr>
                <w:kern w:val="0"/>
                <w:sz w:val="24"/>
              </w:rPr>
            </w:pPr>
            <w:r>
              <w:rPr>
                <w:rFonts w:hint="eastAsia"/>
                <w:kern w:val="0"/>
                <w:sz w:val="24"/>
              </w:rPr>
              <w:t>根据《云南晋宁工业园区总体规划修编（2012-2030）环境影响报告书》（以下简称“规划环评”）提出的入园要求、原则等，相符性分析详情见表1-1。</w:t>
            </w:r>
          </w:p>
          <w:p>
            <w:pPr>
              <w:autoSpaceDE w:val="0"/>
              <w:autoSpaceDN w:val="0"/>
              <w:adjustRightInd w:val="0"/>
              <w:ind w:left="105" w:leftChars="50" w:right="105" w:rightChars="50" w:firstLine="422" w:firstLineChars="200"/>
              <w:jc w:val="center"/>
              <w:rPr>
                <w:b/>
                <w:bCs/>
                <w:kern w:val="0"/>
                <w:szCs w:val="21"/>
              </w:rPr>
            </w:pPr>
            <w:r>
              <w:rPr>
                <w:rFonts w:hint="eastAsia"/>
                <w:b/>
                <w:bCs/>
                <w:kern w:val="0"/>
                <w:szCs w:val="21"/>
              </w:rPr>
              <w:t>表1-1</w:t>
            </w:r>
            <w:r>
              <w:rPr>
                <w:b/>
                <w:bCs/>
                <w:kern w:val="0"/>
                <w:szCs w:val="21"/>
              </w:rPr>
              <w:t xml:space="preserve">    </w:t>
            </w:r>
            <w:r>
              <w:rPr>
                <w:rFonts w:hint="eastAsia"/>
                <w:b/>
                <w:bCs/>
                <w:kern w:val="0"/>
                <w:szCs w:val="21"/>
              </w:rPr>
              <w:t>与规划环评规划相符性分析一览表</w:t>
            </w:r>
          </w:p>
          <w:tbl>
            <w:tblPr>
              <w:tblStyle w:val="44"/>
              <w:tblW w:w="62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662"/>
              <w:gridCol w:w="3089"/>
              <w:gridCol w:w="1436"/>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406" w:type="dxa"/>
                  <w:vAlign w:val="center"/>
                </w:tcPr>
                <w:p>
                  <w:pPr>
                    <w:autoSpaceDE w:val="0"/>
                    <w:autoSpaceDN w:val="0"/>
                    <w:adjustRightInd w:val="0"/>
                    <w:jc w:val="center"/>
                    <w:rPr>
                      <w:b/>
                      <w:bCs/>
                      <w:kern w:val="0"/>
                      <w:szCs w:val="21"/>
                    </w:rPr>
                  </w:pPr>
                  <w:r>
                    <w:rPr>
                      <w:b/>
                      <w:bCs/>
                      <w:kern w:val="0"/>
                      <w:szCs w:val="21"/>
                    </w:rPr>
                    <w:t>序号</w:t>
                  </w:r>
                </w:p>
              </w:tc>
              <w:tc>
                <w:tcPr>
                  <w:tcW w:w="662" w:type="dxa"/>
                  <w:vAlign w:val="center"/>
                </w:tcPr>
                <w:p>
                  <w:pPr>
                    <w:autoSpaceDE w:val="0"/>
                    <w:autoSpaceDN w:val="0"/>
                    <w:adjustRightInd w:val="0"/>
                    <w:jc w:val="center"/>
                    <w:rPr>
                      <w:b/>
                      <w:bCs/>
                      <w:kern w:val="0"/>
                      <w:szCs w:val="21"/>
                    </w:rPr>
                  </w:pPr>
                  <w:r>
                    <w:rPr>
                      <w:b/>
                      <w:bCs/>
                      <w:kern w:val="0"/>
                      <w:szCs w:val="21"/>
                    </w:rPr>
                    <w:t>项目</w:t>
                  </w:r>
                </w:p>
              </w:tc>
              <w:tc>
                <w:tcPr>
                  <w:tcW w:w="3089" w:type="dxa"/>
                  <w:vAlign w:val="center"/>
                </w:tcPr>
                <w:p>
                  <w:pPr>
                    <w:autoSpaceDE w:val="0"/>
                    <w:autoSpaceDN w:val="0"/>
                    <w:adjustRightInd w:val="0"/>
                    <w:jc w:val="center"/>
                    <w:rPr>
                      <w:b/>
                      <w:bCs/>
                      <w:kern w:val="0"/>
                      <w:szCs w:val="21"/>
                    </w:rPr>
                  </w:pPr>
                  <w:r>
                    <w:rPr>
                      <w:b/>
                      <w:bCs/>
                      <w:kern w:val="0"/>
                      <w:szCs w:val="21"/>
                    </w:rPr>
                    <w:t>晋宁园区规划</w:t>
                  </w:r>
                </w:p>
              </w:tc>
              <w:tc>
                <w:tcPr>
                  <w:tcW w:w="1436" w:type="dxa"/>
                  <w:vAlign w:val="center"/>
                </w:tcPr>
                <w:p>
                  <w:pPr>
                    <w:autoSpaceDE w:val="0"/>
                    <w:autoSpaceDN w:val="0"/>
                    <w:adjustRightInd w:val="0"/>
                    <w:jc w:val="center"/>
                    <w:rPr>
                      <w:b/>
                      <w:bCs/>
                      <w:kern w:val="0"/>
                      <w:szCs w:val="21"/>
                    </w:rPr>
                  </w:pPr>
                  <w:r>
                    <w:rPr>
                      <w:b/>
                      <w:bCs/>
                      <w:kern w:val="0"/>
                      <w:szCs w:val="21"/>
                    </w:rPr>
                    <w:t>项目建设情况</w:t>
                  </w:r>
                </w:p>
              </w:tc>
              <w:tc>
                <w:tcPr>
                  <w:tcW w:w="670" w:type="dxa"/>
                  <w:vAlign w:val="center"/>
                </w:tcPr>
                <w:p>
                  <w:pPr>
                    <w:autoSpaceDE w:val="0"/>
                    <w:autoSpaceDN w:val="0"/>
                    <w:adjustRightInd w:val="0"/>
                    <w:jc w:val="center"/>
                    <w:rPr>
                      <w:b/>
                      <w:bCs/>
                      <w:kern w:val="0"/>
                      <w:szCs w:val="21"/>
                    </w:rPr>
                  </w:pPr>
                  <w:r>
                    <w:rPr>
                      <w:b/>
                      <w:bCs/>
                      <w:kern w:val="0"/>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trPr>
              <w:tc>
                <w:tcPr>
                  <w:tcW w:w="406" w:type="dxa"/>
                  <w:vAlign w:val="center"/>
                </w:tcPr>
                <w:p>
                  <w:pPr>
                    <w:autoSpaceDE w:val="0"/>
                    <w:autoSpaceDN w:val="0"/>
                    <w:adjustRightInd w:val="0"/>
                    <w:jc w:val="center"/>
                    <w:rPr>
                      <w:kern w:val="0"/>
                      <w:szCs w:val="21"/>
                    </w:rPr>
                  </w:pPr>
                  <w:r>
                    <w:rPr>
                      <w:kern w:val="0"/>
                      <w:szCs w:val="21"/>
                    </w:rPr>
                    <w:t>1</w:t>
                  </w:r>
                </w:p>
              </w:tc>
              <w:tc>
                <w:tcPr>
                  <w:tcW w:w="662" w:type="dxa"/>
                  <w:vAlign w:val="center"/>
                </w:tcPr>
                <w:p>
                  <w:pPr>
                    <w:autoSpaceDE w:val="0"/>
                    <w:autoSpaceDN w:val="0"/>
                    <w:adjustRightInd w:val="0"/>
                    <w:jc w:val="center"/>
                    <w:rPr>
                      <w:kern w:val="0"/>
                      <w:szCs w:val="21"/>
                    </w:rPr>
                  </w:pPr>
                  <w:r>
                    <w:rPr>
                      <w:kern w:val="0"/>
                      <w:szCs w:val="21"/>
                    </w:rPr>
                    <w:t>园区禁止入驻企业</w:t>
                  </w:r>
                </w:p>
              </w:tc>
              <w:tc>
                <w:tcPr>
                  <w:tcW w:w="3089" w:type="dxa"/>
                  <w:vAlign w:val="center"/>
                </w:tcPr>
                <w:p>
                  <w:pPr>
                    <w:autoSpaceDE w:val="0"/>
                    <w:autoSpaceDN w:val="0"/>
                    <w:adjustRightInd w:val="0"/>
                    <w:jc w:val="left"/>
                    <w:rPr>
                      <w:kern w:val="0"/>
                      <w:szCs w:val="21"/>
                    </w:rPr>
                  </w:pPr>
                  <w:r>
                    <w:rPr>
                      <w:kern w:val="0"/>
                      <w:szCs w:val="21"/>
                    </w:rPr>
                    <w:t>规划实施过程中应严格执行《云南省滇池保护条例》相关规定，禁止建设造纸、制革、印染、染料、炼焦、炼硫、炼砷、炼油、炼汞、电镀、化肥、农药、石棉、水泥、玻璃、冶金、火电以及其他严重污染环境的生产项目。</w:t>
                  </w:r>
                </w:p>
              </w:tc>
              <w:tc>
                <w:tcPr>
                  <w:tcW w:w="1436" w:type="dxa"/>
                  <w:vAlign w:val="center"/>
                </w:tcPr>
                <w:p>
                  <w:pPr>
                    <w:autoSpaceDE w:val="0"/>
                    <w:autoSpaceDN w:val="0"/>
                    <w:adjustRightInd w:val="0"/>
                    <w:jc w:val="center"/>
                    <w:rPr>
                      <w:kern w:val="0"/>
                      <w:szCs w:val="21"/>
                    </w:rPr>
                  </w:pPr>
                  <w:r>
                    <w:rPr>
                      <w:kern w:val="0"/>
                      <w:szCs w:val="21"/>
                    </w:rPr>
                    <w:t>该项目行业类别为</w:t>
                  </w:r>
                  <w:r>
                    <w:rPr>
                      <w:rFonts w:hint="eastAsia"/>
                      <w:kern w:val="0"/>
                      <w:szCs w:val="21"/>
                    </w:rPr>
                    <w:t>铁路、船舶、航空航天等运输设备修理</w:t>
                  </w:r>
                  <w:r>
                    <w:rPr>
                      <w:kern w:val="0"/>
                      <w:szCs w:val="21"/>
                    </w:rPr>
                    <w:t>，不属于规划禁止建设的项目。</w:t>
                  </w:r>
                </w:p>
              </w:tc>
              <w:tc>
                <w:tcPr>
                  <w:tcW w:w="670" w:type="dxa"/>
                  <w:vAlign w:val="center"/>
                </w:tcPr>
                <w:p>
                  <w:pPr>
                    <w:autoSpaceDE w:val="0"/>
                    <w:autoSpaceDN w:val="0"/>
                    <w:adjustRightInd w:val="0"/>
                    <w:jc w:val="center"/>
                    <w:rPr>
                      <w:kern w:val="0"/>
                      <w:szCs w:val="21"/>
                    </w:rPr>
                  </w:pPr>
                  <w:r>
                    <w:rPr>
                      <w:kern w:val="0"/>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trPr>
              <w:tc>
                <w:tcPr>
                  <w:tcW w:w="406" w:type="dxa"/>
                  <w:vAlign w:val="center"/>
                </w:tcPr>
                <w:p>
                  <w:pPr>
                    <w:autoSpaceDE w:val="0"/>
                    <w:autoSpaceDN w:val="0"/>
                    <w:adjustRightInd w:val="0"/>
                    <w:jc w:val="center"/>
                    <w:rPr>
                      <w:kern w:val="0"/>
                      <w:szCs w:val="21"/>
                    </w:rPr>
                  </w:pPr>
                  <w:r>
                    <w:rPr>
                      <w:kern w:val="0"/>
                      <w:szCs w:val="21"/>
                    </w:rPr>
                    <w:t>2</w:t>
                  </w:r>
                </w:p>
              </w:tc>
              <w:tc>
                <w:tcPr>
                  <w:tcW w:w="662" w:type="dxa"/>
                  <w:vAlign w:val="center"/>
                </w:tcPr>
                <w:p>
                  <w:pPr>
                    <w:autoSpaceDE w:val="0"/>
                    <w:autoSpaceDN w:val="0"/>
                    <w:adjustRightInd w:val="0"/>
                    <w:jc w:val="center"/>
                    <w:rPr>
                      <w:kern w:val="0"/>
                      <w:szCs w:val="21"/>
                    </w:rPr>
                  </w:pPr>
                  <w:r>
                    <w:rPr>
                      <w:kern w:val="0"/>
                      <w:szCs w:val="21"/>
                    </w:rPr>
                    <w:t>水环境保护</w:t>
                  </w:r>
                </w:p>
              </w:tc>
              <w:tc>
                <w:tcPr>
                  <w:tcW w:w="3089" w:type="dxa"/>
                  <w:vAlign w:val="center"/>
                </w:tcPr>
                <w:p>
                  <w:pPr>
                    <w:autoSpaceDE w:val="0"/>
                    <w:autoSpaceDN w:val="0"/>
                    <w:adjustRightInd w:val="0"/>
                    <w:jc w:val="left"/>
                    <w:rPr>
                      <w:kern w:val="0"/>
                      <w:szCs w:val="21"/>
                    </w:rPr>
                  </w:pPr>
                  <w:r>
                    <w:rPr>
                      <w:kern w:val="0"/>
                      <w:szCs w:val="21"/>
                    </w:rPr>
                    <w:t>在古城河、大河、柴河和东大河等入滇河流两侧外延50m不得进行园区建设。</w:t>
                  </w:r>
                </w:p>
              </w:tc>
              <w:tc>
                <w:tcPr>
                  <w:tcW w:w="1436" w:type="dxa"/>
                  <w:vAlign w:val="center"/>
                </w:tcPr>
                <w:p>
                  <w:pPr>
                    <w:autoSpaceDE w:val="0"/>
                    <w:autoSpaceDN w:val="0"/>
                    <w:adjustRightInd w:val="0"/>
                    <w:jc w:val="center"/>
                    <w:rPr>
                      <w:kern w:val="0"/>
                      <w:szCs w:val="21"/>
                    </w:rPr>
                  </w:pPr>
                  <w:r>
                    <w:rPr>
                      <w:kern w:val="0"/>
                      <w:szCs w:val="21"/>
                    </w:rPr>
                    <w:t>项目不在河流两侧外延50m内</w:t>
                  </w:r>
                </w:p>
              </w:tc>
              <w:tc>
                <w:tcPr>
                  <w:tcW w:w="670" w:type="dxa"/>
                  <w:vAlign w:val="center"/>
                </w:tcPr>
                <w:p>
                  <w:pPr>
                    <w:autoSpaceDE w:val="0"/>
                    <w:autoSpaceDN w:val="0"/>
                    <w:adjustRightInd w:val="0"/>
                    <w:jc w:val="center"/>
                    <w:rPr>
                      <w:kern w:val="0"/>
                      <w:szCs w:val="21"/>
                    </w:rPr>
                  </w:pPr>
                  <w:r>
                    <w:rPr>
                      <w:kern w:val="0"/>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trPr>
              <w:tc>
                <w:tcPr>
                  <w:tcW w:w="406" w:type="dxa"/>
                  <w:vAlign w:val="center"/>
                </w:tcPr>
                <w:p>
                  <w:pPr>
                    <w:autoSpaceDE w:val="0"/>
                    <w:autoSpaceDN w:val="0"/>
                    <w:adjustRightInd w:val="0"/>
                    <w:jc w:val="center"/>
                    <w:rPr>
                      <w:kern w:val="0"/>
                      <w:szCs w:val="21"/>
                    </w:rPr>
                  </w:pPr>
                  <w:r>
                    <w:rPr>
                      <w:kern w:val="0"/>
                      <w:szCs w:val="21"/>
                    </w:rPr>
                    <w:t>3</w:t>
                  </w:r>
                </w:p>
              </w:tc>
              <w:tc>
                <w:tcPr>
                  <w:tcW w:w="662" w:type="dxa"/>
                  <w:vAlign w:val="center"/>
                </w:tcPr>
                <w:p>
                  <w:pPr>
                    <w:autoSpaceDE w:val="0"/>
                    <w:autoSpaceDN w:val="0"/>
                    <w:adjustRightInd w:val="0"/>
                    <w:jc w:val="center"/>
                    <w:rPr>
                      <w:kern w:val="0"/>
                      <w:szCs w:val="21"/>
                    </w:rPr>
                  </w:pPr>
                  <w:r>
                    <w:rPr>
                      <w:kern w:val="0"/>
                      <w:szCs w:val="21"/>
                    </w:rPr>
                    <w:t>大气环境保护</w:t>
                  </w:r>
                </w:p>
              </w:tc>
              <w:tc>
                <w:tcPr>
                  <w:tcW w:w="3089" w:type="dxa"/>
                  <w:vAlign w:val="center"/>
                </w:tcPr>
                <w:p>
                  <w:pPr>
                    <w:autoSpaceDE w:val="0"/>
                    <w:autoSpaceDN w:val="0"/>
                    <w:adjustRightInd w:val="0"/>
                    <w:jc w:val="left"/>
                    <w:rPr>
                      <w:kern w:val="0"/>
                      <w:szCs w:val="21"/>
                    </w:rPr>
                  </w:pPr>
                  <w:r>
                    <w:rPr>
                      <w:kern w:val="0"/>
                      <w:szCs w:val="21"/>
                    </w:rPr>
                    <w:t>园区应与城镇发展规划、园内村庄搬迁及园内现有村庄保持必要的环境防护距离，入园企业应严格按照建设项目环境影响评价文件明确的环境防护距离要求进行选址，防止对保留村庄的环境污染影响。</w:t>
                  </w:r>
                </w:p>
              </w:tc>
              <w:tc>
                <w:tcPr>
                  <w:tcW w:w="1436" w:type="dxa"/>
                  <w:vAlign w:val="center"/>
                </w:tcPr>
                <w:p>
                  <w:pPr>
                    <w:autoSpaceDE w:val="0"/>
                    <w:autoSpaceDN w:val="0"/>
                    <w:adjustRightInd w:val="0"/>
                    <w:jc w:val="center"/>
                    <w:rPr>
                      <w:kern w:val="0"/>
                      <w:szCs w:val="21"/>
                    </w:rPr>
                  </w:pPr>
                  <w:r>
                    <w:rPr>
                      <w:kern w:val="0"/>
                      <w:szCs w:val="21"/>
                    </w:rPr>
                    <w:t>项目与现有村庄满足环境防护距离要求。</w:t>
                  </w:r>
                </w:p>
              </w:tc>
              <w:tc>
                <w:tcPr>
                  <w:tcW w:w="670" w:type="dxa"/>
                  <w:vAlign w:val="center"/>
                </w:tcPr>
                <w:p>
                  <w:pPr>
                    <w:autoSpaceDE w:val="0"/>
                    <w:autoSpaceDN w:val="0"/>
                    <w:adjustRightInd w:val="0"/>
                    <w:jc w:val="center"/>
                    <w:rPr>
                      <w:kern w:val="0"/>
                      <w:szCs w:val="21"/>
                    </w:rPr>
                  </w:pPr>
                  <w:r>
                    <w:rPr>
                      <w:kern w:val="0"/>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trPr>
              <w:tc>
                <w:tcPr>
                  <w:tcW w:w="406" w:type="dxa"/>
                  <w:vAlign w:val="center"/>
                </w:tcPr>
                <w:p>
                  <w:pPr>
                    <w:autoSpaceDE w:val="0"/>
                    <w:autoSpaceDN w:val="0"/>
                    <w:adjustRightInd w:val="0"/>
                    <w:jc w:val="center"/>
                    <w:rPr>
                      <w:kern w:val="0"/>
                      <w:szCs w:val="21"/>
                    </w:rPr>
                  </w:pPr>
                  <w:r>
                    <w:rPr>
                      <w:kern w:val="0"/>
                      <w:szCs w:val="21"/>
                    </w:rPr>
                    <w:t>4</w:t>
                  </w:r>
                </w:p>
              </w:tc>
              <w:tc>
                <w:tcPr>
                  <w:tcW w:w="662" w:type="dxa"/>
                  <w:vAlign w:val="center"/>
                </w:tcPr>
                <w:p>
                  <w:pPr>
                    <w:autoSpaceDE w:val="0"/>
                    <w:autoSpaceDN w:val="0"/>
                    <w:adjustRightInd w:val="0"/>
                    <w:jc w:val="center"/>
                    <w:rPr>
                      <w:kern w:val="0"/>
                      <w:szCs w:val="21"/>
                    </w:rPr>
                  </w:pPr>
                  <w:r>
                    <w:rPr>
                      <w:kern w:val="0"/>
                      <w:szCs w:val="21"/>
                    </w:rPr>
                    <w:t>固体废弃物处置</w:t>
                  </w:r>
                </w:p>
              </w:tc>
              <w:tc>
                <w:tcPr>
                  <w:tcW w:w="3089" w:type="dxa"/>
                  <w:vAlign w:val="center"/>
                </w:tcPr>
                <w:p>
                  <w:pPr>
                    <w:autoSpaceDE w:val="0"/>
                    <w:autoSpaceDN w:val="0"/>
                    <w:adjustRightInd w:val="0"/>
                    <w:jc w:val="left"/>
                    <w:rPr>
                      <w:kern w:val="0"/>
                      <w:szCs w:val="21"/>
                    </w:rPr>
                  </w:pPr>
                  <w:r>
                    <w:rPr>
                      <w:kern w:val="0"/>
                      <w:szCs w:val="21"/>
                    </w:rPr>
                    <w:t>园区应加强管理，要求企业自身提高固废回收利用率，同时合理引入下游产业将固体废物充分综合利用，尽量将园区工业固体废物资源化和减量化。</w:t>
                  </w:r>
                </w:p>
              </w:tc>
              <w:tc>
                <w:tcPr>
                  <w:tcW w:w="1436" w:type="dxa"/>
                  <w:vAlign w:val="center"/>
                </w:tcPr>
                <w:p>
                  <w:pPr>
                    <w:autoSpaceDE w:val="0"/>
                    <w:autoSpaceDN w:val="0"/>
                    <w:adjustRightInd w:val="0"/>
                    <w:jc w:val="center"/>
                    <w:rPr>
                      <w:kern w:val="0"/>
                      <w:szCs w:val="21"/>
                    </w:rPr>
                  </w:pPr>
                  <w:r>
                    <w:rPr>
                      <w:kern w:val="0"/>
                      <w:szCs w:val="21"/>
                    </w:rPr>
                    <w:t>项目生产固废均得到妥善处理，对周围环境无大的影响。</w:t>
                  </w:r>
                </w:p>
              </w:tc>
              <w:tc>
                <w:tcPr>
                  <w:tcW w:w="670" w:type="dxa"/>
                  <w:vAlign w:val="center"/>
                </w:tcPr>
                <w:p>
                  <w:pPr>
                    <w:autoSpaceDE w:val="0"/>
                    <w:autoSpaceDN w:val="0"/>
                    <w:adjustRightIn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trPr>
              <w:tc>
                <w:tcPr>
                  <w:tcW w:w="406" w:type="dxa"/>
                  <w:vAlign w:val="center"/>
                </w:tcPr>
                <w:p>
                  <w:pPr>
                    <w:autoSpaceDE w:val="0"/>
                    <w:autoSpaceDN w:val="0"/>
                    <w:adjustRightInd w:val="0"/>
                    <w:jc w:val="center"/>
                    <w:rPr>
                      <w:kern w:val="0"/>
                      <w:szCs w:val="21"/>
                    </w:rPr>
                  </w:pPr>
                  <w:r>
                    <w:rPr>
                      <w:kern w:val="0"/>
                      <w:szCs w:val="21"/>
                    </w:rPr>
                    <w:t>5</w:t>
                  </w:r>
                </w:p>
              </w:tc>
              <w:tc>
                <w:tcPr>
                  <w:tcW w:w="662" w:type="dxa"/>
                  <w:vAlign w:val="center"/>
                </w:tcPr>
                <w:p>
                  <w:pPr>
                    <w:autoSpaceDE w:val="0"/>
                    <w:autoSpaceDN w:val="0"/>
                    <w:adjustRightInd w:val="0"/>
                    <w:jc w:val="center"/>
                    <w:rPr>
                      <w:kern w:val="0"/>
                      <w:szCs w:val="21"/>
                    </w:rPr>
                  </w:pPr>
                  <w:r>
                    <w:rPr>
                      <w:kern w:val="0"/>
                      <w:szCs w:val="21"/>
                    </w:rPr>
                    <w:t>环境准入和现有企业整治</w:t>
                  </w:r>
                </w:p>
              </w:tc>
              <w:tc>
                <w:tcPr>
                  <w:tcW w:w="3089" w:type="dxa"/>
                  <w:vAlign w:val="center"/>
                </w:tcPr>
                <w:p>
                  <w:pPr>
                    <w:autoSpaceDE w:val="0"/>
                    <w:autoSpaceDN w:val="0"/>
                    <w:adjustRightInd w:val="0"/>
                    <w:jc w:val="left"/>
                    <w:rPr>
                      <w:kern w:val="0"/>
                      <w:szCs w:val="21"/>
                    </w:rPr>
                  </w:pPr>
                  <w:r>
                    <w:rPr>
                      <w:kern w:val="0"/>
                      <w:szCs w:val="21"/>
                    </w:rPr>
                    <w:t>与园区规划功能不相符的现有企业不得再行扩建或技改，实行逐步淘汰或转移到与规划相符的相关基地范围内。加快淘汰晋宁县域内不符合产业政策和落后产能的企业，为新入园企业建设腾出环境容量和主要污染物排放总量指标。制定并尽快实施不符合园区功能和布局要求企业的搬迁计划。</w:t>
                  </w:r>
                </w:p>
              </w:tc>
              <w:tc>
                <w:tcPr>
                  <w:tcW w:w="1436" w:type="dxa"/>
                  <w:vAlign w:val="center"/>
                </w:tcPr>
                <w:p>
                  <w:pPr>
                    <w:autoSpaceDE w:val="0"/>
                    <w:autoSpaceDN w:val="0"/>
                    <w:adjustRightInd w:val="0"/>
                    <w:jc w:val="center"/>
                    <w:rPr>
                      <w:kern w:val="0"/>
                      <w:szCs w:val="21"/>
                    </w:rPr>
                  </w:pPr>
                  <w:r>
                    <w:rPr>
                      <w:kern w:val="0"/>
                      <w:szCs w:val="21"/>
                    </w:rPr>
                    <w:t>项目不属于《产业结构调整指导目录（2019年本）》</w:t>
                  </w:r>
                  <w:r>
                    <w:rPr>
                      <w:rFonts w:hint="eastAsia"/>
                      <w:kern w:val="0"/>
                      <w:szCs w:val="21"/>
                    </w:rPr>
                    <w:t>中</w:t>
                  </w:r>
                  <w:r>
                    <w:rPr>
                      <w:kern w:val="0"/>
                      <w:szCs w:val="21"/>
                    </w:rPr>
                    <w:t>淘汰、限制类。符合国家当前的产业政策。</w:t>
                  </w:r>
                </w:p>
              </w:tc>
              <w:tc>
                <w:tcPr>
                  <w:tcW w:w="670" w:type="dxa"/>
                  <w:vAlign w:val="center"/>
                </w:tcPr>
                <w:p>
                  <w:pPr>
                    <w:autoSpaceDE w:val="0"/>
                    <w:autoSpaceDN w:val="0"/>
                    <w:adjustRightInd w:val="0"/>
                    <w:jc w:val="center"/>
                    <w:rPr>
                      <w:kern w:val="0"/>
                      <w:szCs w:val="21"/>
                    </w:rPr>
                  </w:pPr>
                  <w:r>
                    <w:rPr>
                      <w:kern w:val="0"/>
                      <w:szCs w:val="21"/>
                    </w:rPr>
                    <w:t>符合</w:t>
                  </w:r>
                </w:p>
              </w:tc>
            </w:tr>
          </w:tbl>
          <w:p>
            <w:pPr>
              <w:autoSpaceDE w:val="0"/>
              <w:autoSpaceDN w:val="0"/>
              <w:adjustRightInd w:val="0"/>
              <w:spacing w:line="360" w:lineRule="auto"/>
              <w:ind w:left="105" w:leftChars="50" w:right="105" w:rightChars="50" w:firstLine="240" w:firstLineChars="100"/>
              <w:jc w:val="left"/>
              <w:rPr>
                <w:kern w:val="0"/>
                <w:sz w:val="24"/>
              </w:rPr>
            </w:pPr>
            <w:r>
              <w:rPr>
                <w:rFonts w:hint="eastAsia"/>
                <w:kern w:val="0"/>
                <w:sz w:val="24"/>
              </w:rPr>
              <w:t>根据上表分析，建设项目符合《云南晋宁工业园区总体规划修编（2012-2030）环境影响报告书》规划原则。</w:t>
            </w:r>
          </w:p>
          <w:p>
            <w:pPr>
              <w:autoSpaceDE w:val="0"/>
              <w:autoSpaceDN w:val="0"/>
              <w:adjustRightInd w:val="0"/>
              <w:spacing w:line="360" w:lineRule="auto"/>
              <w:ind w:right="105" w:rightChars="50" w:firstLine="240" w:firstLineChars="100"/>
              <w:jc w:val="left"/>
              <w:rPr>
                <w:kern w:val="0"/>
                <w:sz w:val="24"/>
              </w:rPr>
            </w:pPr>
            <w:r>
              <w:rPr>
                <w:rFonts w:hint="eastAsia"/>
                <w:kern w:val="0"/>
                <w:sz w:val="24"/>
              </w:rPr>
              <w:t>建设项目与规划环评提出的入驻项目环保要求相符性分析见表1-2。</w:t>
            </w:r>
          </w:p>
          <w:p>
            <w:pPr>
              <w:autoSpaceDE w:val="0"/>
              <w:autoSpaceDN w:val="0"/>
              <w:adjustRightInd w:val="0"/>
              <w:ind w:left="105" w:leftChars="50" w:right="105" w:rightChars="50" w:firstLine="422" w:firstLineChars="200"/>
              <w:jc w:val="center"/>
              <w:rPr>
                <w:b/>
                <w:bCs/>
                <w:kern w:val="0"/>
                <w:szCs w:val="21"/>
              </w:rPr>
            </w:pPr>
            <w:r>
              <w:rPr>
                <w:rFonts w:hint="eastAsia"/>
                <w:b/>
                <w:bCs/>
                <w:kern w:val="0"/>
                <w:szCs w:val="21"/>
              </w:rPr>
              <w:t>表1-2</w:t>
            </w:r>
            <w:r>
              <w:rPr>
                <w:b/>
                <w:bCs/>
                <w:kern w:val="0"/>
                <w:szCs w:val="21"/>
              </w:rPr>
              <w:t xml:space="preserve">    </w:t>
            </w:r>
            <w:r>
              <w:rPr>
                <w:rFonts w:hint="eastAsia"/>
                <w:b/>
                <w:bCs/>
                <w:kern w:val="0"/>
                <w:szCs w:val="21"/>
              </w:rPr>
              <w:t>与规划环评环保要求相符性分析一览表</w:t>
            </w:r>
          </w:p>
          <w:tbl>
            <w:tblPr>
              <w:tblStyle w:val="45"/>
              <w:tblW w:w="66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2748"/>
              <w:gridCol w:w="2560"/>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568" w:type="dxa"/>
                  <w:vAlign w:val="center"/>
                </w:tcPr>
                <w:p>
                  <w:pPr>
                    <w:autoSpaceDE w:val="0"/>
                    <w:autoSpaceDN w:val="0"/>
                    <w:adjustRightInd w:val="0"/>
                    <w:ind w:left="105" w:leftChars="50" w:right="105" w:rightChars="50"/>
                    <w:jc w:val="center"/>
                    <w:rPr>
                      <w:b/>
                      <w:bCs/>
                      <w:kern w:val="0"/>
                      <w:szCs w:val="21"/>
                    </w:rPr>
                  </w:pPr>
                  <w:r>
                    <w:rPr>
                      <w:rFonts w:hint="eastAsia"/>
                      <w:b/>
                      <w:bCs/>
                      <w:kern w:val="0"/>
                      <w:szCs w:val="21"/>
                    </w:rPr>
                    <w:t>序号</w:t>
                  </w:r>
                </w:p>
              </w:tc>
              <w:tc>
                <w:tcPr>
                  <w:tcW w:w="2748" w:type="dxa"/>
                  <w:vAlign w:val="center"/>
                </w:tcPr>
                <w:p>
                  <w:pPr>
                    <w:autoSpaceDE w:val="0"/>
                    <w:autoSpaceDN w:val="0"/>
                    <w:adjustRightInd w:val="0"/>
                    <w:ind w:left="105" w:leftChars="50" w:right="105" w:rightChars="50"/>
                    <w:jc w:val="center"/>
                    <w:rPr>
                      <w:b/>
                      <w:bCs/>
                      <w:kern w:val="0"/>
                      <w:szCs w:val="21"/>
                    </w:rPr>
                  </w:pPr>
                  <w:r>
                    <w:rPr>
                      <w:rFonts w:hint="eastAsia"/>
                      <w:b/>
                      <w:bCs/>
                      <w:kern w:val="0"/>
                      <w:szCs w:val="21"/>
                    </w:rPr>
                    <w:t>环保要求</w:t>
                  </w:r>
                </w:p>
              </w:tc>
              <w:tc>
                <w:tcPr>
                  <w:tcW w:w="2560" w:type="dxa"/>
                  <w:vAlign w:val="center"/>
                </w:tcPr>
                <w:p>
                  <w:pPr>
                    <w:autoSpaceDE w:val="0"/>
                    <w:autoSpaceDN w:val="0"/>
                    <w:adjustRightInd w:val="0"/>
                    <w:ind w:left="105" w:leftChars="50" w:right="105" w:rightChars="50"/>
                    <w:jc w:val="center"/>
                    <w:rPr>
                      <w:b/>
                      <w:bCs/>
                      <w:kern w:val="0"/>
                      <w:szCs w:val="21"/>
                    </w:rPr>
                  </w:pPr>
                  <w:r>
                    <w:rPr>
                      <w:rFonts w:hint="eastAsia"/>
                      <w:b/>
                      <w:bCs/>
                      <w:kern w:val="0"/>
                      <w:szCs w:val="21"/>
                    </w:rPr>
                    <w:t>建设情况</w:t>
                  </w:r>
                </w:p>
              </w:tc>
              <w:tc>
                <w:tcPr>
                  <w:tcW w:w="744" w:type="dxa"/>
                  <w:vAlign w:val="center"/>
                </w:tcPr>
                <w:p>
                  <w:pPr>
                    <w:autoSpaceDE w:val="0"/>
                    <w:autoSpaceDN w:val="0"/>
                    <w:adjustRightInd w:val="0"/>
                    <w:ind w:left="105" w:leftChars="50" w:right="105" w:rightChars="50"/>
                    <w:jc w:val="center"/>
                    <w:rPr>
                      <w:b/>
                      <w:bCs/>
                      <w:kern w:val="0"/>
                      <w:szCs w:val="21"/>
                    </w:rPr>
                  </w:pPr>
                  <w:r>
                    <w:rPr>
                      <w:rFonts w:hint="eastAsia"/>
                      <w:b/>
                      <w:bCs/>
                      <w:kern w:val="0"/>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568" w:type="dxa"/>
                  <w:vAlign w:val="center"/>
                </w:tcPr>
                <w:p>
                  <w:pPr>
                    <w:autoSpaceDE w:val="0"/>
                    <w:autoSpaceDN w:val="0"/>
                    <w:adjustRightInd w:val="0"/>
                    <w:ind w:left="105" w:leftChars="50" w:right="105" w:rightChars="50"/>
                    <w:jc w:val="center"/>
                    <w:rPr>
                      <w:kern w:val="0"/>
                      <w:szCs w:val="21"/>
                    </w:rPr>
                  </w:pPr>
                  <w:r>
                    <w:rPr>
                      <w:rFonts w:hint="eastAsia"/>
                      <w:kern w:val="0"/>
                      <w:szCs w:val="21"/>
                    </w:rPr>
                    <w:t>1</w:t>
                  </w:r>
                </w:p>
              </w:tc>
              <w:tc>
                <w:tcPr>
                  <w:tcW w:w="2748" w:type="dxa"/>
                  <w:vAlign w:val="center"/>
                </w:tcPr>
                <w:p>
                  <w:pPr>
                    <w:autoSpaceDE w:val="0"/>
                    <w:autoSpaceDN w:val="0"/>
                    <w:adjustRightInd w:val="0"/>
                    <w:ind w:left="105" w:leftChars="50" w:right="105" w:rightChars="50"/>
                    <w:jc w:val="left"/>
                    <w:rPr>
                      <w:kern w:val="0"/>
                      <w:szCs w:val="21"/>
                    </w:rPr>
                  </w:pPr>
                  <w:r>
                    <w:rPr>
                      <w:rFonts w:hint="eastAsia"/>
                      <w:kern w:val="0"/>
                      <w:szCs w:val="21"/>
                    </w:rPr>
                    <w:t>项目必须实现达标排放，同时满足规划区总量控制要求。</w:t>
                  </w:r>
                </w:p>
              </w:tc>
              <w:tc>
                <w:tcPr>
                  <w:tcW w:w="2560" w:type="dxa"/>
                  <w:vAlign w:val="center"/>
                </w:tcPr>
                <w:p>
                  <w:pPr>
                    <w:autoSpaceDE w:val="0"/>
                    <w:autoSpaceDN w:val="0"/>
                    <w:adjustRightInd w:val="0"/>
                    <w:ind w:left="105" w:leftChars="50" w:right="105" w:rightChars="50"/>
                    <w:jc w:val="center"/>
                    <w:rPr>
                      <w:kern w:val="0"/>
                      <w:szCs w:val="21"/>
                    </w:rPr>
                  </w:pPr>
                  <w:r>
                    <w:rPr>
                      <w:rFonts w:hint="eastAsia"/>
                      <w:kern w:val="0"/>
                      <w:szCs w:val="21"/>
                    </w:rPr>
                    <w:t>经预测分析，项目废气、噪声可达标排放，无污废水外排；固废100%处置；排放总量满足区域总量控制。</w:t>
                  </w:r>
                </w:p>
              </w:tc>
              <w:tc>
                <w:tcPr>
                  <w:tcW w:w="744" w:type="dxa"/>
                  <w:vAlign w:val="center"/>
                </w:tcPr>
                <w:p>
                  <w:pPr>
                    <w:autoSpaceDE w:val="0"/>
                    <w:autoSpaceDN w:val="0"/>
                    <w:adjustRightInd w:val="0"/>
                    <w:ind w:left="105" w:leftChars="50" w:right="105" w:rightChars="50"/>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568" w:type="dxa"/>
                  <w:vAlign w:val="center"/>
                </w:tcPr>
                <w:p>
                  <w:pPr>
                    <w:autoSpaceDE w:val="0"/>
                    <w:autoSpaceDN w:val="0"/>
                    <w:adjustRightInd w:val="0"/>
                    <w:ind w:left="105" w:leftChars="50" w:right="105" w:rightChars="50"/>
                    <w:jc w:val="center"/>
                    <w:rPr>
                      <w:kern w:val="0"/>
                      <w:szCs w:val="21"/>
                    </w:rPr>
                  </w:pPr>
                  <w:r>
                    <w:rPr>
                      <w:rFonts w:hint="eastAsia"/>
                      <w:kern w:val="0"/>
                      <w:szCs w:val="21"/>
                    </w:rPr>
                    <w:t>2</w:t>
                  </w:r>
                </w:p>
              </w:tc>
              <w:tc>
                <w:tcPr>
                  <w:tcW w:w="2748" w:type="dxa"/>
                  <w:vAlign w:val="center"/>
                </w:tcPr>
                <w:p>
                  <w:pPr>
                    <w:autoSpaceDE w:val="0"/>
                    <w:autoSpaceDN w:val="0"/>
                    <w:adjustRightInd w:val="0"/>
                    <w:ind w:left="105" w:leftChars="50" w:right="105" w:rightChars="50"/>
                    <w:jc w:val="left"/>
                    <w:rPr>
                      <w:kern w:val="0"/>
                      <w:szCs w:val="21"/>
                    </w:rPr>
                  </w:pPr>
                  <w:r>
                    <w:rPr>
                      <w:rFonts w:hint="eastAsia"/>
                      <w:kern w:val="0"/>
                      <w:szCs w:val="21"/>
                    </w:rPr>
                    <w:t>入驻项目应采取满足达标排放要求、运行稳定、技术先进、经济效益好的污染治理设施、措施。</w:t>
                  </w:r>
                </w:p>
              </w:tc>
              <w:tc>
                <w:tcPr>
                  <w:tcW w:w="2560" w:type="dxa"/>
                  <w:vAlign w:val="center"/>
                </w:tcPr>
                <w:p>
                  <w:pPr>
                    <w:autoSpaceDE w:val="0"/>
                    <w:autoSpaceDN w:val="0"/>
                    <w:adjustRightInd w:val="0"/>
                    <w:ind w:left="105" w:leftChars="50" w:right="105" w:rightChars="50"/>
                    <w:jc w:val="center"/>
                    <w:rPr>
                      <w:kern w:val="0"/>
                      <w:szCs w:val="21"/>
                    </w:rPr>
                  </w:pPr>
                  <w:r>
                    <w:rPr>
                      <w:rFonts w:hint="eastAsia"/>
                      <w:kern w:val="0"/>
                      <w:szCs w:val="21"/>
                    </w:rPr>
                    <w:t>项目采取的废气、废水、噪声污染治理设施技术成熟、先进，经预测可实现达标排放，固废100%处置。</w:t>
                  </w:r>
                </w:p>
              </w:tc>
              <w:tc>
                <w:tcPr>
                  <w:tcW w:w="744" w:type="dxa"/>
                  <w:vAlign w:val="center"/>
                </w:tcPr>
                <w:p>
                  <w:pPr>
                    <w:autoSpaceDE w:val="0"/>
                    <w:autoSpaceDN w:val="0"/>
                    <w:adjustRightInd w:val="0"/>
                    <w:ind w:left="105" w:leftChars="50" w:right="105" w:rightChars="50"/>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568" w:type="dxa"/>
                  <w:vAlign w:val="center"/>
                </w:tcPr>
                <w:p>
                  <w:pPr>
                    <w:autoSpaceDE w:val="0"/>
                    <w:autoSpaceDN w:val="0"/>
                    <w:adjustRightInd w:val="0"/>
                    <w:ind w:left="105" w:leftChars="50" w:right="105" w:rightChars="50"/>
                    <w:jc w:val="center"/>
                    <w:rPr>
                      <w:kern w:val="0"/>
                      <w:szCs w:val="21"/>
                    </w:rPr>
                  </w:pPr>
                  <w:r>
                    <w:rPr>
                      <w:rFonts w:hint="eastAsia"/>
                      <w:kern w:val="0"/>
                      <w:szCs w:val="21"/>
                    </w:rPr>
                    <w:t>3</w:t>
                  </w:r>
                </w:p>
              </w:tc>
              <w:tc>
                <w:tcPr>
                  <w:tcW w:w="2748" w:type="dxa"/>
                  <w:vAlign w:val="center"/>
                </w:tcPr>
                <w:p>
                  <w:pPr>
                    <w:autoSpaceDE w:val="0"/>
                    <w:autoSpaceDN w:val="0"/>
                    <w:adjustRightInd w:val="0"/>
                    <w:ind w:left="105" w:leftChars="50" w:right="105" w:rightChars="50"/>
                    <w:jc w:val="left"/>
                    <w:rPr>
                      <w:kern w:val="0"/>
                      <w:szCs w:val="21"/>
                    </w:rPr>
                  </w:pPr>
                  <w:r>
                    <w:rPr>
                      <w:rFonts w:hint="eastAsia"/>
                      <w:kern w:val="0"/>
                      <w:szCs w:val="21"/>
                    </w:rPr>
                    <w:t>入驻企业产生的各种工业固体废弃物，应满足“减量化、资源化、无害化”要求，实现废物的零排放。</w:t>
                  </w:r>
                </w:p>
              </w:tc>
              <w:tc>
                <w:tcPr>
                  <w:tcW w:w="2560" w:type="dxa"/>
                  <w:vAlign w:val="center"/>
                </w:tcPr>
                <w:p>
                  <w:pPr>
                    <w:autoSpaceDE w:val="0"/>
                    <w:autoSpaceDN w:val="0"/>
                    <w:adjustRightInd w:val="0"/>
                    <w:ind w:left="105" w:leftChars="50" w:right="105" w:rightChars="50"/>
                    <w:jc w:val="center"/>
                    <w:rPr>
                      <w:kern w:val="0"/>
                      <w:szCs w:val="21"/>
                    </w:rPr>
                  </w:pPr>
                  <w:r>
                    <w:rPr>
                      <w:rFonts w:hint="eastAsia"/>
                      <w:kern w:val="0"/>
                      <w:szCs w:val="21"/>
                    </w:rPr>
                    <w:t>项目产生固体废物能回收利用的全部回收，不能回收利用的100%妥善处置，可以做到零排放。</w:t>
                  </w:r>
                </w:p>
              </w:tc>
              <w:tc>
                <w:tcPr>
                  <w:tcW w:w="744" w:type="dxa"/>
                  <w:vAlign w:val="center"/>
                </w:tcPr>
                <w:p>
                  <w:pPr>
                    <w:autoSpaceDE w:val="0"/>
                    <w:autoSpaceDN w:val="0"/>
                    <w:adjustRightInd w:val="0"/>
                    <w:ind w:left="105" w:leftChars="50" w:right="105" w:rightChars="50"/>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568" w:type="dxa"/>
                  <w:vAlign w:val="center"/>
                </w:tcPr>
                <w:p>
                  <w:pPr>
                    <w:autoSpaceDE w:val="0"/>
                    <w:autoSpaceDN w:val="0"/>
                    <w:adjustRightInd w:val="0"/>
                    <w:ind w:left="105" w:leftChars="50" w:right="105" w:rightChars="50"/>
                    <w:jc w:val="center"/>
                    <w:rPr>
                      <w:kern w:val="0"/>
                      <w:szCs w:val="21"/>
                    </w:rPr>
                  </w:pPr>
                  <w:r>
                    <w:rPr>
                      <w:rFonts w:hint="eastAsia"/>
                      <w:kern w:val="0"/>
                      <w:szCs w:val="21"/>
                    </w:rPr>
                    <w:t>4</w:t>
                  </w:r>
                </w:p>
              </w:tc>
              <w:tc>
                <w:tcPr>
                  <w:tcW w:w="2748" w:type="dxa"/>
                  <w:vAlign w:val="center"/>
                </w:tcPr>
                <w:p>
                  <w:pPr>
                    <w:autoSpaceDE w:val="0"/>
                    <w:autoSpaceDN w:val="0"/>
                    <w:adjustRightInd w:val="0"/>
                    <w:ind w:left="105" w:leftChars="50" w:right="105" w:rightChars="50"/>
                    <w:jc w:val="left"/>
                    <w:rPr>
                      <w:kern w:val="0"/>
                      <w:szCs w:val="21"/>
                    </w:rPr>
                  </w:pPr>
                  <w:r>
                    <w:rPr>
                      <w:rFonts w:hint="eastAsia"/>
                      <w:kern w:val="0"/>
                      <w:szCs w:val="21"/>
                    </w:rPr>
                    <w:t>限制发展高耗水、高排水产业。</w:t>
                  </w:r>
                </w:p>
              </w:tc>
              <w:tc>
                <w:tcPr>
                  <w:tcW w:w="2560" w:type="dxa"/>
                  <w:vAlign w:val="center"/>
                </w:tcPr>
                <w:p>
                  <w:pPr>
                    <w:autoSpaceDE w:val="0"/>
                    <w:autoSpaceDN w:val="0"/>
                    <w:adjustRightInd w:val="0"/>
                    <w:ind w:left="105" w:leftChars="50" w:right="105" w:rightChars="50"/>
                    <w:jc w:val="center"/>
                    <w:rPr>
                      <w:kern w:val="0"/>
                      <w:szCs w:val="21"/>
                    </w:rPr>
                  </w:pPr>
                  <w:r>
                    <w:rPr>
                      <w:rFonts w:hint="eastAsia"/>
                      <w:kern w:val="0"/>
                      <w:szCs w:val="21"/>
                    </w:rPr>
                    <w:t>项目位于已建成投产的昆明南车城市轨道车辆有限公司（现昆明中车轨道交通装备有限公司）城轨装备基地</w:t>
                  </w:r>
                  <w:r>
                    <w:rPr>
                      <w:kern w:val="0"/>
                      <w:szCs w:val="21"/>
                    </w:rPr>
                    <w:t>建设项目占地范围内</w:t>
                  </w:r>
                  <w:r>
                    <w:rPr>
                      <w:rFonts w:hint="eastAsia"/>
                      <w:kern w:val="0"/>
                      <w:szCs w:val="21"/>
                    </w:rPr>
                    <w:t>，新增生活污水建设化粪池预处理，处理后依托已有污水处理站处理后非雨天回用于厂区绿化，雨天排入滇池南岸环湖截污管网排入淤泥河水质净化厂，不属于高排水企业，同时也不属于高耗水产业。</w:t>
                  </w:r>
                </w:p>
              </w:tc>
              <w:tc>
                <w:tcPr>
                  <w:tcW w:w="744" w:type="dxa"/>
                  <w:vAlign w:val="center"/>
                </w:tcPr>
                <w:p>
                  <w:pPr>
                    <w:autoSpaceDE w:val="0"/>
                    <w:autoSpaceDN w:val="0"/>
                    <w:adjustRightInd w:val="0"/>
                    <w:ind w:left="105" w:leftChars="50" w:right="105" w:rightChars="50"/>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568" w:type="dxa"/>
                  <w:vAlign w:val="center"/>
                </w:tcPr>
                <w:p>
                  <w:pPr>
                    <w:autoSpaceDE w:val="0"/>
                    <w:autoSpaceDN w:val="0"/>
                    <w:adjustRightInd w:val="0"/>
                    <w:ind w:left="105" w:leftChars="50" w:right="105" w:rightChars="50"/>
                    <w:jc w:val="center"/>
                    <w:rPr>
                      <w:kern w:val="0"/>
                      <w:szCs w:val="21"/>
                    </w:rPr>
                  </w:pPr>
                  <w:r>
                    <w:rPr>
                      <w:rFonts w:hint="eastAsia"/>
                      <w:kern w:val="0"/>
                      <w:szCs w:val="21"/>
                    </w:rPr>
                    <w:t>5</w:t>
                  </w:r>
                </w:p>
              </w:tc>
              <w:tc>
                <w:tcPr>
                  <w:tcW w:w="2748" w:type="dxa"/>
                  <w:vAlign w:val="center"/>
                </w:tcPr>
                <w:p>
                  <w:pPr>
                    <w:autoSpaceDE w:val="0"/>
                    <w:autoSpaceDN w:val="0"/>
                    <w:adjustRightInd w:val="0"/>
                    <w:ind w:left="105" w:leftChars="50" w:right="105" w:rightChars="50"/>
                    <w:jc w:val="left"/>
                    <w:rPr>
                      <w:kern w:val="0"/>
                      <w:szCs w:val="21"/>
                    </w:rPr>
                  </w:pPr>
                  <w:r>
                    <w:rPr>
                      <w:rFonts w:hint="eastAsia"/>
                      <w:kern w:val="0"/>
                      <w:szCs w:val="21"/>
                    </w:rPr>
                    <w:t>企业选址应符合《昆明市人民政府关于加强“一湖两江”流域水环境保护工作的若干规定》。</w:t>
                  </w:r>
                </w:p>
              </w:tc>
              <w:tc>
                <w:tcPr>
                  <w:tcW w:w="2560" w:type="dxa"/>
                  <w:vAlign w:val="center"/>
                </w:tcPr>
                <w:p>
                  <w:pPr>
                    <w:autoSpaceDE w:val="0"/>
                    <w:autoSpaceDN w:val="0"/>
                    <w:adjustRightInd w:val="0"/>
                    <w:ind w:left="105" w:leftChars="50" w:right="105" w:rightChars="50"/>
                    <w:jc w:val="center"/>
                    <w:rPr>
                      <w:kern w:val="0"/>
                      <w:szCs w:val="21"/>
                    </w:rPr>
                  </w:pPr>
                  <w:r>
                    <w:rPr>
                      <w:rFonts w:hint="eastAsia"/>
                      <w:kern w:val="0"/>
                      <w:szCs w:val="21"/>
                    </w:rPr>
                    <w:t>项目建设地点为晋宁工业园区晋城基地，不涉及“一湖两江”流域范围。</w:t>
                  </w:r>
                </w:p>
              </w:tc>
              <w:tc>
                <w:tcPr>
                  <w:tcW w:w="744" w:type="dxa"/>
                  <w:vAlign w:val="center"/>
                </w:tcPr>
                <w:p>
                  <w:pPr>
                    <w:autoSpaceDE w:val="0"/>
                    <w:autoSpaceDN w:val="0"/>
                    <w:adjustRightInd w:val="0"/>
                    <w:ind w:left="105" w:leftChars="50" w:right="105" w:rightChars="50"/>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568" w:type="dxa"/>
                  <w:vAlign w:val="center"/>
                </w:tcPr>
                <w:p>
                  <w:pPr>
                    <w:autoSpaceDE w:val="0"/>
                    <w:autoSpaceDN w:val="0"/>
                    <w:adjustRightInd w:val="0"/>
                    <w:ind w:left="105" w:leftChars="50" w:right="105" w:rightChars="50"/>
                    <w:jc w:val="center"/>
                    <w:rPr>
                      <w:kern w:val="0"/>
                      <w:szCs w:val="21"/>
                    </w:rPr>
                  </w:pPr>
                  <w:r>
                    <w:rPr>
                      <w:rFonts w:hint="eastAsia"/>
                      <w:kern w:val="0"/>
                      <w:szCs w:val="21"/>
                    </w:rPr>
                    <w:t>6</w:t>
                  </w:r>
                </w:p>
              </w:tc>
              <w:tc>
                <w:tcPr>
                  <w:tcW w:w="2748" w:type="dxa"/>
                  <w:vAlign w:val="center"/>
                </w:tcPr>
                <w:p>
                  <w:pPr>
                    <w:autoSpaceDE w:val="0"/>
                    <w:autoSpaceDN w:val="0"/>
                    <w:adjustRightInd w:val="0"/>
                    <w:ind w:left="105" w:leftChars="50" w:right="105" w:rightChars="50"/>
                    <w:jc w:val="left"/>
                    <w:rPr>
                      <w:kern w:val="0"/>
                      <w:szCs w:val="21"/>
                    </w:rPr>
                  </w:pPr>
                  <w:r>
                    <w:rPr>
                      <w:rFonts w:hint="eastAsia"/>
                      <w:kern w:val="0"/>
                      <w:szCs w:val="21"/>
                    </w:rPr>
                    <w:t>入驻企业清洁生产水平应达到国内先进水平以上。</w:t>
                  </w:r>
                </w:p>
              </w:tc>
              <w:tc>
                <w:tcPr>
                  <w:tcW w:w="2560" w:type="dxa"/>
                  <w:vAlign w:val="center"/>
                </w:tcPr>
                <w:p>
                  <w:pPr>
                    <w:autoSpaceDE w:val="0"/>
                    <w:autoSpaceDN w:val="0"/>
                    <w:adjustRightInd w:val="0"/>
                    <w:ind w:left="105" w:leftChars="50" w:right="105" w:rightChars="50"/>
                    <w:jc w:val="center"/>
                    <w:rPr>
                      <w:kern w:val="0"/>
                      <w:szCs w:val="21"/>
                    </w:rPr>
                  </w:pPr>
                  <w:r>
                    <w:rPr>
                      <w:rFonts w:hint="eastAsia"/>
                      <w:kern w:val="0"/>
                      <w:szCs w:val="21"/>
                    </w:rPr>
                    <w:t>项目严格执行环保措施，满足清洁生产原则。</w:t>
                  </w:r>
                </w:p>
              </w:tc>
              <w:tc>
                <w:tcPr>
                  <w:tcW w:w="744" w:type="dxa"/>
                  <w:vAlign w:val="center"/>
                </w:tcPr>
                <w:p>
                  <w:pPr>
                    <w:autoSpaceDE w:val="0"/>
                    <w:autoSpaceDN w:val="0"/>
                    <w:adjustRightInd w:val="0"/>
                    <w:ind w:left="105" w:leftChars="50" w:right="105" w:rightChars="50"/>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568" w:type="dxa"/>
                  <w:vAlign w:val="center"/>
                </w:tcPr>
                <w:p>
                  <w:pPr>
                    <w:autoSpaceDE w:val="0"/>
                    <w:autoSpaceDN w:val="0"/>
                    <w:adjustRightInd w:val="0"/>
                    <w:ind w:left="105" w:leftChars="50" w:right="105" w:rightChars="50"/>
                    <w:jc w:val="center"/>
                    <w:rPr>
                      <w:kern w:val="0"/>
                      <w:szCs w:val="21"/>
                    </w:rPr>
                  </w:pPr>
                  <w:r>
                    <w:rPr>
                      <w:rFonts w:hint="eastAsia"/>
                      <w:kern w:val="0"/>
                      <w:szCs w:val="21"/>
                    </w:rPr>
                    <w:t>7</w:t>
                  </w:r>
                </w:p>
              </w:tc>
              <w:tc>
                <w:tcPr>
                  <w:tcW w:w="2748" w:type="dxa"/>
                  <w:vAlign w:val="center"/>
                </w:tcPr>
                <w:p>
                  <w:pPr>
                    <w:autoSpaceDE w:val="0"/>
                    <w:autoSpaceDN w:val="0"/>
                    <w:adjustRightInd w:val="0"/>
                    <w:ind w:left="105" w:leftChars="50" w:right="105" w:rightChars="50"/>
                    <w:jc w:val="left"/>
                    <w:rPr>
                      <w:kern w:val="0"/>
                      <w:szCs w:val="21"/>
                    </w:rPr>
                  </w:pPr>
                  <w:r>
                    <w:rPr>
                      <w:rFonts w:hint="eastAsia"/>
                      <w:kern w:val="0"/>
                      <w:szCs w:val="21"/>
                    </w:rPr>
                    <w:t>滇池流域不得引进违反《云南省滇池保护条例》限制或禁止建设的项目，即：严禁在滇池盆地区（上蒜、晋城、青山、宝峰、乌龙基地）新建钢铁、有色冶金、基础化工、石油化工、化肥、农药、电镀、造纸制浆、制革、印染、石棉制品、土硫磺、土磷肥和染料等污染严重的企业和项目。</w:t>
                  </w:r>
                </w:p>
              </w:tc>
              <w:tc>
                <w:tcPr>
                  <w:tcW w:w="2560" w:type="dxa"/>
                  <w:vAlign w:val="center"/>
                </w:tcPr>
                <w:p>
                  <w:pPr>
                    <w:autoSpaceDE w:val="0"/>
                    <w:autoSpaceDN w:val="0"/>
                    <w:adjustRightInd w:val="0"/>
                    <w:ind w:left="105" w:leftChars="50" w:right="105" w:rightChars="50"/>
                    <w:jc w:val="center"/>
                    <w:rPr>
                      <w:rFonts w:ascii="Calibri" w:hAnsi="Calibri"/>
                    </w:rPr>
                  </w:pPr>
                  <w:r>
                    <w:rPr>
                      <w:rFonts w:hint="eastAsia"/>
                      <w:kern w:val="0"/>
                      <w:szCs w:val="21"/>
                    </w:rPr>
                    <w:t>建设项目不属于条例中严禁建设的项目。</w:t>
                  </w:r>
                </w:p>
              </w:tc>
              <w:tc>
                <w:tcPr>
                  <w:tcW w:w="744" w:type="dxa"/>
                  <w:vAlign w:val="center"/>
                </w:tcPr>
                <w:p>
                  <w:pPr>
                    <w:autoSpaceDE w:val="0"/>
                    <w:autoSpaceDN w:val="0"/>
                    <w:adjustRightInd w:val="0"/>
                    <w:ind w:left="105" w:leftChars="50" w:right="105" w:rightChars="50"/>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568" w:type="dxa"/>
                  <w:vAlign w:val="center"/>
                </w:tcPr>
                <w:p>
                  <w:pPr>
                    <w:autoSpaceDE w:val="0"/>
                    <w:autoSpaceDN w:val="0"/>
                    <w:adjustRightInd w:val="0"/>
                    <w:ind w:left="105" w:leftChars="50" w:right="105" w:rightChars="50"/>
                    <w:jc w:val="center"/>
                    <w:rPr>
                      <w:kern w:val="0"/>
                      <w:szCs w:val="21"/>
                    </w:rPr>
                  </w:pPr>
                  <w:r>
                    <w:rPr>
                      <w:rFonts w:hint="eastAsia"/>
                      <w:kern w:val="0"/>
                      <w:szCs w:val="21"/>
                    </w:rPr>
                    <w:t>8</w:t>
                  </w:r>
                </w:p>
              </w:tc>
              <w:tc>
                <w:tcPr>
                  <w:tcW w:w="2748" w:type="dxa"/>
                  <w:vAlign w:val="center"/>
                </w:tcPr>
                <w:p>
                  <w:pPr>
                    <w:autoSpaceDE w:val="0"/>
                    <w:autoSpaceDN w:val="0"/>
                    <w:adjustRightInd w:val="0"/>
                    <w:ind w:left="105" w:leftChars="50" w:right="105" w:rightChars="50"/>
                    <w:jc w:val="left"/>
                    <w:rPr>
                      <w:kern w:val="0"/>
                      <w:szCs w:val="21"/>
                    </w:rPr>
                  </w:pPr>
                  <w:r>
                    <w:rPr>
                      <w:rFonts w:hint="eastAsia"/>
                      <w:kern w:val="0"/>
                      <w:szCs w:val="21"/>
                    </w:rPr>
                    <w:t>满足规划区功能定位及产业结构的企业，只有满足上述要求后方能进驻。</w:t>
                  </w:r>
                </w:p>
              </w:tc>
              <w:tc>
                <w:tcPr>
                  <w:tcW w:w="2560" w:type="dxa"/>
                  <w:vAlign w:val="center"/>
                </w:tcPr>
                <w:p>
                  <w:pPr>
                    <w:autoSpaceDE w:val="0"/>
                    <w:autoSpaceDN w:val="0"/>
                    <w:adjustRightInd w:val="0"/>
                    <w:ind w:left="105" w:leftChars="50" w:right="105" w:rightChars="50"/>
                    <w:jc w:val="center"/>
                    <w:rPr>
                      <w:kern w:val="0"/>
                      <w:szCs w:val="21"/>
                    </w:rPr>
                  </w:pPr>
                  <w:r>
                    <w:rPr>
                      <w:rFonts w:hint="eastAsia"/>
                      <w:kern w:val="0"/>
                      <w:szCs w:val="21"/>
                    </w:rPr>
                    <w:t>建设项目满足规划区功能定位及产业结构。</w:t>
                  </w:r>
                </w:p>
              </w:tc>
              <w:tc>
                <w:tcPr>
                  <w:tcW w:w="744" w:type="dxa"/>
                  <w:vAlign w:val="center"/>
                </w:tcPr>
                <w:p>
                  <w:pPr>
                    <w:autoSpaceDE w:val="0"/>
                    <w:autoSpaceDN w:val="0"/>
                    <w:adjustRightInd w:val="0"/>
                    <w:ind w:left="105" w:leftChars="50" w:right="105" w:rightChars="50"/>
                    <w:jc w:val="center"/>
                    <w:rPr>
                      <w:kern w:val="0"/>
                      <w:szCs w:val="21"/>
                    </w:rPr>
                  </w:pPr>
                  <w:r>
                    <w:rPr>
                      <w:rFonts w:hint="eastAsia"/>
                      <w:kern w:val="0"/>
                      <w:szCs w:val="21"/>
                    </w:rPr>
                    <w:t>符合</w:t>
                  </w:r>
                </w:p>
              </w:tc>
            </w:tr>
          </w:tbl>
          <w:p>
            <w:pPr>
              <w:autoSpaceDE w:val="0"/>
              <w:autoSpaceDN w:val="0"/>
              <w:adjustRightInd w:val="0"/>
              <w:spacing w:line="360" w:lineRule="auto"/>
              <w:ind w:left="105" w:leftChars="50" w:right="105" w:rightChars="50" w:firstLine="240" w:firstLineChars="100"/>
              <w:jc w:val="left"/>
              <w:rPr>
                <w:kern w:val="0"/>
                <w:sz w:val="24"/>
              </w:rPr>
            </w:pPr>
            <w:r>
              <w:rPr>
                <w:rFonts w:hint="eastAsia"/>
                <w:kern w:val="0"/>
                <w:sz w:val="24"/>
              </w:rPr>
              <w:t>根据上表分析，建设项目符合《云南晋宁工业园区总体规划修编（2012-2030）环境影响报告书》入园环保要求。</w:t>
            </w:r>
          </w:p>
          <w:p>
            <w:pPr>
              <w:autoSpaceDE w:val="0"/>
              <w:autoSpaceDN w:val="0"/>
              <w:adjustRightInd w:val="0"/>
              <w:spacing w:line="360" w:lineRule="auto"/>
              <w:ind w:left="105" w:leftChars="50" w:right="105" w:rightChars="50" w:firstLine="240" w:firstLineChars="100"/>
              <w:jc w:val="left"/>
              <w:rPr>
                <w:kern w:val="0"/>
                <w:sz w:val="24"/>
              </w:rPr>
            </w:pPr>
            <w:r>
              <w:rPr>
                <w:rFonts w:hint="eastAsia"/>
                <w:kern w:val="0"/>
                <w:sz w:val="24"/>
              </w:rPr>
              <w:t>（2）与云南省环境保护厅《关于&lt;晋宁工业园区总体规划修编（2012-2030）环境影响报告书&gt;审查意见的函》（云环函〔2014〕131号）相符性分析</w:t>
            </w:r>
          </w:p>
          <w:p>
            <w:pPr>
              <w:autoSpaceDE w:val="0"/>
              <w:autoSpaceDN w:val="0"/>
              <w:adjustRightInd w:val="0"/>
              <w:spacing w:line="360" w:lineRule="auto"/>
              <w:ind w:right="105" w:rightChars="50" w:firstLine="240" w:firstLineChars="100"/>
              <w:jc w:val="left"/>
              <w:rPr>
                <w:kern w:val="0"/>
                <w:sz w:val="24"/>
              </w:rPr>
            </w:pPr>
            <w:r>
              <w:rPr>
                <w:rFonts w:hint="eastAsia"/>
                <w:kern w:val="0"/>
                <w:sz w:val="24"/>
              </w:rPr>
              <w:t>建设项目与审查意见相符性分析详见下表。</w:t>
            </w:r>
          </w:p>
          <w:p>
            <w:pPr>
              <w:autoSpaceDE w:val="0"/>
              <w:autoSpaceDN w:val="0"/>
              <w:adjustRightInd w:val="0"/>
              <w:spacing w:before="120" w:beforeLines="50"/>
              <w:ind w:left="105" w:leftChars="50" w:right="105" w:rightChars="50" w:firstLine="422" w:firstLineChars="200"/>
              <w:jc w:val="center"/>
              <w:rPr>
                <w:b/>
                <w:bCs/>
                <w:kern w:val="0"/>
                <w:szCs w:val="21"/>
              </w:rPr>
            </w:pPr>
            <w:r>
              <w:rPr>
                <w:rFonts w:hint="eastAsia"/>
                <w:b/>
                <w:bCs/>
                <w:kern w:val="0"/>
                <w:szCs w:val="21"/>
              </w:rPr>
              <w:t>表1-3</w:t>
            </w:r>
            <w:r>
              <w:rPr>
                <w:b/>
                <w:bCs/>
                <w:kern w:val="0"/>
                <w:szCs w:val="21"/>
              </w:rPr>
              <w:t xml:space="preserve">    </w:t>
            </w:r>
            <w:r>
              <w:rPr>
                <w:rFonts w:hint="eastAsia"/>
                <w:b/>
                <w:bCs/>
                <w:kern w:val="0"/>
                <w:szCs w:val="21"/>
              </w:rPr>
              <w:t>与审查意见相符性分析一览表</w:t>
            </w:r>
          </w:p>
          <w:tbl>
            <w:tblPr>
              <w:tblStyle w:val="45"/>
              <w:tblW w:w="64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2626"/>
              <w:gridCol w:w="2563"/>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556" w:type="dxa"/>
                  <w:vAlign w:val="center"/>
                </w:tcPr>
                <w:p>
                  <w:pPr>
                    <w:autoSpaceDE w:val="0"/>
                    <w:autoSpaceDN w:val="0"/>
                    <w:adjustRightInd w:val="0"/>
                    <w:ind w:left="105" w:leftChars="50" w:right="105" w:rightChars="50"/>
                    <w:jc w:val="center"/>
                    <w:rPr>
                      <w:b/>
                      <w:bCs/>
                      <w:kern w:val="0"/>
                      <w:szCs w:val="21"/>
                    </w:rPr>
                  </w:pPr>
                  <w:r>
                    <w:rPr>
                      <w:rFonts w:hint="eastAsia"/>
                      <w:b/>
                      <w:bCs/>
                      <w:kern w:val="0"/>
                      <w:szCs w:val="21"/>
                    </w:rPr>
                    <w:t>类型</w:t>
                  </w:r>
                </w:p>
              </w:tc>
              <w:tc>
                <w:tcPr>
                  <w:tcW w:w="2626" w:type="dxa"/>
                  <w:vAlign w:val="center"/>
                </w:tcPr>
                <w:p>
                  <w:pPr>
                    <w:autoSpaceDE w:val="0"/>
                    <w:autoSpaceDN w:val="0"/>
                    <w:adjustRightInd w:val="0"/>
                    <w:ind w:left="105" w:leftChars="50" w:right="105" w:rightChars="50"/>
                    <w:jc w:val="center"/>
                    <w:rPr>
                      <w:b/>
                      <w:bCs/>
                      <w:kern w:val="0"/>
                      <w:szCs w:val="21"/>
                    </w:rPr>
                  </w:pPr>
                  <w:r>
                    <w:rPr>
                      <w:rFonts w:hint="eastAsia"/>
                      <w:b/>
                      <w:bCs/>
                      <w:kern w:val="0"/>
                      <w:szCs w:val="21"/>
                    </w:rPr>
                    <w:t>审查意见要求</w:t>
                  </w:r>
                </w:p>
              </w:tc>
              <w:tc>
                <w:tcPr>
                  <w:tcW w:w="2563" w:type="dxa"/>
                  <w:vAlign w:val="center"/>
                </w:tcPr>
                <w:p>
                  <w:pPr>
                    <w:autoSpaceDE w:val="0"/>
                    <w:autoSpaceDN w:val="0"/>
                    <w:adjustRightInd w:val="0"/>
                    <w:ind w:left="105" w:leftChars="50" w:right="105" w:rightChars="50"/>
                    <w:jc w:val="center"/>
                    <w:rPr>
                      <w:b/>
                      <w:bCs/>
                      <w:kern w:val="0"/>
                      <w:szCs w:val="21"/>
                    </w:rPr>
                  </w:pPr>
                  <w:r>
                    <w:rPr>
                      <w:rFonts w:hint="eastAsia"/>
                      <w:b/>
                      <w:bCs/>
                      <w:kern w:val="0"/>
                      <w:szCs w:val="21"/>
                    </w:rPr>
                    <w:t>建设情况</w:t>
                  </w:r>
                </w:p>
              </w:tc>
              <w:tc>
                <w:tcPr>
                  <w:tcW w:w="726" w:type="dxa"/>
                  <w:vAlign w:val="center"/>
                </w:tcPr>
                <w:p>
                  <w:pPr>
                    <w:autoSpaceDE w:val="0"/>
                    <w:autoSpaceDN w:val="0"/>
                    <w:adjustRightInd w:val="0"/>
                    <w:ind w:left="105" w:leftChars="50" w:right="105" w:rightChars="50"/>
                    <w:jc w:val="center"/>
                    <w:rPr>
                      <w:b/>
                      <w:bCs/>
                      <w:kern w:val="0"/>
                      <w:szCs w:val="21"/>
                    </w:rPr>
                  </w:pPr>
                  <w:r>
                    <w:rPr>
                      <w:rFonts w:hint="eastAsia"/>
                      <w:b/>
                      <w:bCs/>
                      <w:kern w:val="0"/>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556" w:type="dxa"/>
                  <w:vMerge w:val="restart"/>
                  <w:vAlign w:val="center"/>
                </w:tcPr>
                <w:p>
                  <w:pPr>
                    <w:autoSpaceDE w:val="0"/>
                    <w:autoSpaceDN w:val="0"/>
                    <w:adjustRightInd w:val="0"/>
                    <w:ind w:left="105" w:leftChars="50" w:right="105" w:rightChars="50"/>
                    <w:jc w:val="center"/>
                    <w:rPr>
                      <w:kern w:val="0"/>
                      <w:szCs w:val="21"/>
                    </w:rPr>
                  </w:pPr>
                  <w:r>
                    <w:rPr>
                      <w:rFonts w:hint="eastAsia"/>
                      <w:kern w:val="0"/>
                      <w:szCs w:val="21"/>
                    </w:rPr>
                    <w:t>大气污染防治措施及要求</w:t>
                  </w:r>
                </w:p>
              </w:tc>
              <w:tc>
                <w:tcPr>
                  <w:tcW w:w="2626" w:type="dxa"/>
                  <w:vAlign w:val="center"/>
                </w:tcPr>
                <w:p>
                  <w:pPr>
                    <w:autoSpaceDE w:val="0"/>
                    <w:autoSpaceDN w:val="0"/>
                    <w:adjustRightInd w:val="0"/>
                    <w:ind w:left="105" w:leftChars="50" w:right="105" w:rightChars="50"/>
                    <w:jc w:val="left"/>
                    <w:rPr>
                      <w:kern w:val="0"/>
                      <w:szCs w:val="21"/>
                    </w:rPr>
                  </w:pPr>
                  <w:r>
                    <w:rPr>
                      <w:rFonts w:hint="eastAsia"/>
                      <w:kern w:val="0"/>
                      <w:szCs w:val="21"/>
                    </w:rPr>
                    <w:t>①从规划园区产业布局方面，应合理调整产业、行业、企业布局。</w:t>
                  </w:r>
                </w:p>
              </w:tc>
              <w:tc>
                <w:tcPr>
                  <w:tcW w:w="2563" w:type="dxa"/>
                  <w:vAlign w:val="center"/>
                </w:tcPr>
                <w:p>
                  <w:pPr>
                    <w:autoSpaceDE w:val="0"/>
                    <w:autoSpaceDN w:val="0"/>
                    <w:adjustRightInd w:val="0"/>
                    <w:ind w:left="105" w:leftChars="50" w:right="105" w:rightChars="50"/>
                    <w:jc w:val="center"/>
                    <w:rPr>
                      <w:kern w:val="0"/>
                      <w:szCs w:val="21"/>
                    </w:rPr>
                  </w:pPr>
                  <w:r>
                    <w:rPr>
                      <w:rFonts w:hint="eastAsia"/>
                      <w:kern w:val="0"/>
                      <w:szCs w:val="21"/>
                    </w:rPr>
                    <w:t>项目建设地点位于晋宁工业园区晋城基地，与工业园区规划不冲突</w:t>
                  </w:r>
                </w:p>
              </w:tc>
              <w:tc>
                <w:tcPr>
                  <w:tcW w:w="726" w:type="dxa"/>
                  <w:vAlign w:val="center"/>
                </w:tcPr>
                <w:p>
                  <w:pPr>
                    <w:autoSpaceDE w:val="0"/>
                    <w:autoSpaceDN w:val="0"/>
                    <w:adjustRightInd w:val="0"/>
                    <w:ind w:left="105" w:leftChars="50" w:right="105" w:rightChars="50"/>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556" w:type="dxa"/>
                  <w:vMerge w:val="continue"/>
                  <w:vAlign w:val="center"/>
                </w:tcPr>
                <w:p>
                  <w:pPr>
                    <w:autoSpaceDE w:val="0"/>
                    <w:autoSpaceDN w:val="0"/>
                    <w:adjustRightInd w:val="0"/>
                    <w:ind w:left="105" w:leftChars="50" w:right="105" w:rightChars="50"/>
                    <w:jc w:val="center"/>
                    <w:rPr>
                      <w:kern w:val="0"/>
                      <w:szCs w:val="21"/>
                    </w:rPr>
                  </w:pPr>
                </w:p>
              </w:tc>
              <w:tc>
                <w:tcPr>
                  <w:tcW w:w="2626" w:type="dxa"/>
                  <w:vAlign w:val="center"/>
                </w:tcPr>
                <w:p>
                  <w:pPr>
                    <w:autoSpaceDE w:val="0"/>
                    <w:autoSpaceDN w:val="0"/>
                    <w:adjustRightInd w:val="0"/>
                    <w:ind w:left="105" w:leftChars="50" w:right="105" w:rightChars="50"/>
                    <w:jc w:val="left"/>
                    <w:rPr>
                      <w:kern w:val="0"/>
                      <w:szCs w:val="21"/>
                    </w:rPr>
                  </w:pPr>
                  <w:r>
                    <w:rPr>
                      <w:rFonts w:hint="eastAsia"/>
                      <w:kern w:val="0"/>
                      <w:szCs w:val="21"/>
                    </w:rPr>
                    <w:t>②从严格筛选入园企业入手，鼓励能耗低、工艺设备先进、排放废气污染物较少的企业入园。禁止不符合国家和地方产业政策的项目，以及列入《严重污染环境（大气）的淘汰工艺和设备名录》的项目进入园区。</w:t>
                  </w:r>
                </w:p>
              </w:tc>
              <w:tc>
                <w:tcPr>
                  <w:tcW w:w="2563" w:type="dxa"/>
                  <w:vAlign w:val="center"/>
                </w:tcPr>
                <w:p>
                  <w:pPr>
                    <w:autoSpaceDE w:val="0"/>
                    <w:autoSpaceDN w:val="0"/>
                    <w:adjustRightInd w:val="0"/>
                    <w:ind w:left="105" w:leftChars="50" w:right="105" w:rightChars="50"/>
                    <w:jc w:val="center"/>
                    <w:rPr>
                      <w:kern w:val="0"/>
                      <w:szCs w:val="21"/>
                    </w:rPr>
                  </w:pPr>
                  <w:r>
                    <w:rPr>
                      <w:rFonts w:hint="eastAsia"/>
                      <w:kern w:val="0"/>
                      <w:szCs w:val="21"/>
                    </w:rPr>
                    <w:t>建设项目能耗低、工艺设备较先进，废气处理后满足排放标准限值要求。</w:t>
                  </w:r>
                </w:p>
              </w:tc>
              <w:tc>
                <w:tcPr>
                  <w:tcW w:w="726" w:type="dxa"/>
                  <w:vAlign w:val="center"/>
                </w:tcPr>
                <w:p>
                  <w:pPr>
                    <w:autoSpaceDE w:val="0"/>
                    <w:autoSpaceDN w:val="0"/>
                    <w:adjustRightInd w:val="0"/>
                    <w:ind w:left="105" w:leftChars="50" w:right="105" w:rightChars="50"/>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556" w:type="dxa"/>
                  <w:vMerge w:val="continue"/>
                  <w:vAlign w:val="center"/>
                </w:tcPr>
                <w:p>
                  <w:pPr>
                    <w:autoSpaceDE w:val="0"/>
                    <w:autoSpaceDN w:val="0"/>
                    <w:adjustRightInd w:val="0"/>
                    <w:ind w:left="105" w:leftChars="50" w:right="105" w:rightChars="50"/>
                    <w:jc w:val="center"/>
                    <w:rPr>
                      <w:kern w:val="0"/>
                      <w:szCs w:val="21"/>
                    </w:rPr>
                  </w:pPr>
                </w:p>
              </w:tc>
              <w:tc>
                <w:tcPr>
                  <w:tcW w:w="2626" w:type="dxa"/>
                  <w:vAlign w:val="center"/>
                </w:tcPr>
                <w:p>
                  <w:pPr>
                    <w:autoSpaceDE w:val="0"/>
                    <w:autoSpaceDN w:val="0"/>
                    <w:adjustRightInd w:val="0"/>
                    <w:ind w:left="105" w:leftChars="50" w:right="105" w:rightChars="50"/>
                    <w:jc w:val="left"/>
                    <w:rPr>
                      <w:kern w:val="0"/>
                      <w:szCs w:val="21"/>
                    </w:rPr>
                  </w:pPr>
                  <w:r>
                    <w:rPr>
                      <w:rFonts w:hint="eastAsia"/>
                      <w:kern w:val="0"/>
                      <w:szCs w:val="21"/>
                    </w:rPr>
                    <w:t>③园区应结合中缅输油管道的建设，应大力推行清洁能源的使用，不断提高清洁能源的比例；建议考虑集中供热。</w:t>
                  </w:r>
                </w:p>
              </w:tc>
              <w:tc>
                <w:tcPr>
                  <w:tcW w:w="2563" w:type="dxa"/>
                  <w:vAlign w:val="center"/>
                </w:tcPr>
                <w:p>
                  <w:pPr>
                    <w:autoSpaceDE w:val="0"/>
                    <w:autoSpaceDN w:val="0"/>
                    <w:adjustRightInd w:val="0"/>
                    <w:ind w:left="105" w:leftChars="50" w:right="105" w:rightChars="50"/>
                    <w:jc w:val="center"/>
                    <w:rPr>
                      <w:kern w:val="0"/>
                      <w:szCs w:val="21"/>
                    </w:rPr>
                  </w:pPr>
                  <w:r>
                    <w:rPr>
                      <w:rFonts w:hint="eastAsia"/>
                      <w:kern w:val="0"/>
                      <w:szCs w:val="21"/>
                    </w:rPr>
                    <w:t>本项目以电能为主，为清洁能源。</w:t>
                  </w:r>
                </w:p>
              </w:tc>
              <w:tc>
                <w:tcPr>
                  <w:tcW w:w="726" w:type="dxa"/>
                  <w:vAlign w:val="center"/>
                </w:tcPr>
                <w:p>
                  <w:pPr>
                    <w:autoSpaceDE w:val="0"/>
                    <w:autoSpaceDN w:val="0"/>
                    <w:adjustRightInd w:val="0"/>
                    <w:ind w:left="105" w:leftChars="50" w:right="105" w:rightChars="50"/>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556" w:type="dxa"/>
                  <w:vMerge w:val="continue"/>
                  <w:vAlign w:val="center"/>
                </w:tcPr>
                <w:p>
                  <w:pPr>
                    <w:autoSpaceDE w:val="0"/>
                    <w:autoSpaceDN w:val="0"/>
                    <w:adjustRightInd w:val="0"/>
                    <w:ind w:left="105" w:leftChars="50" w:right="105" w:rightChars="50"/>
                    <w:jc w:val="center"/>
                    <w:rPr>
                      <w:kern w:val="0"/>
                      <w:szCs w:val="21"/>
                    </w:rPr>
                  </w:pPr>
                </w:p>
              </w:tc>
              <w:tc>
                <w:tcPr>
                  <w:tcW w:w="2626" w:type="dxa"/>
                  <w:vAlign w:val="center"/>
                </w:tcPr>
                <w:p>
                  <w:pPr>
                    <w:autoSpaceDE w:val="0"/>
                    <w:autoSpaceDN w:val="0"/>
                    <w:adjustRightInd w:val="0"/>
                    <w:ind w:left="105" w:leftChars="50" w:right="105" w:rightChars="50"/>
                    <w:jc w:val="left"/>
                    <w:rPr>
                      <w:kern w:val="0"/>
                      <w:szCs w:val="21"/>
                    </w:rPr>
                  </w:pPr>
                  <w:r>
                    <w:rPr>
                      <w:rFonts w:hint="eastAsia"/>
                      <w:kern w:val="0"/>
                      <w:szCs w:val="21"/>
                    </w:rPr>
                    <w:t>④严格项目生产运营中的废气污染源控制，推行清洁生产，降低能耗、物耗；加强无组织排放粉尘、工艺废气的控制。产生的废气应处理达标后才可以排放。</w:t>
                  </w:r>
                </w:p>
              </w:tc>
              <w:tc>
                <w:tcPr>
                  <w:tcW w:w="2563" w:type="dxa"/>
                  <w:vAlign w:val="center"/>
                </w:tcPr>
                <w:p>
                  <w:pPr>
                    <w:autoSpaceDE w:val="0"/>
                    <w:autoSpaceDN w:val="0"/>
                    <w:adjustRightInd w:val="0"/>
                    <w:ind w:left="105" w:leftChars="50" w:right="105" w:rightChars="50"/>
                    <w:jc w:val="center"/>
                    <w:rPr>
                      <w:kern w:val="0"/>
                      <w:szCs w:val="21"/>
                    </w:rPr>
                  </w:pPr>
                  <w:r>
                    <w:rPr>
                      <w:rFonts w:hint="eastAsia"/>
                      <w:kern w:val="0"/>
                      <w:szCs w:val="21"/>
                    </w:rPr>
                    <w:t>建设项目废气排放严格执行控制标准。</w:t>
                  </w:r>
                </w:p>
              </w:tc>
              <w:tc>
                <w:tcPr>
                  <w:tcW w:w="726" w:type="dxa"/>
                  <w:vAlign w:val="center"/>
                </w:tcPr>
                <w:p>
                  <w:pPr>
                    <w:autoSpaceDE w:val="0"/>
                    <w:autoSpaceDN w:val="0"/>
                    <w:adjustRightInd w:val="0"/>
                    <w:ind w:left="105" w:leftChars="50" w:right="105" w:rightChars="50"/>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556" w:type="dxa"/>
                  <w:vMerge w:val="continue"/>
                  <w:vAlign w:val="center"/>
                </w:tcPr>
                <w:p>
                  <w:pPr>
                    <w:autoSpaceDE w:val="0"/>
                    <w:autoSpaceDN w:val="0"/>
                    <w:adjustRightInd w:val="0"/>
                    <w:ind w:left="105" w:leftChars="50" w:right="105" w:rightChars="50"/>
                    <w:jc w:val="center"/>
                    <w:rPr>
                      <w:kern w:val="0"/>
                      <w:szCs w:val="21"/>
                    </w:rPr>
                  </w:pPr>
                </w:p>
              </w:tc>
              <w:tc>
                <w:tcPr>
                  <w:tcW w:w="2626" w:type="dxa"/>
                  <w:vAlign w:val="center"/>
                </w:tcPr>
                <w:p>
                  <w:pPr>
                    <w:autoSpaceDE w:val="0"/>
                    <w:autoSpaceDN w:val="0"/>
                    <w:adjustRightInd w:val="0"/>
                    <w:ind w:left="105" w:leftChars="50" w:right="105" w:rightChars="50"/>
                    <w:jc w:val="left"/>
                    <w:rPr>
                      <w:kern w:val="0"/>
                      <w:szCs w:val="21"/>
                    </w:rPr>
                  </w:pPr>
                  <w:r>
                    <w:rPr>
                      <w:rFonts w:hint="eastAsia"/>
                      <w:kern w:val="0"/>
                      <w:szCs w:val="21"/>
                    </w:rPr>
                    <w:t>⑤对大气污染物实行严格的总量控制，园区应削减现有企业排污量，近、中、远期应分别达到区域环境总量控制目标。通过对现有企业的排放量进行削减，严格控制新入园企业的排放量，以及区域削减，实现园区排污总量达标，为新建项目腾出总量指标。对于SO</w:t>
                  </w:r>
                  <w:r>
                    <w:rPr>
                      <w:rFonts w:hint="eastAsia"/>
                      <w:kern w:val="0"/>
                      <w:szCs w:val="21"/>
                      <w:vertAlign w:val="subscript"/>
                    </w:rPr>
                    <w:t>2</w:t>
                  </w:r>
                  <w:r>
                    <w:rPr>
                      <w:rFonts w:hint="eastAsia"/>
                      <w:kern w:val="0"/>
                      <w:szCs w:val="21"/>
                    </w:rPr>
                    <w:t>、NOx、烟（粉）尘等大气污染物，要求各企业严格进行治理，达标排放。</w:t>
                  </w:r>
                </w:p>
              </w:tc>
              <w:tc>
                <w:tcPr>
                  <w:tcW w:w="2563" w:type="dxa"/>
                  <w:vAlign w:val="center"/>
                </w:tcPr>
                <w:p>
                  <w:pPr>
                    <w:autoSpaceDE w:val="0"/>
                    <w:autoSpaceDN w:val="0"/>
                    <w:adjustRightInd w:val="0"/>
                    <w:ind w:left="105" w:leftChars="50" w:right="105" w:rightChars="50"/>
                    <w:jc w:val="center"/>
                    <w:rPr>
                      <w:kern w:val="0"/>
                      <w:szCs w:val="21"/>
                    </w:rPr>
                  </w:pPr>
                  <w:r>
                    <w:rPr>
                      <w:rFonts w:hint="eastAsia"/>
                      <w:kern w:val="0"/>
                      <w:szCs w:val="21"/>
                    </w:rPr>
                    <w:t>建设项目排放的颗粒物在采取防治措施后可实现达标排放。</w:t>
                  </w:r>
                </w:p>
              </w:tc>
              <w:tc>
                <w:tcPr>
                  <w:tcW w:w="726" w:type="dxa"/>
                  <w:vAlign w:val="center"/>
                </w:tcPr>
                <w:p>
                  <w:pPr>
                    <w:autoSpaceDE w:val="0"/>
                    <w:autoSpaceDN w:val="0"/>
                    <w:adjustRightInd w:val="0"/>
                    <w:ind w:left="105" w:leftChars="50" w:right="105" w:rightChars="50"/>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556" w:type="dxa"/>
                  <w:vMerge w:val="restart"/>
                  <w:vAlign w:val="center"/>
                </w:tcPr>
                <w:p>
                  <w:pPr>
                    <w:autoSpaceDE w:val="0"/>
                    <w:autoSpaceDN w:val="0"/>
                    <w:adjustRightInd w:val="0"/>
                    <w:ind w:left="105" w:leftChars="50" w:right="105" w:rightChars="50"/>
                    <w:jc w:val="center"/>
                    <w:rPr>
                      <w:kern w:val="0"/>
                      <w:szCs w:val="21"/>
                    </w:rPr>
                  </w:pPr>
                  <w:r>
                    <w:rPr>
                      <w:rFonts w:hint="eastAsia"/>
                      <w:kern w:val="0"/>
                      <w:szCs w:val="21"/>
                    </w:rPr>
                    <w:t>水环境污染防治措施及要求</w:t>
                  </w:r>
                </w:p>
              </w:tc>
              <w:tc>
                <w:tcPr>
                  <w:tcW w:w="2626" w:type="dxa"/>
                  <w:vAlign w:val="center"/>
                </w:tcPr>
                <w:p>
                  <w:pPr>
                    <w:autoSpaceDE w:val="0"/>
                    <w:autoSpaceDN w:val="0"/>
                    <w:adjustRightInd w:val="0"/>
                    <w:ind w:left="105" w:leftChars="50" w:right="105" w:rightChars="50"/>
                    <w:jc w:val="left"/>
                    <w:rPr>
                      <w:kern w:val="0"/>
                      <w:szCs w:val="21"/>
                    </w:rPr>
                  </w:pPr>
                  <w:r>
                    <w:rPr>
                      <w:rFonts w:hint="eastAsia"/>
                      <w:kern w:val="0"/>
                      <w:szCs w:val="21"/>
                    </w:rPr>
                    <w:t>①园区采用雨污分流制，雨水经园区雨水管道收集后，分别汇入二街河、大河、柴河、东大河及古城河等地表水体。</w:t>
                  </w:r>
                </w:p>
              </w:tc>
              <w:tc>
                <w:tcPr>
                  <w:tcW w:w="2563" w:type="dxa"/>
                  <w:vAlign w:val="center"/>
                </w:tcPr>
                <w:p>
                  <w:pPr>
                    <w:autoSpaceDE w:val="0"/>
                    <w:autoSpaceDN w:val="0"/>
                    <w:adjustRightInd w:val="0"/>
                    <w:ind w:left="105" w:leftChars="50" w:right="105" w:rightChars="50"/>
                    <w:jc w:val="center"/>
                    <w:rPr>
                      <w:kern w:val="0"/>
                      <w:szCs w:val="21"/>
                    </w:rPr>
                  </w:pPr>
                  <w:r>
                    <w:rPr>
                      <w:rFonts w:hint="eastAsia"/>
                      <w:kern w:val="0"/>
                      <w:szCs w:val="21"/>
                    </w:rPr>
                    <w:t>建设厂区采用雨污分流制，</w:t>
                  </w:r>
                  <w:r>
                    <w:rPr>
                      <w:rFonts w:hint="eastAsia"/>
                      <w:color w:val="00B050"/>
                      <w:kern w:val="0"/>
                      <w:szCs w:val="21"/>
                    </w:rPr>
                    <w:t>近期污水处理后回用于绿化；远期排入滇池南岸截污管网最终进入淤泥河水质净化厂。</w:t>
                  </w:r>
                </w:p>
              </w:tc>
              <w:tc>
                <w:tcPr>
                  <w:tcW w:w="726" w:type="dxa"/>
                  <w:vAlign w:val="center"/>
                </w:tcPr>
                <w:p>
                  <w:pPr>
                    <w:autoSpaceDE w:val="0"/>
                    <w:autoSpaceDN w:val="0"/>
                    <w:adjustRightInd w:val="0"/>
                    <w:ind w:left="105" w:leftChars="50" w:right="105" w:rightChars="50"/>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556" w:type="dxa"/>
                  <w:vMerge w:val="continue"/>
                  <w:vAlign w:val="center"/>
                </w:tcPr>
                <w:p>
                  <w:pPr>
                    <w:autoSpaceDE w:val="0"/>
                    <w:autoSpaceDN w:val="0"/>
                    <w:adjustRightInd w:val="0"/>
                    <w:ind w:left="105" w:leftChars="50" w:right="105" w:rightChars="50"/>
                    <w:jc w:val="center"/>
                    <w:rPr>
                      <w:kern w:val="0"/>
                      <w:szCs w:val="21"/>
                    </w:rPr>
                  </w:pPr>
                </w:p>
              </w:tc>
              <w:tc>
                <w:tcPr>
                  <w:tcW w:w="2626" w:type="dxa"/>
                  <w:vAlign w:val="center"/>
                </w:tcPr>
                <w:p>
                  <w:pPr>
                    <w:autoSpaceDE w:val="0"/>
                    <w:autoSpaceDN w:val="0"/>
                    <w:adjustRightInd w:val="0"/>
                    <w:ind w:left="105" w:leftChars="50" w:right="105" w:rightChars="50"/>
                    <w:jc w:val="left"/>
                    <w:rPr>
                      <w:kern w:val="0"/>
                      <w:szCs w:val="21"/>
                    </w:rPr>
                  </w:pPr>
                  <w:r>
                    <w:rPr>
                      <w:rFonts w:hint="eastAsia"/>
                      <w:kern w:val="0"/>
                      <w:szCs w:val="21"/>
                    </w:rPr>
                    <w:t>②未经当地水行政主管部门的同意，各企业不得将废水直接排向区域地表水体。</w:t>
                  </w:r>
                </w:p>
              </w:tc>
              <w:tc>
                <w:tcPr>
                  <w:tcW w:w="2563" w:type="dxa"/>
                  <w:vAlign w:val="center"/>
                </w:tcPr>
                <w:p>
                  <w:pPr>
                    <w:autoSpaceDE w:val="0"/>
                    <w:autoSpaceDN w:val="0"/>
                    <w:adjustRightInd w:val="0"/>
                    <w:ind w:left="105" w:leftChars="50" w:right="105" w:rightChars="50"/>
                    <w:jc w:val="center"/>
                    <w:rPr>
                      <w:kern w:val="0"/>
                      <w:szCs w:val="21"/>
                    </w:rPr>
                  </w:pPr>
                  <w:r>
                    <w:rPr>
                      <w:rFonts w:hint="eastAsia"/>
                      <w:kern w:val="0"/>
                      <w:szCs w:val="21"/>
                    </w:rPr>
                    <w:t>建设项目近期废水处理后回用，远期达标排入淤泥河污水处理厂。</w:t>
                  </w:r>
                </w:p>
              </w:tc>
              <w:tc>
                <w:tcPr>
                  <w:tcW w:w="726" w:type="dxa"/>
                  <w:vAlign w:val="center"/>
                </w:tcPr>
                <w:p>
                  <w:pPr>
                    <w:autoSpaceDE w:val="0"/>
                    <w:autoSpaceDN w:val="0"/>
                    <w:adjustRightInd w:val="0"/>
                    <w:ind w:left="105" w:leftChars="50" w:right="105" w:rightChars="50"/>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556" w:type="dxa"/>
                  <w:vMerge w:val="continue"/>
                  <w:vAlign w:val="center"/>
                </w:tcPr>
                <w:p>
                  <w:pPr>
                    <w:autoSpaceDE w:val="0"/>
                    <w:autoSpaceDN w:val="0"/>
                    <w:adjustRightInd w:val="0"/>
                    <w:ind w:left="105" w:leftChars="50" w:right="105" w:rightChars="50"/>
                    <w:jc w:val="center"/>
                    <w:rPr>
                      <w:kern w:val="0"/>
                      <w:szCs w:val="21"/>
                    </w:rPr>
                  </w:pPr>
                </w:p>
              </w:tc>
              <w:tc>
                <w:tcPr>
                  <w:tcW w:w="2626" w:type="dxa"/>
                  <w:vAlign w:val="center"/>
                </w:tcPr>
                <w:p>
                  <w:pPr>
                    <w:autoSpaceDE w:val="0"/>
                    <w:autoSpaceDN w:val="0"/>
                    <w:adjustRightInd w:val="0"/>
                    <w:ind w:left="105" w:leftChars="50" w:right="105" w:rightChars="50"/>
                    <w:jc w:val="left"/>
                    <w:rPr>
                      <w:kern w:val="0"/>
                      <w:szCs w:val="21"/>
                    </w:rPr>
                  </w:pPr>
                  <w:r>
                    <w:rPr>
                      <w:rFonts w:hint="eastAsia"/>
                      <w:kern w:val="0"/>
                      <w:szCs w:val="21"/>
                    </w:rPr>
                    <w:t>③加快推进各基地污水处理厂的建设进度；在污水处理厂投入运行前，企业需自建污水处理厂处理项目内产生的生产及生活污水，确保污水得到妥善处置。</w:t>
                  </w:r>
                </w:p>
              </w:tc>
              <w:tc>
                <w:tcPr>
                  <w:tcW w:w="2563" w:type="dxa"/>
                  <w:vAlign w:val="center"/>
                </w:tcPr>
                <w:p>
                  <w:pPr>
                    <w:autoSpaceDE w:val="0"/>
                    <w:autoSpaceDN w:val="0"/>
                    <w:adjustRightInd w:val="0"/>
                    <w:ind w:left="105" w:leftChars="50" w:right="105" w:rightChars="50"/>
                    <w:jc w:val="center"/>
                    <w:rPr>
                      <w:kern w:val="0"/>
                      <w:szCs w:val="21"/>
                    </w:rPr>
                  </w:pPr>
                  <w:r>
                    <w:rPr>
                      <w:rFonts w:hint="eastAsia"/>
                      <w:kern w:val="0"/>
                      <w:szCs w:val="21"/>
                    </w:rPr>
                    <w:t>建设项目依托一期已建污水处理站处理污水。采用雨污分流制，近期污水处理后回用于绿化；远期排入滇池南岸截污管网最终进入淤泥河水质净化厂。</w:t>
                  </w:r>
                </w:p>
              </w:tc>
              <w:tc>
                <w:tcPr>
                  <w:tcW w:w="726" w:type="dxa"/>
                  <w:vAlign w:val="center"/>
                </w:tcPr>
                <w:p>
                  <w:pPr>
                    <w:autoSpaceDE w:val="0"/>
                    <w:autoSpaceDN w:val="0"/>
                    <w:adjustRightInd w:val="0"/>
                    <w:ind w:left="105" w:leftChars="50" w:right="105" w:rightChars="50"/>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556" w:type="dxa"/>
                  <w:vMerge w:val="continue"/>
                  <w:vAlign w:val="center"/>
                </w:tcPr>
                <w:p>
                  <w:pPr>
                    <w:autoSpaceDE w:val="0"/>
                    <w:autoSpaceDN w:val="0"/>
                    <w:adjustRightInd w:val="0"/>
                    <w:ind w:left="105" w:leftChars="50" w:right="105" w:rightChars="50"/>
                    <w:jc w:val="center"/>
                    <w:rPr>
                      <w:kern w:val="0"/>
                      <w:szCs w:val="21"/>
                    </w:rPr>
                  </w:pPr>
                </w:p>
              </w:tc>
              <w:tc>
                <w:tcPr>
                  <w:tcW w:w="2626" w:type="dxa"/>
                  <w:vAlign w:val="center"/>
                </w:tcPr>
                <w:p>
                  <w:pPr>
                    <w:autoSpaceDE w:val="0"/>
                    <w:autoSpaceDN w:val="0"/>
                    <w:adjustRightInd w:val="0"/>
                    <w:ind w:left="105" w:leftChars="50" w:right="105" w:rightChars="50"/>
                    <w:jc w:val="left"/>
                    <w:rPr>
                      <w:kern w:val="0"/>
                      <w:szCs w:val="21"/>
                    </w:rPr>
                  </w:pPr>
                  <w:r>
                    <w:rPr>
                      <w:rFonts w:hint="eastAsia"/>
                      <w:kern w:val="0"/>
                      <w:szCs w:val="21"/>
                    </w:rPr>
                    <w:t>④滇池流域禁止引进不符合《云南省滇池保护条例》（2013年1月1日实施）相关规定的企业入驻。</w:t>
                  </w:r>
                </w:p>
              </w:tc>
              <w:tc>
                <w:tcPr>
                  <w:tcW w:w="2563" w:type="dxa"/>
                  <w:vAlign w:val="center"/>
                </w:tcPr>
                <w:p>
                  <w:pPr>
                    <w:autoSpaceDE w:val="0"/>
                    <w:autoSpaceDN w:val="0"/>
                    <w:adjustRightInd w:val="0"/>
                    <w:ind w:left="105" w:leftChars="50" w:right="105" w:rightChars="50"/>
                    <w:jc w:val="center"/>
                    <w:rPr>
                      <w:kern w:val="0"/>
                      <w:szCs w:val="21"/>
                    </w:rPr>
                  </w:pPr>
                  <w:r>
                    <w:rPr>
                      <w:rFonts w:hint="eastAsia"/>
                      <w:kern w:val="0"/>
                      <w:szCs w:val="21"/>
                    </w:rPr>
                    <w:t>建设项目满足现行《云南省滇池保护条例》相关规定</w:t>
                  </w:r>
                </w:p>
              </w:tc>
              <w:tc>
                <w:tcPr>
                  <w:tcW w:w="726" w:type="dxa"/>
                  <w:vAlign w:val="center"/>
                </w:tcPr>
                <w:p>
                  <w:pPr>
                    <w:autoSpaceDE w:val="0"/>
                    <w:autoSpaceDN w:val="0"/>
                    <w:adjustRightInd w:val="0"/>
                    <w:ind w:left="105" w:leftChars="50" w:right="105" w:rightChars="50"/>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556" w:type="dxa"/>
                  <w:vMerge w:val="restart"/>
                  <w:vAlign w:val="center"/>
                </w:tcPr>
                <w:p>
                  <w:pPr>
                    <w:autoSpaceDE w:val="0"/>
                    <w:autoSpaceDN w:val="0"/>
                    <w:adjustRightInd w:val="0"/>
                    <w:ind w:left="105" w:leftChars="50" w:right="105" w:rightChars="50"/>
                    <w:jc w:val="center"/>
                    <w:rPr>
                      <w:kern w:val="0"/>
                      <w:szCs w:val="21"/>
                    </w:rPr>
                  </w:pPr>
                  <w:r>
                    <w:rPr>
                      <w:rFonts w:hint="eastAsia"/>
                      <w:kern w:val="0"/>
                      <w:szCs w:val="21"/>
                    </w:rPr>
                    <w:t>声环境污染防治措施及要求</w:t>
                  </w:r>
                </w:p>
              </w:tc>
              <w:tc>
                <w:tcPr>
                  <w:tcW w:w="2626" w:type="dxa"/>
                  <w:vAlign w:val="center"/>
                </w:tcPr>
                <w:p>
                  <w:pPr>
                    <w:autoSpaceDE w:val="0"/>
                    <w:autoSpaceDN w:val="0"/>
                    <w:adjustRightInd w:val="0"/>
                    <w:ind w:left="105" w:leftChars="50" w:right="105" w:rightChars="50"/>
                    <w:jc w:val="left"/>
                    <w:rPr>
                      <w:kern w:val="0"/>
                      <w:szCs w:val="21"/>
                    </w:rPr>
                  </w:pPr>
                  <w:r>
                    <w:rPr>
                      <w:rFonts w:hint="eastAsia"/>
                      <w:kern w:val="0"/>
                      <w:szCs w:val="21"/>
                    </w:rPr>
                    <w:t>①为确保园区边界噪声达标排放，园区应加强监督管理，督促入驻园区的企业进行噪声治理，确保其厂界噪声达标排放，并通过对企业进行合理布局，将噪声较大的企业布置在远离园区边界和园区内村庄等噪声敏感目标的地方。</w:t>
                  </w:r>
                </w:p>
              </w:tc>
              <w:tc>
                <w:tcPr>
                  <w:tcW w:w="2563" w:type="dxa"/>
                  <w:vAlign w:val="center"/>
                </w:tcPr>
                <w:p>
                  <w:pPr>
                    <w:autoSpaceDE w:val="0"/>
                    <w:autoSpaceDN w:val="0"/>
                    <w:adjustRightInd w:val="0"/>
                    <w:ind w:left="105" w:leftChars="50" w:right="105" w:rightChars="50"/>
                    <w:jc w:val="center"/>
                    <w:rPr>
                      <w:kern w:val="0"/>
                      <w:szCs w:val="21"/>
                    </w:rPr>
                  </w:pPr>
                  <w:r>
                    <w:rPr>
                      <w:rFonts w:hint="eastAsia"/>
                      <w:kern w:val="0"/>
                      <w:szCs w:val="21"/>
                    </w:rPr>
                    <w:t>建设项目均选用低噪声设备，厂区内对设备采取隔声、减振等措施，使项目噪声达标排放。</w:t>
                  </w:r>
                </w:p>
              </w:tc>
              <w:tc>
                <w:tcPr>
                  <w:tcW w:w="726" w:type="dxa"/>
                  <w:vAlign w:val="center"/>
                </w:tcPr>
                <w:p>
                  <w:pPr>
                    <w:autoSpaceDE w:val="0"/>
                    <w:autoSpaceDN w:val="0"/>
                    <w:adjustRightInd w:val="0"/>
                    <w:ind w:left="105" w:leftChars="50" w:right="105" w:rightChars="50"/>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556" w:type="dxa"/>
                  <w:vMerge w:val="continue"/>
                  <w:vAlign w:val="center"/>
                </w:tcPr>
                <w:p>
                  <w:pPr>
                    <w:autoSpaceDE w:val="0"/>
                    <w:autoSpaceDN w:val="0"/>
                    <w:adjustRightInd w:val="0"/>
                    <w:ind w:left="105" w:leftChars="50" w:right="105" w:rightChars="50"/>
                    <w:jc w:val="center"/>
                    <w:rPr>
                      <w:kern w:val="0"/>
                      <w:szCs w:val="21"/>
                    </w:rPr>
                  </w:pPr>
                </w:p>
              </w:tc>
              <w:tc>
                <w:tcPr>
                  <w:tcW w:w="2626" w:type="dxa"/>
                  <w:vAlign w:val="center"/>
                </w:tcPr>
                <w:p>
                  <w:pPr>
                    <w:autoSpaceDE w:val="0"/>
                    <w:autoSpaceDN w:val="0"/>
                    <w:adjustRightInd w:val="0"/>
                    <w:ind w:left="105" w:leftChars="50" w:right="105" w:rightChars="50"/>
                    <w:jc w:val="left"/>
                    <w:rPr>
                      <w:kern w:val="0"/>
                      <w:szCs w:val="21"/>
                    </w:rPr>
                  </w:pPr>
                  <w:r>
                    <w:rPr>
                      <w:rFonts w:hint="eastAsia"/>
                      <w:kern w:val="0"/>
                      <w:szCs w:val="21"/>
                    </w:rPr>
                    <w:t>②在村庄及居住区等噪声敏感目标与工业企业之间留出足够的退让距离，并在工业用地与居住区域之间设置绿化带。</w:t>
                  </w:r>
                </w:p>
              </w:tc>
              <w:tc>
                <w:tcPr>
                  <w:tcW w:w="2563" w:type="dxa"/>
                  <w:vAlign w:val="center"/>
                </w:tcPr>
                <w:p>
                  <w:pPr>
                    <w:autoSpaceDE w:val="0"/>
                    <w:autoSpaceDN w:val="0"/>
                    <w:adjustRightInd w:val="0"/>
                    <w:ind w:left="105" w:leftChars="50" w:right="105" w:rightChars="50"/>
                    <w:jc w:val="center"/>
                    <w:rPr>
                      <w:kern w:val="0"/>
                      <w:szCs w:val="21"/>
                    </w:rPr>
                  </w:pPr>
                  <w:r>
                    <w:rPr>
                      <w:rFonts w:hint="eastAsia"/>
                      <w:kern w:val="0"/>
                      <w:szCs w:val="21"/>
                    </w:rPr>
                    <w:t>建设项目厂界</w:t>
                  </w:r>
                  <w:r>
                    <w:rPr>
                      <w:color w:val="00B050"/>
                      <w:kern w:val="0"/>
                      <w:szCs w:val="21"/>
                    </w:rPr>
                    <w:t>7</w:t>
                  </w:r>
                  <w:r>
                    <w:rPr>
                      <w:rFonts w:hint="eastAsia"/>
                      <w:color w:val="00B050"/>
                      <w:kern w:val="0"/>
                      <w:szCs w:val="21"/>
                    </w:rPr>
                    <w:t>0m</w:t>
                  </w:r>
                  <w:r>
                    <w:rPr>
                      <w:rFonts w:hint="eastAsia"/>
                      <w:kern w:val="0"/>
                      <w:szCs w:val="21"/>
                    </w:rPr>
                    <w:t>范围内无噪声敏感点。</w:t>
                  </w:r>
                </w:p>
              </w:tc>
              <w:tc>
                <w:tcPr>
                  <w:tcW w:w="726" w:type="dxa"/>
                  <w:vAlign w:val="center"/>
                </w:tcPr>
                <w:p>
                  <w:pPr>
                    <w:autoSpaceDE w:val="0"/>
                    <w:autoSpaceDN w:val="0"/>
                    <w:adjustRightInd w:val="0"/>
                    <w:ind w:left="105" w:leftChars="50" w:right="105" w:rightChars="50"/>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556" w:type="dxa"/>
                  <w:vMerge w:val="restart"/>
                  <w:vAlign w:val="center"/>
                </w:tcPr>
                <w:p>
                  <w:pPr>
                    <w:autoSpaceDE w:val="0"/>
                    <w:autoSpaceDN w:val="0"/>
                    <w:adjustRightInd w:val="0"/>
                    <w:ind w:left="105" w:leftChars="50" w:right="105" w:rightChars="50"/>
                    <w:jc w:val="center"/>
                    <w:rPr>
                      <w:kern w:val="0"/>
                      <w:szCs w:val="21"/>
                    </w:rPr>
                  </w:pPr>
                  <w:r>
                    <w:rPr>
                      <w:rFonts w:hint="eastAsia"/>
                      <w:kern w:val="0"/>
                      <w:szCs w:val="21"/>
                    </w:rPr>
                    <w:t>固废污染防治措施及要求</w:t>
                  </w:r>
                </w:p>
              </w:tc>
              <w:tc>
                <w:tcPr>
                  <w:tcW w:w="2626" w:type="dxa"/>
                  <w:vAlign w:val="center"/>
                </w:tcPr>
                <w:p>
                  <w:pPr>
                    <w:autoSpaceDE w:val="0"/>
                    <w:autoSpaceDN w:val="0"/>
                    <w:adjustRightInd w:val="0"/>
                    <w:ind w:left="105" w:leftChars="50" w:right="105" w:rightChars="50"/>
                    <w:jc w:val="left"/>
                    <w:rPr>
                      <w:kern w:val="0"/>
                      <w:szCs w:val="21"/>
                    </w:rPr>
                  </w:pPr>
                  <w:r>
                    <w:rPr>
                      <w:rFonts w:hint="eastAsia"/>
                      <w:kern w:val="0"/>
                      <w:szCs w:val="21"/>
                    </w:rPr>
                    <w:t>①园区应注意引进各片区以主导产业及固废产生量大产业的固体废物为原料的下游产业，以便形成完善的产业链，使园区内产生的工业固体废物得到最大限度的综合利用。</w:t>
                  </w:r>
                </w:p>
              </w:tc>
              <w:tc>
                <w:tcPr>
                  <w:tcW w:w="2563" w:type="dxa"/>
                  <w:vAlign w:val="center"/>
                </w:tcPr>
                <w:p>
                  <w:pPr>
                    <w:autoSpaceDE w:val="0"/>
                    <w:autoSpaceDN w:val="0"/>
                    <w:adjustRightInd w:val="0"/>
                    <w:ind w:left="105" w:leftChars="50" w:right="105" w:rightChars="50"/>
                    <w:jc w:val="center"/>
                    <w:rPr>
                      <w:kern w:val="0"/>
                      <w:szCs w:val="21"/>
                    </w:rPr>
                  </w:pPr>
                  <w:r>
                    <w:rPr>
                      <w:rFonts w:hint="eastAsia"/>
                      <w:kern w:val="0"/>
                      <w:szCs w:val="21"/>
                    </w:rPr>
                    <w:t>—</w:t>
                  </w:r>
                </w:p>
              </w:tc>
              <w:tc>
                <w:tcPr>
                  <w:tcW w:w="726" w:type="dxa"/>
                  <w:vAlign w:val="center"/>
                </w:tcPr>
                <w:p>
                  <w:pPr>
                    <w:autoSpaceDE w:val="0"/>
                    <w:autoSpaceDN w:val="0"/>
                    <w:adjustRightInd w:val="0"/>
                    <w:ind w:left="105" w:leftChars="50" w:right="105" w:rightChars="50"/>
                    <w:jc w:val="center"/>
                    <w:rPr>
                      <w:kern w:val="0"/>
                      <w:szCs w:val="21"/>
                    </w:rPr>
                  </w:pPr>
                  <w:r>
                    <w:rPr>
                      <w:rFonts w:hint="eastAsia"/>
                      <w:kern w:val="0"/>
                      <w:szCs w:val="21"/>
                    </w:rPr>
                    <w:t>视为符合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556" w:type="dxa"/>
                  <w:vMerge w:val="continue"/>
                  <w:vAlign w:val="center"/>
                </w:tcPr>
                <w:p>
                  <w:pPr>
                    <w:autoSpaceDE w:val="0"/>
                    <w:autoSpaceDN w:val="0"/>
                    <w:adjustRightInd w:val="0"/>
                    <w:ind w:left="105" w:leftChars="50" w:right="105" w:rightChars="50"/>
                    <w:jc w:val="center"/>
                    <w:rPr>
                      <w:kern w:val="0"/>
                      <w:szCs w:val="21"/>
                    </w:rPr>
                  </w:pPr>
                </w:p>
              </w:tc>
              <w:tc>
                <w:tcPr>
                  <w:tcW w:w="2626" w:type="dxa"/>
                  <w:vAlign w:val="center"/>
                </w:tcPr>
                <w:p>
                  <w:pPr>
                    <w:autoSpaceDE w:val="0"/>
                    <w:autoSpaceDN w:val="0"/>
                    <w:adjustRightInd w:val="0"/>
                    <w:ind w:left="105" w:leftChars="50" w:right="105" w:rightChars="50"/>
                    <w:jc w:val="left"/>
                    <w:rPr>
                      <w:kern w:val="0"/>
                      <w:szCs w:val="21"/>
                    </w:rPr>
                  </w:pPr>
                  <w:r>
                    <w:rPr>
                      <w:rFonts w:hint="eastAsia"/>
                      <w:kern w:val="0"/>
                      <w:szCs w:val="21"/>
                    </w:rPr>
                    <w:t>②对于危险固废，需要按《危险废物贮存污染控制标准》（GB18597-2001）的要求进行贮存，委托昆明市危险废物中心处理；目前不能处置的废物，应在项目内妥善贮存。</w:t>
                  </w:r>
                </w:p>
              </w:tc>
              <w:tc>
                <w:tcPr>
                  <w:tcW w:w="2563" w:type="dxa"/>
                  <w:vAlign w:val="center"/>
                </w:tcPr>
                <w:p>
                  <w:pPr>
                    <w:autoSpaceDE w:val="0"/>
                    <w:autoSpaceDN w:val="0"/>
                    <w:adjustRightInd w:val="0"/>
                    <w:ind w:left="105" w:leftChars="50" w:right="105" w:rightChars="50"/>
                    <w:jc w:val="center"/>
                    <w:rPr>
                      <w:kern w:val="0"/>
                      <w:szCs w:val="21"/>
                    </w:rPr>
                  </w:pPr>
                  <w:r>
                    <w:rPr>
                      <w:rFonts w:hint="eastAsia"/>
                      <w:kern w:val="0"/>
                      <w:szCs w:val="21"/>
                    </w:rPr>
                    <w:t>本项目所产危废主要为废机油，厂内设危废暂存间，并最终委托有资质单位处置。</w:t>
                  </w:r>
                </w:p>
              </w:tc>
              <w:tc>
                <w:tcPr>
                  <w:tcW w:w="726" w:type="dxa"/>
                  <w:vAlign w:val="center"/>
                </w:tcPr>
                <w:p>
                  <w:pPr>
                    <w:autoSpaceDE w:val="0"/>
                    <w:autoSpaceDN w:val="0"/>
                    <w:adjustRightInd w:val="0"/>
                    <w:ind w:left="105" w:leftChars="50" w:right="105" w:rightChars="50"/>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556" w:type="dxa"/>
                  <w:vMerge w:val="continue"/>
                  <w:vAlign w:val="center"/>
                </w:tcPr>
                <w:p>
                  <w:pPr>
                    <w:autoSpaceDE w:val="0"/>
                    <w:autoSpaceDN w:val="0"/>
                    <w:adjustRightInd w:val="0"/>
                    <w:ind w:left="105" w:leftChars="50" w:right="105" w:rightChars="50"/>
                    <w:jc w:val="center"/>
                    <w:rPr>
                      <w:kern w:val="0"/>
                      <w:szCs w:val="21"/>
                    </w:rPr>
                  </w:pPr>
                </w:p>
              </w:tc>
              <w:tc>
                <w:tcPr>
                  <w:tcW w:w="2626" w:type="dxa"/>
                  <w:vAlign w:val="center"/>
                </w:tcPr>
                <w:p>
                  <w:pPr>
                    <w:autoSpaceDE w:val="0"/>
                    <w:autoSpaceDN w:val="0"/>
                    <w:adjustRightInd w:val="0"/>
                    <w:ind w:left="105" w:leftChars="50" w:right="105" w:rightChars="50"/>
                    <w:jc w:val="left"/>
                    <w:rPr>
                      <w:kern w:val="0"/>
                      <w:szCs w:val="21"/>
                    </w:rPr>
                  </w:pPr>
                  <w:r>
                    <w:rPr>
                      <w:rFonts w:hint="eastAsia"/>
                      <w:kern w:val="0"/>
                      <w:szCs w:val="21"/>
                    </w:rPr>
                    <w:t>③大力推行循环经济和清洁生产，从源头减少工业固体废物的产生量。把好工业园区的入园门槛，避免生产工艺落后、高污染的排污大户进入园区。</w:t>
                  </w:r>
                </w:p>
              </w:tc>
              <w:tc>
                <w:tcPr>
                  <w:tcW w:w="2563" w:type="dxa"/>
                  <w:vAlign w:val="center"/>
                </w:tcPr>
                <w:p>
                  <w:pPr>
                    <w:autoSpaceDE w:val="0"/>
                    <w:autoSpaceDN w:val="0"/>
                    <w:adjustRightInd w:val="0"/>
                    <w:ind w:left="105" w:leftChars="50" w:right="105" w:rightChars="50"/>
                    <w:jc w:val="center"/>
                    <w:rPr>
                      <w:kern w:val="0"/>
                      <w:szCs w:val="21"/>
                    </w:rPr>
                  </w:pPr>
                  <w:r>
                    <w:rPr>
                      <w:rFonts w:hint="eastAsia"/>
                      <w:kern w:val="0"/>
                      <w:szCs w:val="21"/>
                    </w:rPr>
                    <w:t>建设项目将不断提高其清洁生产水平。</w:t>
                  </w:r>
                </w:p>
              </w:tc>
              <w:tc>
                <w:tcPr>
                  <w:tcW w:w="726" w:type="dxa"/>
                  <w:vAlign w:val="center"/>
                </w:tcPr>
                <w:p>
                  <w:pPr>
                    <w:autoSpaceDE w:val="0"/>
                    <w:autoSpaceDN w:val="0"/>
                    <w:adjustRightInd w:val="0"/>
                    <w:ind w:left="105" w:leftChars="50" w:right="105" w:rightChars="50"/>
                    <w:jc w:val="center"/>
                    <w:rPr>
                      <w:kern w:val="0"/>
                      <w:szCs w:val="21"/>
                    </w:rPr>
                  </w:pPr>
                  <w:r>
                    <w:rPr>
                      <w:rFonts w:hint="eastAsia"/>
                      <w:kern w:val="0"/>
                      <w:szCs w:val="21"/>
                    </w:rPr>
                    <w:t>符合</w:t>
                  </w:r>
                </w:p>
              </w:tc>
            </w:tr>
          </w:tbl>
          <w:p>
            <w:pPr>
              <w:autoSpaceDE w:val="0"/>
              <w:autoSpaceDN w:val="0"/>
              <w:adjustRightInd w:val="0"/>
              <w:spacing w:line="360" w:lineRule="auto"/>
              <w:ind w:left="105" w:leftChars="50" w:right="105" w:rightChars="50" w:firstLine="480" w:firstLineChars="200"/>
              <w:jc w:val="left"/>
              <w:rPr>
                <w:kern w:val="0"/>
                <w:sz w:val="24"/>
              </w:rPr>
            </w:pPr>
            <w:r>
              <w:rPr>
                <w:rFonts w:hint="eastAsia"/>
                <w:kern w:val="0"/>
                <w:sz w:val="24"/>
              </w:rPr>
              <w:t>根据上表分析可知，建设项目符合《晋宁工业园区总体规划修编（2012-2030）环境影响报告书》审查意见要求。</w:t>
            </w:r>
          </w:p>
          <w:p>
            <w:pPr>
              <w:autoSpaceDE w:val="0"/>
              <w:autoSpaceDN w:val="0"/>
              <w:adjustRightInd w:val="0"/>
              <w:snapToGrid w:val="0"/>
              <w:spacing w:line="360" w:lineRule="auto"/>
              <w:ind w:firstLine="480" w:firstLineChars="200"/>
              <w:rPr>
                <w:kern w:val="0"/>
                <w:sz w:val="24"/>
              </w:rPr>
            </w:pPr>
            <w:r>
              <w:rPr>
                <w:rFonts w:hint="eastAsia"/>
                <w:kern w:val="0"/>
                <w:sz w:val="24"/>
              </w:rPr>
              <w:t>综上，建设项目符合《云南晋宁工业园区总体规划修编（2012-2030）环境影响报告书》规划原则、入园环保要求及规划环评审查意见相关要求。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691" w:type="dxa"/>
            <w:vAlign w:val="center"/>
          </w:tcPr>
          <w:p>
            <w:pPr>
              <w:autoSpaceDE w:val="0"/>
              <w:autoSpaceDN w:val="0"/>
              <w:adjustRightInd w:val="0"/>
              <w:snapToGrid w:val="0"/>
              <w:jc w:val="center"/>
              <w:rPr>
                <w:kern w:val="0"/>
                <w:sz w:val="24"/>
              </w:rPr>
            </w:pPr>
            <w:r>
              <w:rPr>
                <w:kern w:val="0"/>
                <w:sz w:val="24"/>
              </w:rPr>
              <w:t>其他符合性分析</w:t>
            </w:r>
          </w:p>
        </w:tc>
        <w:tc>
          <w:tcPr>
            <w:tcW w:w="7179" w:type="dxa"/>
            <w:gridSpan w:val="3"/>
            <w:vAlign w:val="center"/>
          </w:tcPr>
          <w:p>
            <w:pPr>
              <w:autoSpaceDE w:val="0"/>
              <w:autoSpaceDN w:val="0"/>
              <w:adjustRightInd w:val="0"/>
              <w:snapToGrid w:val="0"/>
              <w:spacing w:line="360" w:lineRule="auto"/>
              <w:jc w:val="left"/>
              <w:rPr>
                <w:sz w:val="24"/>
              </w:rPr>
            </w:pPr>
            <w:r>
              <w:rPr>
                <w:kern w:val="0"/>
                <w:sz w:val="24"/>
              </w:rPr>
              <w:t>一、选址可行性分析</w:t>
            </w:r>
          </w:p>
          <w:p>
            <w:pPr>
              <w:autoSpaceDE w:val="0"/>
              <w:autoSpaceDN w:val="0"/>
              <w:adjustRightInd w:val="0"/>
              <w:snapToGrid w:val="0"/>
              <w:spacing w:line="360" w:lineRule="auto"/>
              <w:ind w:firstLine="480" w:firstLineChars="200"/>
              <w:jc w:val="left"/>
              <w:rPr>
                <w:kern w:val="0"/>
                <w:sz w:val="24"/>
              </w:rPr>
            </w:pPr>
            <w:r>
              <w:rPr>
                <w:kern w:val="0"/>
                <w:sz w:val="24"/>
              </w:rPr>
              <w:t>本项目选址</w:t>
            </w:r>
            <w:r>
              <w:rPr>
                <w:rFonts w:hint="eastAsia"/>
                <w:kern w:val="0"/>
                <w:sz w:val="24"/>
              </w:rPr>
              <w:t>位于晋宁区晋宁工业园区晋城基地，</w:t>
            </w:r>
            <w:r>
              <w:rPr>
                <w:kern w:val="0"/>
                <w:sz w:val="24"/>
              </w:rPr>
              <w:t>不涉及国务院、国家有关部门和省（自治区、直辖市）、市、县级人民政府规定的生态保护区、自然保护区、文化遗产保护区、水源保护区，区内无国家规定的保护动植物。</w:t>
            </w:r>
          </w:p>
          <w:p>
            <w:pPr>
              <w:autoSpaceDE w:val="0"/>
              <w:autoSpaceDN w:val="0"/>
              <w:adjustRightInd w:val="0"/>
              <w:snapToGrid w:val="0"/>
              <w:spacing w:line="360" w:lineRule="auto"/>
              <w:ind w:firstLine="480" w:firstLineChars="200"/>
              <w:jc w:val="left"/>
              <w:rPr>
                <w:kern w:val="0"/>
                <w:sz w:val="24"/>
              </w:rPr>
            </w:pPr>
            <w:r>
              <w:rPr>
                <w:kern w:val="0"/>
                <w:sz w:val="24"/>
              </w:rPr>
              <w:t>根据</w:t>
            </w:r>
            <w:r>
              <w:rPr>
                <w:rFonts w:hint="eastAsia"/>
                <w:kern w:val="0"/>
                <w:sz w:val="24"/>
              </w:rPr>
              <w:t>现场踏勘</w:t>
            </w:r>
            <w:r>
              <w:rPr>
                <w:kern w:val="0"/>
                <w:sz w:val="24"/>
              </w:rPr>
              <w:t>，项目所在地大气环境质量和声环境质量均符合功能区要求；项目建设场址地势平坦，地质构造稳定，无不良地质现象，符合工程建设需要。</w:t>
            </w:r>
          </w:p>
          <w:p>
            <w:pPr>
              <w:autoSpaceDE w:val="0"/>
              <w:autoSpaceDN w:val="0"/>
              <w:adjustRightInd w:val="0"/>
              <w:snapToGrid w:val="0"/>
              <w:spacing w:line="360" w:lineRule="auto"/>
              <w:ind w:firstLine="480" w:firstLineChars="200"/>
              <w:jc w:val="left"/>
              <w:rPr>
                <w:kern w:val="0"/>
                <w:sz w:val="24"/>
              </w:rPr>
            </w:pPr>
            <w:r>
              <w:rPr>
                <w:kern w:val="0"/>
                <w:sz w:val="24"/>
              </w:rPr>
              <w:t>综上所述，项目</w:t>
            </w:r>
            <w:r>
              <w:rPr>
                <w:rFonts w:hint="eastAsia"/>
                <w:kern w:val="0"/>
                <w:sz w:val="24"/>
              </w:rPr>
              <w:t>的</w:t>
            </w:r>
            <w:r>
              <w:rPr>
                <w:kern w:val="0"/>
                <w:sz w:val="24"/>
              </w:rPr>
              <w:t>选址</w:t>
            </w:r>
            <w:r>
              <w:rPr>
                <w:rFonts w:hint="eastAsia"/>
                <w:kern w:val="0"/>
                <w:sz w:val="24"/>
              </w:rPr>
              <w:t>可行</w:t>
            </w:r>
            <w:r>
              <w:rPr>
                <w:kern w:val="0"/>
                <w:sz w:val="24"/>
              </w:rPr>
              <w:t>。</w:t>
            </w:r>
          </w:p>
          <w:p>
            <w:pPr>
              <w:autoSpaceDE w:val="0"/>
              <w:autoSpaceDN w:val="0"/>
              <w:adjustRightInd w:val="0"/>
              <w:snapToGrid w:val="0"/>
              <w:spacing w:line="360" w:lineRule="auto"/>
              <w:jc w:val="left"/>
              <w:rPr>
                <w:kern w:val="0"/>
                <w:sz w:val="24"/>
              </w:rPr>
            </w:pPr>
            <w:r>
              <w:rPr>
                <w:rFonts w:hint="eastAsia"/>
                <w:kern w:val="0"/>
                <w:sz w:val="24"/>
              </w:rPr>
              <w:t>二</w:t>
            </w:r>
            <w:r>
              <w:rPr>
                <w:kern w:val="0"/>
                <w:sz w:val="24"/>
              </w:rPr>
              <w:t>、产业政策符合性分析</w:t>
            </w:r>
          </w:p>
          <w:p>
            <w:pPr>
              <w:autoSpaceDE w:val="0"/>
              <w:autoSpaceDN w:val="0"/>
              <w:adjustRightInd w:val="0"/>
              <w:snapToGrid w:val="0"/>
              <w:spacing w:line="360" w:lineRule="auto"/>
              <w:jc w:val="left"/>
              <w:rPr>
                <w:kern w:val="0"/>
                <w:sz w:val="24"/>
              </w:rPr>
            </w:pPr>
            <w:r>
              <w:rPr>
                <w:kern w:val="0"/>
                <w:sz w:val="24"/>
              </w:rPr>
              <w:t xml:space="preserve">   </w:t>
            </w:r>
            <w:r>
              <w:rPr>
                <w:rFonts w:hint="eastAsia"/>
                <w:kern w:val="0"/>
                <w:sz w:val="24"/>
              </w:rPr>
              <w:t>项目为铁路、船舶、航空航天等运输设备修理项目，属于《产业结构调整指导目录</w:t>
            </w:r>
            <w:r>
              <w:rPr>
                <w:kern w:val="0"/>
                <w:sz w:val="24"/>
              </w:rPr>
              <w:t>(2019</w:t>
            </w:r>
            <w:r>
              <w:rPr>
                <w:rFonts w:hint="eastAsia"/>
                <w:kern w:val="0"/>
                <w:sz w:val="24"/>
              </w:rPr>
              <w:t>年本</w:t>
            </w:r>
            <w:r>
              <w:rPr>
                <w:kern w:val="0"/>
                <w:sz w:val="24"/>
              </w:rPr>
              <w:t>)</w:t>
            </w:r>
            <w:r>
              <w:rPr>
                <w:rFonts w:hint="eastAsia"/>
                <w:kern w:val="0"/>
                <w:sz w:val="24"/>
              </w:rPr>
              <w:t>》鼓励类项目，为国家鼓励建设的项目，符合国家产业政策。</w:t>
            </w:r>
          </w:p>
          <w:p>
            <w:pPr>
              <w:autoSpaceDE w:val="0"/>
              <w:autoSpaceDN w:val="0"/>
              <w:adjustRightInd w:val="0"/>
              <w:snapToGrid w:val="0"/>
              <w:spacing w:line="360" w:lineRule="auto"/>
              <w:jc w:val="left"/>
              <w:rPr>
                <w:kern w:val="0"/>
                <w:sz w:val="24"/>
              </w:rPr>
            </w:pPr>
            <w:r>
              <w:rPr>
                <w:rFonts w:hint="eastAsia"/>
                <w:kern w:val="0"/>
                <w:sz w:val="24"/>
              </w:rPr>
              <w:t>三</w:t>
            </w:r>
            <w:r>
              <w:rPr>
                <w:kern w:val="0"/>
                <w:sz w:val="24"/>
              </w:rPr>
              <w:t>、布局合理性分析</w:t>
            </w:r>
          </w:p>
          <w:p>
            <w:pPr>
              <w:autoSpaceDE w:val="0"/>
              <w:autoSpaceDN w:val="0"/>
              <w:adjustRightInd w:val="0"/>
              <w:snapToGrid w:val="0"/>
              <w:spacing w:line="360" w:lineRule="auto"/>
              <w:ind w:firstLine="480" w:firstLineChars="200"/>
              <w:jc w:val="left"/>
              <w:rPr>
                <w:kern w:val="0"/>
                <w:sz w:val="24"/>
              </w:rPr>
            </w:pPr>
            <w:r>
              <w:rPr>
                <w:kern w:val="0"/>
                <w:sz w:val="24"/>
              </w:rPr>
              <w:t>项目</w:t>
            </w:r>
            <w:r>
              <w:rPr>
                <w:rFonts w:hint="eastAsia"/>
                <w:kern w:val="0"/>
                <w:sz w:val="24"/>
              </w:rPr>
              <w:t>整体位于一期项目内预留用地上</w:t>
            </w:r>
            <w:r>
              <w:rPr>
                <w:kern w:val="0"/>
                <w:sz w:val="24"/>
              </w:rPr>
              <w:t>，化粪池</w:t>
            </w:r>
            <w:r>
              <w:rPr>
                <w:rFonts w:hint="eastAsia"/>
                <w:kern w:val="0"/>
                <w:sz w:val="24"/>
              </w:rPr>
              <w:t>为地埋式，</w:t>
            </w:r>
            <w:r>
              <w:rPr>
                <w:kern w:val="0"/>
                <w:sz w:val="24"/>
              </w:rPr>
              <w:t>污水处理站</w:t>
            </w:r>
            <w:r>
              <w:rPr>
                <w:rFonts w:hint="eastAsia"/>
                <w:kern w:val="0"/>
                <w:sz w:val="24"/>
              </w:rPr>
              <w:t>为地下</w:t>
            </w:r>
            <w:r>
              <w:rPr>
                <w:kern w:val="0"/>
                <w:sz w:val="24"/>
              </w:rPr>
              <w:t>式</w:t>
            </w:r>
            <w:r>
              <w:rPr>
                <w:rFonts w:hint="eastAsia"/>
                <w:kern w:val="0"/>
                <w:sz w:val="24"/>
              </w:rPr>
              <w:t>，化粪池及污水处理站产生的异味经绿化带吸收，对项目区及周边区域的影响小；备用发电机设置在专门的房间，并配备消声器及</w:t>
            </w:r>
            <w:r>
              <w:rPr>
                <w:kern w:val="0"/>
                <w:sz w:val="24"/>
              </w:rPr>
              <w:t>废气过滤棉</w:t>
            </w:r>
            <w:r>
              <w:rPr>
                <w:rFonts w:hint="eastAsia"/>
                <w:kern w:val="0"/>
                <w:sz w:val="24"/>
              </w:rPr>
              <w:t>，废气经处理后对周边环境影响小。</w:t>
            </w:r>
            <w:r>
              <w:rPr>
                <w:kern w:val="0"/>
                <w:sz w:val="24"/>
              </w:rPr>
              <w:t>垃圾收集</w:t>
            </w:r>
            <w:r>
              <w:rPr>
                <w:rFonts w:hint="eastAsia"/>
                <w:kern w:val="0"/>
                <w:sz w:val="24"/>
              </w:rPr>
              <w:t>桶</w:t>
            </w:r>
            <w:r>
              <w:rPr>
                <w:kern w:val="0"/>
                <w:sz w:val="24"/>
              </w:rPr>
              <w:t>和</w:t>
            </w:r>
            <w:r>
              <w:rPr>
                <w:rFonts w:hint="eastAsia"/>
                <w:kern w:val="0"/>
                <w:sz w:val="24"/>
              </w:rPr>
              <w:t>医</w:t>
            </w:r>
            <w:r>
              <w:rPr>
                <w:kern w:val="0"/>
                <w:sz w:val="24"/>
              </w:rPr>
              <w:t>废暂存间分开布置，实现医疗垃圾和生活垃圾分开处理的原则</w:t>
            </w:r>
            <w:r>
              <w:rPr>
                <w:rFonts w:hint="eastAsia"/>
                <w:kern w:val="0"/>
                <w:sz w:val="24"/>
              </w:rPr>
              <w:t>，医疗垃圾处置更加符合规范</w:t>
            </w:r>
            <w:r>
              <w:rPr>
                <w:kern w:val="0"/>
                <w:sz w:val="24"/>
              </w:rPr>
              <w:t>。总体来说</w:t>
            </w:r>
            <w:r>
              <w:rPr>
                <w:rFonts w:hint="eastAsia"/>
                <w:kern w:val="0"/>
                <w:sz w:val="24"/>
              </w:rPr>
              <w:t>，对项目本身及周边环境保护敏感目标影响较小</w:t>
            </w:r>
            <w:r>
              <w:rPr>
                <w:kern w:val="0"/>
                <w:sz w:val="24"/>
              </w:rPr>
              <w:t>。</w:t>
            </w:r>
          </w:p>
          <w:p>
            <w:pPr>
              <w:autoSpaceDE w:val="0"/>
              <w:autoSpaceDN w:val="0"/>
              <w:adjustRightInd w:val="0"/>
              <w:snapToGrid w:val="0"/>
              <w:spacing w:line="360" w:lineRule="auto"/>
              <w:ind w:firstLine="480" w:firstLineChars="200"/>
              <w:jc w:val="left"/>
              <w:rPr>
                <w:kern w:val="0"/>
                <w:sz w:val="24"/>
              </w:rPr>
            </w:pPr>
            <w:r>
              <w:rPr>
                <w:kern w:val="0"/>
                <w:sz w:val="24"/>
              </w:rPr>
              <w:t>综上所述，项目</w:t>
            </w:r>
            <w:r>
              <w:rPr>
                <w:rFonts w:hint="eastAsia"/>
                <w:kern w:val="0"/>
                <w:sz w:val="24"/>
              </w:rPr>
              <w:t>的总平面布置基本</w:t>
            </w:r>
            <w:r>
              <w:rPr>
                <w:kern w:val="0"/>
                <w:sz w:val="24"/>
              </w:rPr>
              <w:t>合理。</w:t>
            </w:r>
          </w:p>
          <w:p>
            <w:pPr>
              <w:autoSpaceDE w:val="0"/>
              <w:autoSpaceDN w:val="0"/>
              <w:adjustRightInd w:val="0"/>
              <w:snapToGrid w:val="0"/>
              <w:spacing w:line="360" w:lineRule="auto"/>
              <w:jc w:val="left"/>
              <w:rPr>
                <w:kern w:val="0"/>
                <w:sz w:val="24"/>
              </w:rPr>
            </w:pPr>
            <w:r>
              <w:rPr>
                <w:kern w:val="0"/>
                <w:sz w:val="24"/>
              </w:rPr>
              <w:t>四、</w:t>
            </w:r>
            <w:r>
              <w:rPr>
                <w:rFonts w:hint="eastAsia"/>
                <w:kern w:val="0"/>
                <w:sz w:val="24"/>
              </w:rPr>
              <w:t>与“三线一单”相符性分析</w:t>
            </w:r>
          </w:p>
          <w:p>
            <w:pPr>
              <w:autoSpaceDE w:val="0"/>
              <w:autoSpaceDN w:val="0"/>
              <w:adjustRightInd w:val="0"/>
              <w:snapToGrid w:val="0"/>
              <w:spacing w:line="360" w:lineRule="auto"/>
              <w:ind w:firstLine="480" w:firstLineChars="200"/>
              <w:jc w:val="left"/>
              <w:rPr>
                <w:kern w:val="0"/>
                <w:sz w:val="24"/>
              </w:rPr>
            </w:pPr>
            <w:r>
              <w:rPr>
                <w:rFonts w:hint="eastAsia"/>
                <w:kern w:val="0"/>
                <w:sz w:val="24"/>
              </w:rPr>
              <w:t>（1）生态保护红线</w:t>
            </w:r>
          </w:p>
          <w:p>
            <w:pPr>
              <w:autoSpaceDE w:val="0"/>
              <w:autoSpaceDN w:val="0"/>
              <w:adjustRightInd w:val="0"/>
              <w:snapToGrid w:val="0"/>
              <w:spacing w:line="360" w:lineRule="auto"/>
              <w:ind w:firstLine="480" w:firstLineChars="200"/>
              <w:jc w:val="left"/>
              <w:rPr>
                <w:kern w:val="0"/>
                <w:sz w:val="24"/>
              </w:rPr>
            </w:pPr>
            <w:r>
              <w:rPr>
                <w:rFonts w:hint="eastAsia"/>
                <w:kern w:val="0"/>
                <w:sz w:val="24"/>
              </w:rPr>
              <w:t>项目厂址位于晋宁工业园区晋城基地内，占地为工业建设用地，不在敏感生态功能区范围内，不在当地饮用水水源地、风景名声区、自然保护区等生态保护区内，评价区域无珍稀动植物分布。项目选址符合园区总体规划，不在云南省生态保护红线范围内。</w:t>
            </w:r>
          </w:p>
          <w:p>
            <w:pPr>
              <w:autoSpaceDE w:val="0"/>
              <w:autoSpaceDN w:val="0"/>
              <w:adjustRightInd w:val="0"/>
              <w:snapToGrid w:val="0"/>
              <w:spacing w:line="360" w:lineRule="auto"/>
              <w:ind w:firstLine="480" w:firstLineChars="200"/>
              <w:jc w:val="left"/>
              <w:rPr>
                <w:kern w:val="0"/>
                <w:sz w:val="24"/>
              </w:rPr>
            </w:pPr>
            <w:bookmarkStart w:id="2" w:name="_Toc81343583"/>
            <w:r>
              <w:rPr>
                <w:rFonts w:hint="eastAsia"/>
                <w:kern w:val="0"/>
                <w:sz w:val="24"/>
              </w:rPr>
              <w:t>（2）</w:t>
            </w:r>
            <w:r>
              <w:rPr>
                <w:kern w:val="0"/>
                <w:sz w:val="24"/>
              </w:rPr>
              <w:t xml:space="preserve"> “三线一单”生态环境分区管控规划</w:t>
            </w:r>
            <w:bookmarkEnd w:id="2"/>
          </w:p>
          <w:p>
            <w:pPr>
              <w:autoSpaceDE w:val="0"/>
              <w:autoSpaceDN w:val="0"/>
              <w:adjustRightInd w:val="0"/>
              <w:snapToGrid w:val="0"/>
              <w:spacing w:line="360" w:lineRule="auto"/>
              <w:ind w:firstLine="480" w:firstLineChars="200"/>
              <w:jc w:val="left"/>
              <w:rPr>
                <w:kern w:val="0"/>
                <w:sz w:val="24"/>
              </w:rPr>
            </w:pPr>
            <w:r>
              <w:rPr>
                <w:kern w:val="0"/>
                <w:sz w:val="24"/>
              </w:rPr>
              <w:t>2021年11月25日，</w:t>
            </w:r>
            <w:r>
              <w:rPr>
                <w:rFonts w:hint="eastAsia"/>
                <w:kern w:val="0"/>
                <w:sz w:val="24"/>
              </w:rPr>
              <w:t>昆明市</w:t>
            </w:r>
            <w:r>
              <w:rPr>
                <w:kern w:val="0"/>
                <w:sz w:val="24"/>
              </w:rPr>
              <w:t>人民政府发布了《</w:t>
            </w:r>
            <w:r>
              <w:rPr>
                <w:rFonts w:hint="eastAsia"/>
                <w:kern w:val="0"/>
                <w:sz w:val="24"/>
              </w:rPr>
              <w:t>昆明市</w:t>
            </w:r>
            <w:r>
              <w:rPr>
                <w:kern w:val="0"/>
                <w:sz w:val="24"/>
              </w:rPr>
              <w:t>人民政府关于</w:t>
            </w:r>
            <w:r>
              <w:rPr>
                <w:rFonts w:hint="eastAsia"/>
                <w:kern w:val="0"/>
                <w:sz w:val="24"/>
              </w:rPr>
              <w:t>昆明市</w:t>
            </w:r>
            <w:r>
              <w:rPr>
                <w:kern w:val="0"/>
                <w:sz w:val="24"/>
              </w:rPr>
              <w:t>“三线一单”生态环境分区管控的</w:t>
            </w:r>
            <w:r>
              <w:rPr>
                <w:rFonts w:hint="eastAsia"/>
                <w:kern w:val="0"/>
                <w:sz w:val="24"/>
              </w:rPr>
              <w:t>实施</w:t>
            </w:r>
            <w:r>
              <w:rPr>
                <w:kern w:val="0"/>
                <w:sz w:val="24"/>
              </w:rPr>
              <w:t>意见》，根据</w:t>
            </w:r>
            <w:r>
              <w:rPr>
                <w:rFonts w:hint="eastAsia"/>
                <w:kern w:val="0"/>
                <w:sz w:val="24"/>
              </w:rPr>
              <w:t>昆明市</w:t>
            </w:r>
            <w:r>
              <w:rPr>
                <w:kern w:val="0"/>
                <w:sz w:val="24"/>
              </w:rPr>
              <w:t>环境管控单元分布图，</w:t>
            </w:r>
            <w:r>
              <w:rPr>
                <w:rFonts w:hint="eastAsia"/>
                <w:kern w:val="0"/>
                <w:sz w:val="24"/>
              </w:rPr>
              <w:t>厂址所在区域属于</w:t>
            </w:r>
            <w:r>
              <w:rPr>
                <w:kern w:val="0"/>
                <w:sz w:val="24"/>
              </w:rPr>
              <w:t>重点管控单元，</w:t>
            </w:r>
            <w:bookmarkStart w:id="3" w:name="_Hlk92888753"/>
            <w:r>
              <w:rPr>
                <w:kern w:val="0"/>
                <w:sz w:val="24"/>
              </w:rPr>
              <w:t>矿区生态环境分区管控规划见图1-1。</w:t>
            </w:r>
            <w:bookmarkEnd w:id="3"/>
          </w:p>
          <w:p>
            <w:pPr>
              <w:autoSpaceDE w:val="0"/>
              <w:autoSpaceDN w:val="0"/>
              <w:adjustRightInd w:val="0"/>
              <w:snapToGrid w:val="0"/>
              <w:spacing w:line="360" w:lineRule="auto"/>
              <w:ind w:firstLine="480" w:firstLineChars="200"/>
              <w:jc w:val="left"/>
              <w:rPr>
                <w:kern w:val="0"/>
                <w:sz w:val="24"/>
              </w:rPr>
            </w:pPr>
            <w:r>
              <w:rPr>
                <w:kern w:val="0"/>
                <w:sz w:val="24"/>
              </w:rPr>
              <w:t>优先保护单元：主要包括生态保护红线、自然保护区、湿地公园等各级各类保护地和生态用地，优先保护单元以生态保护为导向，依法禁止或限制大规模、高强度的开发建设活动，严守城市生态环境质量底线，确保生态环境功能不降低。</w:t>
            </w:r>
            <w:r>
              <w:rPr>
                <w:rFonts w:hint="eastAsia"/>
                <w:kern w:val="0"/>
                <w:sz w:val="24"/>
              </w:rPr>
              <w:t>昆明市划定的优先保护单元共42个，其中包括14个生态保护红线区、28个一般生态空间区。</w:t>
            </w:r>
          </w:p>
          <w:p>
            <w:pPr>
              <w:autoSpaceDE w:val="0"/>
              <w:autoSpaceDN w:val="0"/>
              <w:adjustRightInd w:val="0"/>
              <w:snapToGrid w:val="0"/>
              <w:spacing w:line="360" w:lineRule="auto"/>
              <w:ind w:firstLine="480" w:firstLineChars="200"/>
              <w:jc w:val="left"/>
              <w:rPr>
                <w:kern w:val="0"/>
                <w:sz w:val="24"/>
              </w:rPr>
            </w:pPr>
            <w:r>
              <w:rPr>
                <w:kern w:val="0"/>
                <w:sz w:val="24"/>
              </w:rPr>
              <w:t>重点管控单元：指涉及水、大气、土壤、自然资源等资源环境要素重点管控的区域，主要包括中心城区、城镇开发区、省级及以上产业园区等人为开发强度较大的区域。</w:t>
            </w:r>
            <w:r>
              <w:rPr>
                <w:rFonts w:hint="eastAsia"/>
                <w:kern w:val="0"/>
                <w:sz w:val="24"/>
              </w:rPr>
              <w:t>昆明市划定的重点管控单元共73个，其中包括14个矿山资源重点管控区、13个水环境城镇生活污染重点管控区、5个水环境农业污染重点管控区、2个大气环境受体敏感重点管控区、3个大气环境布局敏感重点管控区、2个大气环境弱扩散重点管控区、14个水环境城镇生活污染和大气环境受体敏感并重管控区、18个水环境工业污染和大气环境高排放并重管控区、2个土壤污染重点治理区。</w:t>
            </w:r>
          </w:p>
          <w:p>
            <w:pPr>
              <w:autoSpaceDE w:val="0"/>
              <w:autoSpaceDN w:val="0"/>
              <w:adjustRightInd w:val="0"/>
              <w:snapToGrid w:val="0"/>
              <w:spacing w:line="360" w:lineRule="auto"/>
              <w:ind w:firstLine="480" w:firstLineChars="200"/>
              <w:jc w:val="left"/>
              <w:rPr>
                <w:kern w:val="0"/>
                <w:sz w:val="24"/>
              </w:rPr>
            </w:pPr>
            <w:r>
              <w:rPr>
                <w:kern w:val="0"/>
                <w:sz w:val="24"/>
              </w:rPr>
              <w:t>一般管控单元：指除优先保护单元和重点管控单元以外的其他区域。</w:t>
            </w:r>
            <w:r>
              <w:rPr>
                <w:rFonts w:hint="eastAsia"/>
                <w:kern w:val="0"/>
                <w:sz w:val="24"/>
              </w:rPr>
              <w:t>昆明市划定的一般管控单元共14个，为优先保护、重点管控单元之外的区域。</w:t>
            </w:r>
          </w:p>
          <w:p>
            <w:pPr>
              <w:autoSpaceDE w:val="0"/>
              <w:autoSpaceDN w:val="0"/>
              <w:adjustRightInd w:val="0"/>
              <w:snapToGrid w:val="0"/>
              <w:spacing w:line="360" w:lineRule="auto"/>
              <w:ind w:firstLine="480" w:firstLineChars="200"/>
              <w:jc w:val="left"/>
              <w:rPr>
                <w:kern w:val="0"/>
                <w:sz w:val="24"/>
              </w:rPr>
            </w:pPr>
            <w:r>
              <w:rPr>
                <w:rFonts w:hint="eastAsia"/>
                <w:kern w:val="0"/>
                <w:sz w:val="24"/>
              </w:rPr>
              <w:t>（</w:t>
            </w:r>
            <w:r>
              <w:rPr>
                <w:kern w:val="0"/>
                <w:sz w:val="24"/>
              </w:rPr>
              <w:t>3</w:t>
            </w:r>
            <w:r>
              <w:rPr>
                <w:rFonts w:hint="eastAsia"/>
                <w:kern w:val="0"/>
                <w:sz w:val="24"/>
              </w:rPr>
              <w:t>）环境质量底线</w:t>
            </w:r>
          </w:p>
          <w:p>
            <w:pPr>
              <w:autoSpaceDE w:val="0"/>
              <w:autoSpaceDN w:val="0"/>
              <w:adjustRightInd w:val="0"/>
              <w:snapToGrid w:val="0"/>
              <w:spacing w:line="360" w:lineRule="auto"/>
              <w:ind w:firstLine="480" w:firstLineChars="200"/>
              <w:jc w:val="left"/>
              <w:rPr>
                <w:kern w:val="0"/>
                <w:sz w:val="24"/>
              </w:rPr>
            </w:pPr>
            <w:r>
              <w:rPr>
                <w:rFonts w:hint="eastAsia"/>
                <w:kern w:val="0"/>
                <w:sz w:val="24"/>
              </w:rPr>
              <w:t>根据昆明市“三线一单”编制成果，昆明市环境质量底线如下：</w:t>
            </w:r>
          </w:p>
          <w:p>
            <w:pPr>
              <w:autoSpaceDE w:val="0"/>
              <w:autoSpaceDN w:val="0"/>
              <w:adjustRightInd w:val="0"/>
              <w:snapToGrid w:val="0"/>
              <w:spacing w:line="360" w:lineRule="auto"/>
              <w:ind w:firstLine="480" w:firstLineChars="200"/>
              <w:jc w:val="left"/>
              <w:rPr>
                <w:kern w:val="0"/>
                <w:sz w:val="24"/>
              </w:rPr>
            </w:pPr>
            <w:r>
              <w:rPr>
                <w:kern w:val="0"/>
                <w:sz w:val="24"/>
              </w:rPr>
              <w:fldChar w:fldCharType="begin"/>
            </w:r>
            <w:r>
              <w:rPr>
                <w:kern w:val="0"/>
                <w:sz w:val="24"/>
              </w:rPr>
              <w:instrText xml:space="preserve"> </w:instrText>
            </w:r>
            <w:r>
              <w:rPr>
                <w:rFonts w:hint="eastAsia"/>
                <w:kern w:val="0"/>
                <w:sz w:val="24"/>
              </w:rPr>
              <w:instrText xml:space="preserve">= 1 \* GB3</w:instrText>
            </w:r>
            <w:r>
              <w:rPr>
                <w:kern w:val="0"/>
                <w:sz w:val="24"/>
              </w:rPr>
              <w:instrText xml:space="preserve"> </w:instrText>
            </w:r>
            <w:r>
              <w:rPr>
                <w:kern w:val="0"/>
                <w:sz w:val="24"/>
              </w:rPr>
              <w:fldChar w:fldCharType="separate"/>
            </w:r>
            <w:r>
              <w:rPr>
                <w:rFonts w:hint="eastAsia"/>
                <w:kern w:val="0"/>
                <w:sz w:val="24"/>
              </w:rPr>
              <w:t>①</w:t>
            </w:r>
            <w:r>
              <w:rPr>
                <w:kern w:val="0"/>
                <w:sz w:val="24"/>
                <w:lang w:val="zh-CN"/>
              </w:rPr>
              <w:fldChar w:fldCharType="end"/>
            </w:r>
            <w:r>
              <w:rPr>
                <w:rFonts w:hint="eastAsia"/>
                <w:kern w:val="0"/>
                <w:sz w:val="24"/>
              </w:rPr>
              <w:t>水环境质量底线。到2025年，纳入国家和省级考核的地表水监测断面水质优良率稳步提升，滇池流域、阳宗海流域水环境质量明显改善，水生态系统功能逐步恢复，滇池草海水质达Ⅳ类，滇池外海水质达Ⅳ类（化学需氧量≤40mg</w:t>
            </w:r>
            <w:r>
              <w:rPr>
                <w:kern w:val="0"/>
                <w:sz w:val="24"/>
              </w:rPr>
              <w:t>/L</w:t>
            </w:r>
            <w:r>
              <w:rPr>
                <w:rFonts w:hint="eastAsia"/>
                <w:kern w:val="0"/>
                <w:sz w:val="24"/>
              </w:rPr>
              <w:t>），阳宗海水质达Ⅲ类，集中式饮用水源水质巩固改善。</w:t>
            </w:r>
          </w:p>
          <w:p>
            <w:pPr>
              <w:autoSpaceDE w:val="0"/>
              <w:autoSpaceDN w:val="0"/>
              <w:adjustRightInd w:val="0"/>
              <w:snapToGrid w:val="0"/>
              <w:spacing w:line="360" w:lineRule="auto"/>
              <w:ind w:firstLine="480" w:firstLineChars="200"/>
              <w:jc w:val="left"/>
              <w:rPr>
                <w:kern w:val="0"/>
                <w:sz w:val="24"/>
              </w:rPr>
            </w:pPr>
            <w:r>
              <w:rPr>
                <w:kern w:val="0"/>
                <w:sz w:val="24"/>
              </w:rPr>
              <w:fldChar w:fldCharType="begin"/>
            </w:r>
            <w:r>
              <w:rPr>
                <w:kern w:val="0"/>
                <w:sz w:val="24"/>
              </w:rPr>
              <w:instrText xml:space="preserve"> </w:instrText>
            </w:r>
            <w:r>
              <w:rPr>
                <w:rFonts w:hint="eastAsia"/>
                <w:kern w:val="0"/>
                <w:sz w:val="24"/>
              </w:rPr>
              <w:instrText xml:space="preserve">= 2 \* GB3</w:instrText>
            </w:r>
            <w:r>
              <w:rPr>
                <w:kern w:val="0"/>
                <w:sz w:val="24"/>
              </w:rPr>
              <w:instrText xml:space="preserve"> </w:instrText>
            </w:r>
            <w:r>
              <w:rPr>
                <w:kern w:val="0"/>
                <w:sz w:val="24"/>
              </w:rPr>
              <w:fldChar w:fldCharType="separate"/>
            </w:r>
            <w:r>
              <w:rPr>
                <w:rFonts w:hint="eastAsia"/>
                <w:kern w:val="0"/>
                <w:sz w:val="24"/>
              </w:rPr>
              <w:t>②</w:t>
            </w:r>
            <w:r>
              <w:rPr>
                <w:kern w:val="0"/>
                <w:sz w:val="24"/>
                <w:lang w:val="zh-CN"/>
              </w:rPr>
              <w:fldChar w:fldCharType="end"/>
            </w:r>
            <w:r>
              <w:rPr>
                <w:rFonts w:hint="eastAsia"/>
                <w:kern w:val="0"/>
                <w:sz w:val="24"/>
              </w:rPr>
              <w:t>大气环境质量底线。到2025年，全市环境空气质量总体保持优良，主城建成区空气质量优良天数占比达99%以上，二氧化硫（SO</w:t>
            </w:r>
            <w:r>
              <w:rPr>
                <w:rFonts w:hint="eastAsia"/>
                <w:kern w:val="0"/>
                <w:sz w:val="24"/>
                <w:vertAlign w:val="subscript"/>
              </w:rPr>
              <w:t>2</w:t>
            </w:r>
            <w:r>
              <w:rPr>
                <w:rFonts w:hint="eastAsia"/>
                <w:kern w:val="0"/>
                <w:sz w:val="24"/>
              </w:rPr>
              <w:t>）和氮氧化物（NOx）排放总量控制在省下达的目标以内，主城区空气中颗粒物（PM</w:t>
            </w:r>
            <w:r>
              <w:rPr>
                <w:rFonts w:hint="eastAsia"/>
                <w:kern w:val="0"/>
                <w:sz w:val="24"/>
                <w:vertAlign w:val="subscript"/>
              </w:rPr>
              <w:t>10</w:t>
            </w:r>
            <w:r>
              <w:rPr>
                <w:rFonts w:hint="eastAsia"/>
                <w:kern w:val="0"/>
                <w:sz w:val="24"/>
              </w:rPr>
              <w:t>、PM</w:t>
            </w:r>
            <w:r>
              <w:rPr>
                <w:rFonts w:hint="eastAsia"/>
                <w:kern w:val="0"/>
                <w:sz w:val="24"/>
                <w:vertAlign w:val="subscript"/>
              </w:rPr>
              <w:t>2.5</w:t>
            </w:r>
            <w:r>
              <w:rPr>
                <w:rFonts w:hint="eastAsia"/>
                <w:kern w:val="0"/>
                <w:sz w:val="24"/>
              </w:rPr>
              <w:t>）稳定达《环境空气质量标准》二级标准以上。</w:t>
            </w:r>
          </w:p>
          <w:p>
            <w:pPr>
              <w:autoSpaceDE w:val="0"/>
              <w:autoSpaceDN w:val="0"/>
              <w:adjustRightInd w:val="0"/>
              <w:snapToGrid w:val="0"/>
              <w:spacing w:line="360" w:lineRule="auto"/>
              <w:ind w:firstLine="480" w:firstLineChars="200"/>
              <w:jc w:val="left"/>
              <w:rPr>
                <w:kern w:val="0"/>
                <w:sz w:val="24"/>
              </w:rPr>
            </w:pPr>
            <w:r>
              <w:rPr>
                <w:kern w:val="0"/>
                <w:sz w:val="24"/>
              </w:rPr>
              <w:fldChar w:fldCharType="begin"/>
            </w:r>
            <w:r>
              <w:rPr>
                <w:kern w:val="0"/>
                <w:sz w:val="24"/>
              </w:rPr>
              <w:instrText xml:space="preserve"> </w:instrText>
            </w:r>
            <w:r>
              <w:rPr>
                <w:rFonts w:hint="eastAsia"/>
                <w:kern w:val="0"/>
                <w:sz w:val="24"/>
              </w:rPr>
              <w:instrText xml:space="preserve">= 3 \* GB3</w:instrText>
            </w:r>
            <w:r>
              <w:rPr>
                <w:kern w:val="0"/>
                <w:sz w:val="24"/>
              </w:rPr>
              <w:instrText xml:space="preserve"> </w:instrText>
            </w:r>
            <w:r>
              <w:rPr>
                <w:kern w:val="0"/>
                <w:sz w:val="24"/>
              </w:rPr>
              <w:fldChar w:fldCharType="separate"/>
            </w:r>
            <w:r>
              <w:rPr>
                <w:rFonts w:hint="eastAsia"/>
                <w:kern w:val="0"/>
                <w:sz w:val="24"/>
              </w:rPr>
              <w:t>③</w:t>
            </w:r>
            <w:r>
              <w:rPr>
                <w:kern w:val="0"/>
                <w:sz w:val="24"/>
                <w:lang w:val="zh-CN"/>
              </w:rPr>
              <w:fldChar w:fldCharType="end"/>
            </w:r>
            <w:r>
              <w:rPr>
                <w:rFonts w:hint="eastAsia"/>
                <w:kern w:val="0"/>
                <w:sz w:val="24"/>
              </w:rPr>
              <w:t>土壤环境风险防控底线。到2025年，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p>
          <w:p>
            <w:pPr>
              <w:autoSpaceDE w:val="0"/>
              <w:autoSpaceDN w:val="0"/>
              <w:adjustRightInd w:val="0"/>
              <w:snapToGrid w:val="0"/>
              <w:spacing w:line="360" w:lineRule="auto"/>
              <w:ind w:firstLine="480" w:firstLineChars="200"/>
              <w:jc w:val="left"/>
              <w:rPr>
                <w:kern w:val="0"/>
                <w:sz w:val="24"/>
              </w:rPr>
            </w:pPr>
            <w:r>
              <w:rPr>
                <w:rFonts w:hint="eastAsia"/>
                <w:kern w:val="0"/>
                <w:sz w:val="24"/>
              </w:rPr>
              <w:t>本项目依靠制砖原料内的煤矸石提供热能，实现了采矿固废的资源化综合利用。项目所产废气均可达标排放，且满足总量控制要求，对区域大气环境影响较小。本项目无生产废水和生活污水外排，对区域地表水环境影响轻微。固体废物100%处置。项目厂址位于规划的工业园区内，采取严格的防治措施后对土壤环境影响小，且项目均在原有厂区内实施，无新增占地。</w:t>
            </w:r>
          </w:p>
          <w:p>
            <w:pPr>
              <w:autoSpaceDE w:val="0"/>
              <w:autoSpaceDN w:val="0"/>
              <w:adjustRightInd w:val="0"/>
              <w:snapToGrid w:val="0"/>
              <w:spacing w:line="360" w:lineRule="auto"/>
              <w:ind w:firstLine="480" w:firstLineChars="200"/>
              <w:jc w:val="left"/>
              <w:rPr>
                <w:kern w:val="0"/>
                <w:sz w:val="24"/>
              </w:rPr>
            </w:pPr>
            <w:r>
              <w:rPr>
                <w:kern w:val="0"/>
                <w:sz w:val="24"/>
              </w:rPr>
              <w:t>综上，</w:t>
            </w:r>
            <w:r>
              <w:rPr>
                <w:rFonts w:hint="eastAsia"/>
                <w:kern w:val="0"/>
                <w:sz w:val="24"/>
              </w:rPr>
              <w:t>本工程的实施</w:t>
            </w:r>
            <w:r>
              <w:rPr>
                <w:kern w:val="0"/>
                <w:sz w:val="24"/>
              </w:rPr>
              <w:t>不会突破环境质量底线。</w:t>
            </w:r>
          </w:p>
          <w:p>
            <w:pPr>
              <w:autoSpaceDE w:val="0"/>
              <w:autoSpaceDN w:val="0"/>
              <w:adjustRightInd w:val="0"/>
              <w:snapToGrid w:val="0"/>
              <w:spacing w:line="360" w:lineRule="auto"/>
              <w:ind w:firstLine="480" w:firstLineChars="200"/>
              <w:jc w:val="left"/>
              <w:rPr>
                <w:kern w:val="0"/>
                <w:sz w:val="24"/>
              </w:rPr>
            </w:pPr>
            <w:r>
              <w:rPr>
                <w:rFonts w:hint="eastAsia"/>
                <w:kern w:val="0"/>
                <w:sz w:val="24"/>
              </w:rPr>
              <w:t>（</w:t>
            </w:r>
            <w:r>
              <w:rPr>
                <w:kern w:val="0"/>
                <w:sz w:val="24"/>
              </w:rPr>
              <w:t>4</w:t>
            </w:r>
            <w:r>
              <w:rPr>
                <w:rFonts w:hint="eastAsia"/>
                <w:kern w:val="0"/>
                <w:sz w:val="24"/>
              </w:rPr>
              <w:t>）资源利用上线</w:t>
            </w:r>
          </w:p>
          <w:p>
            <w:pPr>
              <w:autoSpaceDE w:val="0"/>
              <w:autoSpaceDN w:val="0"/>
              <w:adjustRightInd w:val="0"/>
              <w:snapToGrid w:val="0"/>
              <w:spacing w:line="360" w:lineRule="auto"/>
              <w:ind w:firstLine="480" w:firstLineChars="200"/>
              <w:jc w:val="left"/>
              <w:rPr>
                <w:kern w:val="0"/>
                <w:sz w:val="24"/>
              </w:rPr>
            </w:pPr>
            <w:r>
              <w:rPr>
                <w:rFonts w:hint="eastAsia"/>
                <w:kern w:val="0"/>
                <w:sz w:val="24"/>
              </w:rPr>
              <w:t>查阅昆明市</w:t>
            </w:r>
            <w:r>
              <w:rPr>
                <w:kern w:val="0"/>
                <w:sz w:val="24"/>
              </w:rPr>
              <w:t>“三线一单”编制成果，</w:t>
            </w:r>
            <w:r>
              <w:rPr>
                <w:rFonts w:hint="eastAsia"/>
                <w:kern w:val="0"/>
                <w:sz w:val="24"/>
              </w:rPr>
              <w:t>其中仅提出了资源利用上限原则要求，未给出具体控制目标。</w:t>
            </w:r>
          </w:p>
          <w:p>
            <w:pPr>
              <w:autoSpaceDE w:val="0"/>
              <w:autoSpaceDN w:val="0"/>
              <w:adjustRightInd w:val="0"/>
              <w:snapToGrid w:val="0"/>
              <w:spacing w:line="360" w:lineRule="auto"/>
              <w:ind w:firstLine="480" w:firstLineChars="200"/>
              <w:jc w:val="left"/>
              <w:rPr>
                <w:kern w:val="0"/>
                <w:sz w:val="24"/>
              </w:rPr>
            </w:pPr>
            <w:r>
              <w:rPr>
                <w:rFonts w:hint="eastAsia"/>
                <w:kern w:val="0"/>
                <w:sz w:val="24"/>
              </w:rPr>
              <w:t>本项目焙烧热能主要来自制砖配料中的煤矸石和外加燃气、煤。主要使用煤矸石作为原料和燃料，不仅解决了煤矿开采固废（煤矸石）处置和二次污染问题，同时也实现了固体废物的资源化综合利用。天然气属于清洁能源，均由园区供气管网供给，不会达到资源利用上线。本项目</w:t>
            </w:r>
            <w:r>
              <w:rPr>
                <w:kern w:val="0"/>
                <w:sz w:val="24"/>
              </w:rPr>
              <w:t>水资源优先利用处理后的生活污水</w:t>
            </w:r>
            <w:r>
              <w:rPr>
                <w:rFonts w:hint="eastAsia"/>
                <w:kern w:val="0"/>
                <w:sz w:val="24"/>
              </w:rPr>
              <w:t>和收集的雨水</w:t>
            </w:r>
            <w:r>
              <w:rPr>
                <w:kern w:val="0"/>
                <w:sz w:val="24"/>
              </w:rPr>
              <w:t>，不足部分取</w:t>
            </w:r>
            <w:r>
              <w:rPr>
                <w:rFonts w:hint="eastAsia"/>
                <w:kern w:val="0"/>
                <w:sz w:val="24"/>
              </w:rPr>
              <w:t>自园区供水管网，不会达到水资源利用上限</w:t>
            </w:r>
            <w:r>
              <w:rPr>
                <w:kern w:val="0"/>
                <w:sz w:val="24"/>
              </w:rPr>
              <w:t>。</w:t>
            </w:r>
            <w:r>
              <w:rPr>
                <w:rFonts w:hint="eastAsia"/>
                <w:kern w:val="0"/>
                <w:sz w:val="24"/>
              </w:rPr>
              <w:t>本工程均在原有厂区内实施，无新增占地，不会达到土地利用上限。</w:t>
            </w:r>
          </w:p>
          <w:p>
            <w:pPr>
              <w:autoSpaceDE w:val="0"/>
              <w:autoSpaceDN w:val="0"/>
              <w:adjustRightInd w:val="0"/>
              <w:snapToGrid w:val="0"/>
              <w:spacing w:line="360" w:lineRule="auto"/>
              <w:ind w:firstLine="480" w:firstLineChars="200"/>
              <w:jc w:val="left"/>
              <w:rPr>
                <w:kern w:val="0"/>
                <w:sz w:val="24"/>
              </w:rPr>
            </w:pPr>
            <w:r>
              <w:rPr>
                <w:kern w:val="0"/>
                <w:sz w:val="24"/>
              </w:rPr>
              <w:t>综上，项目实施符合资源利用上限的要求。</w:t>
            </w:r>
          </w:p>
          <w:p>
            <w:pPr>
              <w:autoSpaceDE w:val="0"/>
              <w:autoSpaceDN w:val="0"/>
              <w:adjustRightInd w:val="0"/>
              <w:snapToGrid w:val="0"/>
              <w:spacing w:line="360" w:lineRule="auto"/>
              <w:ind w:firstLine="480" w:firstLineChars="200"/>
              <w:jc w:val="left"/>
              <w:rPr>
                <w:kern w:val="0"/>
                <w:sz w:val="24"/>
              </w:rPr>
            </w:pPr>
            <w:r>
              <w:rPr>
                <w:rFonts w:hint="eastAsia"/>
                <w:kern w:val="0"/>
                <w:sz w:val="24"/>
              </w:rPr>
              <w:t>（</w:t>
            </w:r>
            <w:r>
              <w:rPr>
                <w:kern w:val="0"/>
                <w:sz w:val="24"/>
              </w:rPr>
              <w:t>5</w:t>
            </w:r>
            <w:r>
              <w:rPr>
                <w:rFonts w:hint="eastAsia"/>
                <w:kern w:val="0"/>
                <w:sz w:val="24"/>
              </w:rPr>
              <w:t>）环境准入负面清单</w:t>
            </w:r>
          </w:p>
          <w:p>
            <w:pPr>
              <w:autoSpaceDE w:val="0"/>
              <w:autoSpaceDN w:val="0"/>
              <w:adjustRightInd w:val="0"/>
              <w:snapToGrid w:val="0"/>
              <w:spacing w:line="360" w:lineRule="auto"/>
              <w:ind w:firstLine="480" w:firstLineChars="200"/>
              <w:jc w:val="left"/>
              <w:rPr>
                <w:kern w:val="0"/>
                <w:sz w:val="24"/>
              </w:rPr>
            </w:pPr>
            <w:r>
              <w:rPr>
                <w:rFonts w:hint="eastAsia"/>
                <w:kern w:val="0"/>
                <w:sz w:val="24"/>
              </w:rPr>
              <w:t>根据昆明市</w:t>
            </w:r>
            <w:r>
              <w:rPr>
                <w:kern w:val="0"/>
                <w:sz w:val="24"/>
              </w:rPr>
              <w:t>“三线一单”编制成果</w:t>
            </w:r>
            <w:r>
              <w:rPr>
                <w:rFonts w:hint="eastAsia"/>
                <w:kern w:val="0"/>
                <w:sz w:val="24"/>
              </w:rPr>
              <w:t>，与晋宁工业园区晋城基地有关的</w:t>
            </w:r>
            <w:r>
              <w:rPr>
                <w:kern w:val="0"/>
                <w:sz w:val="24"/>
              </w:rPr>
              <w:t>环境管控单元生态环境准入清单</w:t>
            </w:r>
            <w:r>
              <w:rPr>
                <w:rFonts w:hint="eastAsia"/>
                <w:kern w:val="0"/>
                <w:sz w:val="24"/>
              </w:rPr>
              <w:t>如下。</w:t>
            </w:r>
          </w:p>
          <w:p>
            <w:pPr>
              <w:autoSpaceDE w:val="0"/>
              <w:autoSpaceDN w:val="0"/>
              <w:adjustRightInd w:val="0"/>
              <w:spacing w:before="120" w:beforeLines="50"/>
              <w:ind w:left="105" w:leftChars="50" w:right="105" w:rightChars="50" w:firstLine="422" w:firstLineChars="200"/>
              <w:jc w:val="center"/>
              <w:rPr>
                <w:b/>
                <w:bCs/>
                <w:kern w:val="0"/>
                <w:szCs w:val="21"/>
              </w:rPr>
            </w:pPr>
            <w:r>
              <w:rPr>
                <w:rFonts w:hint="eastAsia"/>
                <w:b/>
                <w:bCs/>
                <w:kern w:val="0"/>
                <w:szCs w:val="21"/>
              </w:rPr>
              <w:t>表1-</w:t>
            </w:r>
            <w:r>
              <w:rPr>
                <w:b/>
                <w:bCs/>
                <w:kern w:val="0"/>
                <w:szCs w:val="21"/>
              </w:rPr>
              <w:t xml:space="preserve">4    </w:t>
            </w:r>
            <w:r>
              <w:rPr>
                <w:rFonts w:hint="eastAsia"/>
                <w:b/>
                <w:bCs/>
                <w:kern w:val="0"/>
                <w:szCs w:val="21"/>
              </w:rPr>
              <w:t>生态环境准入清单</w:t>
            </w:r>
          </w:p>
          <w:tbl>
            <w:tblPr>
              <w:tblStyle w:val="45"/>
              <w:tblW w:w="61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688"/>
              <w:gridCol w:w="800"/>
              <w:gridCol w:w="2869"/>
              <w:gridCol w:w="1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 w:hRule="atLeast"/>
                <w:jc w:val="center"/>
              </w:trPr>
              <w:tc>
                <w:tcPr>
                  <w:tcW w:w="579" w:type="dxa"/>
                  <w:vAlign w:val="center"/>
                </w:tcPr>
                <w:p>
                  <w:pPr>
                    <w:jc w:val="center"/>
                    <w:rPr>
                      <w:b/>
                      <w:bCs/>
                      <w:szCs w:val="21"/>
                    </w:rPr>
                  </w:pPr>
                  <w:r>
                    <w:rPr>
                      <w:rFonts w:hint="eastAsia"/>
                      <w:b/>
                      <w:bCs/>
                      <w:szCs w:val="21"/>
                    </w:rPr>
                    <w:t>单元名称</w:t>
                  </w:r>
                </w:p>
              </w:tc>
              <w:tc>
                <w:tcPr>
                  <w:tcW w:w="688" w:type="dxa"/>
                  <w:vAlign w:val="center"/>
                </w:tcPr>
                <w:p>
                  <w:pPr>
                    <w:jc w:val="center"/>
                    <w:rPr>
                      <w:b/>
                      <w:bCs/>
                      <w:szCs w:val="21"/>
                    </w:rPr>
                  </w:pPr>
                  <w:r>
                    <w:rPr>
                      <w:rFonts w:hint="eastAsia"/>
                      <w:b/>
                      <w:bCs/>
                      <w:szCs w:val="21"/>
                    </w:rPr>
                    <w:t>单元分类</w:t>
                  </w:r>
                </w:p>
              </w:tc>
              <w:tc>
                <w:tcPr>
                  <w:tcW w:w="3669" w:type="dxa"/>
                  <w:gridSpan w:val="2"/>
                  <w:tcBorders>
                    <w:right w:val="single" w:color="auto" w:sz="4" w:space="0"/>
                  </w:tcBorders>
                  <w:vAlign w:val="center"/>
                </w:tcPr>
                <w:p>
                  <w:pPr>
                    <w:jc w:val="center"/>
                    <w:rPr>
                      <w:b/>
                      <w:bCs/>
                      <w:szCs w:val="21"/>
                    </w:rPr>
                  </w:pPr>
                  <w:r>
                    <w:rPr>
                      <w:rFonts w:hint="eastAsia"/>
                      <w:b/>
                      <w:bCs/>
                      <w:szCs w:val="21"/>
                    </w:rPr>
                    <w:t>管控要求</w:t>
                  </w:r>
                </w:p>
              </w:tc>
              <w:tc>
                <w:tcPr>
                  <w:tcW w:w="1234" w:type="dxa"/>
                  <w:vAlign w:val="center"/>
                </w:tcPr>
                <w:p>
                  <w:pPr>
                    <w:tabs>
                      <w:tab w:val="center" w:pos="4153"/>
                      <w:tab w:val="right" w:pos="8306"/>
                    </w:tabs>
                    <w:snapToGrid w:val="0"/>
                    <w:jc w:val="center"/>
                    <w:rPr>
                      <w:rFonts w:ascii="Calibri" w:hAnsi="Calibri"/>
                      <w:b/>
                      <w:bCs/>
                      <w:sz w:val="18"/>
                      <w:szCs w:val="18"/>
                    </w:rPr>
                  </w:pPr>
                  <w:r>
                    <w:rPr>
                      <w:rFonts w:hint="eastAsia" w:ascii="Calibri" w:hAnsi="Calibri"/>
                      <w:b/>
                      <w:bCs/>
                      <w:sz w:val="18"/>
                      <w:szCs w:val="18"/>
                    </w:rPr>
                    <w:t>编制理由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jc w:val="center"/>
              </w:trPr>
              <w:tc>
                <w:tcPr>
                  <w:tcW w:w="579" w:type="dxa"/>
                  <w:vMerge w:val="restart"/>
                  <w:vAlign w:val="center"/>
                </w:tcPr>
                <w:p>
                  <w:pPr>
                    <w:jc w:val="center"/>
                    <w:rPr>
                      <w:szCs w:val="21"/>
                    </w:rPr>
                  </w:pPr>
                  <w:r>
                    <w:rPr>
                      <w:szCs w:val="21"/>
                    </w:rPr>
                    <w:t>云南晋宁工业园区</w:t>
                  </w:r>
                </w:p>
              </w:tc>
              <w:tc>
                <w:tcPr>
                  <w:tcW w:w="688" w:type="dxa"/>
                  <w:vMerge w:val="restart"/>
                  <w:vAlign w:val="center"/>
                </w:tcPr>
                <w:p>
                  <w:pPr>
                    <w:jc w:val="center"/>
                    <w:rPr>
                      <w:szCs w:val="21"/>
                    </w:rPr>
                  </w:pPr>
                  <w:r>
                    <w:rPr>
                      <w:szCs w:val="21"/>
                    </w:rPr>
                    <w:t>重点管控单元</w:t>
                  </w:r>
                </w:p>
              </w:tc>
              <w:tc>
                <w:tcPr>
                  <w:tcW w:w="800" w:type="dxa"/>
                  <w:vAlign w:val="center"/>
                </w:tcPr>
                <w:p>
                  <w:pPr>
                    <w:jc w:val="center"/>
                    <w:rPr>
                      <w:szCs w:val="21"/>
                    </w:rPr>
                  </w:pPr>
                  <w:r>
                    <w:rPr>
                      <w:szCs w:val="21"/>
                    </w:rPr>
                    <w:t>空间布局约束</w:t>
                  </w:r>
                </w:p>
              </w:tc>
              <w:tc>
                <w:tcPr>
                  <w:tcW w:w="2869" w:type="dxa"/>
                  <w:tcBorders>
                    <w:top w:val="single" w:color="auto" w:sz="4" w:space="0"/>
                    <w:left w:val="single" w:color="auto" w:sz="4" w:space="0"/>
                    <w:bottom w:val="single" w:color="auto" w:sz="4" w:space="0"/>
                    <w:right w:val="single" w:color="auto" w:sz="4" w:space="0"/>
                  </w:tcBorders>
                  <w:vAlign w:val="center"/>
                </w:tcPr>
                <w:p>
                  <w:pPr>
                    <w:jc w:val="left"/>
                    <w:rPr>
                      <w:szCs w:val="21"/>
                    </w:rPr>
                  </w:pPr>
                  <w:r>
                    <w:rPr>
                      <w:szCs w:val="21"/>
                    </w:rPr>
                    <w:t>1.重点发展精密机械制造、生物资源加工、精细磷化工以及建材业。</w:t>
                  </w:r>
                </w:p>
                <w:p>
                  <w:pPr>
                    <w:jc w:val="left"/>
                    <w:rPr>
                      <w:szCs w:val="21"/>
                    </w:rPr>
                  </w:pPr>
                  <w:r>
                    <w:rPr>
                      <w:szCs w:val="21"/>
                    </w:rPr>
                    <w:t>2.二街片区和晋城片区调整产业布局，引进大气污染小、噪声污染小的产业，增设绿化隔离带。</w:t>
                  </w:r>
                </w:p>
                <w:p>
                  <w:pPr>
                    <w:jc w:val="left"/>
                    <w:rPr>
                      <w:szCs w:val="21"/>
                    </w:rPr>
                  </w:pPr>
                  <w:r>
                    <w:rPr>
                      <w:szCs w:val="21"/>
                    </w:rPr>
                    <w:t>3.晋城片区禁止发展有色冶金行业。</w:t>
                  </w:r>
                </w:p>
              </w:tc>
              <w:tc>
                <w:tcPr>
                  <w:tcW w:w="1234" w:type="dxa"/>
                  <w:vMerge w:val="restart"/>
                  <w:vAlign w:val="center"/>
                </w:tcPr>
                <w:p>
                  <w:pPr>
                    <w:jc w:val="left"/>
                    <w:rPr>
                      <w:szCs w:val="21"/>
                    </w:rPr>
                  </w:pPr>
                  <w:r>
                    <w:rPr>
                      <w:szCs w:val="21"/>
                    </w:rPr>
                    <w:t>区域特点：水环境工业污染重点管控区和大气环境高排放重点管控区，包括晋宁市东部的云南晋宁工业园区。</w:t>
                  </w:r>
                </w:p>
                <w:p>
                  <w:pPr>
                    <w:jc w:val="left"/>
                    <w:rPr>
                      <w:rFonts w:ascii="Calibri" w:hAnsi="Calibri"/>
                    </w:rPr>
                  </w:pPr>
                  <w:r>
                    <w:rPr>
                      <w:szCs w:val="21"/>
                    </w:rPr>
                    <w:t>相关要求：《滇池流域水环境保护治理“十三五”规划(2016-2020年)》。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 w:hRule="atLeast"/>
                <w:jc w:val="center"/>
              </w:trPr>
              <w:tc>
                <w:tcPr>
                  <w:tcW w:w="579" w:type="dxa"/>
                  <w:vMerge w:val="continue"/>
                  <w:vAlign w:val="center"/>
                </w:tcPr>
                <w:p>
                  <w:pPr>
                    <w:jc w:val="center"/>
                    <w:rPr>
                      <w:szCs w:val="21"/>
                    </w:rPr>
                  </w:pPr>
                </w:p>
              </w:tc>
              <w:tc>
                <w:tcPr>
                  <w:tcW w:w="688" w:type="dxa"/>
                  <w:vMerge w:val="continue"/>
                  <w:vAlign w:val="center"/>
                </w:tcPr>
                <w:p>
                  <w:pPr>
                    <w:jc w:val="center"/>
                    <w:rPr>
                      <w:szCs w:val="21"/>
                    </w:rPr>
                  </w:pPr>
                </w:p>
              </w:tc>
              <w:tc>
                <w:tcPr>
                  <w:tcW w:w="800" w:type="dxa"/>
                  <w:vAlign w:val="center"/>
                </w:tcPr>
                <w:p>
                  <w:pPr>
                    <w:jc w:val="center"/>
                    <w:rPr>
                      <w:szCs w:val="21"/>
                    </w:rPr>
                  </w:pPr>
                  <w:r>
                    <w:rPr>
                      <w:szCs w:val="21"/>
                    </w:rPr>
                    <w:t>污染物</w:t>
                  </w:r>
                </w:p>
                <w:p>
                  <w:pPr>
                    <w:jc w:val="center"/>
                    <w:rPr>
                      <w:szCs w:val="21"/>
                    </w:rPr>
                  </w:pPr>
                  <w:r>
                    <w:rPr>
                      <w:szCs w:val="21"/>
                    </w:rPr>
                    <w:t>排放管控</w:t>
                  </w:r>
                </w:p>
              </w:tc>
              <w:tc>
                <w:tcPr>
                  <w:tcW w:w="2869" w:type="dxa"/>
                  <w:tcBorders>
                    <w:top w:val="single" w:color="auto" w:sz="4" w:space="0"/>
                    <w:left w:val="single" w:color="auto" w:sz="4" w:space="0"/>
                    <w:bottom w:val="single" w:color="auto" w:sz="4" w:space="0"/>
                    <w:right w:val="single" w:color="auto" w:sz="4" w:space="0"/>
                  </w:tcBorders>
                  <w:vAlign w:val="center"/>
                </w:tcPr>
                <w:p>
                  <w:pPr>
                    <w:jc w:val="left"/>
                    <w:rPr>
                      <w:szCs w:val="21"/>
                    </w:rPr>
                  </w:pPr>
                  <w:r>
                    <w:rPr>
                      <w:szCs w:val="21"/>
                    </w:rPr>
                    <w:t>执行二级空气质量标准，强化污染物排放总量控制</w:t>
                  </w:r>
                </w:p>
              </w:tc>
              <w:tc>
                <w:tcPr>
                  <w:tcW w:w="1234" w:type="dxa"/>
                  <w:vMerge w:val="continue"/>
                  <w:vAlign w:val="center"/>
                </w:tcPr>
                <w:p>
                  <w:pPr>
                    <w:tabs>
                      <w:tab w:val="center" w:pos="4153"/>
                      <w:tab w:val="right" w:pos="8306"/>
                    </w:tabs>
                    <w:snapToGrid w:val="0"/>
                    <w:jc w:val="center"/>
                    <w:rPr>
                      <w:rFonts w:ascii="Calibri" w:hAnsi="Calibri"/>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 w:hRule="atLeast"/>
                <w:jc w:val="center"/>
              </w:trPr>
              <w:tc>
                <w:tcPr>
                  <w:tcW w:w="579" w:type="dxa"/>
                  <w:vMerge w:val="continue"/>
                  <w:vAlign w:val="center"/>
                </w:tcPr>
                <w:p>
                  <w:pPr>
                    <w:jc w:val="center"/>
                    <w:rPr>
                      <w:szCs w:val="21"/>
                    </w:rPr>
                  </w:pPr>
                </w:p>
              </w:tc>
              <w:tc>
                <w:tcPr>
                  <w:tcW w:w="688" w:type="dxa"/>
                  <w:vMerge w:val="continue"/>
                  <w:vAlign w:val="center"/>
                </w:tcPr>
                <w:p>
                  <w:pPr>
                    <w:jc w:val="center"/>
                    <w:rPr>
                      <w:szCs w:val="21"/>
                    </w:rPr>
                  </w:pPr>
                </w:p>
              </w:tc>
              <w:tc>
                <w:tcPr>
                  <w:tcW w:w="800" w:type="dxa"/>
                  <w:vAlign w:val="center"/>
                </w:tcPr>
                <w:p>
                  <w:pPr>
                    <w:jc w:val="center"/>
                    <w:rPr>
                      <w:szCs w:val="21"/>
                    </w:rPr>
                  </w:pPr>
                  <w:r>
                    <w:rPr>
                      <w:szCs w:val="21"/>
                    </w:rPr>
                    <w:t>环境风险</w:t>
                  </w:r>
                </w:p>
                <w:p>
                  <w:pPr>
                    <w:jc w:val="center"/>
                    <w:rPr>
                      <w:szCs w:val="21"/>
                    </w:rPr>
                  </w:pPr>
                  <w:r>
                    <w:rPr>
                      <w:szCs w:val="21"/>
                    </w:rPr>
                    <w:t>防控</w:t>
                  </w:r>
                </w:p>
              </w:tc>
              <w:tc>
                <w:tcPr>
                  <w:tcW w:w="2869" w:type="dxa"/>
                  <w:tcBorders>
                    <w:top w:val="single" w:color="auto" w:sz="4" w:space="0"/>
                    <w:left w:val="single" w:color="auto" w:sz="4" w:space="0"/>
                    <w:bottom w:val="single" w:color="auto" w:sz="4" w:space="0"/>
                    <w:right w:val="single" w:color="auto" w:sz="4" w:space="0"/>
                  </w:tcBorders>
                  <w:vAlign w:val="center"/>
                </w:tcPr>
                <w:p>
                  <w:pPr>
                    <w:jc w:val="left"/>
                    <w:rPr>
                      <w:szCs w:val="21"/>
                    </w:rPr>
                  </w:pPr>
                  <w:r>
                    <w:rPr>
                      <w:szCs w:val="21"/>
                    </w:rPr>
                    <w:t>1.危险废物必须进行集中处置。收集、贮存危险废物，必须按照危险废物标准进行分类，禁止混合收集、贮存、运输、处置性质不相同而未经安全性处置的危险废物，禁止将危险废物混入非危险废物中贮存。</w:t>
                  </w:r>
                  <w:r>
                    <w:rPr>
                      <w:szCs w:val="21"/>
                    </w:rPr>
                    <w:br w:type="textWrapping"/>
                  </w:r>
                  <w:r>
                    <w:rPr>
                      <w:szCs w:val="21"/>
                    </w:rPr>
                    <w:t>2.运输危险废物，必须采取防止污染环境的措施，并遵守国家有关危险废物运输管理的规定。</w:t>
                  </w:r>
                </w:p>
              </w:tc>
              <w:tc>
                <w:tcPr>
                  <w:tcW w:w="1234" w:type="dxa"/>
                  <w:vMerge w:val="continue"/>
                  <w:vAlign w:val="center"/>
                </w:tcPr>
                <w:p>
                  <w:pPr>
                    <w:tabs>
                      <w:tab w:val="center" w:pos="4153"/>
                      <w:tab w:val="right" w:pos="8306"/>
                    </w:tabs>
                    <w:snapToGrid w:val="0"/>
                    <w:jc w:val="center"/>
                    <w:rPr>
                      <w:rFonts w:ascii="Calibri" w:hAnsi="Calibri"/>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 w:hRule="atLeast"/>
                <w:jc w:val="center"/>
              </w:trPr>
              <w:tc>
                <w:tcPr>
                  <w:tcW w:w="579" w:type="dxa"/>
                  <w:vMerge w:val="continue"/>
                  <w:vAlign w:val="center"/>
                </w:tcPr>
                <w:p>
                  <w:pPr>
                    <w:jc w:val="center"/>
                    <w:rPr>
                      <w:szCs w:val="21"/>
                    </w:rPr>
                  </w:pPr>
                </w:p>
              </w:tc>
              <w:tc>
                <w:tcPr>
                  <w:tcW w:w="688" w:type="dxa"/>
                  <w:vMerge w:val="continue"/>
                  <w:vAlign w:val="center"/>
                </w:tcPr>
                <w:p>
                  <w:pPr>
                    <w:jc w:val="center"/>
                    <w:rPr>
                      <w:szCs w:val="21"/>
                    </w:rPr>
                  </w:pPr>
                </w:p>
              </w:tc>
              <w:tc>
                <w:tcPr>
                  <w:tcW w:w="800" w:type="dxa"/>
                  <w:vAlign w:val="center"/>
                </w:tcPr>
                <w:p>
                  <w:pPr>
                    <w:jc w:val="center"/>
                    <w:rPr>
                      <w:szCs w:val="21"/>
                    </w:rPr>
                  </w:pPr>
                  <w:r>
                    <w:rPr>
                      <w:szCs w:val="21"/>
                    </w:rPr>
                    <w:t>资源开发效率要求</w:t>
                  </w:r>
                </w:p>
              </w:tc>
              <w:tc>
                <w:tcPr>
                  <w:tcW w:w="2869" w:type="dxa"/>
                  <w:tcBorders>
                    <w:top w:val="single" w:color="auto" w:sz="4" w:space="0"/>
                    <w:left w:val="single" w:color="auto" w:sz="4" w:space="0"/>
                    <w:bottom w:val="single" w:color="auto" w:sz="4" w:space="0"/>
                    <w:right w:val="single" w:color="auto" w:sz="4" w:space="0"/>
                  </w:tcBorders>
                  <w:vAlign w:val="center"/>
                </w:tcPr>
                <w:p>
                  <w:pPr>
                    <w:jc w:val="left"/>
                    <w:rPr>
                      <w:szCs w:val="21"/>
                    </w:rPr>
                  </w:pPr>
                  <w:r>
                    <w:rPr>
                      <w:szCs w:val="21"/>
                    </w:rPr>
                    <w:t>禁止新建、扩建采用非清洁燃料的项目和设施。</w:t>
                  </w:r>
                </w:p>
              </w:tc>
              <w:tc>
                <w:tcPr>
                  <w:tcW w:w="1234" w:type="dxa"/>
                  <w:vMerge w:val="continue"/>
                  <w:vAlign w:val="center"/>
                </w:tcPr>
                <w:p>
                  <w:pPr>
                    <w:tabs>
                      <w:tab w:val="center" w:pos="4153"/>
                      <w:tab w:val="right" w:pos="8306"/>
                    </w:tabs>
                    <w:snapToGrid w:val="0"/>
                    <w:jc w:val="center"/>
                    <w:rPr>
                      <w:rFonts w:ascii="Calibri" w:hAnsi="Calibri"/>
                      <w:sz w:val="18"/>
                      <w:szCs w:val="18"/>
                    </w:rPr>
                  </w:pPr>
                </w:p>
              </w:tc>
            </w:tr>
          </w:tbl>
          <w:p>
            <w:pPr>
              <w:tabs>
                <w:tab w:val="center" w:pos="4153"/>
                <w:tab w:val="right" w:pos="8306"/>
              </w:tabs>
              <w:snapToGrid w:val="0"/>
              <w:jc w:val="center"/>
              <w:rPr>
                <w:rFonts w:ascii="Calibri" w:hAnsi="Calibri"/>
                <w:sz w:val="18"/>
                <w:szCs w:val="18"/>
              </w:rPr>
            </w:pPr>
          </w:p>
          <w:p>
            <w:pPr>
              <w:autoSpaceDE w:val="0"/>
              <w:autoSpaceDN w:val="0"/>
              <w:adjustRightInd w:val="0"/>
              <w:spacing w:line="360" w:lineRule="auto"/>
              <w:ind w:left="105" w:leftChars="50" w:right="105" w:rightChars="50" w:firstLine="240" w:firstLineChars="100"/>
              <w:jc w:val="left"/>
              <w:rPr>
                <w:kern w:val="0"/>
                <w:sz w:val="24"/>
              </w:rPr>
            </w:pPr>
            <w:r>
              <w:rPr>
                <w:rFonts w:hint="eastAsia"/>
                <w:kern w:val="0"/>
                <w:sz w:val="24"/>
              </w:rPr>
              <w:t>本项目属于园区规划重点发展的建材业；不属于大气污染大、噪声大的企业类型；采取严格治理措施后，项目废气均达标排放，总量控制满足要求；危险废物（废机油）设危废间暂存，最终委托有资质单位处置；</w:t>
            </w:r>
            <w:r>
              <w:rPr>
                <w:rFonts w:hint="eastAsia"/>
                <w:color w:val="00B050"/>
                <w:kern w:val="0"/>
                <w:sz w:val="24"/>
              </w:rPr>
              <w:t>与原审批工程内容相比，仅对原料进行调整，</w:t>
            </w:r>
            <w:r>
              <w:rPr>
                <w:rFonts w:hint="eastAsia"/>
                <w:kern w:val="0"/>
                <w:sz w:val="24"/>
              </w:rPr>
              <w:t>并完善各项环保措施，不扩大产能。</w:t>
            </w:r>
          </w:p>
          <w:p>
            <w:pPr>
              <w:autoSpaceDE w:val="0"/>
              <w:autoSpaceDN w:val="0"/>
              <w:adjustRightInd w:val="0"/>
              <w:snapToGrid w:val="0"/>
              <w:spacing w:line="360" w:lineRule="auto"/>
              <w:ind w:firstLine="480" w:firstLineChars="200"/>
              <w:jc w:val="left"/>
              <w:rPr>
                <w:kern w:val="0"/>
                <w:sz w:val="24"/>
              </w:rPr>
            </w:pPr>
            <w:r>
              <w:rPr>
                <w:rFonts w:hint="eastAsia"/>
                <w:kern w:val="0"/>
                <w:sz w:val="24"/>
              </w:rPr>
              <w:t>综上，项目建设符合昆明市环境准入清单相关要求。</w:t>
            </w:r>
          </w:p>
          <w:p>
            <w:pPr>
              <w:pStyle w:val="3"/>
              <w:ind w:firstLine="0" w:firstLineChars="0"/>
              <w:rPr>
                <w:rFonts w:hint="default" w:ascii="Times New Roman" w:hAnsi="Times New Roman" w:cs="Times New Roman" w:eastAsiaTheme="minorEastAsia"/>
                <w:bCs/>
                <w:kern w:val="2"/>
                <w:szCs w:val="24"/>
              </w:rPr>
            </w:pPr>
            <w:r>
              <w:rPr>
                <w:rFonts w:hint="default" w:ascii="Times New Roman" w:hAnsi="Times New Roman" w:cs="Times New Roman" w:eastAsiaTheme="minorEastAsia"/>
                <w:szCs w:val="24"/>
              </w:rPr>
              <w:t>五、</w:t>
            </w:r>
            <w:r>
              <w:rPr>
                <w:rFonts w:hint="default" w:ascii="Times New Roman" w:hAnsi="Times New Roman" w:cs="Times New Roman" w:eastAsiaTheme="minorEastAsia"/>
                <w:bCs/>
                <w:kern w:val="2"/>
                <w:szCs w:val="24"/>
              </w:rPr>
              <w:t>工程与《云南省长江经济带发展负面清单指南实施细则》相符性分析</w:t>
            </w:r>
          </w:p>
          <w:p>
            <w:pPr>
              <w:adjustRightInd w:val="0"/>
              <w:snapToGrid w:val="0"/>
              <w:spacing w:line="360" w:lineRule="auto"/>
              <w:ind w:firstLine="480" w:firstLineChars="200"/>
              <w:rPr>
                <w:sz w:val="24"/>
              </w:rPr>
            </w:pPr>
            <w:r>
              <w:rPr>
                <w:rFonts w:hint="eastAsia"/>
                <w:sz w:val="24"/>
                <w:lang w:val="zh-CN"/>
              </w:rPr>
              <w:t>本项目为医院建设项目，不涉及自然保护区、水产种质资源保护区、风景名胜区、世界自然遗产地等保护地，占地不涉及生态红线和基本农田。项目属于金沙江岷江上游及三江并流国家级水土流失重点预防区</w:t>
            </w:r>
            <w:r>
              <w:rPr>
                <w:rFonts w:hint="eastAsia"/>
                <w:sz w:val="24"/>
              </w:rPr>
              <w:t>。</w:t>
            </w:r>
            <w:r>
              <w:rPr>
                <w:sz w:val="24"/>
              </w:rPr>
              <w:t>对照</w:t>
            </w:r>
            <w:r>
              <w:rPr>
                <w:rFonts w:hint="eastAsia"/>
                <w:sz w:val="24"/>
              </w:rPr>
              <w:t>《云南省长江经济带发展负面清单指南实施细则》，项目建设不属于云南省长江经济带发展负面清单内列出的禁止建设项目，项目符合《云南省长江经济带发展负面清单指南实施细则》。</w:t>
            </w:r>
          </w:p>
          <w:p>
            <w:pPr>
              <w:spacing w:after="20" w:line="360" w:lineRule="auto"/>
              <w:ind w:firstLine="482" w:firstLineChars="200"/>
              <w:jc w:val="center"/>
              <w:rPr>
                <w:rFonts w:hAnsi="宋体"/>
                <w:b/>
                <w:bCs/>
                <w:sz w:val="24"/>
              </w:rPr>
            </w:pPr>
            <w:r>
              <w:rPr>
                <w:rFonts w:hint="eastAsia" w:hAnsi="宋体"/>
                <w:b/>
                <w:bCs/>
                <w:sz w:val="24"/>
              </w:rPr>
              <w:t>表</w:t>
            </w:r>
            <w:r>
              <w:rPr>
                <w:rFonts w:hAnsi="宋体"/>
                <w:b/>
                <w:bCs/>
                <w:sz w:val="24"/>
              </w:rPr>
              <w:t>1-1</w:t>
            </w:r>
            <w:r>
              <w:rPr>
                <w:rFonts w:hint="eastAsia" w:hAnsi="宋体"/>
                <w:b/>
                <w:bCs/>
                <w:sz w:val="24"/>
              </w:rPr>
              <w:t xml:space="preserve">  项目与长江经济带发展负面清单符合性</w:t>
            </w:r>
          </w:p>
          <w:tbl>
            <w:tblPr>
              <w:tblStyle w:val="44"/>
              <w:tblW w:w="614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433"/>
              <w:gridCol w:w="2534"/>
              <w:gridCol w:w="482"/>
              <w:gridCol w:w="1559"/>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237" w:hRule="atLeast"/>
                <w:jc w:val="center"/>
              </w:trPr>
              <w:tc>
                <w:tcPr>
                  <w:tcW w:w="433" w:type="dxa"/>
                  <w:vAlign w:val="center"/>
                </w:tcPr>
                <w:p>
                  <w:pPr>
                    <w:jc w:val="center"/>
                    <w:rPr>
                      <w:szCs w:val="21"/>
                    </w:rPr>
                  </w:pPr>
                  <w:r>
                    <w:rPr>
                      <w:rFonts w:hint="eastAsia"/>
                      <w:szCs w:val="21"/>
                    </w:rPr>
                    <w:t>功能区</w:t>
                  </w:r>
                </w:p>
              </w:tc>
              <w:tc>
                <w:tcPr>
                  <w:tcW w:w="3016" w:type="dxa"/>
                  <w:gridSpan w:val="2"/>
                  <w:vAlign w:val="center"/>
                </w:tcPr>
                <w:p>
                  <w:pPr>
                    <w:jc w:val="center"/>
                    <w:rPr>
                      <w:szCs w:val="21"/>
                    </w:rPr>
                  </w:pPr>
                  <w:r>
                    <w:rPr>
                      <w:rFonts w:hint="eastAsia"/>
                      <w:szCs w:val="21"/>
                    </w:rPr>
                    <w:t>具体要求</w:t>
                  </w:r>
                </w:p>
              </w:tc>
              <w:tc>
                <w:tcPr>
                  <w:tcW w:w="1559" w:type="dxa"/>
                  <w:vAlign w:val="center"/>
                </w:tcPr>
                <w:p>
                  <w:pPr>
                    <w:jc w:val="center"/>
                    <w:rPr>
                      <w:szCs w:val="21"/>
                    </w:rPr>
                  </w:pPr>
                  <w:r>
                    <w:rPr>
                      <w:rFonts w:hint="eastAsia"/>
                      <w:szCs w:val="21"/>
                    </w:rPr>
                    <w:t>本项目</w:t>
                  </w:r>
                </w:p>
              </w:tc>
              <w:tc>
                <w:tcPr>
                  <w:tcW w:w="1134" w:type="dxa"/>
                  <w:vAlign w:val="center"/>
                </w:tcPr>
                <w:p>
                  <w:pPr>
                    <w:jc w:val="center"/>
                    <w:rPr>
                      <w:szCs w:val="21"/>
                    </w:rPr>
                  </w:pPr>
                  <w:r>
                    <w:rPr>
                      <w:rFonts w:hint="eastAsia"/>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237" w:hRule="atLeast"/>
                <w:jc w:val="center"/>
              </w:trPr>
              <w:tc>
                <w:tcPr>
                  <w:tcW w:w="433" w:type="dxa"/>
                  <w:vMerge w:val="restart"/>
                  <w:vAlign w:val="center"/>
                </w:tcPr>
                <w:p>
                  <w:pPr>
                    <w:jc w:val="center"/>
                    <w:rPr>
                      <w:szCs w:val="21"/>
                    </w:rPr>
                  </w:pPr>
                  <w:r>
                    <w:rPr>
                      <w:rFonts w:hint="eastAsia"/>
                      <w:szCs w:val="21"/>
                    </w:rPr>
                    <w:t>一、各类功能区</w:t>
                  </w:r>
                </w:p>
              </w:tc>
              <w:tc>
                <w:tcPr>
                  <w:tcW w:w="3016" w:type="dxa"/>
                  <w:gridSpan w:val="2"/>
                  <w:vAlign w:val="center"/>
                </w:tcPr>
                <w:p>
                  <w:pPr>
                    <w:jc w:val="center"/>
                    <w:rPr>
                      <w:szCs w:val="21"/>
                    </w:rPr>
                  </w:pPr>
                  <w:r>
                    <w:rPr>
                      <w:rFonts w:hint="eastAsia"/>
                      <w:szCs w:val="21"/>
                    </w:rPr>
                    <w:t>（一）禁止一切不符合主体功能定位的投资建设项目，严禁任意改变用途，因国家重大战略资源勘查需要，在不影响主体功能定位的前提下，经依法批准后予以安排勘查项目。</w:t>
                  </w:r>
                </w:p>
              </w:tc>
              <w:tc>
                <w:tcPr>
                  <w:tcW w:w="1559" w:type="dxa"/>
                  <w:vAlign w:val="center"/>
                </w:tcPr>
                <w:p>
                  <w:pPr>
                    <w:jc w:val="center"/>
                    <w:rPr>
                      <w:szCs w:val="21"/>
                    </w:rPr>
                  </w:pPr>
                  <w:r>
                    <w:rPr>
                      <w:rFonts w:hint="eastAsia"/>
                      <w:szCs w:val="21"/>
                    </w:rPr>
                    <w:t>项目符合云南省主体功能区划要求</w:t>
                  </w:r>
                </w:p>
              </w:tc>
              <w:tc>
                <w:tcPr>
                  <w:tcW w:w="1134" w:type="dxa"/>
                  <w:vAlign w:val="center"/>
                </w:tcPr>
                <w:p>
                  <w:pPr>
                    <w:jc w:val="center"/>
                    <w:rPr>
                      <w:szCs w:val="21"/>
                    </w:rPr>
                  </w:pPr>
                  <w:r>
                    <w:rPr>
                      <w:rFonts w:hint="eastAsia"/>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237" w:hRule="atLeast"/>
                <w:jc w:val="center"/>
              </w:trPr>
              <w:tc>
                <w:tcPr>
                  <w:tcW w:w="433" w:type="dxa"/>
                  <w:vMerge w:val="continue"/>
                  <w:tcBorders>
                    <w:top w:val="nil"/>
                  </w:tcBorders>
                  <w:vAlign w:val="center"/>
                </w:tcPr>
                <w:p>
                  <w:pPr>
                    <w:autoSpaceDE w:val="0"/>
                    <w:autoSpaceDN w:val="0"/>
                    <w:adjustRightInd w:val="0"/>
                    <w:spacing w:after="20" w:line="242" w:lineRule="auto"/>
                    <w:ind w:left="107" w:right="96"/>
                    <w:jc w:val="center"/>
                    <w:rPr>
                      <w:kern w:val="0"/>
                    </w:rPr>
                  </w:pPr>
                </w:p>
              </w:tc>
              <w:tc>
                <w:tcPr>
                  <w:tcW w:w="3016" w:type="dxa"/>
                  <w:gridSpan w:val="2"/>
                  <w:vAlign w:val="center"/>
                </w:tcPr>
                <w:p>
                  <w:pPr>
                    <w:jc w:val="center"/>
                    <w:rPr>
                      <w:szCs w:val="21"/>
                    </w:rPr>
                  </w:pPr>
                  <w:r>
                    <w:rPr>
                      <w:rFonts w:hint="eastAsia"/>
                      <w:szCs w:val="21"/>
                    </w:rPr>
                    <w:t>（二）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1559" w:type="dxa"/>
                  <w:vAlign w:val="center"/>
                </w:tcPr>
                <w:p>
                  <w:pPr>
                    <w:jc w:val="center"/>
                    <w:rPr>
                      <w:szCs w:val="21"/>
                    </w:rPr>
                  </w:pPr>
                  <w:r>
                    <w:rPr>
                      <w:rFonts w:hint="eastAsia"/>
                      <w:szCs w:val="21"/>
                    </w:rPr>
                    <w:t>项目所在地属于金沙江岷江上游及三江并流国家级水土流失重点预防区，不在《长江岸线保护和开发利用总体规划》划定的岸线保护区内，不在《全国重要江河湖泊水功能区划》划定的河段保护区、保留区内</w:t>
                  </w:r>
                </w:p>
              </w:tc>
              <w:tc>
                <w:tcPr>
                  <w:tcW w:w="1134" w:type="dxa"/>
                  <w:vAlign w:val="center"/>
                </w:tcPr>
                <w:p>
                  <w:pPr>
                    <w:jc w:val="center"/>
                    <w:rPr>
                      <w:szCs w:val="21"/>
                    </w:rPr>
                  </w:pPr>
                  <w:r>
                    <w:rPr>
                      <w:rFonts w:hint="eastAsia"/>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237" w:hRule="atLeast"/>
                <w:jc w:val="center"/>
              </w:trPr>
              <w:tc>
                <w:tcPr>
                  <w:tcW w:w="433" w:type="dxa"/>
                  <w:vMerge w:val="continue"/>
                  <w:tcBorders>
                    <w:top w:val="nil"/>
                  </w:tcBorders>
                  <w:vAlign w:val="center"/>
                </w:tcPr>
                <w:p>
                  <w:pPr>
                    <w:autoSpaceDE w:val="0"/>
                    <w:autoSpaceDN w:val="0"/>
                    <w:adjustRightInd w:val="0"/>
                    <w:spacing w:after="20" w:line="242" w:lineRule="auto"/>
                    <w:ind w:left="107" w:right="96"/>
                    <w:jc w:val="center"/>
                    <w:rPr>
                      <w:kern w:val="0"/>
                    </w:rPr>
                  </w:pPr>
                </w:p>
              </w:tc>
              <w:tc>
                <w:tcPr>
                  <w:tcW w:w="3016" w:type="dxa"/>
                  <w:gridSpan w:val="2"/>
                  <w:vAlign w:val="center"/>
                </w:tcPr>
                <w:p>
                  <w:pPr>
                    <w:jc w:val="center"/>
                    <w:rPr>
                      <w:szCs w:val="21"/>
                    </w:rPr>
                  </w:pPr>
                  <w:r>
                    <w:rPr>
                      <w:rFonts w:hint="eastAsia"/>
                      <w:szCs w:val="21"/>
                    </w:rPr>
                    <w:t>（三）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w:t>
                  </w:r>
                </w:p>
              </w:tc>
              <w:tc>
                <w:tcPr>
                  <w:tcW w:w="1559" w:type="dxa"/>
                  <w:vAlign w:val="center"/>
                </w:tcPr>
                <w:p>
                  <w:pPr>
                    <w:jc w:val="center"/>
                    <w:rPr>
                      <w:szCs w:val="21"/>
                    </w:rPr>
                  </w:pPr>
                  <w:r>
                    <w:rPr>
                      <w:rFonts w:hint="eastAsia"/>
                      <w:szCs w:val="21"/>
                    </w:rPr>
                    <w:t>项目不涉及生态红线</w:t>
                  </w:r>
                </w:p>
              </w:tc>
              <w:tc>
                <w:tcPr>
                  <w:tcW w:w="1134" w:type="dxa"/>
                  <w:vAlign w:val="center"/>
                </w:tcPr>
                <w:p>
                  <w:pPr>
                    <w:jc w:val="center"/>
                    <w:rPr>
                      <w:szCs w:val="21"/>
                    </w:rPr>
                  </w:pPr>
                  <w:r>
                    <w:rPr>
                      <w:rFonts w:hint="eastAsia"/>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237" w:hRule="atLeast"/>
                <w:jc w:val="center"/>
              </w:trPr>
              <w:tc>
                <w:tcPr>
                  <w:tcW w:w="433" w:type="dxa"/>
                  <w:vMerge w:val="continue"/>
                  <w:tcBorders>
                    <w:top w:val="nil"/>
                  </w:tcBorders>
                  <w:vAlign w:val="center"/>
                </w:tcPr>
                <w:p>
                  <w:pPr>
                    <w:autoSpaceDE w:val="0"/>
                    <w:autoSpaceDN w:val="0"/>
                    <w:adjustRightInd w:val="0"/>
                    <w:spacing w:after="20" w:line="242" w:lineRule="auto"/>
                    <w:ind w:left="107" w:right="96"/>
                    <w:jc w:val="center"/>
                    <w:rPr>
                      <w:kern w:val="0"/>
                    </w:rPr>
                  </w:pPr>
                </w:p>
              </w:tc>
              <w:tc>
                <w:tcPr>
                  <w:tcW w:w="3016" w:type="dxa"/>
                  <w:gridSpan w:val="2"/>
                  <w:vAlign w:val="center"/>
                </w:tcPr>
                <w:p>
                  <w:pPr>
                    <w:jc w:val="center"/>
                    <w:rPr>
                      <w:szCs w:val="21"/>
                    </w:rPr>
                  </w:pPr>
                  <w:r>
                    <w:rPr>
                      <w:rFonts w:hint="eastAsia"/>
                      <w:szCs w:val="21"/>
                    </w:rPr>
                    <w:t>（四）禁止在永久基本农田范围内投资建设除国家重大战略资源勘查项目、生态保护修复和环境治理项目、重大基础设施项目、军事国防项目以及农牧民基本生产生活等必要的民生项目以外的项目，重大建设项目选址确实难以避让永久基本农田的，需依法依规办理农用地转用和土地征收，并按照“数量不减、质量不降、布局稳定”的要求进行补划和法定程序修改相应的土地利用总体规划。</w:t>
                  </w:r>
                </w:p>
              </w:tc>
              <w:tc>
                <w:tcPr>
                  <w:tcW w:w="1559" w:type="dxa"/>
                  <w:vAlign w:val="center"/>
                </w:tcPr>
                <w:p>
                  <w:pPr>
                    <w:jc w:val="center"/>
                    <w:rPr>
                      <w:szCs w:val="21"/>
                    </w:rPr>
                  </w:pPr>
                  <w:r>
                    <w:rPr>
                      <w:rFonts w:hint="eastAsia"/>
                      <w:szCs w:val="21"/>
                    </w:rPr>
                    <w:t>项目不涉及基本农田</w:t>
                  </w:r>
                </w:p>
              </w:tc>
              <w:tc>
                <w:tcPr>
                  <w:tcW w:w="1134" w:type="dxa"/>
                  <w:vAlign w:val="center"/>
                </w:tcPr>
                <w:p>
                  <w:pPr>
                    <w:jc w:val="center"/>
                    <w:rPr>
                      <w:szCs w:val="21"/>
                    </w:rPr>
                  </w:pPr>
                  <w:r>
                    <w:rPr>
                      <w:rFonts w:hint="eastAsia"/>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237" w:hRule="atLeast"/>
                <w:jc w:val="center"/>
              </w:trPr>
              <w:tc>
                <w:tcPr>
                  <w:tcW w:w="433" w:type="dxa"/>
                  <w:vMerge w:val="continue"/>
                  <w:tcBorders>
                    <w:top w:val="nil"/>
                  </w:tcBorders>
                  <w:vAlign w:val="center"/>
                </w:tcPr>
                <w:p>
                  <w:pPr>
                    <w:autoSpaceDE w:val="0"/>
                    <w:autoSpaceDN w:val="0"/>
                    <w:adjustRightInd w:val="0"/>
                    <w:spacing w:after="20" w:line="242" w:lineRule="auto"/>
                    <w:ind w:left="107" w:right="96"/>
                    <w:jc w:val="center"/>
                    <w:rPr>
                      <w:kern w:val="0"/>
                    </w:rPr>
                  </w:pPr>
                </w:p>
              </w:tc>
              <w:tc>
                <w:tcPr>
                  <w:tcW w:w="3016" w:type="dxa"/>
                  <w:gridSpan w:val="2"/>
                  <w:vAlign w:val="center"/>
                </w:tcPr>
                <w:p>
                  <w:pPr>
                    <w:jc w:val="center"/>
                    <w:rPr>
                      <w:szCs w:val="21"/>
                    </w:rPr>
                  </w:pPr>
                  <w:r>
                    <w:rPr>
                      <w:rFonts w:hint="eastAsia"/>
                      <w:szCs w:val="21"/>
                    </w:rPr>
                    <w:t>（五）禁止擅自占用和调整已经划定的永久基本农田特别是城市周边永久基本农田，不得多预留永久基本农田为建 设占用留有空间，严禁通过擅自调整县乡土地利用总体规划规避占用永久基本农田的审批，严禁未经审批违法违规占用。禁止在永久基本农田范围内建窑、建房、建坟、挖沙、采石、采矿、取土、堆放固体废弃物或者进行其他破坏永久基本农田的活动；禁止任何单位和个人破坏永久基本农田耕作层；禁止任何单位和个人闲置、荒芜永久基本农田。禁止以设施农用地为名违规占用永久基本农田建设休闲旅游、仓储厂房等设施，坚决防止永久基本农田“非农化”。</w:t>
                  </w:r>
                </w:p>
              </w:tc>
              <w:tc>
                <w:tcPr>
                  <w:tcW w:w="1559" w:type="dxa"/>
                  <w:vAlign w:val="center"/>
                </w:tcPr>
                <w:p>
                  <w:pPr>
                    <w:jc w:val="center"/>
                    <w:rPr>
                      <w:szCs w:val="21"/>
                    </w:rPr>
                  </w:pPr>
                  <w:r>
                    <w:rPr>
                      <w:rFonts w:hint="eastAsia"/>
                      <w:szCs w:val="21"/>
                    </w:rPr>
                    <w:t>项目不涉及基本农田</w:t>
                  </w:r>
                </w:p>
              </w:tc>
              <w:tc>
                <w:tcPr>
                  <w:tcW w:w="1134" w:type="dxa"/>
                  <w:vAlign w:val="center"/>
                </w:tcPr>
                <w:p>
                  <w:pPr>
                    <w:jc w:val="center"/>
                    <w:rPr>
                      <w:szCs w:val="21"/>
                    </w:rPr>
                  </w:pPr>
                  <w:r>
                    <w:rPr>
                      <w:rFonts w:hint="eastAsia"/>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237" w:hRule="atLeast"/>
                <w:jc w:val="center"/>
              </w:trPr>
              <w:tc>
                <w:tcPr>
                  <w:tcW w:w="433" w:type="dxa"/>
                  <w:vMerge w:val="continue"/>
                  <w:tcBorders>
                    <w:top w:val="nil"/>
                  </w:tcBorders>
                  <w:vAlign w:val="center"/>
                </w:tcPr>
                <w:p>
                  <w:pPr>
                    <w:autoSpaceDE w:val="0"/>
                    <w:autoSpaceDN w:val="0"/>
                    <w:adjustRightInd w:val="0"/>
                    <w:spacing w:after="20" w:line="242" w:lineRule="auto"/>
                    <w:ind w:left="107" w:right="96"/>
                    <w:jc w:val="center"/>
                    <w:rPr>
                      <w:kern w:val="0"/>
                    </w:rPr>
                  </w:pPr>
                </w:p>
              </w:tc>
              <w:tc>
                <w:tcPr>
                  <w:tcW w:w="3016" w:type="dxa"/>
                  <w:gridSpan w:val="2"/>
                  <w:vAlign w:val="center"/>
                </w:tcPr>
                <w:p>
                  <w:pPr>
                    <w:jc w:val="center"/>
                    <w:rPr>
                      <w:szCs w:val="21"/>
                    </w:rPr>
                  </w:pPr>
                  <w:r>
                    <w:rPr>
                      <w:rFonts w:hint="eastAsia"/>
                      <w:szCs w:val="21"/>
                    </w:rPr>
                    <w:t>（六）禁止在金沙江、长江一级支流（详见附件1）建设除党中央、国务院、国家投资主管部门、省级有关部门批复同意以外的过江基础设施项目</w:t>
                  </w:r>
                </w:p>
              </w:tc>
              <w:tc>
                <w:tcPr>
                  <w:tcW w:w="1559" w:type="dxa"/>
                  <w:vAlign w:val="center"/>
                </w:tcPr>
                <w:p>
                  <w:pPr>
                    <w:jc w:val="center"/>
                    <w:rPr>
                      <w:szCs w:val="21"/>
                    </w:rPr>
                  </w:pPr>
                  <w:r>
                    <w:rPr>
                      <w:rFonts w:hint="eastAsia"/>
                      <w:szCs w:val="21"/>
                    </w:rPr>
                    <w:t>本项目不属于过江基础设施项目</w:t>
                  </w:r>
                </w:p>
              </w:tc>
              <w:tc>
                <w:tcPr>
                  <w:tcW w:w="1134" w:type="dxa"/>
                  <w:vAlign w:val="center"/>
                </w:tcPr>
                <w:p>
                  <w:pPr>
                    <w:jc w:val="center"/>
                    <w:rPr>
                      <w:szCs w:val="21"/>
                    </w:rPr>
                  </w:pPr>
                  <w:r>
                    <w:rPr>
                      <w:rFonts w:hint="eastAsia"/>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237" w:hRule="atLeast"/>
                <w:jc w:val="center"/>
              </w:trPr>
              <w:tc>
                <w:tcPr>
                  <w:tcW w:w="433" w:type="dxa"/>
                  <w:vAlign w:val="center"/>
                </w:tcPr>
                <w:p>
                  <w:pPr>
                    <w:autoSpaceDE w:val="0"/>
                    <w:autoSpaceDN w:val="0"/>
                    <w:adjustRightInd w:val="0"/>
                    <w:spacing w:after="20" w:line="242" w:lineRule="auto"/>
                    <w:ind w:left="107" w:right="96"/>
                    <w:jc w:val="center"/>
                    <w:rPr>
                      <w:kern w:val="0"/>
                    </w:rPr>
                  </w:pPr>
                  <w:r>
                    <w:rPr>
                      <w:rFonts w:hint="eastAsia"/>
                      <w:kern w:val="0"/>
                    </w:rPr>
                    <w:t>二、各类保护区</w:t>
                  </w:r>
                </w:p>
              </w:tc>
              <w:tc>
                <w:tcPr>
                  <w:tcW w:w="4575" w:type="dxa"/>
                  <w:gridSpan w:val="3"/>
                  <w:vAlign w:val="center"/>
                </w:tcPr>
                <w:p>
                  <w:pPr>
                    <w:autoSpaceDE w:val="0"/>
                    <w:autoSpaceDN w:val="0"/>
                    <w:adjustRightInd w:val="0"/>
                    <w:spacing w:after="20" w:line="242" w:lineRule="auto"/>
                    <w:ind w:left="107" w:right="96"/>
                    <w:jc w:val="center"/>
                    <w:rPr>
                      <w:kern w:val="0"/>
                    </w:rPr>
                  </w:pPr>
                  <w:r>
                    <w:rPr>
                      <w:rFonts w:hint="eastAsia"/>
                      <w:kern w:val="0"/>
                    </w:rPr>
                    <w:t>项目不涉及相关保护区</w:t>
                  </w:r>
                </w:p>
              </w:tc>
              <w:tc>
                <w:tcPr>
                  <w:tcW w:w="1134" w:type="dxa"/>
                  <w:vAlign w:val="center"/>
                </w:tcPr>
                <w:p>
                  <w:pPr>
                    <w:autoSpaceDE w:val="0"/>
                    <w:autoSpaceDN w:val="0"/>
                    <w:adjustRightInd w:val="0"/>
                    <w:spacing w:after="20" w:line="242" w:lineRule="auto"/>
                    <w:ind w:left="107" w:right="96"/>
                    <w:jc w:val="center"/>
                    <w:rPr>
                      <w:kern w:val="0"/>
                    </w:rPr>
                  </w:pPr>
                  <w:r>
                    <w:rPr>
                      <w:rFonts w:hint="eastAsia"/>
                      <w:kern w:val="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433" w:type="dxa"/>
                  <w:vMerge w:val="restart"/>
                  <w:vAlign w:val="center"/>
                </w:tcPr>
                <w:p>
                  <w:pPr>
                    <w:jc w:val="center"/>
                    <w:rPr>
                      <w:szCs w:val="21"/>
                    </w:rPr>
                  </w:pPr>
                  <w:r>
                    <w:rPr>
                      <w:rFonts w:hint="eastAsia"/>
                      <w:szCs w:val="21"/>
                    </w:rPr>
                    <w:t>三、工业布局</w:t>
                  </w:r>
                </w:p>
              </w:tc>
              <w:tc>
                <w:tcPr>
                  <w:tcW w:w="2534" w:type="dxa"/>
                  <w:vAlign w:val="center"/>
                </w:tcPr>
                <w:p>
                  <w:pPr>
                    <w:jc w:val="center"/>
                    <w:rPr>
                      <w:szCs w:val="21"/>
                    </w:rPr>
                  </w:pPr>
                  <w:r>
                    <w:rPr>
                      <w:rFonts w:hint="eastAsia"/>
                      <w:szCs w:val="21"/>
                    </w:rPr>
                    <w:t>1、禁止在金沙江、长江一级支流岸线边界1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tc>
              <w:tc>
                <w:tcPr>
                  <w:tcW w:w="2041" w:type="dxa"/>
                  <w:gridSpan w:val="2"/>
                  <w:vAlign w:val="center"/>
                </w:tcPr>
                <w:p>
                  <w:pPr>
                    <w:jc w:val="center"/>
                    <w:rPr>
                      <w:szCs w:val="21"/>
                    </w:rPr>
                  </w:pPr>
                  <w:r>
                    <w:rPr>
                      <w:rFonts w:hint="eastAsia"/>
                      <w:szCs w:val="21"/>
                    </w:rPr>
                    <w:t>本项目不属于新建、扩建化工园区和化工项目</w:t>
                  </w:r>
                </w:p>
              </w:tc>
              <w:tc>
                <w:tcPr>
                  <w:tcW w:w="1134" w:type="dxa"/>
                  <w:vAlign w:val="center"/>
                </w:tcPr>
                <w:p>
                  <w:pPr>
                    <w:jc w:val="center"/>
                    <w:rPr>
                      <w:szCs w:val="21"/>
                    </w:rPr>
                  </w:pPr>
                  <w:r>
                    <w:rPr>
                      <w:rFonts w:hint="eastAsia"/>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433" w:type="dxa"/>
                  <w:vMerge w:val="continue"/>
                  <w:vAlign w:val="center"/>
                </w:tcPr>
                <w:p>
                  <w:pPr>
                    <w:autoSpaceDE w:val="0"/>
                    <w:autoSpaceDN w:val="0"/>
                    <w:adjustRightInd w:val="0"/>
                    <w:spacing w:after="20" w:line="242" w:lineRule="auto"/>
                    <w:ind w:left="107" w:right="96"/>
                    <w:jc w:val="center"/>
                    <w:rPr>
                      <w:kern w:val="0"/>
                    </w:rPr>
                  </w:pPr>
                </w:p>
              </w:tc>
              <w:tc>
                <w:tcPr>
                  <w:tcW w:w="2534" w:type="dxa"/>
                  <w:vAlign w:val="center"/>
                </w:tcPr>
                <w:p>
                  <w:pPr>
                    <w:rPr>
                      <w:szCs w:val="21"/>
                    </w:rPr>
                  </w:pPr>
                  <w:r>
                    <w:rPr>
                      <w:rFonts w:hint="eastAsia"/>
                      <w:szCs w:val="21"/>
                    </w:rPr>
                    <w:t>2、禁止新建不符合非煤矿山转型升级有关准入标准的非煤矿山。禁止在金沙江岸线3公里、长江一级支流岸线1公里范围内新建、改建、扩建尾矿库。</w:t>
                  </w:r>
                </w:p>
              </w:tc>
              <w:tc>
                <w:tcPr>
                  <w:tcW w:w="2041" w:type="dxa"/>
                  <w:gridSpan w:val="2"/>
                  <w:vAlign w:val="center"/>
                </w:tcPr>
                <w:p>
                  <w:pPr>
                    <w:jc w:val="center"/>
                    <w:rPr>
                      <w:szCs w:val="21"/>
                    </w:rPr>
                  </w:pPr>
                  <w:r>
                    <w:rPr>
                      <w:rFonts w:hint="eastAsia"/>
                      <w:szCs w:val="21"/>
                    </w:rPr>
                    <w:t>本项目不属于矿山、尾矿库项目</w:t>
                  </w:r>
                </w:p>
              </w:tc>
              <w:tc>
                <w:tcPr>
                  <w:tcW w:w="1134" w:type="dxa"/>
                  <w:vAlign w:val="center"/>
                </w:tcPr>
                <w:p>
                  <w:pPr>
                    <w:jc w:val="center"/>
                    <w:rPr>
                      <w:szCs w:val="21"/>
                    </w:rPr>
                  </w:pPr>
                  <w:r>
                    <w:rPr>
                      <w:rFonts w:hint="eastAsia"/>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433" w:type="dxa"/>
                  <w:vMerge w:val="continue"/>
                  <w:vAlign w:val="center"/>
                </w:tcPr>
                <w:p>
                  <w:pPr>
                    <w:jc w:val="center"/>
                    <w:rPr>
                      <w:szCs w:val="21"/>
                    </w:rPr>
                  </w:pPr>
                </w:p>
              </w:tc>
              <w:tc>
                <w:tcPr>
                  <w:tcW w:w="2534" w:type="dxa"/>
                  <w:vAlign w:val="center"/>
                </w:tcPr>
                <w:p>
                  <w:pPr>
                    <w:jc w:val="center"/>
                    <w:rPr>
                      <w:szCs w:val="21"/>
                    </w:rPr>
                  </w:pPr>
                  <w:r>
                    <w:rPr>
                      <w:rFonts w:hint="eastAsia"/>
                      <w:szCs w:val="21"/>
                    </w:rPr>
                    <w:t>3、禁止在合规园区外新建、扩建钢铁、石化、化工、焦化、建材、有色等高污染项目。禁止新增钢铁、水泥、平板玻璃等行业建设产能，确有必要建设的，应按规定实施产能等量或减量置换。</w:t>
                  </w:r>
                </w:p>
              </w:tc>
              <w:tc>
                <w:tcPr>
                  <w:tcW w:w="2041" w:type="dxa"/>
                  <w:gridSpan w:val="2"/>
                  <w:vAlign w:val="center"/>
                </w:tcPr>
                <w:p>
                  <w:pPr>
                    <w:jc w:val="center"/>
                    <w:rPr>
                      <w:szCs w:val="21"/>
                    </w:rPr>
                  </w:pPr>
                  <w:r>
                    <w:rPr>
                      <w:rFonts w:hint="eastAsia"/>
                      <w:szCs w:val="21"/>
                    </w:rPr>
                    <w:t>本项目不属于铁、石化、化工、焦化、建材、有色等高污染项目</w:t>
                  </w:r>
                </w:p>
              </w:tc>
              <w:tc>
                <w:tcPr>
                  <w:tcW w:w="1134" w:type="dxa"/>
                  <w:vAlign w:val="center"/>
                </w:tcPr>
                <w:p>
                  <w:pPr>
                    <w:jc w:val="center"/>
                    <w:rPr>
                      <w:szCs w:val="21"/>
                    </w:rPr>
                  </w:pPr>
                  <w:r>
                    <w:rPr>
                      <w:rFonts w:hint="eastAsia"/>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433" w:type="dxa"/>
                  <w:vMerge w:val="continue"/>
                  <w:vAlign w:val="center"/>
                </w:tcPr>
                <w:p>
                  <w:pPr>
                    <w:jc w:val="center"/>
                    <w:rPr>
                      <w:szCs w:val="21"/>
                    </w:rPr>
                  </w:pPr>
                </w:p>
              </w:tc>
              <w:tc>
                <w:tcPr>
                  <w:tcW w:w="2534" w:type="dxa"/>
                  <w:vAlign w:val="center"/>
                </w:tcPr>
                <w:p>
                  <w:pPr>
                    <w:jc w:val="center"/>
                    <w:rPr>
                      <w:szCs w:val="21"/>
                    </w:rPr>
                  </w:pPr>
                  <w:r>
                    <w:rPr>
                      <w:rFonts w:hint="eastAsia"/>
                      <w:szCs w:val="21"/>
                    </w:rPr>
                    <w:t>4、禁止新建、扩建不符合国家石化、现代煤化工等产业布局规划的项目。</w:t>
                  </w:r>
                </w:p>
              </w:tc>
              <w:tc>
                <w:tcPr>
                  <w:tcW w:w="2041" w:type="dxa"/>
                  <w:gridSpan w:val="2"/>
                  <w:vAlign w:val="center"/>
                </w:tcPr>
                <w:p>
                  <w:pPr>
                    <w:jc w:val="center"/>
                    <w:rPr>
                      <w:szCs w:val="21"/>
                    </w:rPr>
                  </w:pPr>
                  <w:r>
                    <w:rPr>
                      <w:rFonts w:hint="eastAsia"/>
                      <w:szCs w:val="21"/>
                    </w:rPr>
                    <w:t>项目不属于石化、现代煤化工行业</w:t>
                  </w:r>
                </w:p>
              </w:tc>
              <w:tc>
                <w:tcPr>
                  <w:tcW w:w="1134" w:type="dxa"/>
                  <w:vAlign w:val="center"/>
                </w:tcPr>
                <w:p>
                  <w:pPr>
                    <w:jc w:val="center"/>
                    <w:rPr>
                      <w:szCs w:val="21"/>
                    </w:rPr>
                  </w:pPr>
                  <w:r>
                    <w:rPr>
                      <w:rFonts w:hint="eastAsia"/>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433" w:type="dxa"/>
                  <w:vMerge w:val="continue"/>
                  <w:vAlign w:val="center"/>
                </w:tcPr>
                <w:p>
                  <w:pPr>
                    <w:jc w:val="center"/>
                    <w:rPr>
                      <w:szCs w:val="21"/>
                    </w:rPr>
                  </w:pPr>
                </w:p>
              </w:tc>
              <w:tc>
                <w:tcPr>
                  <w:tcW w:w="2534" w:type="dxa"/>
                  <w:vAlign w:val="center"/>
                </w:tcPr>
                <w:p>
                  <w:pPr>
                    <w:rPr>
                      <w:szCs w:val="21"/>
                    </w:rPr>
                  </w:pPr>
                  <w:r>
                    <w:rPr>
                      <w:rFonts w:hint="eastAsia"/>
                      <w:szCs w:val="21"/>
                    </w:rPr>
                    <w:t>5、禁止新建、扩建法律法规和相关政策明令禁止的落后产能项目，依法依规淘汰不符合要求的电石炉及开放式电石炉、无化产回收的单一炼焦生产设施，依法依规淘汰不符合要求的硫铁矿制酸、硫磺制酸、黄磷生产、有钙焙烧铭化合物生产装置和有机一无机复混肥料、过磷酸钙和钙镁磷肥生产线。</w:t>
                  </w:r>
                </w:p>
              </w:tc>
              <w:tc>
                <w:tcPr>
                  <w:tcW w:w="2041" w:type="dxa"/>
                  <w:gridSpan w:val="2"/>
                  <w:vAlign w:val="center"/>
                </w:tcPr>
                <w:p>
                  <w:pPr>
                    <w:jc w:val="center"/>
                    <w:rPr>
                      <w:szCs w:val="21"/>
                    </w:rPr>
                  </w:pPr>
                  <w:r>
                    <w:rPr>
                      <w:rFonts w:hint="eastAsia"/>
                      <w:szCs w:val="21"/>
                    </w:rPr>
                    <w:t>本项目不在《产业结构调整指导目录》（2019年本）中限制类、淘汰类之列，属于鼓励类项目，因此，项目符合国家产业政策要求</w:t>
                  </w:r>
                </w:p>
              </w:tc>
              <w:tc>
                <w:tcPr>
                  <w:tcW w:w="1134" w:type="dxa"/>
                  <w:vAlign w:val="center"/>
                </w:tcPr>
                <w:p>
                  <w:pPr>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433" w:type="dxa"/>
                  <w:vMerge w:val="continue"/>
                  <w:vAlign w:val="center"/>
                </w:tcPr>
                <w:p>
                  <w:pPr>
                    <w:jc w:val="center"/>
                    <w:rPr>
                      <w:szCs w:val="21"/>
                    </w:rPr>
                  </w:pPr>
                </w:p>
              </w:tc>
              <w:tc>
                <w:tcPr>
                  <w:tcW w:w="2534" w:type="dxa"/>
                  <w:vAlign w:val="center"/>
                </w:tcPr>
                <w:p>
                  <w:pPr>
                    <w:jc w:val="center"/>
                    <w:rPr>
                      <w:szCs w:val="21"/>
                    </w:rPr>
                  </w:pPr>
                  <w:r>
                    <w:rPr>
                      <w:rFonts w:hint="eastAsia"/>
                      <w:szCs w:val="21"/>
                    </w:rPr>
                    <w:t>6、禁止建设高毒高残留以及对环境影响大的农药原药生产装置，严格控制尿素、磷铉、电石、焦炭、黄磷、烧碱、纯碱、聚氯乙烯等行业新增产能。</w:t>
                  </w:r>
                </w:p>
              </w:tc>
              <w:tc>
                <w:tcPr>
                  <w:tcW w:w="2041" w:type="dxa"/>
                  <w:gridSpan w:val="2"/>
                  <w:vAlign w:val="center"/>
                </w:tcPr>
                <w:p>
                  <w:pPr>
                    <w:jc w:val="center"/>
                    <w:rPr>
                      <w:szCs w:val="21"/>
                    </w:rPr>
                  </w:pPr>
                  <w:r>
                    <w:rPr>
                      <w:rFonts w:hint="eastAsia"/>
                      <w:szCs w:val="21"/>
                    </w:rPr>
                    <w:t>不属于禁止生产装置及严格控制产能新增行业</w:t>
                  </w:r>
                </w:p>
              </w:tc>
              <w:tc>
                <w:tcPr>
                  <w:tcW w:w="1134" w:type="dxa"/>
                  <w:vAlign w:val="center"/>
                </w:tcPr>
                <w:p>
                  <w:pPr>
                    <w:jc w:val="center"/>
                    <w:rPr>
                      <w:szCs w:val="21"/>
                    </w:rPr>
                  </w:pPr>
                  <w:r>
                    <w:rPr>
                      <w:rFonts w:hint="eastAsia"/>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433" w:type="dxa"/>
                  <w:vMerge w:val="continue"/>
                  <w:vAlign w:val="center"/>
                </w:tcPr>
                <w:p>
                  <w:pPr>
                    <w:jc w:val="center"/>
                    <w:rPr>
                      <w:szCs w:val="21"/>
                    </w:rPr>
                  </w:pPr>
                </w:p>
              </w:tc>
              <w:tc>
                <w:tcPr>
                  <w:tcW w:w="2534" w:type="dxa"/>
                  <w:vAlign w:val="center"/>
                </w:tcPr>
                <w:p>
                  <w:pPr>
                    <w:rPr>
                      <w:szCs w:val="21"/>
                    </w:rPr>
                  </w:pPr>
                  <w:r>
                    <w:rPr>
                      <w:rFonts w:hint="eastAsia"/>
                      <w:szCs w:val="21"/>
                    </w:rPr>
                    <w:t>7、禁止列入《云南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p>
              </w:tc>
              <w:tc>
                <w:tcPr>
                  <w:tcW w:w="2041" w:type="dxa"/>
                  <w:gridSpan w:val="2"/>
                  <w:vAlign w:val="center"/>
                </w:tcPr>
                <w:p>
                  <w:pPr>
                    <w:jc w:val="center"/>
                    <w:rPr>
                      <w:szCs w:val="21"/>
                    </w:rPr>
                  </w:pPr>
                  <w:r>
                    <w:rPr>
                      <w:rFonts w:hint="eastAsia"/>
                      <w:szCs w:val="21"/>
                    </w:rPr>
                    <w:t>项目不属于危险化学品生产项目</w:t>
                  </w:r>
                </w:p>
              </w:tc>
              <w:tc>
                <w:tcPr>
                  <w:tcW w:w="1134" w:type="dxa"/>
                  <w:vAlign w:val="center"/>
                </w:tcPr>
                <w:p>
                  <w:pPr>
                    <w:jc w:val="center"/>
                    <w:rPr>
                      <w:szCs w:val="21"/>
                    </w:rPr>
                  </w:pPr>
                  <w:r>
                    <w:rPr>
                      <w:rFonts w:hint="eastAsia"/>
                      <w:szCs w:val="21"/>
                    </w:rPr>
                    <w:t>不涉及</w:t>
                  </w:r>
                </w:p>
              </w:tc>
            </w:tr>
          </w:tbl>
          <w:p>
            <w:pPr>
              <w:autoSpaceDE w:val="0"/>
              <w:autoSpaceDN w:val="0"/>
              <w:adjustRightInd w:val="0"/>
              <w:spacing w:line="360" w:lineRule="auto"/>
              <w:ind w:right="105" w:rightChars="50" w:firstLine="240" w:firstLineChars="100"/>
              <w:jc w:val="left"/>
              <w:rPr>
                <w:b/>
                <w:bCs/>
                <w:kern w:val="0"/>
                <w:sz w:val="24"/>
              </w:rPr>
            </w:pPr>
            <w:r>
              <w:rPr>
                <w:kern w:val="0"/>
                <w:sz w:val="24"/>
              </w:rPr>
              <w:t>六、</w:t>
            </w:r>
            <w:r>
              <w:rPr>
                <w:rFonts w:hint="eastAsia"/>
                <w:b/>
                <w:bCs/>
                <w:kern w:val="0"/>
                <w:sz w:val="24"/>
              </w:rPr>
              <w:t>与《云南省滇池保护条例》相符性分析</w:t>
            </w:r>
          </w:p>
          <w:p>
            <w:pPr>
              <w:autoSpaceDE w:val="0"/>
              <w:autoSpaceDN w:val="0"/>
              <w:adjustRightInd w:val="0"/>
              <w:spacing w:line="360" w:lineRule="auto"/>
              <w:ind w:right="105" w:rightChars="50" w:firstLine="240" w:firstLineChars="100"/>
              <w:jc w:val="left"/>
              <w:rPr>
                <w:kern w:val="0"/>
                <w:sz w:val="24"/>
              </w:rPr>
            </w:pPr>
            <w:r>
              <w:rPr>
                <w:kern w:val="0"/>
                <w:sz w:val="24"/>
              </w:rPr>
              <w:t>《云南省滇池保护条例》相关内容</w:t>
            </w:r>
            <w:r>
              <w:rPr>
                <w:rFonts w:hint="eastAsia"/>
                <w:kern w:val="0"/>
                <w:sz w:val="24"/>
              </w:rPr>
              <w:t>：</w:t>
            </w:r>
          </w:p>
          <w:p>
            <w:pPr>
              <w:autoSpaceDE w:val="0"/>
              <w:autoSpaceDN w:val="0"/>
              <w:adjustRightInd w:val="0"/>
              <w:spacing w:line="360" w:lineRule="auto"/>
              <w:ind w:left="105" w:leftChars="50" w:right="105" w:rightChars="50" w:firstLine="240" w:firstLineChars="100"/>
              <w:jc w:val="left"/>
              <w:rPr>
                <w:kern w:val="0"/>
                <w:sz w:val="24"/>
              </w:rPr>
            </w:pPr>
            <w:r>
              <w:rPr>
                <w:kern w:val="0"/>
                <w:sz w:val="24"/>
              </w:rPr>
              <w:t>根据《云南省滇池保护条例》（自2013年1月1日起施行），滇池保护区总体范围是：以滇池水体为主的整个滇池流域，涉及五华、盘龙、官渡、西山、呈贡、晋宁、嵩明7个县（区）2920</w:t>
            </w:r>
            <w:r>
              <w:rPr>
                <w:rFonts w:hint="eastAsia"/>
                <w:kern w:val="0"/>
                <w:sz w:val="24"/>
              </w:rPr>
              <w:t>km</w:t>
            </w:r>
            <w:r>
              <w:rPr>
                <w:rFonts w:hint="eastAsia"/>
                <w:kern w:val="0"/>
                <w:sz w:val="24"/>
                <w:vertAlign w:val="superscript"/>
              </w:rPr>
              <w:t>2</w:t>
            </w:r>
            <w:r>
              <w:rPr>
                <w:kern w:val="0"/>
                <w:sz w:val="24"/>
              </w:rPr>
              <w:t>的区域。保护区范围分为三个等级保护区及城镇饮用水源保护区，本项目隶属滇池保护区范围分析如下：</w:t>
            </w:r>
          </w:p>
          <w:p>
            <w:pPr>
              <w:autoSpaceDE w:val="0"/>
              <w:autoSpaceDN w:val="0"/>
              <w:adjustRightInd w:val="0"/>
              <w:ind w:left="105" w:leftChars="50" w:right="105" w:rightChars="50" w:firstLine="422" w:firstLineChars="200"/>
              <w:jc w:val="center"/>
              <w:rPr>
                <w:b/>
                <w:bCs/>
                <w:kern w:val="0"/>
                <w:szCs w:val="21"/>
              </w:rPr>
            </w:pPr>
            <w:r>
              <w:rPr>
                <w:b/>
                <w:bCs/>
                <w:kern w:val="0"/>
                <w:szCs w:val="21"/>
              </w:rPr>
              <w:t>表1-5    本项目与云南省滇池保护区范围分析</w:t>
            </w:r>
          </w:p>
          <w:tbl>
            <w:tblPr>
              <w:tblStyle w:val="44"/>
              <w:tblW w:w="64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3718"/>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tblHeader/>
                <w:jc w:val="center"/>
              </w:trPr>
              <w:tc>
                <w:tcPr>
                  <w:tcW w:w="1097" w:type="dxa"/>
                  <w:vAlign w:val="center"/>
                </w:tcPr>
                <w:p>
                  <w:pPr>
                    <w:adjustRightInd w:val="0"/>
                    <w:snapToGrid w:val="0"/>
                    <w:jc w:val="center"/>
                    <w:rPr>
                      <w:b/>
                      <w:bCs/>
                      <w:color w:val="000000"/>
                      <w:szCs w:val="21"/>
                      <w:lang w:val="zh-CN"/>
                    </w:rPr>
                  </w:pPr>
                  <w:r>
                    <w:rPr>
                      <w:b/>
                      <w:bCs/>
                      <w:color w:val="000000"/>
                      <w:szCs w:val="21"/>
                      <w:lang w:val="zh-CN"/>
                    </w:rPr>
                    <w:t>保护区级别</w:t>
                  </w:r>
                </w:p>
              </w:tc>
              <w:tc>
                <w:tcPr>
                  <w:tcW w:w="3718" w:type="dxa"/>
                  <w:vAlign w:val="center"/>
                </w:tcPr>
                <w:p>
                  <w:pPr>
                    <w:adjustRightInd w:val="0"/>
                    <w:snapToGrid w:val="0"/>
                    <w:jc w:val="center"/>
                    <w:rPr>
                      <w:b/>
                      <w:bCs/>
                      <w:color w:val="000000"/>
                      <w:szCs w:val="21"/>
                      <w:lang w:val="zh-CN"/>
                    </w:rPr>
                  </w:pPr>
                  <w:r>
                    <w:rPr>
                      <w:b/>
                      <w:bCs/>
                      <w:color w:val="000000"/>
                      <w:szCs w:val="21"/>
                      <w:lang w:val="zh-CN"/>
                    </w:rPr>
                    <w:t>保护区范围</w:t>
                  </w:r>
                </w:p>
              </w:tc>
              <w:tc>
                <w:tcPr>
                  <w:tcW w:w="1615" w:type="dxa"/>
                  <w:vAlign w:val="center"/>
                </w:tcPr>
                <w:p>
                  <w:pPr>
                    <w:adjustRightInd w:val="0"/>
                    <w:snapToGrid w:val="0"/>
                    <w:jc w:val="center"/>
                    <w:rPr>
                      <w:b/>
                      <w:bCs/>
                      <w:color w:val="000000"/>
                      <w:szCs w:val="21"/>
                      <w:lang w:val="zh-CN"/>
                    </w:rPr>
                  </w:pPr>
                  <w:r>
                    <w:rPr>
                      <w:b/>
                      <w:bCs/>
                      <w:color w:val="000000"/>
                      <w:szCs w:val="21"/>
                      <w:lang w:val="zh-CN"/>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1097" w:type="dxa"/>
                  <w:vAlign w:val="center"/>
                </w:tcPr>
                <w:p>
                  <w:pPr>
                    <w:adjustRightInd w:val="0"/>
                    <w:snapToGrid w:val="0"/>
                    <w:jc w:val="center"/>
                    <w:rPr>
                      <w:color w:val="000000"/>
                      <w:szCs w:val="21"/>
                      <w:lang w:val="zh-CN"/>
                    </w:rPr>
                  </w:pPr>
                  <w:r>
                    <w:rPr>
                      <w:color w:val="000000"/>
                      <w:szCs w:val="21"/>
                      <w:lang w:val="zh-CN"/>
                    </w:rPr>
                    <w:t>一级保护区</w:t>
                  </w:r>
                </w:p>
              </w:tc>
              <w:tc>
                <w:tcPr>
                  <w:tcW w:w="3718" w:type="dxa"/>
                  <w:vAlign w:val="center"/>
                </w:tcPr>
                <w:p>
                  <w:pPr>
                    <w:adjustRightInd w:val="0"/>
                    <w:snapToGrid w:val="0"/>
                    <w:rPr>
                      <w:color w:val="000000"/>
                      <w:szCs w:val="21"/>
                      <w:lang w:val="zh-CN"/>
                    </w:rPr>
                  </w:pPr>
                  <w:r>
                    <w:rPr>
                      <w:color w:val="000000"/>
                      <w:szCs w:val="21"/>
                      <w:lang w:val="zh-CN"/>
                    </w:rPr>
                    <w:t>滇池水域以及保护界桩向外水平延伸</w:t>
                  </w:r>
                  <w:r>
                    <w:rPr>
                      <w:color w:val="000000"/>
                      <w:szCs w:val="21"/>
                    </w:rPr>
                    <w:t>100</w:t>
                  </w:r>
                  <w:r>
                    <w:rPr>
                      <w:rFonts w:hint="eastAsia"/>
                      <w:color w:val="000000"/>
                      <w:szCs w:val="21"/>
                      <w:lang w:val="zh-CN"/>
                    </w:rPr>
                    <w:t>m</w:t>
                  </w:r>
                  <w:r>
                    <w:rPr>
                      <w:color w:val="000000"/>
                      <w:szCs w:val="21"/>
                      <w:lang w:val="zh-CN"/>
                    </w:rPr>
                    <w:t>以内的区域，但保护界桩在环湖路（不含水体上的桥梁）以外的，以环湖路以内的路缘线为界。</w:t>
                  </w:r>
                </w:p>
              </w:tc>
              <w:tc>
                <w:tcPr>
                  <w:tcW w:w="1615" w:type="dxa"/>
                  <w:vMerge w:val="restart"/>
                  <w:vAlign w:val="center"/>
                </w:tcPr>
                <w:p>
                  <w:pPr>
                    <w:adjustRightInd w:val="0"/>
                    <w:snapToGrid w:val="0"/>
                    <w:rPr>
                      <w:color w:val="000000"/>
                      <w:szCs w:val="21"/>
                      <w:lang w:val="zh-CN"/>
                    </w:rPr>
                  </w:pPr>
                  <w:r>
                    <w:rPr>
                      <w:color w:val="000000"/>
                      <w:szCs w:val="21"/>
                    </w:rPr>
                    <w:t>本项目距滇池主要入湖河道大河1400m，不在禁止建设区和限制建设区内，项目属于滇池保护区的三级保护区，项目建设范围不涉及城镇饮用水源保护区。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097" w:type="dxa"/>
                  <w:vAlign w:val="center"/>
                </w:tcPr>
                <w:p>
                  <w:pPr>
                    <w:adjustRightInd w:val="0"/>
                    <w:snapToGrid w:val="0"/>
                    <w:jc w:val="center"/>
                    <w:rPr>
                      <w:color w:val="000000"/>
                      <w:szCs w:val="21"/>
                      <w:lang w:val="zh-CN"/>
                    </w:rPr>
                  </w:pPr>
                  <w:r>
                    <w:rPr>
                      <w:color w:val="000000"/>
                      <w:szCs w:val="21"/>
                      <w:lang w:val="zh-CN"/>
                    </w:rPr>
                    <w:t>二级保护区</w:t>
                  </w:r>
                </w:p>
              </w:tc>
              <w:tc>
                <w:tcPr>
                  <w:tcW w:w="3718" w:type="dxa"/>
                  <w:vAlign w:val="center"/>
                </w:tcPr>
                <w:p>
                  <w:pPr>
                    <w:adjustRightInd w:val="0"/>
                    <w:snapToGrid w:val="0"/>
                    <w:rPr>
                      <w:color w:val="000000"/>
                      <w:szCs w:val="21"/>
                      <w:lang w:val="zh-CN"/>
                    </w:rPr>
                  </w:pPr>
                  <w:r>
                    <w:rPr>
                      <w:color w:val="000000"/>
                      <w:szCs w:val="21"/>
                      <w:lang w:val="zh-CN"/>
                    </w:rPr>
                    <w:t>一级保护区以外至滇池面山以内的城市规划确定的禁止建设区和限制建设区，以及主要入湖河道两侧沿地表向外水平延伸</w:t>
                  </w:r>
                  <w:r>
                    <w:rPr>
                      <w:color w:val="000000"/>
                      <w:szCs w:val="21"/>
                    </w:rPr>
                    <w:t>50</w:t>
                  </w:r>
                  <w:r>
                    <w:rPr>
                      <w:rFonts w:hint="eastAsia"/>
                      <w:color w:val="000000"/>
                      <w:szCs w:val="21"/>
                      <w:lang w:val="zh-CN"/>
                    </w:rPr>
                    <w:t>m</w:t>
                  </w:r>
                  <w:r>
                    <w:rPr>
                      <w:color w:val="000000"/>
                      <w:szCs w:val="21"/>
                      <w:lang w:val="zh-CN"/>
                    </w:rPr>
                    <w:t>以内的区域。</w:t>
                  </w:r>
                </w:p>
              </w:tc>
              <w:tc>
                <w:tcPr>
                  <w:tcW w:w="1615" w:type="dxa"/>
                  <w:vMerge w:val="continue"/>
                  <w:vAlign w:val="center"/>
                </w:tcPr>
                <w:p>
                  <w:pPr>
                    <w:adjustRightInd w:val="0"/>
                    <w:snapToGrid w:val="0"/>
                    <w:jc w:val="center"/>
                    <w:rPr>
                      <w:color w:val="00000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59" w:hRule="atLeast"/>
                <w:jc w:val="center"/>
              </w:trPr>
              <w:tc>
                <w:tcPr>
                  <w:tcW w:w="1097" w:type="dxa"/>
                  <w:vAlign w:val="center"/>
                </w:tcPr>
                <w:p>
                  <w:pPr>
                    <w:adjustRightInd w:val="0"/>
                    <w:snapToGrid w:val="0"/>
                    <w:jc w:val="center"/>
                    <w:rPr>
                      <w:color w:val="000000"/>
                      <w:szCs w:val="21"/>
                      <w:lang w:val="zh-CN"/>
                    </w:rPr>
                  </w:pPr>
                  <w:r>
                    <w:rPr>
                      <w:color w:val="000000"/>
                      <w:szCs w:val="21"/>
                      <w:lang w:val="zh-CN"/>
                    </w:rPr>
                    <w:t>三级保护区</w:t>
                  </w:r>
                </w:p>
              </w:tc>
              <w:tc>
                <w:tcPr>
                  <w:tcW w:w="3718" w:type="dxa"/>
                  <w:vAlign w:val="center"/>
                </w:tcPr>
                <w:p>
                  <w:pPr>
                    <w:adjustRightInd w:val="0"/>
                    <w:snapToGrid w:val="0"/>
                    <w:rPr>
                      <w:color w:val="000000"/>
                      <w:szCs w:val="21"/>
                      <w:lang w:val="zh-CN"/>
                    </w:rPr>
                  </w:pPr>
                  <w:r>
                    <w:rPr>
                      <w:color w:val="000000"/>
                      <w:szCs w:val="21"/>
                      <w:lang w:val="zh-CN"/>
                    </w:rPr>
                    <w:t>一、二级保护区以外，滇池流域分水岭以内的区域。</w:t>
                  </w:r>
                </w:p>
              </w:tc>
              <w:tc>
                <w:tcPr>
                  <w:tcW w:w="1615" w:type="dxa"/>
                  <w:vMerge w:val="continue"/>
                  <w:vAlign w:val="center"/>
                </w:tcPr>
                <w:p>
                  <w:pPr>
                    <w:adjustRightInd w:val="0"/>
                    <w:snapToGrid w:val="0"/>
                    <w:jc w:val="center"/>
                    <w:rPr>
                      <w:color w:val="00000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59" w:hRule="atLeast"/>
                <w:jc w:val="center"/>
              </w:trPr>
              <w:tc>
                <w:tcPr>
                  <w:tcW w:w="1097" w:type="dxa"/>
                  <w:vAlign w:val="center"/>
                </w:tcPr>
                <w:p>
                  <w:pPr>
                    <w:adjustRightInd w:val="0"/>
                    <w:snapToGrid w:val="0"/>
                    <w:jc w:val="center"/>
                    <w:rPr>
                      <w:color w:val="000000"/>
                      <w:szCs w:val="21"/>
                      <w:lang w:val="zh-CN"/>
                    </w:rPr>
                  </w:pPr>
                  <w:r>
                    <w:rPr>
                      <w:color w:val="000000"/>
                      <w:szCs w:val="21"/>
                      <w:lang w:val="zh-CN"/>
                    </w:rPr>
                    <w:t>城镇饮用水源保护区</w:t>
                  </w:r>
                </w:p>
              </w:tc>
              <w:tc>
                <w:tcPr>
                  <w:tcW w:w="3718" w:type="dxa"/>
                  <w:vAlign w:val="center"/>
                </w:tcPr>
                <w:p>
                  <w:pPr>
                    <w:adjustRightInd w:val="0"/>
                    <w:snapToGrid w:val="0"/>
                    <w:rPr>
                      <w:color w:val="000000"/>
                      <w:szCs w:val="21"/>
                      <w:lang w:val="zh-CN"/>
                    </w:rPr>
                  </w:pPr>
                  <w:r>
                    <w:rPr>
                      <w:color w:val="000000"/>
                      <w:szCs w:val="21"/>
                      <w:lang w:val="zh-CN"/>
                    </w:rPr>
                    <w:t>由昆明市人民政府确定，报省人民政府批准后公布，并按照有关法律法规进行保护。</w:t>
                  </w:r>
                </w:p>
              </w:tc>
              <w:tc>
                <w:tcPr>
                  <w:tcW w:w="1615" w:type="dxa"/>
                  <w:vMerge w:val="continue"/>
                  <w:vAlign w:val="center"/>
                </w:tcPr>
                <w:p>
                  <w:pPr>
                    <w:adjustRightInd w:val="0"/>
                    <w:snapToGrid w:val="0"/>
                    <w:jc w:val="center"/>
                    <w:rPr>
                      <w:color w:val="000000"/>
                      <w:szCs w:val="21"/>
                      <w:lang w:val="zh-CN"/>
                    </w:rPr>
                  </w:pPr>
                </w:p>
              </w:tc>
            </w:tr>
          </w:tbl>
          <w:p>
            <w:pPr>
              <w:autoSpaceDE w:val="0"/>
              <w:autoSpaceDN w:val="0"/>
              <w:adjustRightInd w:val="0"/>
              <w:snapToGrid w:val="0"/>
              <w:ind w:left="105" w:leftChars="50" w:right="105" w:rightChars="50" w:firstLine="420" w:firstLineChars="200"/>
              <w:jc w:val="left"/>
              <w:rPr>
                <w:kern w:val="0"/>
                <w:szCs w:val="21"/>
              </w:rPr>
            </w:pPr>
          </w:p>
          <w:p>
            <w:pPr>
              <w:autoSpaceDE w:val="0"/>
              <w:autoSpaceDN w:val="0"/>
              <w:adjustRightInd w:val="0"/>
              <w:spacing w:line="360" w:lineRule="auto"/>
              <w:ind w:right="105" w:rightChars="50" w:firstLine="240" w:firstLineChars="100"/>
              <w:jc w:val="left"/>
              <w:rPr>
                <w:kern w:val="0"/>
                <w:sz w:val="24"/>
              </w:rPr>
            </w:pPr>
            <w:r>
              <w:rPr>
                <w:kern w:val="0"/>
                <w:sz w:val="24"/>
              </w:rPr>
              <w:t>根据表1-5分析，本项目位于滇池保护区三级保护区范围内，本项目与《云南省滇池保护条例》规定的水源保护行为符合性如下：</w:t>
            </w:r>
          </w:p>
          <w:p>
            <w:pPr>
              <w:autoSpaceDE w:val="0"/>
              <w:autoSpaceDN w:val="0"/>
              <w:adjustRightInd w:val="0"/>
              <w:ind w:left="105" w:leftChars="50" w:right="105" w:rightChars="50" w:firstLine="422" w:firstLineChars="200"/>
              <w:jc w:val="center"/>
              <w:rPr>
                <w:b/>
                <w:bCs/>
                <w:kern w:val="0"/>
                <w:szCs w:val="21"/>
              </w:rPr>
            </w:pPr>
            <w:r>
              <w:rPr>
                <w:b/>
                <w:bCs/>
                <w:kern w:val="0"/>
                <w:szCs w:val="21"/>
              </w:rPr>
              <w:t>表1-6    本项目与云南省滇池保护区水源保护行为符合性分析</w:t>
            </w:r>
          </w:p>
          <w:tbl>
            <w:tblPr>
              <w:tblStyle w:val="44"/>
              <w:tblW w:w="65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3697"/>
              <w:gridCol w:w="1750"/>
              <w:gridCol w:w="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blHeader/>
                <w:jc w:val="center"/>
              </w:trPr>
              <w:tc>
                <w:tcPr>
                  <w:tcW w:w="408" w:type="dxa"/>
                  <w:vAlign w:val="center"/>
                </w:tcPr>
                <w:p>
                  <w:pPr>
                    <w:adjustRightInd w:val="0"/>
                    <w:snapToGrid w:val="0"/>
                    <w:jc w:val="center"/>
                    <w:rPr>
                      <w:b/>
                      <w:color w:val="000000"/>
                      <w:szCs w:val="21"/>
                      <w:lang w:val="zh-CN"/>
                    </w:rPr>
                  </w:pPr>
                  <w:r>
                    <w:rPr>
                      <w:b/>
                      <w:color w:val="000000"/>
                      <w:szCs w:val="21"/>
                      <w:lang w:val="zh-CN"/>
                    </w:rPr>
                    <w:t>序号</w:t>
                  </w:r>
                </w:p>
              </w:tc>
              <w:tc>
                <w:tcPr>
                  <w:tcW w:w="3697" w:type="dxa"/>
                  <w:vAlign w:val="center"/>
                </w:tcPr>
                <w:p>
                  <w:pPr>
                    <w:adjustRightInd w:val="0"/>
                    <w:snapToGrid w:val="0"/>
                    <w:jc w:val="center"/>
                    <w:rPr>
                      <w:b/>
                      <w:color w:val="000000"/>
                      <w:szCs w:val="21"/>
                      <w:lang w:val="zh-CN"/>
                    </w:rPr>
                  </w:pPr>
                  <w:r>
                    <w:rPr>
                      <w:b/>
                      <w:color w:val="000000"/>
                      <w:szCs w:val="21"/>
                      <w:lang w:val="zh-CN"/>
                    </w:rPr>
                    <w:t>保护区禁止行为</w:t>
                  </w:r>
                </w:p>
              </w:tc>
              <w:tc>
                <w:tcPr>
                  <w:tcW w:w="1750" w:type="dxa"/>
                  <w:vAlign w:val="center"/>
                </w:tcPr>
                <w:p>
                  <w:pPr>
                    <w:adjustRightInd w:val="0"/>
                    <w:snapToGrid w:val="0"/>
                    <w:jc w:val="center"/>
                    <w:rPr>
                      <w:b/>
                      <w:color w:val="000000"/>
                      <w:szCs w:val="21"/>
                      <w:lang w:val="zh-CN"/>
                    </w:rPr>
                  </w:pPr>
                  <w:r>
                    <w:rPr>
                      <w:b/>
                      <w:color w:val="000000"/>
                      <w:szCs w:val="21"/>
                      <w:lang w:val="zh-CN"/>
                    </w:rPr>
                    <w:t>本项目措施</w:t>
                  </w:r>
                </w:p>
              </w:tc>
              <w:tc>
                <w:tcPr>
                  <w:tcW w:w="645" w:type="dxa"/>
                  <w:vAlign w:val="center"/>
                </w:tcPr>
                <w:p>
                  <w:pPr>
                    <w:adjustRightInd w:val="0"/>
                    <w:snapToGrid w:val="0"/>
                    <w:jc w:val="center"/>
                    <w:rPr>
                      <w:b/>
                      <w:color w:val="000000"/>
                      <w:szCs w:val="21"/>
                      <w:lang w:val="zh-CN"/>
                    </w:rPr>
                  </w:pPr>
                  <w:r>
                    <w:rPr>
                      <w:b/>
                      <w:color w:val="000000"/>
                      <w:szCs w:val="21"/>
                      <w:lang w:val="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408" w:type="dxa"/>
                  <w:vAlign w:val="center"/>
                </w:tcPr>
                <w:p>
                  <w:pPr>
                    <w:adjustRightInd w:val="0"/>
                    <w:snapToGrid w:val="0"/>
                    <w:jc w:val="center"/>
                    <w:rPr>
                      <w:color w:val="000000"/>
                      <w:szCs w:val="21"/>
                      <w:lang w:val="zh-CN"/>
                    </w:rPr>
                  </w:pPr>
                  <w:r>
                    <w:rPr>
                      <w:color w:val="000000"/>
                      <w:szCs w:val="21"/>
                      <w:lang w:val="zh-CN"/>
                    </w:rPr>
                    <w:t>1</w:t>
                  </w:r>
                </w:p>
              </w:tc>
              <w:tc>
                <w:tcPr>
                  <w:tcW w:w="3697" w:type="dxa"/>
                </w:tcPr>
                <w:p>
                  <w:pPr>
                    <w:adjustRightInd w:val="0"/>
                    <w:snapToGrid w:val="0"/>
                    <w:rPr>
                      <w:color w:val="000000"/>
                      <w:szCs w:val="21"/>
                      <w:lang w:val="zh-CN"/>
                    </w:rPr>
                  </w:pPr>
                  <w:r>
                    <w:rPr>
                      <w:color w:val="000000"/>
                      <w:szCs w:val="21"/>
                      <w:lang w:val="zh-CN"/>
                    </w:rPr>
                    <w:t>三级保护区内禁止下列行为：</w:t>
                  </w:r>
                </w:p>
                <w:p>
                  <w:pPr>
                    <w:adjustRightInd w:val="0"/>
                    <w:snapToGrid w:val="0"/>
                    <w:rPr>
                      <w:color w:val="000000"/>
                      <w:szCs w:val="21"/>
                      <w:lang w:val="zh-CN"/>
                    </w:rPr>
                  </w:pPr>
                  <w:r>
                    <w:rPr>
                      <w:rFonts w:hint="eastAsia" w:ascii="宋体" w:hAnsi="宋体" w:cs="宋体"/>
                      <w:color w:val="000000"/>
                      <w:szCs w:val="21"/>
                      <w:lang w:val="zh-CN"/>
                    </w:rPr>
                    <w:t>①</w:t>
                  </w:r>
                  <w:r>
                    <w:rPr>
                      <w:color w:val="000000"/>
                      <w:szCs w:val="21"/>
                      <w:lang w:val="zh-CN"/>
                    </w:rPr>
                    <w:t>向河道、沟渠等水体倾倒固体废弃物，排放粪便、污水、废液及其他超过水污染物排放标准的污水、废水，或者在河道中清洗生产生活用具、车辆和其他可能污染水体的物品；</w:t>
                  </w:r>
                </w:p>
                <w:p>
                  <w:pPr>
                    <w:adjustRightInd w:val="0"/>
                    <w:snapToGrid w:val="0"/>
                    <w:rPr>
                      <w:color w:val="000000"/>
                      <w:szCs w:val="21"/>
                      <w:lang w:val="zh-CN"/>
                    </w:rPr>
                  </w:pPr>
                  <w:r>
                    <w:rPr>
                      <w:rFonts w:hint="eastAsia" w:ascii="宋体" w:hAnsi="宋体" w:cs="宋体"/>
                      <w:color w:val="000000"/>
                      <w:szCs w:val="21"/>
                      <w:lang w:val="zh-CN"/>
                    </w:rPr>
                    <w:t>②</w:t>
                  </w:r>
                  <w:r>
                    <w:rPr>
                      <w:color w:val="000000"/>
                      <w:szCs w:val="21"/>
                      <w:lang w:val="zh-CN"/>
                    </w:rPr>
                    <w:t>在河道滩地和岸坡堆放、存贮固体废弃物和其他污染物，或者将其埋入集水区范围内的土壤中；</w:t>
                  </w:r>
                </w:p>
                <w:p>
                  <w:pPr>
                    <w:adjustRightInd w:val="0"/>
                    <w:snapToGrid w:val="0"/>
                    <w:rPr>
                      <w:color w:val="000000"/>
                      <w:szCs w:val="21"/>
                      <w:lang w:val="zh-CN"/>
                    </w:rPr>
                  </w:pPr>
                  <w:r>
                    <w:rPr>
                      <w:rFonts w:hint="eastAsia" w:ascii="宋体" w:hAnsi="宋体" w:cs="宋体"/>
                      <w:color w:val="000000"/>
                      <w:szCs w:val="21"/>
                      <w:lang w:val="zh-CN"/>
                    </w:rPr>
                    <w:t>③</w:t>
                  </w:r>
                  <w:r>
                    <w:rPr>
                      <w:color w:val="000000"/>
                      <w:szCs w:val="21"/>
                      <w:lang w:val="zh-CN"/>
                    </w:rPr>
                    <w:t>盗伐、滥伐林木或者其他破坏与保护水源有关的植被的行为；</w:t>
                  </w:r>
                </w:p>
                <w:p>
                  <w:pPr>
                    <w:adjustRightInd w:val="0"/>
                    <w:snapToGrid w:val="0"/>
                    <w:rPr>
                      <w:color w:val="000000"/>
                      <w:szCs w:val="21"/>
                      <w:lang w:val="zh-CN"/>
                    </w:rPr>
                  </w:pPr>
                  <w:r>
                    <w:rPr>
                      <w:rFonts w:hint="eastAsia" w:ascii="宋体" w:hAnsi="宋体" w:cs="宋体"/>
                      <w:color w:val="000000"/>
                      <w:szCs w:val="21"/>
                      <w:lang w:val="zh-CN"/>
                    </w:rPr>
                    <w:t>④</w:t>
                  </w:r>
                  <w:r>
                    <w:rPr>
                      <w:color w:val="000000"/>
                      <w:szCs w:val="21"/>
                      <w:lang w:val="zh-CN"/>
                    </w:rPr>
                    <w:t>毁林开垦或者违法占用林地资源；</w:t>
                  </w:r>
                </w:p>
                <w:p>
                  <w:pPr>
                    <w:adjustRightInd w:val="0"/>
                    <w:snapToGrid w:val="0"/>
                    <w:rPr>
                      <w:color w:val="000000"/>
                      <w:szCs w:val="21"/>
                      <w:lang w:val="zh-CN"/>
                    </w:rPr>
                  </w:pPr>
                  <w:r>
                    <w:rPr>
                      <w:rFonts w:hint="eastAsia" w:ascii="宋体" w:hAnsi="宋体" w:cs="宋体"/>
                      <w:color w:val="000000"/>
                      <w:szCs w:val="21"/>
                      <w:lang w:val="zh-CN"/>
                    </w:rPr>
                    <w:t>⑤</w:t>
                  </w:r>
                  <w:r>
                    <w:rPr>
                      <w:color w:val="000000"/>
                      <w:szCs w:val="21"/>
                      <w:lang w:val="zh-CN"/>
                    </w:rPr>
                    <w:t>猎捕野生动物；</w:t>
                  </w:r>
                </w:p>
                <w:p>
                  <w:pPr>
                    <w:adjustRightInd w:val="0"/>
                    <w:snapToGrid w:val="0"/>
                    <w:rPr>
                      <w:color w:val="000000"/>
                      <w:szCs w:val="21"/>
                      <w:lang w:val="zh-CN"/>
                    </w:rPr>
                  </w:pPr>
                  <w:r>
                    <w:rPr>
                      <w:rFonts w:hint="eastAsia" w:ascii="宋体" w:hAnsi="宋体" w:cs="宋体"/>
                      <w:color w:val="000000"/>
                      <w:szCs w:val="21"/>
                      <w:lang w:val="zh-CN"/>
                    </w:rPr>
                    <w:t>⑥</w:t>
                  </w:r>
                  <w:r>
                    <w:rPr>
                      <w:color w:val="000000"/>
                      <w:szCs w:val="21"/>
                      <w:lang w:val="zh-CN"/>
                    </w:rPr>
                    <w:t>在禁止开垦区内开垦土地；</w:t>
                  </w:r>
                </w:p>
                <w:p>
                  <w:pPr>
                    <w:adjustRightInd w:val="0"/>
                    <w:snapToGrid w:val="0"/>
                    <w:rPr>
                      <w:color w:val="000000"/>
                      <w:szCs w:val="21"/>
                      <w:lang w:val="zh-CN"/>
                    </w:rPr>
                  </w:pPr>
                  <w:r>
                    <w:rPr>
                      <w:rFonts w:hint="eastAsia" w:ascii="宋体" w:hAnsi="宋体" w:cs="宋体"/>
                      <w:color w:val="000000"/>
                      <w:szCs w:val="21"/>
                      <w:lang w:val="zh-CN"/>
                    </w:rPr>
                    <w:t>⑦</w:t>
                  </w:r>
                  <w:r>
                    <w:rPr>
                      <w:color w:val="000000"/>
                      <w:szCs w:val="21"/>
                      <w:lang w:val="zh-CN"/>
                    </w:rPr>
                    <w:t>新建、改建、扩建向入湖河道排放氮、磷污染物的工业项目以及污染环境、破坏生态平衡和自然景观的其他项目。</w:t>
                  </w:r>
                </w:p>
              </w:tc>
              <w:tc>
                <w:tcPr>
                  <w:tcW w:w="1750" w:type="dxa"/>
                  <w:vAlign w:val="center"/>
                </w:tcPr>
                <w:p>
                  <w:pPr>
                    <w:adjustRightInd w:val="0"/>
                    <w:snapToGrid w:val="0"/>
                    <w:rPr>
                      <w:color w:val="000000"/>
                      <w:szCs w:val="21"/>
                      <w:lang w:val="zh-CN"/>
                    </w:rPr>
                  </w:pPr>
                  <w:r>
                    <w:rPr>
                      <w:rFonts w:hint="eastAsia" w:ascii="宋体" w:hAnsi="宋体" w:cs="宋体"/>
                      <w:color w:val="000000"/>
                      <w:szCs w:val="21"/>
                      <w:lang w:val="zh-CN"/>
                    </w:rPr>
                    <w:t>①</w:t>
                  </w:r>
                  <w:r>
                    <w:rPr>
                      <w:color w:val="000000"/>
                      <w:szCs w:val="21"/>
                      <w:lang w:val="zh-CN"/>
                    </w:rPr>
                    <w:t>项目生活垃圾委托环卫部门清运处置，不合格产品回用于生产，固废处置率达100%。</w:t>
                  </w:r>
                </w:p>
                <w:p>
                  <w:pPr>
                    <w:adjustRightInd w:val="0"/>
                    <w:snapToGrid w:val="0"/>
                    <w:rPr>
                      <w:szCs w:val="21"/>
                    </w:rPr>
                  </w:pPr>
                  <w:r>
                    <w:rPr>
                      <w:rFonts w:hint="eastAsia" w:ascii="宋体" w:hAnsi="宋体" w:cs="宋体"/>
                      <w:color w:val="000000"/>
                      <w:szCs w:val="21"/>
                      <w:lang w:val="zh-CN"/>
                    </w:rPr>
                    <w:t>②</w:t>
                  </w:r>
                  <w:r>
                    <w:rPr>
                      <w:color w:val="000000"/>
                      <w:szCs w:val="21"/>
                      <w:lang w:val="zh-CN"/>
                    </w:rPr>
                    <w:t>项目</w:t>
                  </w:r>
                  <w:r>
                    <w:rPr>
                      <w:szCs w:val="21"/>
                      <w:lang w:val="zh-CN"/>
                    </w:rPr>
                    <w:t>无生产废水产生，生活污水化</w:t>
                  </w:r>
                  <w:r>
                    <w:rPr>
                      <w:rFonts w:hint="eastAsia"/>
                      <w:szCs w:val="21"/>
                      <w:lang w:val="zh-CN"/>
                    </w:rPr>
                    <w:t>处理后全部回用</w:t>
                  </w:r>
                  <w:r>
                    <w:rPr>
                      <w:szCs w:val="21"/>
                      <w:lang w:val="zh-CN"/>
                    </w:rPr>
                    <w:t>。</w:t>
                  </w:r>
                </w:p>
                <w:p>
                  <w:pPr>
                    <w:adjustRightInd w:val="0"/>
                    <w:snapToGrid w:val="0"/>
                    <w:rPr>
                      <w:color w:val="000000"/>
                      <w:szCs w:val="21"/>
                      <w:lang w:val="zh-CN"/>
                    </w:rPr>
                  </w:pPr>
                  <w:r>
                    <w:rPr>
                      <w:rFonts w:hint="eastAsia" w:ascii="宋体" w:hAnsi="宋体" w:cs="宋体"/>
                      <w:szCs w:val="21"/>
                      <w:lang w:val="zh-CN"/>
                    </w:rPr>
                    <w:t>③</w:t>
                  </w:r>
                  <w:r>
                    <w:rPr>
                      <w:rFonts w:hint="eastAsia"/>
                      <w:szCs w:val="21"/>
                      <w:lang w:val="zh-CN"/>
                    </w:rPr>
                    <w:t>本</w:t>
                  </w:r>
                  <w:r>
                    <w:rPr>
                      <w:szCs w:val="21"/>
                    </w:rPr>
                    <w:t>项目</w:t>
                  </w:r>
                  <w:r>
                    <w:rPr>
                      <w:rFonts w:hint="eastAsia"/>
                      <w:szCs w:val="21"/>
                    </w:rPr>
                    <w:t>在现有厂区内实施，无新增占地</w:t>
                  </w:r>
                  <w:r>
                    <w:rPr>
                      <w:szCs w:val="21"/>
                    </w:rPr>
                    <w:t>，不涉及占地、植被破坏等。</w:t>
                  </w:r>
                </w:p>
              </w:tc>
              <w:tc>
                <w:tcPr>
                  <w:tcW w:w="645" w:type="dxa"/>
                  <w:vAlign w:val="center"/>
                </w:tcPr>
                <w:p>
                  <w:pPr>
                    <w:adjustRightInd w:val="0"/>
                    <w:snapToGrid w:val="0"/>
                    <w:jc w:val="center"/>
                    <w:rPr>
                      <w:color w:val="000000"/>
                      <w:szCs w:val="21"/>
                      <w:lang w:val="zh-CN"/>
                    </w:rPr>
                  </w:pPr>
                  <w:r>
                    <w:rPr>
                      <w:color w:val="000000"/>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408" w:type="dxa"/>
                  <w:vAlign w:val="center"/>
                </w:tcPr>
                <w:p>
                  <w:pPr>
                    <w:adjustRightInd w:val="0"/>
                    <w:snapToGrid w:val="0"/>
                    <w:jc w:val="center"/>
                    <w:rPr>
                      <w:color w:val="000000"/>
                      <w:szCs w:val="21"/>
                      <w:lang w:val="zh-CN"/>
                    </w:rPr>
                  </w:pPr>
                  <w:r>
                    <w:rPr>
                      <w:color w:val="000000"/>
                      <w:szCs w:val="21"/>
                      <w:lang w:val="zh-CN"/>
                    </w:rPr>
                    <w:t>2</w:t>
                  </w:r>
                </w:p>
              </w:tc>
              <w:tc>
                <w:tcPr>
                  <w:tcW w:w="3697" w:type="dxa"/>
                </w:tcPr>
                <w:p>
                  <w:pPr>
                    <w:adjustRightInd w:val="0"/>
                    <w:snapToGrid w:val="0"/>
                    <w:rPr>
                      <w:szCs w:val="21"/>
                      <w:lang w:val="zh-CN"/>
                    </w:rPr>
                  </w:pPr>
                  <w:r>
                    <w:rPr>
                      <w:szCs w:val="21"/>
                      <w:lang w:val="zh-CN"/>
                    </w:rPr>
                    <w:t>第二十五条 滇池保护范围内对重点水污染物排放实施总量控制制度。</w:t>
                  </w:r>
                </w:p>
              </w:tc>
              <w:tc>
                <w:tcPr>
                  <w:tcW w:w="1750" w:type="dxa"/>
                  <w:vAlign w:val="center"/>
                </w:tcPr>
                <w:p>
                  <w:pPr>
                    <w:adjustRightInd w:val="0"/>
                    <w:snapToGrid w:val="0"/>
                    <w:rPr>
                      <w:szCs w:val="21"/>
                    </w:rPr>
                  </w:pPr>
                  <w:r>
                    <w:rPr>
                      <w:szCs w:val="21"/>
                    </w:rPr>
                    <w:t>项目废水全部</w:t>
                  </w:r>
                  <w:r>
                    <w:rPr>
                      <w:rFonts w:hint="eastAsia"/>
                      <w:szCs w:val="21"/>
                    </w:rPr>
                    <w:t>回用，</w:t>
                  </w:r>
                  <w:r>
                    <w:rPr>
                      <w:szCs w:val="21"/>
                    </w:rPr>
                    <w:t>不外排。</w:t>
                  </w:r>
                </w:p>
              </w:tc>
              <w:tc>
                <w:tcPr>
                  <w:tcW w:w="645" w:type="dxa"/>
                  <w:vAlign w:val="center"/>
                </w:tcPr>
                <w:p>
                  <w:pPr>
                    <w:adjustRightInd w:val="0"/>
                    <w:snapToGrid w:val="0"/>
                    <w:jc w:val="center"/>
                    <w:rPr>
                      <w:color w:val="000000"/>
                      <w:szCs w:val="21"/>
                    </w:rPr>
                  </w:pPr>
                  <w:r>
                    <w:rPr>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6" w:hRule="atLeast"/>
                <w:jc w:val="center"/>
              </w:trPr>
              <w:tc>
                <w:tcPr>
                  <w:tcW w:w="408" w:type="dxa"/>
                  <w:vAlign w:val="center"/>
                </w:tcPr>
                <w:p>
                  <w:pPr>
                    <w:adjustRightInd w:val="0"/>
                    <w:snapToGrid w:val="0"/>
                    <w:jc w:val="center"/>
                    <w:rPr>
                      <w:color w:val="000000"/>
                      <w:szCs w:val="21"/>
                      <w:lang w:val="zh-CN"/>
                    </w:rPr>
                  </w:pPr>
                  <w:r>
                    <w:rPr>
                      <w:color w:val="000000"/>
                      <w:szCs w:val="21"/>
                      <w:lang w:val="zh-CN"/>
                    </w:rPr>
                    <w:t>3</w:t>
                  </w:r>
                </w:p>
              </w:tc>
              <w:tc>
                <w:tcPr>
                  <w:tcW w:w="3697" w:type="dxa"/>
                </w:tcPr>
                <w:p>
                  <w:pPr>
                    <w:adjustRightInd w:val="0"/>
                    <w:snapToGrid w:val="0"/>
                    <w:rPr>
                      <w:color w:val="000000"/>
                      <w:szCs w:val="21"/>
                      <w:lang w:val="zh-CN"/>
                    </w:rPr>
                  </w:pPr>
                  <w:r>
                    <w:rPr>
                      <w:color w:val="000000"/>
                      <w:szCs w:val="21"/>
                      <w:lang w:val="zh-CN"/>
                    </w:rPr>
                    <w:t>第三十二条 滇池保护范围内禁止生产、销售、使用含磷洗涤用品和不可自然降解的泡沫塑料餐饮具、塑料袋。禁止将含重金属、难以降解、有毒有害以及其他超过水污染物排放标准的废水排入滇池保护范围内城市排水管网或者入湖河道。</w:t>
                  </w:r>
                </w:p>
              </w:tc>
              <w:tc>
                <w:tcPr>
                  <w:tcW w:w="1750" w:type="dxa"/>
                  <w:vAlign w:val="center"/>
                </w:tcPr>
                <w:p>
                  <w:pPr>
                    <w:adjustRightInd w:val="0"/>
                    <w:snapToGrid w:val="0"/>
                    <w:rPr>
                      <w:color w:val="000000"/>
                      <w:szCs w:val="21"/>
                      <w:lang w:val="zh-CN"/>
                    </w:rPr>
                  </w:pPr>
                  <w:r>
                    <w:rPr>
                      <w:color w:val="000000"/>
                      <w:szCs w:val="21"/>
                      <w:lang w:val="zh-CN"/>
                    </w:rPr>
                    <w:t>项目不涉及禁止生产、销售和使用的事项，项目废水不外排。</w:t>
                  </w:r>
                </w:p>
              </w:tc>
              <w:tc>
                <w:tcPr>
                  <w:tcW w:w="645" w:type="dxa"/>
                  <w:vAlign w:val="center"/>
                </w:tcPr>
                <w:p>
                  <w:pPr>
                    <w:adjustRightInd w:val="0"/>
                    <w:snapToGrid w:val="0"/>
                    <w:jc w:val="center"/>
                    <w:rPr>
                      <w:color w:val="000000"/>
                      <w:szCs w:val="21"/>
                      <w:lang w:val="zh-CN"/>
                    </w:rPr>
                  </w:pPr>
                  <w:r>
                    <w:rPr>
                      <w:color w:val="000000"/>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8" w:hRule="atLeast"/>
                <w:jc w:val="center"/>
              </w:trPr>
              <w:tc>
                <w:tcPr>
                  <w:tcW w:w="408" w:type="dxa"/>
                  <w:vAlign w:val="center"/>
                </w:tcPr>
                <w:p>
                  <w:pPr>
                    <w:adjustRightInd w:val="0"/>
                    <w:snapToGrid w:val="0"/>
                    <w:jc w:val="center"/>
                    <w:rPr>
                      <w:color w:val="000000"/>
                      <w:szCs w:val="21"/>
                      <w:lang w:val="zh-CN"/>
                    </w:rPr>
                  </w:pPr>
                  <w:r>
                    <w:rPr>
                      <w:color w:val="000000"/>
                      <w:szCs w:val="21"/>
                      <w:lang w:val="zh-CN"/>
                    </w:rPr>
                    <w:t>4</w:t>
                  </w:r>
                </w:p>
              </w:tc>
              <w:tc>
                <w:tcPr>
                  <w:tcW w:w="3697" w:type="dxa"/>
                </w:tcPr>
                <w:p>
                  <w:pPr>
                    <w:adjustRightInd w:val="0"/>
                    <w:snapToGrid w:val="0"/>
                    <w:rPr>
                      <w:color w:val="000000"/>
                      <w:szCs w:val="21"/>
                      <w:lang w:val="zh-CN"/>
                    </w:rPr>
                  </w:pPr>
                  <w:r>
                    <w:rPr>
                      <w:color w:val="000000"/>
                      <w:szCs w:val="21"/>
                      <w:lang w:val="zh-CN"/>
                    </w:rPr>
                    <w:t>第四十九条 不得建设不符合国家产业政策的造纸、制革、印染、染料、炼焦、炼硫、炼砷、炼油、炼汞、电镀、化肥、农药、石棉、水泥、玻璃、冶金、火电以及其他严重污染环境的生产项目。</w:t>
                  </w:r>
                </w:p>
              </w:tc>
              <w:tc>
                <w:tcPr>
                  <w:tcW w:w="1750" w:type="dxa"/>
                  <w:vAlign w:val="center"/>
                </w:tcPr>
                <w:p>
                  <w:pPr>
                    <w:adjustRightInd w:val="0"/>
                    <w:snapToGrid w:val="0"/>
                    <w:rPr>
                      <w:color w:val="000000"/>
                      <w:szCs w:val="21"/>
                      <w:lang w:val="zh-CN"/>
                    </w:rPr>
                  </w:pPr>
                  <w:r>
                    <w:rPr>
                      <w:color w:val="000000"/>
                      <w:szCs w:val="21"/>
                    </w:rPr>
                    <w:t>本项目符合国家产业政策，不在禁止建设项目范围内，项目产生的环境影响较小。</w:t>
                  </w:r>
                </w:p>
              </w:tc>
              <w:tc>
                <w:tcPr>
                  <w:tcW w:w="645" w:type="dxa"/>
                  <w:vAlign w:val="center"/>
                </w:tcPr>
                <w:p>
                  <w:pPr>
                    <w:adjustRightInd w:val="0"/>
                    <w:snapToGrid w:val="0"/>
                    <w:jc w:val="center"/>
                    <w:rPr>
                      <w:color w:val="000000"/>
                      <w:szCs w:val="21"/>
                      <w:lang w:val="zh-CN"/>
                    </w:rPr>
                  </w:pPr>
                  <w:r>
                    <w:rPr>
                      <w:color w:val="000000"/>
                      <w:szCs w:val="21"/>
                      <w:lang w:val="zh-CN"/>
                    </w:rPr>
                    <w:t>符合</w:t>
                  </w:r>
                </w:p>
              </w:tc>
            </w:tr>
          </w:tbl>
          <w:p>
            <w:pPr>
              <w:autoSpaceDE w:val="0"/>
              <w:autoSpaceDN w:val="0"/>
              <w:adjustRightInd w:val="0"/>
              <w:spacing w:line="360" w:lineRule="auto"/>
              <w:ind w:right="105" w:rightChars="50" w:firstLine="240" w:firstLineChars="100"/>
              <w:jc w:val="left"/>
              <w:rPr>
                <w:kern w:val="0"/>
                <w:sz w:val="24"/>
              </w:rPr>
            </w:pPr>
            <w:r>
              <w:rPr>
                <w:kern w:val="0"/>
                <w:sz w:val="24"/>
              </w:rPr>
              <w:t>综上所述，项目建设和运营不涉及《云南省滇池保护条例》中规定的三级保护区禁止进行的行为，因此本项目的建设符合《云南省滇池保护条例》规定的要求。</w:t>
            </w:r>
          </w:p>
          <w:p>
            <w:pPr>
              <w:autoSpaceDE w:val="0"/>
              <w:autoSpaceDN w:val="0"/>
              <w:adjustRightInd w:val="0"/>
              <w:snapToGrid w:val="0"/>
              <w:spacing w:line="360" w:lineRule="auto"/>
              <w:ind w:firstLine="480" w:firstLineChars="200"/>
              <w:jc w:val="left"/>
              <w:rPr>
                <w:kern w:val="0"/>
                <w:sz w:val="24"/>
              </w:rPr>
            </w:pPr>
          </w:p>
          <w:p>
            <w:pPr>
              <w:autoSpaceDE w:val="0"/>
              <w:autoSpaceDN w:val="0"/>
              <w:adjustRightInd w:val="0"/>
              <w:snapToGrid w:val="0"/>
              <w:spacing w:line="360" w:lineRule="auto"/>
              <w:ind w:firstLine="480" w:firstLineChars="200"/>
              <w:jc w:val="left"/>
              <w:rPr>
                <w:kern w:val="0"/>
                <w:sz w:val="24"/>
              </w:rPr>
            </w:pPr>
          </w:p>
          <w:p>
            <w:pPr>
              <w:autoSpaceDE w:val="0"/>
              <w:autoSpaceDN w:val="0"/>
              <w:adjustRightInd w:val="0"/>
              <w:snapToGrid w:val="0"/>
              <w:spacing w:line="360" w:lineRule="auto"/>
              <w:jc w:val="left"/>
              <w:rPr>
                <w:kern w:val="0"/>
                <w:sz w:val="24"/>
              </w:rPr>
            </w:pPr>
          </w:p>
          <w:p>
            <w:pPr>
              <w:rPr>
                <w:sz w:val="24"/>
              </w:rPr>
            </w:pPr>
          </w:p>
        </w:tc>
      </w:tr>
    </w:tbl>
    <w:p>
      <w:pPr>
        <w:spacing w:line="360" w:lineRule="auto"/>
        <w:outlineLvl w:val="0"/>
        <w:rPr>
          <w:sz w:val="30"/>
        </w:rPr>
        <w:sectPr>
          <w:pgSz w:w="11906" w:h="16838"/>
          <w:pgMar w:top="1701" w:right="1531" w:bottom="1701" w:left="1531" w:header="851" w:footer="1077" w:gutter="0"/>
          <w:pgNumType w:start="1"/>
          <w:cols w:space="720" w:num="1"/>
          <w:docGrid w:linePitch="312" w:charSpace="0"/>
        </w:sectPr>
      </w:pPr>
    </w:p>
    <w:p>
      <w:pPr>
        <w:pStyle w:val="39"/>
        <w:jc w:val="center"/>
        <w:outlineLvl w:val="0"/>
        <w:rPr>
          <w:rFonts w:ascii="Times New Roman" w:hAnsi="Times New Roman"/>
          <w:snapToGrid w:val="0"/>
          <w:sz w:val="30"/>
          <w:szCs w:val="30"/>
        </w:rPr>
      </w:pPr>
      <w:bookmarkStart w:id="4" w:name="_Toc69230294"/>
      <w:r>
        <w:rPr>
          <w:rFonts w:ascii="Times New Roman" w:hAnsi="Times New Roman"/>
          <w:snapToGrid w:val="0"/>
          <w:sz w:val="30"/>
          <w:szCs w:val="30"/>
        </w:rPr>
        <w:t>二、建设项目工程分析</w:t>
      </w:r>
      <w:bookmarkEnd w:id="4"/>
    </w:p>
    <w:tbl>
      <w:tblPr>
        <w:tblStyle w:val="44"/>
        <w:tblW w:w="898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635" w:hRule="atLeast"/>
          <w:jc w:val="center"/>
        </w:trPr>
        <w:tc>
          <w:tcPr>
            <w:tcW w:w="823" w:type="dxa"/>
            <w:vAlign w:val="center"/>
          </w:tcPr>
          <w:p>
            <w:pPr>
              <w:pStyle w:val="39"/>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建设内容</w:t>
            </w:r>
          </w:p>
        </w:tc>
        <w:tc>
          <w:tcPr>
            <w:tcW w:w="8161" w:type="dxa"/>
          </w:tcPr>
          <w:p>
            <w:pPr>
              <w:widowControl/>
              <w:spacing w:before="120" w:beforeLines="50" w:after="48" w:afterLines="20" w:line="360" w:lineRule="auto"/>
              <w:ind w:right="76" w:rightChars="36"/>
              <w:jc w:val="left"/>
              <w:rPr>
                <w:kern w:val="0"/>
                <w:sz w:val="28"/>
                <w:szCs w:val="28"/>
              </w:rPr>
            </w:pPr>
            <w:r>
              <w:rPr>
                <w:b/>
                <w:kern w:val="0"/>
                <w:sz w:val="28"/>
                <w:szCs w:val="28"/>
              </w:rPr>
              <w:t>一、工程内容及规模</w:t>
            </w:r>
          </w:p>
          <w:p>
            <w:pPr>
              <w:widowControl/>
              <w:spacing w:line="360" w:lineRule="auto"/>
              <w:ind w:firstLine="482" w:firstLineChars="200"/>
              <w:jc w:val="left"/>
              <w:rPr>
                <w:b/>
                <w:kern w:val="0"/>
                <w:sz w:val="24"/>
              </w:rPr>
            </w:pPr>
            <w:bookmarkStart w:id="5" w:name="_Toc320007905"/>
            <w:r>
              <w:rPr>
                <w:b/>
                <w:kern w:val="0"/>
                <w:sz w:val="24"/>
              </w:rPr>
              <w:t>1、项目背景与由来</w:t>
            </w:r>
            <w:bookmarkEnd w:id="5"/>
          </w:p>
          <w:p>
            <w:pPr>
              <w:spacing w:line="360" w:lineRule="auto"/>
              <w:ind w:firstLine="480" w:firstLineChars="200"/>
              <w:rPr>
                <w:sz w:val="24"/>
              </w:rPr>
            </w:pPr>
            <w:r>
              <w:rPr>
                <w:sz w:val="24"/>
              </w:rPr>
              <w:t>根据《昆明南车城市轨道装备基地项目项目建议书》，昆明南车城市轨道装备基地项目全面建成投产后将形成年新造200辆、架修200辆、大修150辆城轨车辆的生产能力。</w:t>
            </w:r>
          </w:p>
          <w:p>
            <w:pPr>
              <w:spacing w:line="360" w:lineRule="auto"/>
              <w:ind w:firstLine="480" w:firstLineChars="200"/>
              <w:rPr>
                <w:sz w:val="24"/>
              </w:rPr>
            </w:pPr>
            <w:r>
              <w:rPr>
                <w:sz w:val="24"/>
              </w:rPr>
              <w:t>2010年9月，原昆明南车城市轨道车辆有限公司委托昆明市环境科学研究院对昆明南车城市轨道装备基地项目一期工程进行了环境影响评价，编制完成《昆明南车城市轨道装备基地建设项目环境影响报告书》，2010年10月29日，云南省环境保护厅以云环审[2010]252号文对该环境影响报告书进行了批复，同意项目建设。根据《昆明南车城市轨道装备基地建设项目环境影响报告书》及批复，一期项目位于晋宁县晋城镇富有村，占地面积27.3hm²（包含二期预留用地），主要建设铁路试车线，联合生产厂房等主体工程，配套建设相应办公和生活设施，生产能力为年产城轨200辆。</w:t>
            </w:r>
          </w:p>
          <w:p>
            <w:pPr>
              <w:spacing w:line="360" w:lineRule="auto"/>
              <w:ind w:firstLine="480" w:firstLineChars="200"/>
              <w:rPr>
                <w:sz w:val="24"/>
              </w:rPr>
            </w:pPr>
            <w:r>
              <w:rPr>
                <w:sz w:val="24"/>
              </w:rPr>
              <w:t>一期项目于2011年4月开工建设，至2011年底土建及主体工程安装完工。2012年10月12日，昆明市环境保护局以昆环保复[2012]462号文《关于昆明南车城市轨道车辆有限公司城轨装备基地建设项目试运行申请的批复》同意一期项目进行试生产。2012年3月27日，玉溪市环境保护局以玉环试[2012]14号文《关于昆明南车城市轨道车辆有限公司城轨装备基地建设项目延期试生产的批复》同意该项目试生产延期。</w:t>
            </w:r>
          </w:p>
          <w:p>
            <w:pPr>
              <w:spacing w:line="360" w:lineRule="auto"/>
              <w:ind w:firstLine="480" w:firstLineChars="200"/>
              <w:rPr>
                <w:sz w:val="24"/>
              </w:rPr>
            </w:pPr>
            <w:r>
              <w:rPr>
                <w:sz w:val="24"/>
              </w:rPr>
              <w:t>项目实施过程中，在整个项目产能及工艺条件不变的情况下，对部分尾气排放设施进行了部分变更，2014年6月5日，云南省环境保护厅以云环审[2014]134号文对该项目补充报告进行了批复，同意一期项目变更。一期项目项目于2015年2月26日通过了原云南省环境保护厅组织的竣工环境保护验收。根据《昆明南车城市轨道车辆有限公司城轨装备基地建设项目竣工环保验收监测报告》，该项目总占地面积272673.64㎡（409.01亩），包含二期项目预留用地，项目年产城轨车辆200。</w:t>
            </w:r>
          </w:p>
          <w:p>
            <w:pPr>
              <w:spacing w:line="360" w:lineRule="auto"/>
              <w:ind w:firstLine="480" w:firstLineChars="200"/>
              <w:rPr>
                <w:kern w:val="0"/>
                <w:sz w:val="24"/>
              </w:rPr>
            </w:pPr>
            <w:r>
              <w:rPr>
                <w:sz w:val="24"/>
              </w:rPr>
              <w:t>2016年5月18日，昆明南车城市轨道车辆有限公司变更公司名称为昆明中车轨道交通装备有限公司。</w:t>
            </w:r>
          </w:p>
          <w:p>
            <w:pPr>
              <w:widowControl/>
              <w:spacing w:line="360" w:lineRule="auto"/>
              <w:ind w:firstLine="480" w:firstLineChars="200"/>
              <w:outlineLvl w:val="1"/>
              <w:rPr>
                <w:kern w:val="0"/>
                <w:sz w:val="24"/>
              </w:rPr>
            </w:pPr>
            <w:r>
              <w:rPr>
                <w:kern w:val="0"/>
                <w:sz w:val="24"/>
              </w:rPr>
              <w:t>随着2009 年昆明市第一轮轨道交通建设规划获得国务院批复后，轨道交通建设如火如荼展开，目前已有首期工程和6 号线一期、3 号线、4 号线投入运营，5号线2022 年投入运营， 7 号线、8 号线、9 号线和安宁、嵩明线拟纳入近期建设规划。其中，6 号线1 期工程车辆,于2021 年5 月份进入架修阶段；1、2 号线首期工程于2013 年5 月20 日开通，在2017 年至2019 年期间陆续完成总计40 列车首轮架修任务，在2023 年即将陆续进入车辆大修期；1 号线支线、3 号线车辆于2023 年进入架修期。昆明轨道交通线网大架修需求预计将在2024 年迎来首轮高峰。结合昆明地铁运行情况预测及客户工作计划，昆明地铁首期工程车辆240 辆车将于2023 年3 月左右开始大修。3 号线、6 号线已于2016 年底投入运营，4 号线于2020年7 月份投入运营，5 号线于2022 年投入运营，加上昆明地铁1、2 号线首期工程拆分独立运营车辆已增购以及1 号线支线2023 年架修等情况，昆明地铁将有1000 余辆车的架大修市场。同时随着云南省各州市新型轨道交通的陆续建成运营，将有127 辆有轨电车的架大修市场。结合未来市场预测，预计至2024 年，昆明中车新造业务逐步退出，主营业务由车辆新造向架大修业务转变，2030 年后昆明地铁总体架大修车辆将超过300 辆/年。昆明中车既有设施已经不能满足未来车辆架大修市场需要。因此昆明中车轨道交通装备有限公司拟在城轨装备基地建设项目预留二期用地上新建城轨装备基地架大修建设项目。</w:t>
            </w:r>
          </w:p>
          <w:p>
            <w:pPr>
              <w:widowControl/>
              <w:spacing w:line="360" w:lineRule="auto"/>
              <w:ind w:firstLine="480" w:firstLineChars="200"/>
              <w:outlineLvl w:val="1"/>
              <w:rPr>
                <w:kern w:val="0"/>
                <w:sz w:val="24"/>
              </w:rPr>
            </w:pPr>
            <w:r>
              <w:rPr>
                <w:kern w:val="0"/>
                <w:sz w:val="24"/>
              </w:rPr>
              <w:t>根据《中华人民共和国环境保护法》、《中华人民共和国环境影响评价法》</w:t>
            </w:r>
            <w:r>
              <w:rPr>
                <w:bCs/>
                <w:kern w:val="0"/>
                <w:sz w:val="24"/>
              </w:rPr>
              <w:t>等有关法律、法规规定，项目应进行环境影响评价；根据</w:t>
            </w:r>
            <w:r>
              <w:rPr>
                <w:kern w:val="0"/>
                <w:sz w:val="24"/>
              </w:rPr>
              <w:t>《建设项目环境影响评价分类管理名录》（2021年版），本项目为铁路、船舶、航空航天等运输设备修理，项目使用水性漆量为</w:t>
            </w:r>
            <w:r>
              <w:rPr>
                <w:rFonts w:hint="eastAsia"/>
                <w:kern w:val="0"/>
                <w:sz w:val="24"/>
              </w:rPr>
              <w:t>1</w:t>
            </w:r>
            <w:r>
              <w:rPr>
                <w:kern w:val="0"/>
                <w:sz w:val="24"/>
              </w:rPr>
              <w:t>0t/a，属于年用非溶剂型低VOCs含量涂料10吨及以上的项目，项目需要编制环境影响报告表。</w:t>
            </w:r>
          </w:p>
          <w:p>
            <w:pPr>
              <w:widowControl/>
              <w:spacing w:line="360" w:lineRule="auto"/>
              <w:ind w:firstLine="480" w:firstLineChars="200"/>
              <w:outlineLvl w:val="1"/>
              <w:rPr>
                <w:kern w:val="0"/>
                <w:sz w:val="24"/>
              </w:rPr>
            </w:pPr>
            <w:r>
              <w:rPr>
                <w:kern w:val="0"/>
                <w:sz w:val="24"/>
              </w:rPr>
              <w:t>2022年8月，受昆明中车轨道交通装备有限公司的委托，我单位对该建设项目进行环境影响评价工作。在组织有关人员进行现场踏勘和资料收集的基础上，按照国家环评导则及相关规定，编制完成了《</w:t>
            </w:r>
            <w:r>
              <w:rPr>
                <w:bCs/>
                <w:kern w:val="0"/>
                <w:sz w:val="24"/>
              </w:rPr>
              <w:t>城轨装备基地架大修建设项目</w:t>
            </w:r>
            <w:r>
              <w:rPr>
                <w:kern w:val="0"/>
                <w:sz w:val="24"/>
              </w:rPr>
              <w:t>环境影响报告表》，供建设单位上报审批。</w:t>
            </w:r>
            <w:bookmarkStart w:id="6" w:name="_Toc320007906"/>
          </w:p>
          <w:p>
            <w:pPr>
              <w:widowControl/>
              <w:spacing w:line="360" w:lineRule="auto"/>
              <w:ind w:firstLine="482" w:firstLineChars="200"/>
              <w:jc w:val="left"/>
              <w:rPr>
                <w:b/>
                <w:kern w:val="0"/>
                <w:sz w:val="24"/>
              </w:rPr>
            </w:pPr>
            <w:r>
              <w:rPr>
                <w:b/>
                <w:kern w:val="0"/>
                <w:sz w:val="24"/>
              </w:rPr>
              <w:t>2、项目概况</w:t>
            </w:r>
          </w:p>
          <w:p>
            <w:pPr>
              <w:widowControl/>
              <w:autoSpaceDE w:val="0"/>
              <w:autoSpaceDN w:val="0"/>
              <w:adjustRightInd w:val="0"/>
              <w:spacing w:line="360" w:lineRule="auto"/>
              <w:ind w:firstLine="480" w:firstLineChars="200"/>
              <w:jc w:val="left"/>
              <w:rPr>
                <w:kern w:val="0"/>
                <w:sz w:val="24"/>
              </w:rPr>
            </w:pPr>
            <w:r>
              <w:rPr>
                <w:kern w:val="0"/>
                <w:sz w:val="24"/>
              </w:rPr>
              <w:t>项目名称：城轨装备基地架大修建设项目</w:t>
            </w:r>
          </w:p>
          <w:p>
            <w:pPr>
              <w:widowControl/>
              <w:autoSpaceDE w:val="0"/>
              <w:autoSpaceDN w:val="0"/>
              <w:adjustRightInd w:val="0"/>
              <w:spacing w:line="360" w:lineRule="auto"/>
              <w:ind w:firstLine="480" w:firstLineChars="200"/>
              <w:jc w:val="left"/>
              <w:rPr>
                <w:kern w:val="0"/>
                <w:sz w:val="24"/>
              </w:rPr>
            </w:pPr>
            <w:r>
              <w:rPr>
                <w:kern w:val="0"/>
                <w:sz w:val="24"/>
              </w:rPr>
              <w:t>建设单位：昆明中车轨道交通装备有限公司</w:t>
            </w:r>
          </w:p>
          <w:p>
            <w:pPr>
              <w:widowControl/>
              <w:autoSpaceDE w:val="0"/>
              <w:autoSpaceDN w:val="0"/>
              <w:adjustRightInd w:val="0"/>
              <w:spacing w:line="360" w:lineRule="auto"/>
              <w:ind w:firstLine="480" w:firstLineChars="200"/>
              <w:jc w:val="left"/>
              <w:rPr>
                <w:kern w:val="0"/>
                <w:sz w:val="24"/>
              </w:rPr>
            </w:pPr>
            <w:r>
              <w:rPr>
                <w:kern w:val="0"/>
                <w:sz w:val="24"/>
              </w:rPr>
              <w:t>建设性质：新建</w:t>
            </w:r>
          </w:p>
          <w:p>
            <w:pPr>
              <w:widowControl/>
              <w:autoSpaceDE w:val="0"/>
              <w:autoSpaceDN w:val="0"/>
              <w:adjustRightInd w:val="0"/>
              <w:spacing w:line="360" w:lineRule="auto"/>
              <w:ind w:firstLine="480" w:firstLineChars="200"/>
              <w:jc w:val="left"/>
              <w:rPr>
                <w:kern w:val="0"/>
                <w:sz w:val="24"/>
              </w:rPr>
            </w:pPr>
            <w:r>
              <w:rPr>
                <w:kern w:val="0"/>
                <w:sz w:val="24"/>
              </w:rPr>
              <w:t>项目投资：8194.66万元。</w:t>
            </w:r>
          </w:p>
          <w:bookmarkEnd w:id="6"/>
          <w:p>
            <w:pPr>
              <w:widowControl/>
              <w:spacing w:line="360" w:lineRule="auto"/>
              <w:ind w:firstLine="480" w:firstLineChars="200"/>
              <w:jc w:val="left"/>
              <w:rPr>
                <w:bCs/>
                <w:kern w:val="0"/>
                <w:sz w:val="24"/>
              </w:rPr>
            </w:pPr>
            <w:r>
              <w:rPr>
                <w:bCs/>
                <w:kern w:val="0"/>
                <w:sz w:val="24"/>
              </w:rPr>
              <w:t>项目地址：云南省昆明市晋宁区晋宁工业园区晋城工业基地（晋宁区晋城镇富有村委会）。</w:t>
            </w:r>
          </w:p>
          <w:p>
            <w:pPr>
              <w:widowControl/>
              <w:spacing w:line="360" w:lineRule="auto"/>
              <w:ind w:firstLine="480" w:firstLineChars="200"/>
              <w:rPr>
                <w:kern w:val="0"/>
                <w:sz w:val="24"/>
              </w:rPr>
            </w:pPr>
            <w:r>
              <w:rPr>
                <w:bCs/>
                <w:kern w:val="0"/>
                <w:sz w:val="24"/>
              </w:rPr>
              <w:t>项目规模：项目地块总面积</w:t>
            </w:r>
            <w:r>
              <w:rPr>
                <w:kern w:val="0"/>
                <w:sz w:val="24"/>
              </w:rPr>
              <w:t>10000㎡，为城轨装备基地建设项目预留二期用地，用地性质为工业用地，总建筑面积9374㎡。总投资3000万元。设计规模为200辆/年架大修。</w:t>
            </w:r>
          </w:p>
          <w:p>
            <w:pPr>
              <w:widowControl/>
              <w:spacing w:line="360" w:lineRule="auto"/>
              <w:ind w:firstLine="482" w:firstLineChars="200"/>
              <w:rPr>
                <w:b/>
                <w:kern w:val="0"/>
                <w:sz w:val="24"/>
              </w:rPr>
            </w:pPr>
            <w:r>
              <w:rPr>
                <w:b/>
                <w:kern w:val="0"/>
                <w:sz w:val="24"/>
              </w:rPr>
              <w:t>3、项目平面布置</w:t>
            </w:r>
          </w:p>
          <w:p>
            <w:pPr>
              <w:widowControl/>
              <w:spacing w:line="360" w:lineRule="auto"/>
              <w:ind w:firstLine="480" w:firstLineChars="200"/>
              <w:rPr>
                <w:kern w:val="0"/>
                <w:sz w:val="24"/>
              </w:rPr>
            </w:pPr>
            <w:r>
              <w:rPr>
                <w:kern w:val="0"/>
                <w:sz w:val="24"/>
              </w:rPr>
              <w:t>项目厂址位于昆明市晋宁晋宁区晋城基地轨道交通产业园，距昆明市主城区约40 公里、玉溪35 公里、晋宁区主城20 公里、晋城镇6 公里，新市政府5 公里（呈贡新区），属城郊用地。西面为城市50 米宽主干道“南北大道”，南面为昆明中车时代电气设备有限公司造修基地用地，北面为地铁9 号线车辆段用地，东面为待征用地；基地南北长约690 米，东西宽约390 米，基本为长方形，交通条件便利，用地条件良好。</w:t>
            </w:r>
          </w:p>
          <w:p>
            <w:pPr>
              <w:widowControl/>
              <w:spacing w:line="360" w:lineRule="auto"/>
              <w:ind w:firstLine="480" w:firstLineChars="200"/>
              <w:rPr>
                <w:kern w:val="0"/>
                <w:sz w:val="24"/>
              </w:rPr>
            </w:pPr>
            <w:r>
              <w:rPr>
                <w:kern w:val="0"/>
                <w:sz w:val="24"/>
              </w:rPr>
              <w:t>原一期工程建设时已对厂区内场坪完成平整，场区主干道完成施工。本项目部件修厂房建设不再进行总平面布置调整，沿用原规划总平面布置。在原规划位置建设部件修厂房84m×96m，部件修厂房东侧建设材料库84×14m，在材料库北侧建设独立的蓄电池间15×9m。</w:t>
            </w:r>
          </w:p>
          <w:p>
            <w:pPr>
              <w:autoSpaceDE w:val="0"/>
              <w:autoSpaceDN w:val="0"/>
              <w:adjustRightInd w:val="0"/>
              <w:spacing w:line="360" w:lineRule="auto"/>
              <w:ind w:firstLine="480"/>
              <w:rPr>
                <w:b/>
                <w:kern w:val="0"/>
                <w:sz w:val="24"/>
              </w:rPr>
            </w:pPr>
            <w:r>
              <w:rPr>
                <w:b/>
                <w:kern w:val="0"/>
                <w:sz w:val="24"/>
              </w:rPr>
              <w:t>4、项目建设内容</w:t>
            </w:r>
          </w:p>
          <w:p>
            <w:pPr>
              <w:widowControl/>
              <w:spacing w:line="360" w:lineRule="auto"/>
              <w:ind w:firstLine="480" w:firstLineChars="200"/>
              <w:rPr>
                <w:kern w:val="0"/>
                <w:sz w:val="24"/>
              </w:rPr>
            </w:pPr>
            <w:r>
              <w:rPr>
                <w:kern w:val="0"/>
                <w:sz w:val="24"/>
              </w:rPr>
              <w:t>项目新建1栋8064㎡单层部件修厂房，1栋1176㎡单层材料库，1栋135㎡蓄电池间，改造3264㎡原有一期部件联合厂房中架修车间为二期项目解体车间。新建总建筑面积9375㎡，改造已有建筑3264㎡，二期项目不新增绿化用地，厂区内绿化用地均为一期建成。</w:t>
            </w:r>
          </w:p>
          <w:p>
            <w:pPr>
              <w:autoSpaceDE w:val="0"/>
              <w:autoSpaceDN w:val="0"/>
              <w:adjustRightInd w:val="0"/>
              <w:spacing w:line="360" w:lineRule="auto"/>
              <w:ind w:firstLine="480"/>
              <w:rPr>
                <w:kern w:val="0"/>
                <w:sz w:val="24"/>
              </w:rPr>
            </w:pPr>
            <w:r>
              <w:rPr>
                <w:kern w:val="0"/>
                <w:sz w:val="24"/>
              </w:rPr>
              <w:t>项目经济技术指标及建筑单体指标见表2-2。</w:t>
            </w:r>
          </w:p>
          <w:p>
            <w:pPr>
              <w:widowControl/>
              <w:autoSpaceDE w:val="0"/>
              <w:autoSpaceDN w:val="0"/>
              <w:adjustRightInd w:val="0"/>
              <w:spacing w:line="360" w:lineRule="auto"/>
              <w:ind w:left="480" w:firstLine="482" w:firstLineChars="200"/>
              <w:jc w:val="center"/>
              <w:rPr>
                <w:b/>
                <w:kern w:val="0"/>
                <w:sz w:val="24"/>
              </w:rPr>
            </w:pPr>
            <w:r>
              <w:rPr>
                <w:b/>
                <w:kern w:val="0"/>
                <w:sz w:val="24"/>
              </w:rPr>
              <w:t>表2-2 项目经济技术指标汇总表</w:t>
            </w:r>
          </w:p>
          <w:tbl>
            <w:tblPr>
              <w:tblStyle w:val="44"/>
              <w:tblW w:w="78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9"/>
              <w:gridCol w:w="3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7850" w:type="dxa"/>
                  <w:gridSpan w:val="2"/>
                  <w:vAlign w:val="center"/>
                </w:tcPr>
                <w:p>
                  <w:pPr>
                    <w:widowControl/>
                    <w:jc w:val="center"/>
                    <w:rPr>
                      <w:kern w:val="0"/>
                      <w:szCs w:val="21"/>
                    </w:rPr>
                  </w:pPr>
                  <w:r>
                    <w:rPr>
                      <w:kern w:val="0"/>
                      <w:szCs w:val="21"/>
                    </w:rPr>
                    <w:t>项目总体经济技术指标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3919" w:type="dxa"/>
                  <w:vAlign w:val="center"/>
                </w:tcPr>
                <w:p>
                  <w:pPr>
                    <w:widowControl/>
                    <w:jc w:val="center"/>
                    <w:rPr>
                      <w:kern w:val="0"/>
                      <w:szCs w:val="21"/>
                    </w:rPr>
                  </w:pPr>
                  <w:r>
                    <w:rPr>
                      <w:kern w:val="0"/>
                      <w:szCs w:val="21"/>
                    </w:rPr>
                    <w:t>投资（万元）</w:t>
                  </w:r>
                </w:p>
              </w:tc>
              <w:tc>
                <w:tcPr>
                  <w:tcW w:w="3931" w:type="dxa"/>
                  <w:vAlign w:val="center"/>
                </w:tcPr>
                <w:p>
                  <w:pPr>
                    <w:widowControl/>
                    <w:jc w:val="center"/>
                    <w:rPr>
                      <w:kern w:val="0"/>
                      <w:szCs w:val="21"/>
                    </w:rPr>
                  </w:pPr>
                  <w:r>
                    <w:rPr>
                      <w:kern w:val="0"/>
                      <w:szCs w:val="21"/>
                    </w:rPr>
                    <w:t>8194.66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3919" w:type="dxa"/>
                  <w:vAlign w:val="center"/>
                </w:tcPr>
                <w:p>
                  <w:pPr>
                    <w:widowControl/>
                    <w:jc w:val="center"/>
                    <w:rPr>
                      <w:kern w:val="0"/>
                      <w:szCs w:val="21"/>
                    </w:rPr>
                  </w:pPr>
                  <w:r>
                    <w:rPr>
                      <w:kern w:val="0"/>
                      <w:szCs w:val="21"/>
                    </w:rPr>
                    <w:t>总用地面积（m</w:t>
                  </w:r>
                  <w:r>
                    <w:rPr>
                      <w:kern w:val="0"/>
                      <w:szCs w:val="21"/>
                      <w:vertAlign w:val="superscript"/>
                    </w:rPr>
                    <w:t>2</w:t>
                  </w:r>
                  <w:r>
                    <w:rPr>
                      <w:kern w:val="0"/>
                      <w:szCs w:val="21"/>
                    </w:rPr>
                    <w:t>）</w:t>
                  </w:r>
                </w:p>
              </w:tc>
              <w:tc>
                <w:tcPr>
                  <w:tcW w:w="3931" w:type="dxa"/>
                  <w:vAlign w:val="center"/>
                </w:tcPr>
                <w:p>
                  <w:pPr>
                    <w:widowControl/>
                    <w:jc w:val="center"/>
                    <w:rPr>
                      <w:kern w:val="0"/>
                      <w:szCs w:val="21"/>
                    </w:rPr>
                  </w:pPr>
                  <w:r>
                    <w:rPr>
                      <w:kern w:val="0"/>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3919" w:type="dxa"/>
                  <w:vAlign w:val="center"/>
                </w:tcPr>
                <w:p>
                  <w:pPr>
                    <w:widowControl/>
                    <w:jc w:val="center"/>
                    <w:rPr>
                      <w:kern w:val="0"/>
                      <w:szCs w:val="21"/>
                    </w:rPr>
                  </w:pPr>
                  <w:r>
                    <w:rPr>
                      <w:kern w:val="0"/>
                      <w:szCs w:val="21"/>
                    </w:rPr>
                    <w:t>总建筑面积（m</w:t>
                  </w:r>
                  <w:r>
                    <w:rPr>
                      <w:kern w:val="0"/>
                      <w:szCs w:val="21"/>
                      <w:vertAlign w:val="superscript"/>
                    </w:rPr>
                    <w:t>2</w:t>
                  </w:r>
                  <w:r>
                    <w:rPr>
                      <w:kern w:val="0"/>
                      <w:szCs w:val="21"/>
                    </w:rPr>
                    <w:t>）</w:t>
                  </w:r>
                </w:p>
              </w:tc>
              <w:tc>
                <w:tcPr>
                  <w:tcW w:w="3931" w:type="dxa"/>
                  <w:vAlign w:val="center"/>
                </w:tcPr>
                <w:p>
                  <w:pPr>
                    <w:widowControl/>
                    <w:jc w:val="center"/>
                    <w:rPr>
                      <w:kern w:val="0"/>
                      <w:szCs w:val="21"/>
                    </w:rPr>
                  </w:pPr>
                  <w:r>
                    <w:rPr>
                      <w:kern w:val="0"/>
                      <w:szCs w:val="21"/>
                    </w:rPr>
                    <w:t>12639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3919" w:type="dxa"/>
                  <w:vAlign w:val="center"/>
                </w:tcPr>
                <w:p>
                  <w:pPr>
                    <w:widowControl/>
                    <w:jc w:val="center"/>
                    <w:rPr>
                      <w:kern w:val="0"/>
                      <w:szCs w:val="21"/>
                    </w:rPr>
                  </w:pPr>
                  <w:r>
                    <w:rPr>
                      <w:kern w:val="0"/>
                      <w:szCs w:val="21"/>
                    </w:rPr>
                    <w:t>新建建筑面积（m</w:t>
                  </w:r>
                  <w:r>
                    <w:rPr>
                      <w:kern w:val="0"/>
                      <w:szCs w:val="21"/>
                      <w:vertAlign w:val="superscript"/>
                    </w:rPr>
                    <w:t>2</w:t>
                  </w:r>
                  <w:r>
                    <w:rPr>
                      <w:kern w:val="0"/>
                      <w:szCs w:val="21"/>
                    </w:rPr>
                    <w:t>）</w:t>
                  </w:r>
                </w:p>
              </w:tc>
              <w:tc>
                <w:tcPr>
                  <w:tcW w:w="3931" w:type="dxa"/>
                  <w:vAlign w:val="center"/>
                </w:tcPr>
                <w:p>
                  <w:pPr>
                    <w:widowControl/>
                    <w:jc w:val="center"/>
                    <w:rPr>
                      <w:kern w:val="0"/>
                      <w:szCs w:val="21"/>
                    </w:rPr>
                  </w:pPr>
                  <w:r>
                    <w:rPr>
                      <w:kern w:val="0"/>
                      <w:szCs w:val="21"/>
                    </w:rPr>
                    <w:t>9375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3919" w:type="dxa"/>
                  <w:vAlign w:val="center"/>
                </w:tcPr>
                <w:p>
                  <w:pPr>
                    <w:widowControl/>
                    <w:jc w:val="center"/>
                    <w:rPr>
                      <w:kern w:val="0"/>
                      <w:szCs w:val="21"/>
                    </w:rPr>
                  </w:pPr>
                  <w:r>
                    <w:rPr>
                      <w:kern w:val="0"/>
                      <w:szCs w:val="21"/>
                    </w:rPr>
                    <w:t>改造建筑面积（㎡）</w:t>
                  </w:r>
                </w:p>
              </w:tc>
              <w:tc>
                <w:tcPr>
                  <w:tcW w:w="3931" w:type="dxa"/>
                  <w:vAlign w:val="center"/>
                </w:tcPr>
                <w:p>
                  <w:pPr>
                    <w:widowControl/>
                    <w:jc w:val="center"/>
                    <w:rPr>
                      <w:kern w:val="0"/>
                      <w:szCs w:val="21"/>
                    </w:rPr>
                  </w:pPr>
                  <w:r>
                    <w:rPr>
                      <w:kern w:val="0"/>
                      <w:szCs w:val="21"/>
                    </w:rPr>
                    <w:t>3264</w:t>
                  </w:r>
                </w:p>
              </w:tc>
            </w:tr>
          </w:tbl>
          <w:p>
            <w:pPr>
              <w:widowControl/>
              <w:autoSpaceDE w:val="0"/>
              <w:autoSpaceDN w:val="0"/>
              <w:adjustRightInd w:val="0"/>
              <w:spacing w:line="360" w:lineRule="auto"/>
              <w:ind w:left="480" w:firstLine="482" w:firstLineChars="200"/>
              <w:jc w:val="center"/>
              <w:rPr>
                <w:b/>
                <w:kern w:val="0"/>
                <w:sz w:val="24"/>
              </w:rPr>
            </w:pPr>
            <w:r>
              <w:rPr>
                <w:b/>
                <w:kern w:val="0"/>
                <w:sz w:val="24"/>
              </w:rPr>
              <w:t>表2-3 项目主要建设内容一览表</w:t>
            </w:r>
          </w:p>
          <w:tbl>
            <w:tblPr>
              <w:tblStyle w:val="44"/>
              <w:tblW w:w="78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
              <w:gridCol w:w="98"/>
              <w:gridCol w:w="425"/>
              <w:gridCol w:w="413"/>
              <w:gridCol w:w="1288"/>
              <w:gridCol w:w="5190"/>
              <w:gridCol w:w="28"/>
              <w:gridCol w:w="13"/>
              <w:gridCol w:w="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7" w:type="dxa"/>
                  <w:gridSpan w:val="3"/>
                  <w:vAlign w:val="center"/>
                </w:tcPr>
                <w:p>
                  <w:pPr>
                    <w:widowControl/>
                    <w:rPr>
                      <w:kern w:val="0"/>
                      <w:szCs w:val="21"/>
                    </w:rPr>
                  </w:pPr>
                  <w:r>
                    <w:rPr>
                      <w:kern w:val="0"/>
                      <w:szCs w:val="21"/>
                    </w:rPr>
                    <w:t>建筑类型</w:t>
                  </w:r>
                </w:p>
              </w:tc>
              <w:tc>
                <w:tcPr>
                  <w:tcW w:w="1701" w:type="dxa"/>
                  <w:gridSpan w:val="2"/>
                  <w:vAlign w:val="center"/>
                </w:tcPr>
                <w:p>
                  <w:pPr>
                    <w:widowControl/>
                    <w:rPr>
                      <w:kern w:val="0"/>
                      <w:szCs w:val="21"/>
                    </w:rPr>
                  </w:pPr>
                  <w:r>
                    <w:rPr>
                      <w:kern w:val="0"/>
                      <w:szCs w:val="21"/>
                    </w:rPr>
                    <w:t>栋号</w:t>
                  </w:r>
                </w:p>
              </w:tc>
              <w:tc>
                <w:tcPr>
                  <w:tcW w:w="5239" w:type="dxa"/>
                  <w:gridSpan w:val="4"/>
                  <w:vAlign w:val="center"/>
                </w:tcPr>
                <w:p>
                  <w:pPr>
                    <w:widowControl/>
                    <w:rPr>
                      <w:kern w:val="0"/>
                      <w:szCs w:val="21"/>
                    </w:rPr>
                  </w:pPr>
                  <w:r>
                    <w:rPr>
                      <w:kern w:val="0"/>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1" w:type="dxa"/>
                <w:trHeight w:val="1380" w:hRule="atLeast"/>
                <w:jc w:val="center"/>
              </w:trPr>
              <w:tc>
                <w:tcPr>
                  <w:tcW w:w="374" w:type="dxa"/>
                  <w:vMerge w:val="restart"/>
                  <w:vAlign w:val="center"/>
                </w:tcPr>
                <w:p>
                  <w:pPr>
                    <w:widowControl/>
                    <w:rPr>
                      <w:kern w:val="0"/>
                      <w:szCs w:val="21"/>
                    </w:rPr>
                  </w:pPr>
                  <w:r>
                    <w:rPr>
                      <w:kern w:val="0"/>
                      <w:szCs w:val="21"/>
                    </w:rPr>
                    <w:t>主体工程</w:t>
                  </w:r>
                </w:p>
              </w:tc>
              <w:tc>
                <w:tcPr>
                  <w:tcW w:w="523" w:type="dxa"/>
                  <w:gridSpan w:val="2"/>
                  <w:vMerge w:val="restart"/>
                  <w:vAlign w:val="center"/>
                </w:tcPr>
                <w:p>
                  <w:pPr>
                    <w:widowControl/>
                    <w:rPr>
                      <w:kern w:val="0"/>
                      <w:szCs w:val="21"/>
                    </w:rPr>
                  </w:pPr>
                  <w:r>
                    <w:rPr>
                      <w:kern w:val="0"/>
                      <w:szCs w:val="21"/>
                    </w:rPr>
                    <w:t>新建建筑</w:t>
                  </w:r>
                </w:p>
              </w:tc>
              <w:tc>
                <w:tcPr>
                  <w:tcW w:w="170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rPr>
                      <w:bCs/>
                      <w:kern w:val="0"/>
                      <w:szCs w:val="21"/>
                    </w:rPr>
                  </w:pPr>
                  <w:r>
                    <w:rPr>
                      <w:bCs/>
                      <w:kern w:val="0"/>
                      <w:szCs w:val="21"/>
                    </w:rPr>
                    <w:t>部件修厂房</w:t>
                  </w:r>
                </w:p>
              </w:tc>
              <w:tc>
                <w:tcPr>
                  <w:tcW w:w="5218" w:type="dxa"/>
                  <w:gridSpan w:val="2"/>
                  <w:vAlign w:val="center"/>
                </w:tcPr>
                <w:p>
                  <w:pPr>
                    <w:widowControl/>
                    <w:rPr>
                      <w:kern w:val="0"/>
                      <w:szCs w:val="21"/>
                    </w:rPr>
                  </w:pPr>
                  <w:r>
                    <w:rPr>
                      <w:kern w:val="0"/>
                      <w:szCs w:val="21"/>
                    </w:rPr>
                    <w:t>新建1栋部件修厂房，位于二期预留用地中西部，建筑面积8064㎡，主要用于拆解后部件维修，为单层钢结构建筑，建筑高13.5m。设计完成年产400 台转向架及相应车辆部件的检修，主要生产工艺是对转向架系统（含构架、轮对、轴箱体、抗侧滚扭杆、高度调节杆、一系钢弹簧、联轴节、牵引电机、齿轮箱、牵引杆、空气弹簧、受流器）、贯通道、电气屏柜、钩缓、座椅、风道、小电机等部件进行分解、检查、更换、组装、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1" w:type="dxa"/>
                <w:trHeight w:val="76" w:hRule="atLeast"/>
                <w:jc w:val="center"/>
              </w:trPr>
              <w:tc>
                <w:tcPr>
                  <w:tcW w:w="374" w:type="dxa"/>
                  <w:vMerge w:val="continue"/>
                  <w:vAlign w:val="center"/>
                </w:tcPr>
                <w:p>
                  <w:pPr>
                    <w:widowControl/>
                    <w:rPr>
                      <w:kern w:val="0"/>
                      <w:szCs w:val="21"/>
                    </w:rPr>
                  </w:pPr>
                </w:p>
              </w:tc>
              <w:tc>
                <w:tcPr>
                  <w:tcW w:w="523" w:type="dxa"/>
                  <w:gridSpan w:val="2"/>
                  <w:vMerge w:val="continue"/>
                  <w:vAlign w:val="center"/>
                </w:tcPr>
                <w:p>
                  <w:pPr>
                    <w:widowControl/>
                    <w:rPr>
                      <w:kern w:val="0"/>
                      <w:szCs w:val="21"/>
                    </w:rPr>
                  </w:pPr>
                </w:p>
              </w:tc>
              <w:tc>
                <w:tcPr>
                  <w:tcW w:w="1701" w:type="dxa"/>
                  <w:gridSpan w:val="2"/>
                  <w:vAlign w:val="center"/>
                </w:tcPr>
                <w:p>
                  <w:pPr>
                    <w:rPr>
                      <w:kern w:val="0"/>
                      <w:szCs w:val="21"/>
                    </w:rPr>
                  </w:pPr>
                  <w:r>
                    <w:rPr>
                      <w:kern w:val="0"/>
                      <w:szCs w:val="21"/>
                    </w:rPr>
                    <w:t>材料库</w:t>
                  </w:r>
                </w:p>
              </w:tc>
              <w:tc>
                <w:tcPr>
                  <w:tcW w:w="5218" w:type="dxa"/>
                  <w:gridSpan w:val="2"/>
                  <w:vAlign w:val="center"/>
                </w:tcPr>
                <w:p>
                  <w:pPr>
                    <w:rPr>
                      <w:kern w:val="0"/>
                      <w:szCs w:val="21"/>
                    </w:rPr>
                  </w:pPr>
                  <w:r>
                    <w:rPr>
                      <w:kern w:val="0"/>
                      <w:szCs w:val="21"/>
                    </w:rPr>
                    <w:t>材料库位于二期预留用地部件修厂房东侧，总建筑面积1176㎡，为单层钢结构建筑，建筑高9m。材料库主要负责昆明中车造修生产物料的存放。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1" w:type="dxa"/>
                <w:trHeight w:val="120" w:hRule="atLeast"/>
                <w:jc w:val="center"/>
              </w:trPr>
              <w:tc>
                <w:tcPr>
                  <w:tcW w:w="374" w:type="dxa"/>
                  <w:vMerge w:val="continue"/>
                  <w:vAlign w:val="center"/>
                </w:tcPr>
                <w:p>
                  <w:pPr>
                    <w:widowControl/>
                    <w:rPr>
                      <w:kern w:val="0"/>
                      <w:szCs w:val="21"/>
                    </w:rPr>
                  </w:pPr>
                </w:p>
              </w:tc>
              <w:tc>
                <w:tcPr>
                  <w:tcW w:w="523" w:type="dxa"/>
                  <w:gridSpan w:val="2"/>
                  <w:vMerge w:val="continue"/>
                  <w:vAlign w:val="center"/>
                </w:tcPr>
                <w:p>
                  <w:pPr>
                    <w:widowControl/>
                    <w:rPr>
                      <w:kern w:val="0"/>
                      <w:szCs w:val="21"/>
                    </w:rPr>
                  </w:pPr>
                </w:p>
              </w:tc>
              <w:tc>
                <w:tcPr>
                  <w:tcW w:w="1701" w:type="dxa"/>
                  <w:gridSpan w:val="2"/>
                  <w:vAlign w:val="center"/>
                </w:tcPr>
                <w:p>
                  <w:pPr>
                    <w:rPr>
                      <w:kern w:val="0"/>
                      <w:szCs w:val="21"/>
                    </w:rPr>
                  </w:pPr>
                  <w:r>
                    <w:rPr>
                      <w:kern w:val="0"/>
                      <w:szCs w:val="21"/>
                    </w:rPr>
                    <w:t>蓄电池间</w:t>
                  </w:r>
                </w:p>
              </w:tc>
              <w:tc>
                <w:tcPr>
                  <w:tcW w:w="5218" w:type="dxa"/>
                  <w:gridSpan w:val="2"/>
                  <w:vAlign w:val="center"/>
                </w:tcPr>
                <w:p>
                  <w:pPr>
                    <w:rPr>
                      <w:kern w:val="0"/>
                      <w:szCs w:val="21"/>
                    </w:rPr>
                  </w:pPr>
                  <w:r>
                    <w:rPr>
                      <w:kern w:val="0"/>
                      <w:szCs w:val="21"/>
                    </w:rPr>
                    <w:t>蓄电池间位于材料库北面，为单层钢混结构建筑，总建筑面积135㎡，建筑高7.2m。主要用于车载蓄电池的核容试验及充放电作业，不进行蓄电池的拆解检修作业，蓄电池间主要配备蓄电池充放电机。根据云南既有城轨车辆统计信息，目前主要涉及钛酸锂电池、镍铬碱性电池、铅酸蓄电池三种不同类型的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1" w:type="dxa"/>
                <w:trHeight w:val="870" w:hRule="atLeast"/>
                <w:jc w:val="center"/>
              </w:trPr>
              <w:tc>
                <w:tcPr>
                  <w:tcW w:w="374" w:type="dxa"/>
                  <w:vMerge w:val="continue"/>
                  <w:vAlign w:val="center"/>
                </w:tcPr>
                <w:p>
                  <w:pPr>
                    <w:widowControl/>
                    <w:ind w:firstLine="480"/>
                    <w:rPr>
                      <w:kern w:val="0"/>
                      <w:szCs w:val="21"/>
                    </w:rPr>
                  </w:pPr>
                </w:p>
              </w:tc>
              <w:tc>
                <w:tcPr>
                  <w:tcW w:w="523" w:type="dxa"/>
                  <w:gridSpan w:val="2"/>
                  <w:vAlign w:val="center"/>
                </w:tcPr>
                <w:p>
                  <w:pPr>
                    <w:widowControl/>
                    <w:rPr>
                      <w:kern w:val="0"/>
                      <w:szCs w:val="21"/>
                    </w:rPr>
                  </w:pPr>
                  <w:r>
                    <w:rPr>
                      <w:kern w:val="0"/>
                      <w:szCs w:val="21"/>
                    </w:rPr>
                    <w:t>改造建筑</w:t>
                  </w:r>
                </w:p>
              </w:tc>
              <w:tc>
                <w:tcPr>
                  <w:tcW w:w="1701" w:type="dxa"/>
                  <w:gridSpan w:val="2"/>
                  <w:tcBorders>
                    <w:top w:val="single" w:color="auto" w:sz="4" w:space="0"/>
                    <w:left w:val="single" w:color="auto" w:sz="4" w:space="0"/>
                    <w:right w:val="single" w:color="auto" w:sz="4" w:space="0"/>
                  </w:tcBorders>
                  <w:shd w:val="clear" w:color="auto" w:fill="auto"/>
                  <w:vAlign w:val="center"/>
                </w:tcPr>
                <w:p>
                  <w:pPr>
                    <w:widowControl/>
                    <w:jc w:val="left"/>
                    <w:rPr>
                      <w:bCs/>
                      <w:kern w:val="0"/>
                      <w:szCs w:val="21"/>
                    </w:rPr>
                  </w:pPr>
                  <w:r>
                    <w:rPr>
                      <w:bCs/>
                      <w:kern w:val="0"/>
                      <w:szCs w:val="21"/>
                    </w:rPr>
                    <w:t>解体车间</w:t>
                  </w:r>
                </w:p>
              </w:tc>
              <w:tc>
                <w:tcPr>
                  <w:tcW w:w="5218" w:type="dxa"/>
                  <w:gridSpan w:val="2"/>
                  <w:tcBorders>
                    <w:top w:val="single" w:color="auto" w:sz="4" w:space="0"/>
                  </w:tcBorders>
                  <w:vAlign w:val="center"/>
                </w:tcPr>
                <w:p>
                  <w:pPr>
                    <w:widowControl/>
                    <w:jc w:val="left"/>
                    <w:rPr>
                      <w:kern w:val="0"/>
                      <w:szCs w:val="21"/>
                    </w:rPr>
                  </w:pPr>
                  <w:r>
                    <w:rPr>
                      <w:kern w:val="0"/>
                      <w:szCs w:val="21"/>
                    </w:rPr>
                    <w:t>总建筑面积3264㎡，为2层钢结构厂房，为已建成一期项目物流库房。2022 年随着本项目建设，需改造为解体车间。待修车辆到厂后直接卸货在解体车间外轨道上，然后推入解体车间；或先吊运存放至存车线，通过无轨移车台转运至解体车间。本次将其改为解体车间，改造不涉及车间主体结构的改变，主要改造内容为架落车台位建设和车辆清洗台位建设。改造后主要作业内容包括转向架拆解，车顶部件、车门拆卸，车辆外表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140" w:hRule="atLeast"/>
                <w:jc w:val="center"/>
              </w:trPr>
              <w:tc>
                <w:tcPr>
                  <w:tcW w:w="374" w:type="dxa"/>
                  <w:vMerge w:val="continue"/>
                  <w:vAlign w:val="center"/>
                </w:tcPr>
                <w:p>
                  <w:pPr>
                    <w:widowControl/>
                    <w:ind w:firstLine="480"/>
                    <w:rPr>
                      <w:kern w:val="0"/>
                      <w:szCs w:val="21"/>
                    </w:rPr>
                  </w:pPr>
                </w:p>
              </w:tc>
              <w:tc>
                <w:tcPr>
                  <w:tcW w:w="523" w:type="dxa"/>
                  <w:gridSpan w:val="2"/>
                  <w:vMerge w:val="restart"/>
                  <w:vAlign w:val="center"/>
                </w:tcPr>
                <w:p>
                  <w:pPr>
                    <w:widowControl/>
                    <w:rPr>
                      <w:kern w:val="0"/>
                      <w:szCs w:val="21"/>
                    </w:rPr>
                  </w:pPr>
                  <w:r>
                    <w:rPr>
                      <w:kern w:val="0"/>
                      <w:szCs w:val="21"/>
                    </w:rPr>
                    <w:t>依托工程</w:t>
                  </w:r>
                </w:p>
              </w:tc>
              <w:tc>
                <w:tcPr>
                  <w:tcW w:w="413" w:type="dxa"/>
                  <w:vMerge w:val="restart"/>
                  <w:vAlign w:val="center"/>
                </w:tcPr>
                <w:p>
                  <w:pPr>
                    <w:rPr>
                      <w:kern w:val="0"/>
                      <w:szCs w:val="21"/>
                    </w:rPr>
                  </w:pPr>
                  <w:r>
                    <w:rPr>
                      <w:kern w:val="0"/>
                      <w:szCs w:val="21"/>
                    </w:rPr>
                    <w:t>一期联合厂房</w:t>
                  </w:r>
                </w:p>
              </w:tc>
              <w:tc>
                <w:tcPr>
                  <w:tcW w:w="1288" w:type="dxa"/>
                  <w:vAlign w:val="center"/>
                </w:tcPr>
                <w:p>
                  <w:pPr>
                    <w:rPr>
                      <w:kern w:val="0"/>
                      <w:szCs w:val="21"/>
                    </w:rPr>
                  </w:pPr>
                  <w:r>
                    <w:rPr>
                      <w:kern w:val="0"/>
                      <w:szCs w:val="21"/>
                    </w:rPr>
                    <w:t>焊接车间</w:t>
                  </w:r>
                </w:p>
              </w:tc>
              <w:tc>
                <w:tcPr>
                  <w:tcW w:w="5231" w:type="dxa"/>
                  <w:gridSpan w:val="3"/>
                  <w:vAlign w:val="center"/>
                </w:tcPr>
                <w:p>
                  <w:pPr>
                    <w:widowControl/>
                    <w:rPr>
                      <w:kern w:val="0"/>
                      <w:szCs w:val="21"/>
                    </w:rPr>
                  </w:pPr>
                  <w:r>
                    <w:rPr>
                      <w:kern w:val="0"/>
                      <w:szCs w:val="21"/>
                    </w:rPr>
                    <w:t>建筑面积4080㎡，主要用于车体修复、部件焊修等作业，一期项目已建成投产，与一期项目共用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1" w:type="dxa"/>
                <w:trHeight w:val="105" w:hRule="atLeast"/>
                <w:jc w:val="center"/>
              </w:trPr>
              <w:tc>
                <w:tcPr>
                  <w:tcW w:w="374" w:type="dxa"/>
                  <w:vMerge w:val="continue"/>
                  <w:vAlign w:val="center"/>
                </w:tcPr>
                <w:p>
                  <w:pPr>
                    <w:widowControl/>
                    <w:ind w:firstLine="480"/>
                    <w:rPr>
                      <w:kern w:val="0"/>
                      <w:szCs w:val="21"/>
                    </w:rPr>
                  </w:pPr>
                </w:p>
              </w:tc>
              <w:tc>
                <w:tcPr>
                  <w:tcW w:w="523" w:type="dxa"/>
                  <w:gridSpan w:val="2"/>
                  <w:vMerge w:val="continue"/>
                  <w:vAlign w:val="center"/>
                </w:tcPr>
                <w:p>
                  <w:pPr>
                    <w:widowControl/>
                    <w:rPr>
                      <w:kern w:val="0"/>
                      <w:szCs w:val="21"/>
                    </w:rPr>
                  </w:pPr>
                </w:p>
              </w:tc>
              <w:tc>
                <w:tcPr>
                  <w:tcW w:w="413" w:type="dxa"/>
                  <w:vMerge w:val="continue"/>
                  <w:vAlign w:val="center"/>
                </w:tcPr>
                <w:p>
                  <w:pPr>
                    <w:rPr>
                      <w:kern w:val="0"/>
                      <w:szCs w:val="21"/>
                    </w:rPr>
                  </w:pPr>
                </w:p>
              </w:tc>
              <w:tc>
                <w:tcPr>
                  <w:tcW w:w="1288" w:type="dxa"/>
                  <w:vAlign w:val="center"/>
                </w:tcPr>
                <w:p>
                  <w:pPr>
                    <w:rPr>
                      <w:kern w:val="0"/>
                      <w:szCs w:val="21"/>
                    </w:rPr>
                  </w:pPr>
                  <w:r>
                    <w:rPr>
                      <w:kern w:val="0"/>
                      <w:szCs w:val="21"/>
                    </w:rPr>
                    <w:t>涂装车间</w:t>
                  </w:r>
                </w:p>
              </w:tc>
              <w:tc>
                <w:tcPr>
                  <w:tcW w:w="5218" w:type="dxa"/>
                  <w:gridSpan w:val="2"/>
                  <w:vAlign w:val="center"/>
                </w:tcPr>
                <w:p>
                  <w:pPr>
                    <w:widowControl/>
                    <w:rPr>
                      <w:kern w:val="0"/>
                      <w:szCs w:val="21"/>
                    </w:rPr>
                  </w:pPr>
                  <w:r>
                    <w:rPr>
                      <w:kern w:val="0"/>
                      <w:szCs w:val="21"/>
                    </w:rPr>
                    <w:t>建筑面积3854㎡，主要用于整车及部件涂装检修作业，一期项目已建成投产，与一期项目共用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1" w:type="dxa"/>
                <w:trHeight w:val="121" w:hRule="atLeast"/>
                <w:jc w:val="center"/>
              </w:trPr>
              <w:tc>
                <w:tcPr>
                  <w:tcW w:w="374" w:type="dxa"/>
                  <w:vMerge w:val="continue"/>
                  <w:vAlign w:val="center"/>
                </w:tcPr>
                <w:p>
                  <w:pPr>
                    <w:widowControl/>
                    <w:ind w:firstLine="480"/>
                    <w:rPr>
                      <w:kern w:val="0"/>
                      <w:szCs w:val="21"/>
                    </w:rPr>
                  </w:pPr>
                </w:p>
              </w:tc>
              <w:tc>
                <w:tcPr>
                  <w:tcW w:w="523" w:type="dxa"/>
                  <w:gridSpan w:val="2"/>
                  <w:vMerge w:val="continue"/>
                  <w:vAlign w:val="center"/>
                </w:tcPr>
                <w:p>
                  <w:pPr>
                    <w:widowControl/>
                    <w:rPr>
                      <w:kern w:val="0"/>
                      <w:szCs w:val="21"/>
                    </w:rPr>
                  </w:pPr>
                </w:p>
              </w:tc>
              <w:tc>
                <w:tcPr>
                  <w:tcW w:w="413" w:type="dxa"/>
                  <w:vMerge w:val="continue"/>
                  <w:vAlign w:val="center"/>
                </w:tcPr>
                <w:p>
                  <w:pPr>
                    <w:rPr>
                      <w:kern w:val="0"/>
                      <w:szCs w:val="21"/>
                    </w:rPr>
                  </w:pPr>
                </w:p>
              </w:tc>
              <w:tc>
                <w:tcPr>
                  <w:tcW w:w="1288" w:type="dxa"/>
                  <w:vAlign w:val="center"/>
                </w:tcPr>
                <w:p>
                  <w:pPr>
                    <w:rPr>
                      <w:kern w:val="0"/>
                      <w:szCs w:val="21"/>
                    </w:rPr>
                  </w:pPr>
                  <w:r>
                    <w:rPr>
                      <w:kern w:val="0"/>
                      <w:szCs w:val="21"/>
                    </w:rPr>
                    <w:t>组装车间</w:t>
                  </w:r>
                </w:p>
              </w:tc>
              <w:tc>
                <w:tcPr>
                  <w:tcW w:w="5218" w:type="dxa"/>
                  <w:gridSpan w:val="2"/>
                  <w:vAlign w:val="center"/>
                </w:tcPr>
                <w:p>
                  <w:pPr>
                    <w:widowControl/>
                    <w:rPr>
                      <w:kern w:val="0"/>
                      <w:szCs w:val="21"/>
                    </w:rPr>
                  </w:pPr>
                  <w:r>
                    <w:rPr>
                      <w:kern w:val="0"/>
                      <w:szCs w:val="21"/>
                    </w:rPr>
                    <w:t>建筑面积8106㎡，主要用于车辆解体后车体存放、未拆解部件检修作业，零部件检修后上车安装作业。落车，称重及限界试验作业。一期项目已建成投产，与一期项目共用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1" w:type="dxa"/>
                <w:trHeight w:val="825" w:hRule="atLeast"/>
                <w:jc w:val="center"/>
              </w:trPr>
              <w:tc>
                <w:tcPr>
                  <w:tcW w:w="374" w:type="dxa"/>
                  <w:vMerge w:val="continue"/>
                  <w:vAlign w:val="center"/>
                </w:tcPr>
                <w:p>
                  <w:pPr>
                    <w:widowControl/>
                    <w:ind w:firstLine="480"/>
                    <w:rPr>
                      <w:kern w:val="0"/>
                      <w:szCs w:val="21"/>
                    </w:rPr>
                  </w:pPr>
                </w:p>
              </w:tc>
              <w:tc>
                <w:tcPr>
                  <w:tcW w:w="523" w:type="dxa"/>
                  <w:gridSpan w:val="2"/>
                  <w:vMerge w:val="continue"/>
                  <w:vAlign w:val="center"/>
                </w:tcPr>
                <w:p>
                  <w:pPr>
                    <w:widowControl/>
                    <w:rPr>
                      <w:kern w:val="0"/>
                      <w:szCs w:val="21"/>
                    </w:rPr>
                  </w:pPr>
                </w:p>
              </w:tc>
              <w:tc>
                <w:tcPr>
                  <w:tcW w:w="413" w:type="dxa"/>
                  <w:vMerge w:val="continue"/>
                  <w:vAlign w:val="center"/>
                </w:tcPr>
                <w:p>
                  <w:pPr>
                    <w:rPr>
                      <w:kern w:val="0"/>
                      <w:szCs w:val="21"/>
                    </w:rPr>
                  </w:pPr>
                </w:p>
              </w:tc>
              <w:tc>
                <w:tcPr>
                  <w:tcW w:w="1288" w:type="dxa"/>
                  <w:vAlign w:val="center"/>
                </w:tcPr>
                <w:p>
                  <w:pPr>
                    <w:rPr>
                      <w:kern w:val="0"/>
                      <w:szCs w:val="21"/>
                    </w:rPr>
                  </w:pPr>
                  <w:r>
                    <w:rPr>
                      <w:kern w:val="0"/>
                      <w:szCs w:val="21"/>
                    </w:rPr>
                    <w:t>静调车间</w:t>
                  </w:r>
                </w:p>
              </w:tc>
              <w:tc>
                <w:tcPr>
                  <w:tcW w:w="5218" w:type="dxa"/>
                  <w:gridSpan w:val="2"/>
                  <w:vAlign w:val="center"/>
                </w:tcPr>
                <w:p>
                  <w:pPr>
                    <w:widowControl/>
                    <w:rPr>
                      <w:kern w:val="0"/>
                      <w:szCs w:val="21"/>
                    </w:rPr>
                  </w:pPr>
                  <w:r>
                    <w:rPr>
                      <w:kern w:val="0"/>
                      <w:szCs w:val="21"/>
                    </w:rPr>
                    <w:t>建筑面积2040㎡，主要用于编组连挂、校线耐压、静态试验等。一期项目已建成投产，与一期项目共用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1" w:type="dxa"/>
                <w:trHeight w:val="135" w:hRule="atLeast"/>
                <w:jc w:val="center"/>
              </w:trPr>
              <w:tc>
                <w:tcPr>
                  <w:tcW w:w="374" w:type="dxa"/>
                  <w:vMerge w:val="continue"/>
                  <w:vAlign w:val="center"/>
                </w:tcPr>
                <w:p>
                  <w:pPr>
                    <w:widowControl/>
                    <w:ind w:firstLine="480"/>
                    <w:rPr>
                      <w:kern w:val="0"/>
                      <w:szCs w:val="21"/>
                    </w:rPr>
                  </w:pPr>
                </w:p>
              </w:tc>
              <w:tc>
                <w:tcPr>
                  <w:tcW w:w="523" w:type="dxa"/>
                  <w:gridSpan w:val="2"/>
                  <w:vMerge w:val="continue"/>
                  <w:vAlign w:val="center"/>
                </w:tcPr>
                <w:p>
                  <w:pPr>
                    <w:widowControl/>
                    <w:rPr>
                      <w:kern w:val="0"/>
                      <w:szCs w:val="21"/>
                    </w:rPr>
                  </w:pPr>
                </w:p>
              </w:tc>
              <w:tc>
                <w:tcPr>
                  <w:tcW w:w="1701" w:type="dxa"/>
                  <w:gridSpan w:val="2"/>
                  <w:vAlign w:val="center"/>
                </w:tcPr>
                <w:p>
                  <w:pPr>
                    <w:rPr>
                      <w:kern w:val="0"/>
                      <w:szCs w:val="21"/>
                    </w:rPr>
                  </w:pPr>
                  <w:r>
                    <w:rPr>
                      <w:kern w:val="0"/>
                      <w:szCs w:val="21"/>
                    </w:rPr>
                    <w:t>铁路专用线</w:t>
                  </w:r>
                </w:p>
              </w:tc>
              <w:tc>
                <w:tcPr>
                  <w:tcW w:w="5218" w:type="dxa"/>
                  <w:gridSpan w:val="2"/>
                  <w:vAlign w:val="center"/>
                </w:tcPr>
                <w:p>
                  <w:pPr>
                    <w:widowControl/>
                    <w:rPr>
                      <w:kern w:val="0"/>
                      <w:szCs w:val="21"/>
                    </w:rPr>
                  </w:pPr>
                  <w:r>
                    <w:rPr>
                      <w:kern w:val="0"/>
                      <w:szCs w:val="21"/>
                    </w:rPr>
                    <w:t>位于项目区南面，为一期项目已建成工程。铁路试车线（接入线）从一期项目东北面昆明车辆试车线并排接入，厂区内铁路专用线布置动调线一条（1.19km）、淋雨试车线一条、存车线二条，静调线二条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1" w:type="dxa"/>
                <w:trHeight w:val="285" w:hRule="atLeast"/>
                <w:jc w:val="center"/>
              </w:trPr>
              <w:tc>
                <w:tcPr>
                  <w:tcW w:w="374" w:type="dxa"/>
                  <w:vMerge w:val="restart"/>
                  <w:vAlign w:val="center"/>
                </w:tcPr>
                <w:p>
                  <w:pPr>
                    <w:widowControl/>
                    <w:rPr>
                      <w:kern w:val="0"/>
                      <w:szCs w:val="21"/>
                    </w:rPr>
                  </w:pPr>
                  <w:r>
                    <w:rPr>
                      <w:kern w:val="0"/>
                      <w:szCs w:val="21"/>
                    </w:rPr>
                    <w:t>辅助工程</w:t>
                  </w:r>
                </w:p>
              </w:tc>
              <w:tc>
                <w:tcPr>
                  <w:tcW w:w="523" w:type="dxa"/>
                  <w:gridSpan w:val="2"/>
                  <w:vMerge w:val="restart"/>
                  <w:vAlign w:val="center"/>
                </w:tcPr>
                <w:p>
                  <w:pPr>
                    <w:widowControl/>
                    <w:rPr>
                      <w:kern w:val="0"/>
                      <w:szCs w:val="21"/>
                    </w:rPr>
                  </w:pPr>
                  <w:r>
                    <w:rPr>
                      <w:kern w:val="0"/>
                      <w:szCs w:val="21"/>
                    </w:rPr>
                    <w:t>依托工程</w:t>
                  </w:r>
                </w:p>
              </w:tc>
              <w:tc>
                <w:tcPr>
                  <w:tcW w:w="1701" w:type="dxa"/>
                  <w:gridSpan w:val="2"/>
                  <w:vAlign w:val="center"/>
                </w:tcPr>
                <w:p>
                  <w:pPr>
                    <w:rPr>
                      <w:kern w:val="0"/>
                      <w:szCs w:val="21"/>
                    </w:rPr>
                  </w:pPr>
                  <w:r>
                    <w:rPr>
                      <w:kern w:val="0"/>
                      <w:szCs w:val="21"/>
                    </w:rPr>
                    <w:t>车间办公楼</w:t>
                  </w:r>
                </w:p>
              </w:tc>
              <w:tc>
                <w:tcPr>
                  <w:tcW w:w="5218" w:type="dxa"/>
                  <w:gridSpan w:val="2"/>
                  <w:vAlign w:val="center"/>
                </w:tcPr>
                <w:p>
                  <w:pPr>
                    <w:widowControl/>
                    <w:rPr>
                      <w:kern w:val="0"/>
                      <w:szCs w:val="21"/>
                    </w:rPr>
                  </w:pPr>
                  <w:r>
                    <w:rPr>
                      <w:kern w:val="0"/>
                      <w:szCs w:val="21"/>
                    </w:rPr>
                    <w:t>位于联合厂房内车间辅助间上2层，建筑面积2448㎡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1" w:type="dxa"/>
                <w:trHeight w:val="375" w:hRule="atLeast"/>
                <w:jc w:val="center"/>
              </w:trPr>
              <w:tc>
                <w:tcPr>
                  <w:tcW w:w="374" w:type="dxa"/>
                  <w:vMerge w:val="continue"/>
                  <w:vAlign w:val="center"/>
                </w:tcPr>
                <w:p>
                  <w:pPr>
                    <w:widowControl/>
                    <w:rPr>
                      <w:kern w:val="0"/>
                      <w:szCs w:val="21"/>
                    </w:rPr>
                  </w:pPr>
                </w:p>
              </w:tc>
              <w:tc>
                <w:tcPr>
                  <w:tcW w:w="523" w:type="dxa"/>
                  <w:gridSpan w:val="2"/>
                  <w:vMerge w:val="continue"/>
                  <w:vAlign w:val="center"/>
                </w:tcPr>
                <w:p>
                  <w:pPr>
                    <w:widowControl/>
                    <w:rPr>
                      <w:kern w:val="0"/>
                      <w:szCs w:val="21"/>
                    </w:rPr>
                  </w:pPr>
                </w:p>
              </w:tc>
              <w:tc>
                <w:tcPr>
                  <w:tcW w:w="1701" w:type="dxa"/>
                  <w:gridSpan w:val="2"/>
                  <w:vAlign w:val="center"/>
                </w:tcPr>
                <w:p>
                  <w:pPr>
                    <w:rPr>
                      <w:kern w:val="0"/>
                      <w:szCs w:val="21"/>
                    </w:rPr>
                  </w:pPr>
                  <w:r>
                    <w:rPr>
                      <w:kern w:val="0"/>
                      <w:szCs w:val="21"/>
                    </w:rPr>
                    <w:t>倒班宿舍及食堂</w:t>
                  </w:r>
                </w:p>
              </w:tc>
              <w:tc>
                <w:tcPr>
                  <w:tcW w:w="5218" w:type="dxa"/>
                  <w:gridSpan w:val="2"/>
                  <w:vAlign w:val="center"/>
                </w:tcPr>
                <w:p>
                  <w:pPr>
                    <w:widowControl/>
                    <w:rPr>
                      <w:kern w:val="0"/>
                      <w:szCs w:val="21"/>
                    </w:rPr>
                  </w:pPr>
                  <w:r>
                    <w:rPr>
                      <w:kern w:val="0"/>
                      <w:szCs w:val="21"/>
                    </w:rPr>
                    <w:t>为4层钢混结构建筑，总建筑面积4000㎡，一层设置为2个职工食堂，倒班宿舍2-4层设置为宿舍。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1" w:type="dxa"/>
                <w:trHeight w:val="330" w:hRule="atLeast"/>
                <w:jc w:val="center"/>
              </w:trPr>
              <w:tc>
                <w:tcPr>
                  <w:tcW w:w="374" w:type="dxa"/>
                  <w:vMerge w:val="continue"/>
                  <w:vAlign w:val="center"/>
                </w:tcPr>
                <w:p>
                  <w:pPr>
                    <w:widowControl/>
                    <w:rPr>
                      <w:kern w:val="0"/>
                      <w:szCs w:val="21"/>
                    </w:rPr>
                  </w:pPr>
                </w:p>
              </w:tc>
              <w:tc>
                <w:tcPr>
                  <w:tcW w:w="523" w:type="dxa"/>
                  <w:gridSpan w:val="2"/>
                  <w:vMerge w:val="continue"/>
                  <w:vAlign w:val="center"/>
                </w:tcPr>
                <w:p>
                  <w:pPr>
                    <w:widowControl/>
                    <w:rPr>
                      <w:kern w:val="0"/>
                      <w:szCs w:val="21"/>
                    </w:rPr>
                  </w:pPr>
                </w:p>
              </w:tc>
              <w:tc>
                <w:tcPr>
                  <w:tcW w:w="1701" w:type="dxa"/>
                  <w:gridSpan w:val="2"/>
                  <w:vAlign w:val="center"/>
                </w:tcPr>
                <w:p>
                  <w:pPr>
                    <w:rPr>
                      <w:kern w:val="0"/>
                      <w:szCs w:val="21"/>
                    </w:rPr>
                  </w:pPr>
                  <w:r>
                    <w:rPr>
                      <w:kern w:val="0"/>
                      <w:szCs w:val="21"/>
                    </w:rPr>
                    <w:t>空压站（含配电房）</w:t>
                  </w:r>
                </w:p>
              </w:tc>
              <w:tc>
                <w:tcPr>
                  <w:tcW w:w="5218" w:type="dxa"/>
                  <w:gridSpan w:val="2"/>
                  <w:vAlign w:val="center"/>
                </w:tcPr>
                <w:p>
                  <w:pPr>
                    <w:widowControl/>
                    <w:rPr>
                      <w:kern w:val="0"/>
                      <w:szCs w:val="21"/>
                    </w:rPr>
                  </w:pPr>
                  <w:r>
                    <w:rPr>
                      <w:kern w:val="0"/>
                      <w:szCs w:val="21"/>
                    </w:rPr>
                    <w:t>位于一期用地西南，建筑面积281㎡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21" w:type="dxa"/>
                <w:trHeight w:val="315" w:hRule="atLeast"/>
                <w:jc w:val="center"/>
              </w:trPr>
              <w:tc>
                <w:tcPr>
                  <w:tcW w:w="374" w:type="dxa"/>
                  <w:vMerge w:val="continue"/>
                  <w:vAlign w:val="center"/>
                </w:tcPr>
                <w:p>
                  <w:pPr>
                    <w:widowControl/>
                    <w:rPr>
                      <w:kern w:val="0"/>
                      <w:szCs w:val="21"/>
                    </w:rPr>
                  </w:pPr>
                </w:p>
              </w:tc>
              <w:tc>
                <w:tcPr>
                  <w:tcW w:w="523" w:type="dxa"/>
                  <w:gridSpan w:val="2"/>
                  <w:vMerge w:val="continue"/>
                  <w:vAlign w:val="center"/>
                </w:tcPr>
                <w:p>
                  <w:pPr>
                    <w:widowControl/>
                    <w:rPr>
                      <w:kern w:val="0"/>
                      <w:szCs w:val="21"/>
                    </w:rPr>
                  </w:pPr>
                </w:p>
              </w:tc>
              <w:tc>
                <w:tcPr>
                  <w:tcW w:w="1701" w:type="dxa"/>
                  <w:gridSpan w:val="2"/>
                  <w:vAlign w:val="center"/>
                </w:tcPr>
                <w:p>
                  <w:pPr>
                    <w:rPr>
                      <w:kern w:val="0"/>
                      <w:szCs w:val="21"/>
                    </w:rPr>
                  </w:pPr>
                  <w:r>
                    <w:rPr>
                      <w:kern w:val="0"/>
                      <w:szCs w:val="21"/>
                    </w:rPr>
                    <w:t>油漆库</w:t>
                  </w:r>
                </w:p>
              </w:tc>
              <w:tc>
                <w:tcPr>
                  <w:tcW w:w="5218" w:type="dxa"/>
                  <w:gridSpan w:val="2"/>
                  <w:vAlign w:val="center"/>
                </w:tcPr>
                <w:p>
                  <w:pPr>
                    <w:widowControl/>
                    <w:rPr>
                      <w:kern w:val="0"/>
                      <w:szCs w:val="21"/>
                    </w:rPr>
                  </w:pPr>
                  <w:r>
                    <w:rPr>
                      <w:kern w:val="0"/>
                      <w:szCs w:val="21"/>
                    </w:rPr>
                    <w:t>为单层建筑，总建筑面积210㎡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3"/>
                <w:wAfter w:w="49" w:type="dxa"/>
                <w:trHeight w:val="195" w:hRule="atLeast"/>
                <w:jc w:val="center"/>
              </w:trPr>
              <w:tc>
                <w:tcPr>
                  <w:tcW w:w="897" w:type="dxa"/>
                  <w:gridSpan w:val="3"/>
                  <w:vMerge w:val="restart"/>
                  <w:vAlign w:val="center"/>
                </w:tcPr>
                <w:p>
                  <w:pPr>
                    <w:widowControl/>
                    <w:rPr>
                      <w:kern w:val="0"/>
                      <w:szCs w:val="21"/>
                    </w:rPr>
                  </w:pPr>
                  <w:r>
                    <w:rPr>
                      <w:kern w:val="0"/>
                      <w:szCs w:val="21"/>
                    </w:rPr>
                    <w:t>公用工程</w:t>
                  </w:r>
                </w:p>
              </w:tc>
              <w:tc>
                <w:tcPr>
                  <w:tcW w:w="1701" w:type="dxa"/>
                  <w:gridSpan w:val="2"/>
                  <w:vAlign w:val="center"/>
                </w:tcPr>
                <w:p>
                  <w:pPr>
                    <w:widowControl/>
                    <w:rPr>
                      <w:kern w:val="0"/>
                      <w:szCs w:val="21"/>
                    </w:rPr>
                  </w:pPr>
                  <w:r>
                    <w:rPr>
                      <w:kern w:val="0"/>
                      <w:szCs w:val="21"/>
                    </w:rPr>
                    <w:t>供水</w:t>
                  </w:r>
                </w:p>
              </w:tc>
              <w:tc>
                <w:tcPr>
                  <w:tcW w:w="5190" w:type="dxa"/>
                  <w:vAlign w:val="center"/>
                </w:tcPr>
                <w:p>
                  <w:pPr>
                    <w:widowControl/>
                    <w:rPr>
                      <w:kern w:val="0"/>
                      <w:szCs w:val="21"/>
                    </w:rPr>
                  </w:pPr>
                  <w:r>
                    <w:rPr>
                      <w:kern w:val="0"/>
                      <w:szCs w:val="21"/>
                    </w:rPr>
                    <w:t>依托一期已建成供水管网供水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3"/>
                <w:wAfter w:w="49" w:type="dxa"/>
                <w:trHeight w:val="645" w:hRule="atLeast"/>
                <w:jc w:val="center"/>
              </w:trPr>
              <w:tc>
                <w:tcPr>
                  <w:tcW w:w="897" w:type="dxa"/>
                  <w:gridSpan w:val="3"/>
                  <w:vMerge w:val="continue"/>
                  <w:vAlign w:val="center"/>
                </w:tcPr>
                <w:p>
                  <w:pPr>
                    <w:widowControl/>
                    <w:ind w:firstLine="480"/>
                    <w:rPr>
                      <w:kern w:val="0"/>
                      <w:szCs w:val="21"/>
                    </w:rPr>
                  </w:pPr>
                </w:p>
              </w:tc>
              <w:tc>
                <w:tcPr>
                  <w:tcW w:w="1701" w:type="dxa"/>
                  <w:gridSpan w:val="2"/>
                  <w:vAlign w:val="center"/>
                </w:tcPr>
                <w:p>
                  <w:pPr>
                    <w:widowControl/>
                    <w:rPr>
                      <w:kern w:val="0"/>
                      <w:szCs w:val="21"/>
                    </w:rPr>
                  </w:pPr>
                  <w:r>
                    <w:rPr>
                      <w:kern w:val="0"/>
                      <w:szCs w:val="21"/>
                    </w:rPr>
                    <w:t>排水</w:t>
                  </w:r>
                </w:p>
              </w:tc>
              <w:tc>
                <w:tcPr>
                  <w:tcW w:w="5190" w:type="dxa"/>
                  <w:vAlign w:val="center"/>
                </w:tcPr>
                <w:p>
                  <w:pPr>
                    <w:widowControl/>
                    <w:rPr>
                      <w:kern w:val="0"/>
                      <w:szCs w:val="21"/>
                    </w:rPr>
                  </w:pPr>
                  <w:r>
                    <w:rPr>
                      <w:kern w:val="0"/>
                      <w:szCs w:val="21"/>
                    </w:rPr>
                    <w:t>雨污分流系统，依托一期已建成污水管网和污水总排口，总排口设置在一期地块南部，污水通过滇池南岸环湖截污管网排入淤泥河水质净化厂。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3"/>
                <w:wAfter w:w="49" w:type="dxa"/>
                <w:trHeight w:val="91" w:hRule="atLeast"/>
                <w:jc w:val="center"/>
              </w:trPr>
              <w:tc>
                <w:tcPr>
                  <w:tcW w:w="897" w:type="dxa"/>
                  <w:gridSpan w:val="3"/>
                  <w:vMerge w:val="continue"/>
                  <w:vAlign w:val="center"/>
                </w:tcPr>
                <w:p>
                  <w:pPr>
                    <w:widowControl/>
                    <w:ind w:firstLine="480"/>
                    <w:rPr>
                      <w:kern w:val="0"/>
                      <w:szCs w:val="21"/>
                    </w:rPr>
                  </w:pPr>
                </w:p>
              </w:tc>
              <w:tc>
                <w:tcPr>
                  <w:tcW w:w="1701" w:type="dxa"/>
                  <w:gridSpan w:val="2"/>
                  <w:vAlign w:val="center"/>
                </w:tcPr>
                <w:p>
                  <w:pPr>
                    <w:rPr>
                      <w:kern w:val="0"/>
                      <w:szCs w:val="21"/>
                    </w:rPr>
                  </w:pPr>
                  <w:r>
                    <w:rPr>
                      <w:kern w:val="0"/>
                      <w:szCs w:val="21"/>
                    </w:rPr>
                    <w:t>供电</w:t>
                  </w:r>
                </w:p>
              </w:tc>
              <w:tc>
                <w:tcPr>
                  <w:tcW w:w="5190" w:type="dxa"/>
                  <w:vAlign w:val="center"/>
                </w:tcPr>
                <w:p>
                  <w:pPr>
                    <w:rPr>
                      <w:kern w:val="0"/>
                      <w:szCs w:val="21"/>
                    </w:rPr>
                  </w:pPr>
                  <w:r>
                    <w:rPr>
                      <w:kern w:val="0"/>
                      <w:szCs w:val="21"/>
                    </w:rPr>
                    <w:t>依托一期已建成中心变电站、配电房和供电系统供电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3"/>
                <w:wAfter w:w="49" w:type="dxa"/>
                <w:trHeight w:val="612" w:hRule="atLeast"/>
                <w:jc w:val="center"/>
              </w:trPr>
              <w:tc>
                <w:tcPr>
                  <w:tcW w:w="897" w:type="dxa"/>
                  <w:gridSpan w:val="3"/>
                  <w:vMerge w:val="continue"/>
                  <w:vAlign w:val="center"/>
                </w:tcPr>
                <w:p>
                  <w:pPr>
                    <w:widowControl/>
                    <w:ind w:firstLine="480"/>
                    <w:rPr>
                      <w:kern w:val="0"/>
                      <w:szCs w:val="21"/>
                    </w:rPr>
                  </w:pPr>
                </w:p>
              </w:tc>
              <w:tc>
                <w:tcPr>
                  <w:tcW w:w="1701" w:type="dxa"/>
                  <w:gridSpan w:val="2"/>
                  <w:vAlign w:val="center"/>
                </w:tcPr>
                <w:p>
                  <w:pPr>
                    <w:rPr>
                      <w:kern w:val="0"/>
                      <w:szCs w:val="21"/>
                    </w:rPr>
                  </w:pPr>
                  <w:r>
                    <w:rPr>
                      <w:kern w:val="0"/>
                      <w:szCs w:val="21"/>
                    </w:rPr>
                    <w:t>热水系统</w:t>
                  </w:r>
                </w:p>
              </w:tc>
              <w:tc>
                <w:tcPr>
                  <w:tcW w:w="5190" w:type="dxa"/>
                  <w:vAlign w:val="center"/>
                </w:tcPr>
                <w:p>
                  <w:pPr>
                    <w:rPr>
                      <w:kern w:val="0"/>
                      <w:szCs w:val="21"/>
                    </w:rPr>
                  </w:pPr>
                  <w:r>
                    <w:rPr>
                      <w:kern w:val="0"/>
                      <w:szCs w:val="21"/>
                    </w:rPr>
                    <w:t>依托已建成的太阳能和电热水器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3"/>
                <w:wAfter w:w="49" w:type="dxa"/>
                <w:trHeight w:val="615" w:hRule="atLeast"/>
                <w:jc w:val="center"/>
              </w:trPr>
              <w:tc>
                <w:tcPr>
                  <w:tcW w:w="897" w:type="dxa"/>
                  <w:gridSpan w:val="3"/>
                  <w:vMerge w:val="continue"/>
                  <w:vAlign w:val="center"/>
                </w:tcPr>
                <w:p>
                  <w:pPr>
                    <w:widowControl/>
                    <w:ind w:firstLine="480"/>
                    <w:rPr>
                      <w:kern w:val="0"/>
                      <w:szCs w:val="21"/>
                    </w:rPr>
                  </w:pPr>
                </w:p>
              </w:tc>
              <w:tc>
                <w:tcPr>
                  <w:tcW w:w="1701" w:type="dxa"/>
                  <w:gridSpan w:val="2"/>
                  <w:vAlign w:val="center"/>
                </w:tcPr>
                <w:p>
                  <w:pPr>
                    <w:widowControl/>
                    <w:rPr>
                      <w:kern w:val="0"/>
                      <w:szCs w:val="21"/>
                    </w:rPr>
                  </w:pPr>
                  <w:r>
                    <w:rPr>
                      <w:kern w:val="0"/>
                      <w:szCs w:val="21"/>
                    </w:rPr>
                    <w:t>绿化</w:t>
                  </w:r>
                </w:p>
              </w:tc>
              <w:tc>
                <w:tcPr>
                  <w:tcW w:w="5190" w:type="dxa"/>
                  <w:vAlign w:val="center"/>
                </w:tcPr>
                <w:p>
                  <w:pPr>
                    <w:widowControl/>
                    <w:rPr>
                      <w:kern w:val="0"/>
                      <w:szCs w:val="21"/>
                    </w:rPr>
                  </w:pPr>
                  <w:r>
                    <w:rPr>
                      <w:kern w:val="0"/>
                      <w:szCs w:val="21"/>
                    </w:rPr>
                    <w:t>总绿化面积90000㎡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3"/>
                <w:wAfter w:w="49" w:type="dxa"/>
                <w:trHeight w:val="150" w:hRule="atLeast"/>
                <w:jc w:val="center"/>
              </w:trPr>
              <w:tc>
                <w:tcPr>
                  <w:tcW w:w="472" w:type="dxa"/>
                  <w:gridSpan w:val="2"/>
                  <w:vMerge w:val="restart"/>
                  <w:vAlign w:val="center"/>
                </w:tcPr>
                <w:p>
                  <w:pPr>
                    <w:widowControl/>
                    <w:ind w:firstLine="480"/>
                    <w:rPr>
                      <w:kern w:val="0"/>
                      <w:szCs w:val="21"/>
                    </w:rPr>
                  </w:pPr>
                </w:p>
              </w:tc>
              <w:tc>
                <w:tcPr>
                  <w:tcW w:w="425" w:type="dxa"/>
                  <w:vMerge w:val="restart"/>
                  <w:vAlign w:val="center"/>
                </w:tcPr>
                <w:p>
                  <w:pPr>
                    <w:widowControl/>
                    <w:rPr>
                      <w:kern w:val="0"/>
                      <w:szCs w:val="21"/>
                    </w:rPr>
                  </w:pPr>
                  <w:r>
                    <w:rPr>
                      <w:kern w:val="0"/>
                      <w:szCs w:val="21"/>
                    </w:rPr>
                    <w:t>依托工程</w:t>
                  </w:r>
                </w:p>
              </w:tc>
              <w:tc>
                <w:tcPr>
                  <w:tcW w:w="1701" w:type="dxa"/>
                  <w:gridSpan w:val="2"/>
                  <w:vAlign w:val="center"/>
                </w:tcPr>
                <w:p>
                  <w:pPr>
                    <w:widowControl/>
                    <w:rPr>
                      <w:kern w:val="0"/>
                      <w:szCs w:val="21"/>
                    </w:rPr>
                  </w:pPr>
                  <w:r>
                    <w:rPr>
                      <w:kern w:val="0"/>
                      <w:szCs w:val="21"/>
                    </w:rPr>
                    <w:t>污水处理站</w:t>
                  </w:r>
                </w:p>
              </w:tc>
              <w:tc>
                <w:tcPr>
                  <w:tcW w:w="5190" w:type="dxa"/>
                  <w:vAlign w:val="center"/>
                </w:tcPr>
                <w:p>
                  <w:pPr>
                    <w:rPr>
                      <w:kern w:val="0"/>
                      <w:szCs w:val="21"/>
                    </w:rPr>
                  </w:pPr>
                  <w:r>
                    <w:rPr>
                      <w:kern w:val="0"/>
                      <w:szCs w:val="21"/>
                    </w:rPr>
                    <w:t>已建成1座85m³/d污水处理站，采用ICEAS工艺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3"/>
                <w:wAfter w:w="49" w:type="dxa"/>
                <w:trHeight w:val="210" w:hRule="atLeast"/>
                <w:jc w:val="center"/>
              </w:trPr>
              <w:tc>
                <w:tcPr>
                  <w:tcW w:w="472" w:type="dxa"/>
                  <w:gridSpan w:val="2"/>
                  <w:vMerge w:val="continue"/>
                  <w:vAlign w:val="center"/>
                </w:tcPr>
                <w:p>
                  <w:pPr>
                    <w:widowControl/>
                    <w:ind w:firstLine="480"/>
                    <w:rPr>
                      <w:kern w:val="0"/>
                      <w:szCs w:val="21"/>
                    </w:rPr>
                  </w:pPr>
                </w:p>
              </w:tc>
              <w:tc>
                <w:tcPr>
                  <w:tcW w:w="425" w:type="dxa"/>
                  <w:vMerge w:val="continue"/>
                  <w:vAlign w:val="center"/>
                </w:tcPr>
                <w:p>
                  <w:pPr>
                    <w:widowControl/>
                    <w:rPr>
                      <w:kern w:val="0"/>
                      <w:szCs w:val="21"/>
                    </w:rPr>
                  </w:pPr>
                </w:p>
              </w:tc>
              <w:tc>
                <w:tcPr>
                  <w:tcW w:w="1701" w:type="dxa"/>
                  <w:gridSpan w:val="2"/>
                  <w:vAlign w:val="center"/>
                </w:tcPr>
                <w:p>
                  <w:pPr>
                    <w:widowControl/>
                    <w:rPr>
                      <w:kern w:val="0"/>
                      <w:szCs w:val="21"/>
                    </w:rPr>
                  </w:pPr>
                  <w:r>
                    <w:rPr>
                      <w:kern w:val="0"/>
                      <w:szCs w:val="21"/>
                    </w:rPr>
                    <w:t>化粪池</w:t>
                  </w:r>
                </w:p>
              </w:tc>
              <w:tc>
                <w:tcPr>
                  <w:tcW w:w="5190" w:type="dxa"/>
                  <w:vAlign w:val="center"/>
                </w:tcPr>
                <w:p>
                  <w:pPr>
                    <w:rPr>
                      <w:kern w:val="0"/>
                      <w:szCs w:val="21"/>
                    </w:rPr>
                  </w:pPr>
                  <w:r>
                    <w:rPr>
                      <w:kern w:val="0"/>
                      <w:szCs w:val="21"/>
                    </w:rPr>
                    <w:t>已建成1座50m³化粪池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3"/>
                <w:wAfter w:w="49" w:type="dxa"/>
                <w:trHeight w:val="270" w:hRule="atLeast"/>
                <w:jc w:val="center"/>
              </w:trPr>
              <w:tc>
                <w:tcPr>
                  <w:tcW w:w="472" w:type="dxa"/>
                  <w:gridSpan w:val="2"/>
                  <w:vMerge w:val="continue"/>
                  <w:vAlign w:val="center"/>
                </w:tcPr>
                <w:p>
                  <w:pPr>
                    <w:widowControl/>
                    <w:ind w:firstLine="480"/>
                    <w:rPr>
                      <w:kern w:val="0"/>
                      <w:szCs w:val="21"/>
                    </w:rPr>
                  </w:pPr>
                </w:p>
              </w:tc>
              <w:tc>
                <w:tcPr>
                  <w:tcW w:w="425" w:type="dxa"/>
                  <w:vMerge w:val="continue"/>
                  <w:vAlign w:val="center"/>
                </w:tcPr>
                <w:p>
                  <w:pPr>
                    <w:widowControl/>
                    <w:rPr>
                      <w:kern w:val="0"/>
                      <w:szCs w:val="21"/>
                    </w:rPr>
                  </w:pPr>
                </w:p>
              </w:tc>
              <w:tc>
                <w:tcPr>
                  <w:tcW w:w="1701" w:type="dxa"/>
                  <w:gridSpan w:val="2"/>
                  <w:vAlign w:val="center"/>
                </w:tcPr>
                <w:p>
                  <w:pPr>
                    <w:widowControl/>
                    <w:rPr>
                      <w:kern w:val="0"/>
                      <w:szCs w:val="21"/>
                    </w:rPr>
                  </w:pPr>
                  <w:r>
                    <w:rPr>
                      <w:kern w:val="0"/>
                      <w:szCs w:val="21"/>
                    </w:rPr>
                    <w:t>餐饮隔油池</w:t>
                  </w:r>
                </w:p>
              </w:tc>
              <w:tc>
                <w:tcPr>
                  <w:tcW w:w="5190" w:type="dxa"/>
                  <w:vAlign w:val="center"/>
                </w:tcPr>
                <w:p>
                  <w:pPr>
                    <w:rPr>
                      <w:kern w:val="0"/>
                      <w:szCs w:val="21"/>
                    </w:rPr>
                  </w:pPr>
                  <w:r>
                    <w:rPr>
                      <w:kern w:val="0"/>
                      <w:szCs w:val="21"/>
                    </w:rPr>
                    <w:t>已建成一座2m³隔油池处理食堂含油废水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3"/>
                <w:wAfter w:w="49" w:type="dxa"/>
                <w:trHeight w:val="435" w:hRule="atLeast"/>
                <w:jc w:val="center"/>
              </w:trPr>
              <w:tc>
                <w:tcPr>
                  <w:tcW w:w="472" w:type="dxa"/>
                  <w:gridSpan w:val="2"/>
                  <w:vMerge w:val="continue"/>
                  <w:vAlign w:val="center"/>
                </w:tcPr>
                <w:p>
                  <w:pPr>
                    <w:widowControl/>
                    <w:ind w:firstLine="480"/>
                    <w:rPr>
                      <w:kern w:val="0"/>
                      <w:szCs w:val="21"/>
                    </w:rPr>
                  </w:pPr>
                </w:p>
              </w:tc>
              <w:tc>
                <w:tcPr>
                  <w:tcW w:w="425" w:type="dxa"/>
                  <w:vMerge w:val="continue"/>
                  <w:vAlign w:val="center"/>
                </w:tcPr>
                <w:p>
                  <w:pPr>
                    <w:widowControl/>
                    <w:ind w:firstLine="480"/>
                    <w:rPr>
                      <w:kern w:val="0"/>
                      <w:szCs w:val="21"/>
                    </w:rPr>
                  </w:pPr>
                </w:p>
              </w:tc>
              <w:tc>
                <w:tcPr>
                  <w:tcW w:w="1701" w:type="dxa"/>
                  <w:gridSpan w:val="2"/>
                  <w:vAlign w:val="center"/>
                </w:tcPr>
                <w:p>
                  <w:pPr>
                    <w:widowControl/>
                    <w:rPr>
                      <w:kern w:val="0"/>
                      <w:szCs w:val="21"/>
                    </w:rPr>
                  </w:pPr>
                  <w:r>
                    <w:rPr>
                      <w:kern w:val="0"/>
                      <w:szCs w:val="21"/>
                    </w:rPr>
                    <w:t>焊接除尘除湿系统</w:t>
                  </w:r>
                </w:p>
              </w:tc>
              <w:tc>
                <w:tcPr>
                  <w:tcW w:w="5190" w:type="dxa"/>
                  <w:vAlign w:val="center"/>
                </w:tcPr>
                <w:p>
                  <w:pPr>
                    <w:rPr>
                      <w:kern w:val="0"/>
                      <w:szCs w:val="21"/>
                    </w:rPr>
                  </w:pPr>
                  <w:r>
                    <w:rPr>
                      <w:kern w:val="0"/>
                      <w:szCs w:val="21"/>
                    </w:rPr>
                    <w:t>焊接车间设置2套移动式焊接烟尘净化装置，再通过车间设置2套除尘除湿系统处理，处理后的焊接废气通过抽排风系统排出车间无组织排放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3"/>
                <w:wAfter w:w="49" w:type="dxa"/>
                <w:trHeight w:val="95" w:hRule="atLeast"/>
                <w:jc w:val="center"/>
              </w:trPr>
              <w:tc>
                <w:tcPr>
                  <w:tcW w:w="472" w:type="dxa"/>
                  <w:gridSpan w:val="2"/>
                  <w:vMerge w:val="continue"/>
                  <w:vAlign w:val="center"/>
                </w:tcPr>
                <w:p>
                  <w:pPr>
                    <w:widowControl/>
                    <w:ind w:firstLine="480"/>
                    <w:rPr>
                      <w:kern w:val="0"/>
                      <w:szCs w:val="21"/>
                    </w:rPr>
                  </w:pPr>
                </w:p>
              </w:tc>
              <w:tc>
                <w:tcPr>
                  <w:tcW w:w="425" w:type="dxa"/>
                  <w:vMerge w:val="continue"/>
                  <w:vAlign w:val="center"/>
                </w:tcPr>
                <w:p>
                  <w:pPr>
                    <w:widowControl/>
                    <w:ind w:firstLine="480"/>
                    <w:rPr>
                      <w:kern w:val="0"/>
                      <w:szCs w:val="21"/>
                    </w:rPr>
                  </w:pPr>
                </w:p>
              </w:tc>
              <w:tc>
                <w:tcPr>
                  <w:tcW w:w="1701" w:type="dxa"/>
                  <w:gridSpan w:val="2"/>
                  <w:vAlign w:val="center"/>
                </w:tcPr>
                <w:p>
                  <w:pPr>
                    <w:rPr>
                      <w:kern w:val="0"/>
                      <w:szCs w:val="21"/>
                    </w:rPr>
                  </w:pPr>
                  <w:r>
                    <w:rPr>
                      <w:kern w:val="0"/>
                      <w:szCs w:val="21"/>
                    </w:rPr>
                    <w:t>喷砂废气处理系统</w:t>
                  </w:r>
                </w:p>
              </w:tc>
              <w:tc>
                <w:tcPr>
                  <w:tcW w:w="5190" w:type="dxa"/>
                  <w:vAlign w:val="center"/>
                </w:tcPr>
                <w:p>
                  <w:pPr>
                    <w:rPr>
                      <w:kern w:val="0"/>
                      <w:szCs w:val="21"/>
                    </w:rPr>
                  </w:pPr>
                  <w:r>
                    <w:rPr>
                      <w:kern w:val="0"/>
                      <w:szCs w:val="21"/>
                    </w:rPr>
                    <w:t>喷砂车间内喷砂采用全自动封闭系统，并设置有砂回收装置，共设置2套滤筒干式过滤除尘装置（旋风除尘+滤筒除尘）收集处理喷砂过程粉尘，处理后通过2根16m高排气筒对空排放（1#、2#排气筒）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3"/>
                <w:wAfter w:w="49" w:type="dxa"/>
                <w:trHeight w:val="142" w:hRule="atLeast"/>
                <w:jc w:val="center"/>
              </w:trPr>
              <w:tc>
                <w:tcPr>
                  <w:tcW w:w="472" w:type="dxa"/>
                  <w:gridSpan w:val="2"/>
                  <w:vMerge w:val="continue"/>
                  <w:vAlign w:val="center"/>
                </w:tcPr>
                <w:p>
                  <w:pPr>
                    <w:widowControl/>
                    <w:ind w:firstLine="480"/>
                    <w:rPr>
                      <w:kern w:val="0"/>
                      <w:szCs w:val="21"/>
                    </w:rPr>
                  </w:pPr>
                </w:p>
              </w:tc>
              <w:tc>
                <w:tcPr>
                  <w:tcW w:w="425" w:type="dxa"/>
                  <w:vMerge w:val="continue"/>
                  <w:vAlign w:val="center"/>
                </w:tcPr>
                <w:p>
                  <w:pPr>
                    <w:widowControl/>
                    <w:ind w:firstLine="480"/>
                    <w:rPr>
                      <w:kern w:val="0"/>
                      <w:szCs w:val="21"/>
                    </w:rPr>
                  </w:pPr>
                </w:p>
              </w:tc>
              <w:tc>
                <w:tcPr>
                  <w:tcW w:w="1701" w:type="dxa"/>
                  <w:gridSpan w:val="2"/>
                  <w:vAlign w:val="center"/>
                </w:tcPr>
                <w:p>
                  <w:pPr>
                    <w:rPr>
                      <w:kern w:val="0"/>
                      <w:szCs w:val="21"/>
                    </w:rPr>
                  </w:pPr>
                  <w:r>
                    <w:rPr>
                      <w:kern w:val="0"/>
                      <w:szCs w:val="21"/>
                    </w:rPr>
                    <w:t>表面处理打磨废气处理系统</w:t>
                  </w:r>
                </w:p>
              </w:tc>
              <w:tc>
                <w:tcPr>
                  <w:tcW w:w="5190" w:type="dxa"/>
                  <w:vAlign w:val="center"/>
                </w:tcPr>
                <w:p>
                  <w:pPr>
                    <w:rPr>
                      <w:kern w:val="0"/>
                      <w:szCs w:val="21"/>
                    </w:rPr>
                  </w:pPr>
                  <w:r>
                    <w:rPr>
                      <w:kern w:val="0"/>
                      <w:szCs w:val="21"/>
                    </w:rPr>
                    <w:t>1#打磨房设置4套打磨房废气处置系统（旋风除尘+滤芯过滤+空气动力过滤），处理后通过4根16m高排气筒对空排放（3#、4#、5#、6#排气筒）；2#打磨房设置4套打磨房废气处置系统（旋风除尘+滤芯过滤+空气动力过滤），处理后通过4根16m高排气筒对空排放（7#、8#、9#、10#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3"/>
                <w:wAfter w:w="49" w:type="dxa"/>
                <w:trHeight w:val="690" w:hRule="atLeast"/>
                <w:jc w:val="center"/>
              </w:trPr>
              <w:tc>
                <w:tcPr>
                  <w:tcW w:w="472" w:type="dxa"/>
                  <w:gridSpan w:val="2"/>
                  <w:vMerge w:val="continue"/>
                  <w:vAlign w:val="center"/>
                </w:tcPr>
                <w:p>
                  <w:pPr>
                    <w:widowControl/>
                    <w:ind w:firstLine="480"/>
                    <w:rPr>
                      <w:kern w:val="0"/>
                      <w:szCs w:val="21"/>
                    </w:rPr>
                  </w:pPr>
                </w:p>
              </w:tc>
              <w:tc>
                <w:tcPr>
                  <w:tcW w:w="425" w:type="dxa"/>
                  <w:vMerge w:val="continue"/>
                  <w:vAlign w:val="center"/>
                </w:tcPr>
                <w:p>
                  <w:pPr>
                    <w:widowControl/>
                    <w:ind w:firstLine="480"/>
                    <w:rPr>
                      <w:kern w:val="0"/>
                      <w:szCs w:val="21"/>
                    </w:rPr>
                  </w:pPr>
                </w:p>
              </w:tc>
              <w:tc>
                <w:tcPr>
                  <w:tcW w:w="1701" w:type="dxa"/>
                  <w:gridSpan w:val="2"/>
                  <w:vAlign w:val="center"/>
                </w:tcPr>
                <w:p>
                  <w:pPr>
                    <w:widowControl/>
                    <w:rPr>
                      <w:kern w:val="0"/>
                      <w:szCs w:val="21"/>
                    </w:rPr>
                  </w:pPr>
                  <w:r>
                    <w:rPr>
                      <w:kern w:val="0"/>
                      <w:szCs w:val="21"/>
                    </w:rPr>
                    <w:t>底漆喷烘废气</w:t>
                  </w:r>
                </w:p>
              </w:tc>
              <w:tc>
                <w:tcPr>
                  <w:tcW w:w="5190" w:type="dxa"/>
                  <w:vAlign w:val="center"/>
                </w:tcPr>
                <w:p>
                  <w:pPr>
                    <w:widowControl/>
                    <w:rPr>
                      <w:kern w:val="0"/>
                      <w:szCs w:val="21"/>
                    </w:rPr>
                  </w:pPr>
                  <w:r>
                    <w:rPr>
                      <w:kern w:val="0"/>
                      <w:szCs w:val="21"/>
                    </w:rPr>
                    <w:t>涂装车间1#底漆喷烘房设置4套处理系统，处理工艺为过滤棉吸附+活性炭箱吸附，处理后通过4根16m高排气筒对空排放（10#、11#、12#、13#排气筒）；涂装车间2#底漆喷烘房设置4套处理系统，处理工艺为过滤棉吸附+活性炭箱吸附，处理后通过4根16m高排气筒对空排放（14#、15#、16#、17#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3"/>
                <w:wAfter w:w="49" w:type="dxa"/>
                <w:trHeight w:val="112" w:hRule="atLeast"/>
                <w:jc w:val="center"/>
              </w:trPr>
              <w:tc>
                <w:tcPr>
                  <w:tcW w:w="472" w:type="dxa"/>
                  <w:gridSpan w:val="2"/>
                  <w:vMerge w:val="continue"/>
                  <w:vAlign w:val="center"/>
                </w:tcPr>
                <w:p>
                  <w:pPr>
                    <w:widowControl/>
                    <w:ind w:firstLine="480"/>
                    <w:rPr>
                      <w:kern w:val="0"/>
                      <w:szCs w:val="21"/>
                    </w:rPr>
                  </w:pPr>
                </w:p>
              </w:tc>
              <w:tc>
                <w:tcPr>
                  <w:tcW w:w="425" w:type="dxa"/>
                  <w:vMerge w:val="continue"/>
                  <w:vAlign w:val="center"/>
                </w:tcPr>
                <w:p>
                  <w:pPr>
                    <w:widowControl/>
                    <w:ind w:firstLine="480"/>
                    <w:rPr>
                      <w:kern w:val="0"/>
                      <w:szCs w:val="21"/>
                    </w:rPr>
                  </w:pPr>
                </w:p>
              </w:tc>
              <w:tc>
                <w:tcPr>
                  <w:tcW w:w="1701" w:type="dxa"/>
                  <w:gridSpan w:val="2"/>
                  <w:vAlign w:val="center"/>
                </w:tcPr>
                <w:p>
                  <w:pPr>
                    <w:widowControl/>
                    <w:rPr>
                      <w:kern w:val="0"/>
                      <w:szCs w:val="21"/>
                    </w:rPr>
                  </w:pPr>
                  <w:r>
                    <w:rPr>
                      <w:kern w:val="0"/>
                      <w:szCs w:val="21"/>
                    </w:rPr>
                    <w:t>面漆喷烘废气</w:t>
                  </w:r>
                </w:p>
              </w:tc>
              <w:tc>
                <w:tcPr>
                  <w:tcW w:w="5190" w:type="dxa"/>
                  <w:vAlign w:val="center"/>
                </w:tcPr>
                <w:p>
                  <w:pPr>
                    <w:widowControl/>
                    <w:rPr>
                      <w:kern w:val="0"/>
                      <w:szCs w:val="21"/>
                    </w:rPr>
                  </w:pPr>
                  <w:r>
                    <w:rPr>
                      <w:kern w:val="0"/>
                      <w:szCs w:val="21"/>
                    </w:rPr>
                    <w:t>涂装车间1#面漆喷烘房设置4套处理系统，处理工艺为过滤棉吸附+活性炭箱吸附，处理后通过4根16m高排气筒对空排放（17#、18#、19#、20#排气筒）；涂装车间2#底漆喷烘房设置4套处理系统，处理工艺为过滤棉吸附+活性炭箱吸附，处理后通过4根16m高排气筒对空排放（21#、22#、23#、24#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3"/>
                <w:wAfter w:w="49" w:type="dxa"/>
                <w:trHeight w:val="180" w:hRule="atLeast"/>
                <w:jc w:val="center"/>
              </w:trPr>
              <w:tc>
                <w:tcPr>
                  <w:tcW w:w="472" w:type="dxa"/>
                  <w:gridSpan w:val="2"/>
                  <w:vMerge w:val="continue"/>
                  <w:vAlign w:val="center"/>
                </w:tcPr>
                <w:p>
                  <w:pPr>
                    <w:widowControl/>
                    <w:ind w:firstLine="480"/>
                    <w:rPr>
                      <w:kern w:val="0"/>
                      <w:szCs w:val="21"/>
                    </w:rPr>
                  </w:pPr>
                </w:p>
              </w:tc>
              <w:tc>
                <w:tcPr>
                  <w:tcW w:w="425" w:type="dxa"/>
                  <w:vMerge w:val="continue"/>
                  <w:vAlign w:val="center"/>
                </w:tcPr>
                <w:p>
                  <w:pPr>
                    <w:widowControl/>
                    <w:ind w:firstLine="480"/>
                    <w:rPr>
                      <w:kern w:val="0"/>
                      <w:szCs w:val="21"/>
                    </w:rPr>
                  </w:pPr>
                </w:p>
              </w:tc>
              <w:tc>
                <w:tcPr>
                  <w:tcW w:w="1701" w:type="dxa"/>
                  <w:gridSpan w:val="2"/>
                  <w:vAlign w:val="center"/>
                </w:tcPr>
                <w:p>
                  <w:pPr>
                    <w:widowControl/>
                    <w:rPr>
                      <w:kern w:val="0"/>
                      <w:szCs w:val="21"/>
                    </w:rPr>
                  </w:pPr>
                  <w:r>
                    <w:rPr>
                      <w:kern w:val="0"/>
                      <w:szCs w:val="21"/>
                    </w:rPr>
                    <w:t>油烟处理系统</w:t>
                  </w:r>
                </w:p>
              </w:tc>
              <w:tc>
                <w:tcPr>
                  <w:tcW w:w="5190" w:type="dxa"/>
                  <w:vAlign w:val="center"/>
                </w:tcPr>
                <w:p>
                  <w:pPr>
                    <w:widowControl/>
                    <w:rPr>
                      <w:kern w:val="0"/>
                      <w:szCs w:val="21"/>
                    </w:rPr>
                  </w:pPr>
                  <w:r>
                    <w:rPr>
                      <w:kern w:val="0"/>
                      <w:szCs w:val="21"/>
                    </w:rPr>
                    <w:t>已建成2套油烟净化器和排气筒，油烟净化器处置效率均为80%，油烟处理后通过高于倒班宿舍楼顶1.5m排气筒对空排放</w:t>
                  </w:r>
                </w:p>
              </w:tc>
            </w:tr>
          </w:tbl>
          <w:p>
            <w:pPr>
              <w:widowControl/>
              <w:autoSpaceDE w:val="0"/>
              <w:autoSpaceDN w:val="0"/>
              <w:adjustRightInd w:val="0"/>
              <w:spacing w:line="360" w:lineRule="auto"/>
              <w:ind w:firstLine="480" w:firstLineChars="200"/>
              <w:jc w:val="left"/>
              <w:rPr>
                <w:kern w:val="0"/>
                <w:sz w:val="24"/>
              </w:rPr>
            </w:pPr>
            <w:r>
              <w:rPr>
                <w:kern w:val="0"/>
                <w:sz w:val="24"/>
              </w:rPr>
              <w:t>具体建设内容如下：</w:t>
            </w:r>
          </w:p>
          <w:p>
            <w:pPr>
              <w:widowControl/>
              <w:autoSpaceDE w:val="0"/>
              <w:autoSpaceDN w:val="0"/>
              <w:adjustRightInd w:val="0"/>
              <w:spacing w:line="360" w:lineRule="auto"/>
              <w:ind w:firstLine="480" w:firstLineChars="200"/>
              <w:jc w:val="left"/>
              <w:rPr>
                <w:kern w:val="0"/>
                <w:sz w:val="24"/>
              </w:rPr>
            </w:pPr>
            <w:r>
              <w:rPr>
                <w:kern w:val="0"/>
                <w:sz w:val="24"/>
              </w:rPr>
              <w:t>一、主体工程</w:t>
            </w:r>
          </w:p>
          <w:p>
            <w:pPr>
              <w:widowControl/>
              <w:autoSpaceDE w:val="0"/>
              <w:autoSpaceDN w:val="0"/>
              <w:adjustRightInd w:val="0"/>
              <w:spacing w:line="360" w:lineRule="auto"/>
              <w:ind w:firstLine="480" w:firstLineChars="200"/>
              <w:jc w:val="left"/>
              <w:rPr>
                <w:kern w:val="0"/>
                <w:sz w:val="24"/>
              </w:rPr>
            </w:pPr>
            <w:r>
              <w:rPr>
                <w:kern w:val="0"/>
                <w:sz w:val="24"/>
              </w:rPr>
              <w:t>项目新建1栋8064㎡单层部件修厂房，1栋1176㎡单层材料库，1栋135㎡蓄电池间，改造3264㎡原有一期部件联合厂房中架修车间为二期项目解体车间。新建总建筑面积9375㎡，改造已有建筑3264㎡，二期项目不新增绿化用地，厂区内绿化用地均为一期建成。</w:t>
            </w:r>
          </w:p>
          <w:p>
            <w:pPr>
              <w:widowControl/>
              <w:autoSpaceDE w:val="0"/>
              <w:autoSpaceDN w:val="0"/>
              <w:adjustRightInd w:val="0"/>
              <w:spacing w:line="360" w:lineRule="auto"/>
              <w:ind w:firstLine="482" w:firstLineChars="200"/>
              <w:jc w:val="left"/>
              <w:rPr>
                <w:b/>
                <w:kern w:val="0"/>
                <w:sz w:val="24"/>
              </w:rPr>
            </w:pPr>
            <w:r>
              <w:rPr>
                <w:b/>
                <w:kern w:val="0"/>
                <w:sz w:val="24"/>
              </w:rPr>
              <w:t>（一）新建建筑</w:t>
            </w:r>
          </w:p>
          <w:p>
            <w:pPr>
              <w:widowControl/>
              <w:autoSpaceDE w:val="0"/>
              <w:autoSpaceDN w:val="0"/>
              <w:adjustRightInd w:val="0"/>
              <w:spacing w:line="360" w:lineRule="auto"/>
              <w:ind w:firstLine="480" w:firstLineChars="200"/>
              <w:jc w:val="left"/>
              <w:rPr>
                <w:kern w:val="0"/>
                <w:sz w:val="24"/>
              </w:rPr>
            </w:pPr>
            <w:r>
              <w:rPr>
                <w:rFonts w:hint="eastAsia" w:ascii="宋体" w:hAnsi="宋体" w:cs="宋体"/>
                <w:kern w:val="0"/>
                <w:sz w:val="24"/>
                <w:lang w:eastAsia="ja-JP"/>
              </w:rPr>
              <w:t>①</w:t>
            </w:r>
            <w:r>
              <w:rPr>
                <w:kern w:val="0"/>
                <w:sz w:val="24"/>
              </w:rPr>
              <w:t>部件修厂房</w:t>
            </w:r>
          </w:p>
          <w:p>
            <w:pPr>
              <w:widowControl/>
              <w:autoSpaceDE w:val="0"/>
              <w:autoSpaceDN w:val="0"/>
              <w:adjustRightInd w:val="0"/>
              <w:spacing w:line="360" w:lineRule="auto"/>
              <w:ind w:firstLine="480" w:firstLineChars="200"/>
              <w:jc w:val="left"/>
              <w:rPr>
                <w:kern w:val="0"/>
                <w:sz w:val="24"/>
              </w:rPr>
            </w:pPr>
            <w:r>
              <w:rPr>
                <w:kern w:val="0"/>
                <w:sz w:val="24"/>
              </w:rPr>
              <w:t>新建1栋部件修厂房，位于二期预留用地中西部，建筑面积8064㎡，主要用于拆解后部件维修，为单层钢结构建筑，建筑高13.5m。设计完成年产400 台转向架及相应车辆部件的检修，主要生产工艺是对转向架系统（含构架、轮对、轴箱体、抗侧滚扭杆、高度调节杆、一系钢弹簧、联轴节、牵引电机、齿轮箱、牵引杆、空气弹簧、受流器）、贯通道、电气屏柜、钩缓、座椅、风道、小电机等部件进行分解、检查、更换、组装、测试。</w:t>
            </w:r>
          </w:p>
          <w:p>
            <w:pPr>
              <w:widowControl/>
              <w:autoSpaceDE w:val="0"/>
              <w:autoSpaceDN w:val="0"/>
              <w:adjustRightInd w:val="0"/>
              <w:spacing w:line="360" w:lineRule="auto"/>
              <w:ind w:firstLine="480" w:firstLineChars="200"/>
              <w:jc w:val="left"/>
              <w:rPr>
                <w:kern w:val="0"/>
                <w:sz w:val="24"/>
              </w:rPr>
            </w:pPr>
            <w:r>
              <w:rPr>
                <w:kern w:val="0"/>
                <w:sz w:val="24"/>
              </w:rPr>
              <w:t>厂房内部设置齿轮箱及电器部件检修车间、轮对检修车间、转向架检修车间、电机及机械件检修车间。</w:t>
            </w:r>
          </w:p>
          <w:p>
            <w:pPr>
              <w:widowControl/>
              <w:autoSpaceDE w:val="0"/>
              <w:autoSpaceDN w:val="0"/>
              <w:adjustRightInd w:val="0"/>
              <w:spacing w:line="360" w:lineRule="auto"/>
              <w:ind w:firstLine="480" w:firstLineChars="200"/>
              <w:jc w:val="left"/>
              <w:rPr>
                <w:kern w:val="0"/>
                <w:sz w:val="24"/>
              </w:rPr>
            </w:pPr>
            <w:r>
              <w:rPr>
                <w:kern w:val="0"/>
                <w:sz w:val="24"/>
              </w:rPr>
              <w:fldChar w:fldCharType="begin"/>
            </w:r>
            <w:r>
              <w:rPr>
                <w:kern w:val="0"/>
                <w:sz w:val="24"/>
              </w:rPr>
              <w:instrText xml:space="preserve"> INCLUDEPICTURE "C:\\Users\\KK\\AppData\\Roaming\\Tencent\\Users\\757292072\\QQ\\WinTemp\\RichOle\\[7C_$SPJ8H%HDDU}_2ZH0_A.png" \* MERGEFORMATINET </w:instrText>
            </w:r>
            <w:r>
              <w:rPr>
                <w:kern w:val="0"/>
                <w:sz w:val="24"/>
              </w:rPr>
              <w:fldChar w:fldCharType="separate"/>
            </w:r>
            <w:r>
              <w:rPr>
                <w:kern w:val="0"/>
                <w:sz w:val="24"/>
              </w:rPr>
              <w:fldChar w:fldCharType="begin"/>
            </w:r>
            <w:r>
              <w:rPr>
                <w:kern w:val="0"/>
                <w:sz w:val="24"/>
              </w:rPr>
              <w:instrText xml:space="preserve"> INCLUDEPICTURE  "C:\\Users\\KK\\AppData\\Roaming\\Tencent\\Users\\757292072\\QQ\\WinTemp\\RichOle\\[7C_$SPJ8H%HDDU}_2ZH0_A.png" \* MERGEFORMATINET </w:instrText>
            </w:r>
            <w:r>
              <w:rPr>
                <w:kern w:val="0"/>
                <w:sz w:val="24"/>
              </w:rPr>
              <w:fldChar w:fldCharType="separate"/>
            </w:r>
            <w:r>
              <w:rPr>
                <w:kern w:val="0"/>
                <w:sz w:val="24"/>
              </w:rPr>
              <w:fldChar w:fldCharType="begin"/>
            </w:r>
            <w:r>
              <w:rPr>
                <w:kern w:val="0"/>
                <w:sz w:val="24"/>
              </w:rPr>
              <w:instrText xml:space="preserve"> INCLUDEPICTURE  "C:\\Users\\KK\\AppData\\Roaming\\Tencent\\Users\\757292072\\QQ\\WinTemp\\RichOle\\[7C_$SPJ8H%HDDU}_2ZH0_A.png" \* MERGEFORMATINET </w:instrText>
            </w:r>
            <w:r>
              <w:rPr>
                <w:kern w:val="0"/>
                <w:sz w:val="24"/>
              </w:rPr>
              <w:fldChar w:fldCharType="separate"/>
            </w:r>
            <w:r>
              <w:rPr>
                <w:kern w:val="0"/>
                <w:sz w:val="24"/>
              </w:rPr>
              <w:fldChar w:fldCharType="begin"/>
            </w:r>
            <w:r>
              <w:rPr>
                <w:kern w:val="0"/>
                <w:sz w:val="24"/>
              </w:rPr>
              <w:instrText xml:space="preserve"> INCLUDEPICTURE  "C:\\Users\\KK\\AppData\\Roaming\\Tencent\\Users\\757292072\\QQ\\WinTemp\\RichOle\\[7C_$SPJ8H%HDDU}_2ZH0_A.png" \* MERGEFORMATINET </w:instrText>
            </w:r>
            <w:r>
              <w:rPr>
                <w:kern w:val="0"/>
                <w:sz w:val="24"/>
              </w:rPr>
              <w:fldChar w:fldCharType="separate"/>
            </w:r>
            <w:r>
              <w:rPr>
                <w:kern w:val="0"/>
                <w:sz w:val="24"/>
              </w:rPr>
              <w:fldChar w:fldCharType="begin"/>
            </w:r>
            <w:r>
              <w:rPr>
                <w:kern w:val="0"/>
                <w:sz w:val="24"/>
              </w:rPr>
              <w:instrText xml:space="preserve"> INCLUDEPICTURE  "C:\\Users\\KK\\AppData\\Roaming\\Tencent\\Users\\757292072\\QQ\\WinTemp\\RichOle\\[7C_$SPJ8H%HDDU}_2ZH0_A.png" \* MERGEFORMATINET </w:instrText>
            </w:r>
            <w:r>
              <w:rPr>
                <w:kern w:val="0"/>
                <w:sz w:val="24"/>
              </w:rPr>
              <w:fldChar w:fldCharType="separate"/>
            </w:r>
            <w:r>
              <w:rPr>
                <w:kern w:val="0"/>
                <w:sz w:val="24"/>
              </w:rPr>
              <w:fldChar w:fldCharType="begin"/>
            </w:r>
            <w:r>
              <w:rPr>
                <w:kern w:val="0"/>
                <w:sz w:val="24"/>
              </w:rPr>
              <w:instrText xml:space="preserve"> INCLUDEPICTURE  "C:\\Users\\KK\\AppData\\Roaming\\Tencent\\Users\\757292072\\QQ\\WinTemp\\RichOle\\[7C_$SPJ8H%HDDU}_2ZH0_A.png" \* MERGEFORMATINET </w:instrText>
            </w:r>
            <w:r>
              <w:rPr>
                <w:kern w:val="0"/>
                <w:sz w:val="24"/>
              </w:rPr>
              <w:fldChar w:fldCharType="separate"/>
            </w:r>
            <w:r>
              <w:rPr>
                <w:kern w:val="0"/>
                <w:sz w:val="24"/>
              </w:rPr>
              <w:fldChar w:fldCharType="begin"/>
            </w:r>
            <w:r>
              <w:rPr>
                <w:kern w:val="0"/>
                <w:sz w:val="24"/>
              </w:rPr>
              <w:instrText xml:space="preserve"> INCLUDEPICTURE  "C:\\Users\\KK\\AppData\\Roaming\\Tencent\\Users\\757292072\\QQ\\WinTemp\\RichOle\\[7C_$SPJ8H%HDDU}_2ZH0_A.png" \* MERGEFORMATINET </w:instrText>
            </w:r>
            <w:r>
              <w:rPr>
                <w:kern w:val="0"/>
                <w:sz w:val="24"/>
              </w:rPr>
              <w:fldChar w:fldCharType="separate"/>
            </w:r>
            <w:r>
              <w:rPr>
                <w:kern w:val="0"/>
                <w:sz w:val="24"/>
              </w:rPr>
              <w:fldChar w:fldCharType="begin"/>
            </w:r>
            <w:r>
              <w:rPr>
                <w:kern w:val="0"/>
                <w:sz w:val="24"/>
              </w:rPr>
              <w:instrText xml:space="preserve"> INCLUDEPICTURE  "C:\\Users\\KK\\AppData\\Roaming\\Tencent\\Users\\757292072\\QQ\\WinTemp\\RichOle\\[7C_$SPJ8H%HDDU}_2ZH0_A.png" \* MERGEFORMATINET </w:instrText>
            </w:r>
            <w:r>
              <w:rPr>
                <w:kern w:val="0"/>
                <w:sz w:val="24"/>
              </w:rPr>
              <w:fldChar w:fldCharType="separate"/>
            </w:r>
            <w:r>
              <w:rPr>
                <w:kern w:val="0"/>
                <w:sz w:val="24"/>
              </w:rPr>
              <w:fldChar w:fldCharType="begin"/>
            </w:r>
            <w:r>
              <w:rPr>
                <w:kern w:val="0"/>
                <w:sz w:val="24"/>
              </w:rPr>
              <w:instrText xml:space="preserve"> INCLUDEPICTURE  "C:\\Users\\KK\\AppData\\Roaming\\Tencent\\Users\\757292072\\QQ\\WinTemp\\RichOle\\[7C_$SPJ8H%HDDU}_2ZH0_A.png" \* MERGEFORMATINET </w:instrText>
            </w:r>
            <w:r>
              <w:rPr>
                <w:kern w:val="0"/>
                <w:sz w:val="24"/>
              </w:rPr>
              <w:fldChar w:fldCharType="separate"/>
            </w:r>
            <w:r>
              <w:rPr>
                <w:kern w:val="0"/>
                <w:sz w:val="24"/>
              </w:rPr>
              <w:fldChar w:fldCharType="begin"/>
            </w:r>
            <w:r>
              <w:rPr>
                <w:kern w:val="0"/>
                <w:sz w:val="24"/>
              </w:rPr>
              <w:instrText xml:space="preserve"> INCLUDEPICTURE  "C:\\Users\\KK\\AppData\\Roaming\\Tencent\\Users\\757292072\\QQ\\WinTemp\\RichOle\\[7C_$SPJ8H%HDDU}_2ZH0_A.png" \* MERGEFORMATINET </w:instrText>
            </w:r>
            <w:r>
              <w:rPr>
                <w:kern w:val="0"/>
                <w:sz w:val="24"/>
              </w:rPr>
              <w:fldChar w:fldCharType="separate"/>
            </w:r>
            <w:r>
              <w:rPr>
                <w:kern w:val="0"/>
                <w:sz w:val="24"/>
              </w:rPr>
              <w:fldChar w:fldCharType="begin"/>
            </w:r>
            <w:r>
              <w:rPr>
                <w:kern w:val="0"/>
                <w:sz w:val="24"/>
              </w:rPr>
              <w:instrText xml:space="preserve"> INCLUDEPICTURE  "C:\\Users\\KK\\AppData\\Roaming\\Tencent\\Users\\757292072\\QQ\\WinTemp\\RichOle\\[7C_$SPJ8H%HDDU}_2ZH0_A.png" \* MERGEFORMATINET </w:instrText>
            </w:r>
            <w:r>
              <w:rPr>
                <w:kern w:val="0"/>
                <w:sz w:val="24"/>
              </w:rPr>
              <w:fldChar w:fldCharType="separate"/>
            </w:r>
            <w:r>
              <w:rPr>
                <w:kern w:val="0"/>
                <w:sz w:val="24"/>
              </w:rPr>
              <w:fldChar w:fldCharType="begin"/>
            </w:r>
            <w:r>
              <w:rPr>
                <w:kern w:val="0"/>
                <w:sz w:val="24"/>
              </w:rPr>
              <w:instrText xml:space="preserve"> INCLUDEPICTURE  "C:\\Users\\KK\\AppData\\Roaming\\Tencent\\Users\\757292072\\QQ\\WinTemp\\RichOle\\[7C_$SPJ8H%HDDU}_2ZH0_A.png" \* MERGEFORMATINET </w:instrText>
            </w:r>
            <w:r>
              <w:rPr>
                <w:kern w:val="0"/>
                <w:sz w:val="24"/>
              </w:rPr>
              <w:fldChar w:fldCharType="separate"/>
            </w:r>
            <w:r>
              <w:rPr>
                <w:kern w:val="0"/>
                <w:sz w:val="24"/>
              </w:rPr>
              <w:fldChar w:fldCharType="begin"/>
            </w:r>
            <w:r>
              <w:rPr>
                <w:kern w:val="0"/>
                <w:sz w:val="24"/>
              </w:rPr>
              <w:instrText xml:space="preserve"> INCLUDEPICTURE  "C:\\Users\\KK\\AppData\\Roaming\\Tencent\\Users\\757292072\\QQ\\WinTemp\\RichOle\\[7C_$SPJ8H%HDDU}_2ZH0_A.png" \* MERGEFORMATINET </w:instrText>
            </w:r>
            <w:r>
              <w:rPr>
                <w:kern w:val="0"/>
                <w:sz w:val="24"/>
              </w:rPr>
              <w:fldChar w:fldCharType="separate"/>
            </w:r>
            <w:r>
              <w:rPr>
                <w:kern w:val="0"/>
                <w:sz w:val="24"/>
              </w:rPr>
              <w:fldChar w:fldCharType="begin"/>
            </w:r>
            <w:r>
              <w:rPr>
                <w:kern w:val="0"/>
                <w:sz w:val="24"/>
              </w:rPr>
              <w:instrText xml:space="preserve"> INCLUDEPICTURE  "C:\\Users\\KK\\AppData\\Roaming\\Tencent\\Users\\757292072\\QQ\\WinTemp\\RichOle\\[7C_$SPJ8H%HDDU}_2ZH0_A.png" \* MERGEFORMATINET </w:instrText>
            </w:r>
            <w:r>
              <w:rPr>
                <w:kern w:val="0"/>
                <w:sz w:val="24"/>
              </w:rPr>
              <w:fldChar w:fldCharType="separate"/>
            </w:r>
            <w:r>
              <w:rPr>
                <w:kern w:val="0"/>
                <w:sz w:val="24"/>
              </w:rPr>
              <w:fldChar w:fldCharType="begin"/>
            </w:r>
            <w:r>
              <w:rPr>
                <w:kern w:val="0"/>
                <w:sz w:val="24"/>
              </w:rPr>
              <w:instrText xml:space="preserve"> INCLUDEPICTURE  "C:\\Users\\KK\\AppData\\Roaming\\Tencent\\Users\\757292072\\QQ\\WinTemp\\RichOle\\[7C_$SPJ8H%HDDU}_2ZH0_A.png" \* MERGEFORMATINET </w:instrText>
            </w:r>
            <w:r>
              <w:rPr>
                <w:kern w:val="0"/>
                <w:sz w:val="24"/>
              </w:rPr>
              <w:fldChar w:fldCharType="separate"/>
            </w:r>
            <w:r>
              <w:rPr>
                <w:kern w:val="0"/>
                <w:sz w:val="24"/>
              </w:rPr>
              <w:pict>
                <v:shape id="_x0000_i1025" o:spt="75" type="#_x0000_t75" style="height:228.75pt;width:393.75pt;" filled="f" o:preferrelative="t" stroked="f" coordsize="21600,21600">
                  <v:path/>
                  <v:fill on="f" focussize="0,0"/>
                  <v:stroke on="f" joinstyle="miter"/>
                  <v:imagedata r:id="rId7" r:href="rId8" o:title=""/>
                  <o:lock v:ext="edit" aspectratio="t"/>
                  <w10:wrap type="none"/>
                  <w10:anchorlock/>
                </v:shape>
              </w:pict>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r>
              <w:rPr>
                <w:kern w:val="0"/>
                <w:sz w:val="24"/>
              </w:rPr>
              <w:fldChar w:fldCharType="end"/>
            </w:r>
          </w:p>
          <w:p>
            <w:pPr>
              <w:widowControl/>
              <w:autoSpaceDE w:val="0"/>
              <w:autoSpaceDN w:val="0"/>
              <w:adjustRightInd w:val="0"/>
              <w:spacing w:line="360" w:lineRule="auto"/>
              <w:ind w:firstLine="482" w:firstLineChars="200"/>
              <w:jc w:val="center"/>
              <w:rPr>
                <w:b/>
                <w:kern w:val="0"/>
                <w:sz w:val="24"/>
              </w:rPr>
            </w:pPr>
            <w:r>
              <w:rPr>
                <w:b/>
                <w:kern w:val="0"/>
                <w:sz w:val="24"/>
              </w:rPr>
              <w:t>图2-1 部件修厂房总平面布置示意图</w:t>
            </w:r>
          </w:p>
          <w:p>
            <w:pPr>
              <w:autoSpaceDE w:val="0"/>
              <w:autoSpaceDN w:val="0"/>
              <w:adjustRightInd w:val="0"/>
              <w:spacing w:line="360" w:lineRule="auto"/>
              <w:ind w:firstLine="480" w:firstLineChars="200"/>
              <w:jc w:val="left"/>
              <w:rPr>
                <w:kern w:val="0"/>
                <w:sz w:val="24"/>
              </w:rPr>
            </w:pPr>
            <w:r>
              <w:rPr>
                <w:kern w:val="0"/>
                <w:sz w:val="24"/>
              </w:rPr>
              <w:t>结合既有给排水管网、供电线路等资源，为连接转向架拆卸台位和整车落车台位、减少转向架的转运距离，转向架构架生产线按顺时针闭环设计；为减少重大部件轮对、电机的转运路径，轮对检修产线按逆时针闭环设计，电机检修产线按直线形设计。</w:t>
            </w:r>
          </w:p>
          <w:p>
            <w:pPr>
              <w:autoSpaceDE w:val="0"/>
              <w:autoSpaceDN w:val="0"/>
              <w:adjustRightInd w:val="0"/>
              <w:spacing w:line="360" w:lineRule="auto"/>
              <w:ind w:firstLine="480" w:firstLineChars="200"/>
              <w:jc w:val="left"/>
              <w:rPr>
                <w:kern w:val="0"/>
                <w:sz w:val="24"/>
              </w:rPr>
            </w:pPr>
            <w:r>
              <w:rPr>
                <w:kern w:val="0"/>
                <w:sz w:val="24"/>
              </w:rPr>
              <w:t>转向架检修间按照400 台/年的转向架检修生产能力设计，共设转向架拆卸升降台2 台位（另预留2 台位）、转向架组装升降台2 台位（另预留2 台位）、转向架静载试验台1 台位、构架检修线1 条等，转向架检修间面积约2016m</w:t>
            </w:r>
            <w:r>
              <w:rPr>
                <w:kern w:val="0"/>
                <w:sz w:val="24"/>
                <w:vertAlign w:val="superscript"/>
              </w:rPr>
              <w:t>2</w:t>
            </w:r>
            <w:r>
              <w:rPr>
                <w:kern w:val="0"/>
                <w:sz w:val="24"/>
              </w:rPr>
              <w:t>（含转向架分解组装、构架检修）。</w:t>
            </w:r>
          </w:p>
          <w:p>
            <w:pPr>
              <w:autoSpaceDE w:val="0"/>
              <w:autoSpaceDN w:val="0"/>
              <w:adjustRightInd w:val="0"/>
              <w:spacing w:line="360" w:lineRule="auto"/>
              <w:ind w:firstLine="480" w:firstLineChars="200"/>
              <w:jc w:val="left"/>
              <w:rPr>
                <w:kern w:val="0"/>
                <w:sz w:val="24"/>
              </w:rPr>
            </w:pPr>
            <w:r>
              <w:rPr>
                <w:kern w:val="0"/>
                <w:sz w:val="24"/>
              </w:rPr>
              <w:t>构架检修线按照400 台/年的构架检修生产能力设计，共设清洗脱漆1 台位、构架测量1 台位、构架翻转1 台位、构架预组装8 台位等，构架待修及修竣存放沿推行轨布置。</w:t>
            </w:r>
          </w:p>
          <w:p>
            <w:pPr>
              <w:autoSpaceDE w:val="0"/>
              <w:autoSpaceDN w:val="0"/>
              <w:adjustRightInd w:val="0"/>
              <w:spacing w:line="360" w:lineRule="auto"/>
              <w:ind w:firstLine="480" w:firstLineChars="200"/>
              <w:jc w:val="left"/>
              <w:rPr>
                <w:kern w:val="0"/>
                <w:sz w:val="24"/>
              </w:rPr>
            </w:pPr>
            <w:r>
              <w:rPr>
                <w:kern w:val="0"/>
                <w:sz w:val="24"/>
              </w:rPr>
              <w:t>轮对检修间按照800 对/年的轮对检修生产能力设计，共设轮轴退卸台位、轮轴压装台位、探伤台位各1 台位，轮对跑合试验1 台位（1 拖2），轮对检修间按环形流水线布置，车间面积约2016m</w:t>
            </w:r>
            <w:r>
              <w:rPr>
                <w:kern w:val="0"/>
                <w:sz w:val="24"/>
                <w:vertAlign w:val="superscript"/>
              </w:rPr>
              <w:t>2</w:t>
            </w:r>
            <w:r>
              <w:rPr>
                <w:kern w:val="0"/>
                <w:sz w:val="24"/>
              </w:rPr>
              <w:t>。</w:t>
            </w:r>
          </w:p>
          <w:p>
            <w:pPr>
              <w:widowControl/>
              <w:autoSpaceDE w:val="0"/>
              <w:autoSpaceDN w:val="0"/>
              <w:adjustRightInd w:val="0"/>
              <w:spacing w:line="360" w:lineRule="auto"/>
              <w:ind w:firstLine="480" w:firstLineChars="200"/>
              <w:jc w:val="left"/>
              <w:rPr>
                <w:kern w:val="0"/>
                <w:sz w:val="24"/>
              </w:rPr>
            </w:pPr>
            <w:r>
              <w:rPr>
                <w:kern w:val="0"/>
                <w:sz w:val="24"/>
              </w:rPr>
              <w:t>部件修厂房主要作业内容为：1.电机拆卸；2. 转向架解体；3. 轮对轴箱轴承拆卸；4.轮对清洗除锈；5.构架清洗除锈除漆；6. 构架拆卸；7.构架探伤；8. 构架补焊打磨（依托在一期已建成打磨房和焊接车间进行）；9.构架喷漆（依托已建成一期喷漆车间）；10. 构架测量；11. 轮对喷漆（依托一期已建成喷漆车间）；12.轴箱轴承压装；13 轮对跑合试验；14转向架落成；15 静载试验；16转向架交验。</w:t>
            </w:r>
          </w:p>
          <w:p>
            <w:pPr>
              <w:widowControl/>
              <w:autoSpaceDE w:val="0"/>
              <w:autoSpaceDN w:val="0"/>
              <w:adjustRightInd w:val="0"/>
              <w:spacing w:line="360" w:lineRule="auto"/>
              <w:ind w:firstLine="480" w:firstLineChars="200"/>
              <w:jc w:val="left"/>
              <w:rPr>
                <w:kern w:val="0"/>
                <w:sz w:val="24"/>
              </w:rPr>
            </w:pPr>
            <w:r>
              <w:rPr>
                <w:rFonts w:hint="eastAsia" w:ascii="宋体" w:hAnsi="宋体" w:cs="宋体"/>
                <w:kern w:val="0"/>
                <w:sz w:val="24"/>
              </w:rPr>
              <w:t>②</w:t>
            </w:r>
            <w:r>
              <w:rPr>
                <w:kern w:val="0"/>
                <w:sz w:val="24"/>
              </w:rPr>
              <w:t>材料库</w:t>
            </w:r>
          </w:p>
          <w:p>
            <w:pPr>
              <w:widowControl/>
              <w:autoSpaceDE w:val="0"/>
              <w:autoSpaceDN w:val="0"/>
              <w:adjustRightInd w:val="0"/>
              <w:spacing w:line="360" w:lineRule="auto"/>
              <w:ind w:firstLine="480" w:firstLineChars="200"/>
              <w:jc w:val="left"/>
              <w:rPr>
                <w:kern w:val="0"/>
                <w:sz w:val="24"/>
              </w:rPr>
            </w:pPr>
            <w:r>
              <w:rPr>
                <w:kern w:val="0"/>
                <w:sz w:val="24"/>
              </w:rPr>
              <w:t>材料库位于二期预留用地部件修厂房东侧，总建筑面积1176㎡，为单层钢结构建筑，建筑高9m。材料库主要负责昆明中车造修生产物料的存放。</w:t>
            </w:r>
          </w:p>
          <w:p>
            <w:pPr>
              <w:widowControl/>
              <w:autoSpaceDE w:val="0"/>
              <w:autoSpaceDN w:val="0"/>
              <w:adjustRightInd w:val="0"/>
              <w:spacing w:line="360" w:lineRule="auto"/>
              <w:ind w:firstLine="480" w:firstLineChars="200"/>
              <w:jc w:val="left"/>
              <w:rPr>
                <w:kern w:val="0"/>
                <w:sz w:val="24"/>
              </w:rPr>
            </w:pPr>
            <w:r>
              <w:rPr>
                <w:rFonts w:hint="eastAsia" w:ascii="宋体" w:hAnsi="宋体" w:cs="宋体"/>
                <w:kern w:val="0"/>
                <w:sz w:val="24"/>
              </w:rPr>
              <w:t>③</w:t>
            </w:r>
            <w:r>
              <w:rPr>
                <w:kern w:val="0"/>
                <w:sz w:val="24"/>
              </w:rPr>
              <w:t>蓄电池间</w:t>
            </w:r>
          </w:p>
          <w:p>
            <w:pPr>
              <w:widowControl/>
              <w:autoSpaceDE w:val="0"/>
              <w:autoSpaceDN w:val="0"/>
              <w:adjustRightInd w:val="0"/>
              <w:spacing w:line="360" w:lineRule="auto"/>
              <w:ind w:firstLine="480" w:firstLineChars="200"/>
              <w:jc w:val="left"/>
              <w:rPr>
                <w:kern w:val="0"/>
                <w:sz w:val="24"/>
              </w:rPr>
            </w:pPr>
            <w:r>
              <w:rPr>
                <w:kern w:val="0"/>
                <w:sz w:val="24"/>
              </w:rPr>
              <w:t>蓄电池间位于材料库北面，为单层钢混结构建筑，总建筑面积135㎡，建筑高7.2m。主要用于车载蓄电池的核容试验及充放电作业，不进行蓄电池的拆解检修作业，蓄电池间主要配备蓄电池充放电机。根据云南既有城轨车辆统计信息，目前主要涉及钛酸锂电池、镍铬碱性电池、铅酸蓄电池三种不同类型的电池。</w:t>
            </w:r>
          </w:p>
          <w:p>
            <w:pPr>
              <w:widowControl/>
              <w:autoSpaceDE w:val="0"/>
              <w:autoSpaceDN w:val="0"/>
              <w:adjustRightInd w:val="0"/>
              <w:spacing w:line="360" w:lineRule="auto"/>
              <w:ind w:firstLine="482" w:firstLineChars="200"/>
              <w:jc w:val="left"/>
              <w:rPr>
                <w:b/>
                <w:kern w:val="0"/>
                <w:sz w:val="24"/>
              </w:rPr>
            </w:pPr>
            <w:r>
              <w:rPr>
                <w:b/>
                <w:kern w:val="0"/>
                <w:sz w:val="24"/>
              </w:rPr>
              <w:t>（二）改造建筑</w:t>
            </w:r>
          </w:p>
          <w:p>
            <w:pPr>
              <w:widowControl/>
              <w:autoSpaceDE w:val="0"/>
              <w:autoSpaceDN w:val="0"/>
              <w:adjustRightInd w:val="0"/>
              <w:spacing w:line="360" w:lineRule="auto"/>
              <w:ind w:firstLine="480" w:firstLineChars="200"/>
              <w:jc w:val="left"/>
              <w:rPr>
                <w:kern w:val="0"/>
                <w:sz w:val="24"/>
                <w:lang w:eastAsia="ja-JP"/>
              </w:rPr>
            </w:pPr>
            <w:r>
              <w:rPr>
                <w:rFonts w:hint="eastAsia" w:ascii="宋体" w:hAnsi="宋体" w:cs="宋体"/>
                <w:kern w:val="0"/>
                <w:sz w:val="24"/>
              </w:rPr>
              <w:t>①</w:t>
            </w:r>
            <w:r>
              <w:rPr>
                <w:kern w:val="0"/>
                <w:sz w:val="24"/>
              </w:rPr>
              <w:t>解体车间</w:t>
            </w:r>
          </w:p>
          <w:p>
            <w:pPr>
              <w:widowControl/>
              <w:autoSpaceDE w:val="0"/>
              <w:autoSpaceDN w:val="0"/>
              <w:adjustRightInd w:val="0"/>
              <w:spacing w:line="360" w:lineRule="auto"/>
              <w:ind w:firstLine="480" w:firstLineChars="200"/>
              <w:jc w:val="left"/>
              <w:rPr>
                <w:kern w:val="0"/>
                <w:sz w:val="24"/>
              </w:rPr>
            </w:pPr>
            <w:r>
              <w:rPr>
                <w:kern w:val="0"/>
                <w:sz w:val="24"/>
              </w:rPr>
              <w:t>总建筑面积3264㎡，为2层钢结构厂房，为已建成一期项目物流库房。2022 年随着本项目建设，需改造为解体车间。待修车辆到厂后直接卸货在解体车间外轨道上，然后推入解体车间；或先吊运存放至存车线，通过无轨移车台转运至解体车间。本次将其改为解体车间，改造不涉及车间主体结构的改变，主要改造内容为架落车台位建设和车辆清洗台位建设。改造后主要作业内容包括转向架拆解，车顶部件、车门拆卸，车辆外表清洗。</w:t>
            </w:r>
          </w:p>
          <w:p>
            <w:pPr>
              <w:widowControl/>
              <w:autoSpaceDE w:val="0"/>
              <w:autoSpaceDN w:val="0"/>
              <w:adjustRightInd w:val="0"/>
              <w:spacing w:line="360" w:lineRule="auto"/>
              <w:ind w:firstLine="480" w:firstLineChars="200"/>
              <w:jc w:val="left"/>
              <w:rPr>
                <w:kern w:val="0"/>
                <w:sz w:val="24"/>
              </w:rPr>
            </w:pPr>
            <w:r>
              <w:rPr>
                <w:kern w:val="0"/>
                <w:sz w:val="24"/>
              </w:rPr>
              <w:t>在架落车台位，利用既有移动式架车机（20T×4）架车拆卸转向架，该移动式架车机能兼顾地铁车辆、有轨电车、工程车等。转向架拆卸后通过轨道线直接推入部件修厂房的转向架检修间，安全、高效。</w:t>
            </w:r>
          </w:p>
          <w:p>
            <w:pPr>
              <w:widowControl/>
              <w:autoSpaceDE w:val="0"/>
              <w:autoSpaceDN w:val="0"/>
              <w:adjustRightInd w:val="0"/>
              <w:spacing w:line="360" w:lineRule="auto"/>
              <w:ind w:firstLine="480" w:firstLineChars="200"/>
              <w:jc w:val="left"/>
              <w:rPr>
                <w:kern w:val="0"/>
                <w:sz w:val="24"/>
              </w:rPr>
            </w:pPr>
            <w:r>
              <w:rPr>
                <w:kern w:val="0"/>
                <w:sz w:val="24"/>
              </w:rPr>
              <w:t>转向架拆卸后，第一时间拆卸待修部件，然后再做整车清洁，整车清洁及干燥时间较长。第一时间拆卸待修部件后，外协件即打包发运，自修件转运至对应工位。</w:t>
            </w:r>
          </w:p>
          <w:p>
            <w:pPr>
              <w:widowControl/>
              <w:autoSpaceDE w:val="0"/>
              <w:autoSpaceDN w:val="0"/>
              <w:adjustRightInd w:val="0"/>
              <w:spacing w:line="360" w:lineRule="auto"/>
              <w:ind w:firstLine="480" w:firstLineChars="200"/>
              <w:jc w:val="left"/>
              <w:rPr>
                <w:kern w:val="0"/>
                <w:sz w:val="24"/>
              </w:rPr>
            </w:pPr>
            <w:r>
              <w:rPr>
                <w:kern w:val="0"/>
                <w:sz w:val="24"/>
              </w:rPr>
              <w:t>在解体线尾部设置车辆清洗台位，对车体进行清洁，车体经清洗处理后再通过有轨移车台转运至涂装车间做油漆，或转运至组装车间进行整车检修，避免污染涂装车间、组装车间。</w:t>
            </w:r>
          </w:p>
          <w:p>
            <w:pPr>
              <w:widowControl/>
              <w:autoSpaceDE w:val="0"/>
              <w:autoSpaceDN w:val="0"/>
              <w:adjustRightInd w:val="0"/>
              <w:spacing w:line="360" w:lineRule="auto"/>
              <w:ind w:firstLine="480" w:firstLineChars="200"/>
              <w:jc w:val="left"/>
              <w:rPr>
                <w:kern w:val="0"/>
                <w:sz w:val="24"/>
              </w:rPr>
            </w:pPr>
            <w:r>
              <w:rPr>
                <w:kern w:val="0"/>
                <w:sz w:val="24"/>
              </w:rPr>
              <w:t>在解体车间轨道线两侧有较大空间，分析自修件的体积、重量后，考虑总体转运路径较少、资源利用最充分，因此在轨道线两侧分别设置空调检修区及车门检修区。</w:t>
            </w:r>
          </w:p>
          <w:p>
            <w:pPr>
              <w:widowControl/>
              <w:autoSpaceDE w:val="0"/>
              <w:autoSpaceDN w:val="0"/>
              <w:adjustRightInd w:val="0"/>
              <w:spacing w:line="360" w:lineRule="auto"/>
              <w:ind w:firstLine="480" w:firstLineChars="200"/>
              <w:jc w:val="left"/>
              <w:rPr>
                <w:kern w:val="0"/>
                <w:sz w:val="24"/>
              </w:rPr>
            </w:pPr>
            <w:r>
              <w:rPr>
                <w:kern w:val="0"/>
                <w:sz w:val="24"/>
              </w:rPr>
              <w:t>解体车间规范设置有通道，并设置有“下车物料自修件缓存区”、“外协件临存及打包发运区”。</w:t>
            </w:r>
          </w:p>
          <w:p>
            <w:pPr>
              <w:widowControl/>
              <w:autoSpaceDE w:val="0"/>
              <w:autoSpaceDN w:val="0"/>
              <w:adjustRightInd w:val="0"/>
              <w:spacing w:line="360" w:lineRule="auto"/>
              <w:ind w:firstLine="480" w:firstLineChars="200"/>
              <w:jc w:val="left"/>
              <w:rPr>
                <w:kern w:val="0"/>
                <w:sz w:val="24"/>
              </w:rPr>
            </w:pPr>
            <w:r>
              <w:rPr>
                <w:kern w:val="0"/>
                <w:sz w:val="24"/>
              </w:rPr>
              <w:t>解体车间采用流水线作业，经架车、拆卸、清洁台位，车体各拆解工序依次向左推进，减少各工序间的干涉。</w:t>
            </w:r>
          </w:p>
          <w:p>
            <w:pPr>
              <w:widowControl/>
              <w:autoSpaceDE w:val="0"/>
              <w:autoSpaceDN w:val="0"/>
              <w:adjustRightInd w:val="0"/>
              <w:spacing w:line="360" w:lineRule="auto"/>
              <w:ind w:firstLine="480" w:firstLineChars="200"/>
              <w:jc w:val="left"/>
              <w:rPr>
                <w:kern w:val="0"/>
                <w:sz w:val="24"/>
              </w:rPr>
            </w:pPr>
            <w:r>
              <w:rPr>
                <w:kern w:val="0"/>
                <w:sz w:val="24"/>
              </w:rPr>
              <w:t>解体车间按照200 辆/年的大架修生产能力设计，共设转向架拆卸1 台位、部件拆卸2 台位、车体清洁2 台位、空调检修区1 个、车门检修区1 个，车间面积约3264m</w:t>
            </w:r>
            <w:r>
              <w:rPr>
                <w:kern w:val="0"/>
                <w:sz w:val="24"/>
                <w:vertAlign w:val="superscript"/>
              </w:rPr>
              <w:t>2</w:t>
            </w:r>
            <w:r>
              <w:rPr>
                <w:kern w:val="0"/>
                <w:sz w:val="24"/>
              </w:rPr>
              <w:t>。</w:t>
            </w:r>
          </w:p>
          <w:p>
            <w:pPr>
              <w:widowControl/>
              <w:autoSpaceDE w:val="0"/>
              <w:autoSpaceDN w:val="0"/>
              <w:adjustRightInd w:val="0"/>
              <w:spacing w:line="360" w:lineRule="auto"/>
              <w:ind w:firstLine="480" w:firstLineChars="200"/>
              <w:jc w:val="left"/>
              <w:rPr>
                <w:kern w:val="0"/>
                <w:sz w:val="24"/>
              </w:rPr>
            </w:pPr>
            <w:r>
              <w:rPr>
                <w:kern w:val="0"/>
                <w:sz w:val="24"/>
              </w:rPr>
              <w:t>解体车间既有2 台10T 起重机，架大修生产中使用到起重机的情况有：空调从车顶吊运到待修存放区，空调从组装工位吊运上综合试验台，空调从综合试验台吊运上转运存放车，贯通道拆卸，部分车底设备拆卸后转移，外协件吊运装车。总体来说工作量不大，2 台起重机能满足使用需求。</w:t>
            </w:r>
          </w:p>
          <w:p>
            <w:pPr>
              <w:widowControl/>
              <w:autoSpaceDE w:val="0"/>
              <w:autoSpaceDN w:val="0"/>
              <w:adjustRightInd w:val="0"/>
              <w:spacing w:line="360" w:lineRule="auto"/>
              <w:ind w:firstLine="480" w:firstLineChars="200"/>
              <w:jc w:val="left"/>
              <w:rPr>
                <w:kern w:val="0"/>
                <w:sz w:val="24"/>
              </w:rPr>
            </w:pPr>
            <w:r>
              <w:rPr>
                <w:kern w:val="0"/>
                <w:sz w:val="24"/>
              </w:rPr>
              <w:t>解体车间主要作业内容：1.架落车台位：车辆架车、转向架拆卸、推出转向架、推入工艺转向架、落车、车体推入下一台位；2.拆解台位：空调拆卸、车门拆卸、车钩拆卸、贯通道拆卸、设备拆卸；3.清洁台位：车体外表清洗。</w:t>
            </w:r>
          </w:p>
          <w:p>
            <w:pPr>
              <w:widowControl/>
              <w:autoSpaceDE w:val="0"/>
              <w:autoSpaceDN w:val="0"/>
              <w:adjustRightInd w:val="0"/>
              <w:spacing w:line="360" w:lineRule="auto"/>
              <w:ind w:firstLine="482" w:firstLineChars="200"/>
              <w:jc w:val="left"/>
              <w:rPr>
                <w:b/>
                <w:kern w:val="0"/>
                <w:sz w:val="24"/>
              </w:rPr>
            </w:pPr>
            <w:r>
              <w:rPr>
                <w:b/>
                <w:kern w:val="0"/>
                <w:sz w:val="24"/>
              </w:rPr>
              <w:t>（三）依托主体工程</w:t>
            </w:r>
          </w:p>
          <w:p>
            <w:pPr>
              <w:widowControl/>
              <w:autoSpaceDE w:val="0"/>
              <w:autoSpaceDN w:val="0"/>
              <w:adjustRightInd w:val="0"/>
              <w:spacing w:line="360" w:lineRule="auto"/>
              <w:ind w:firstLine="480" w:firstLineChars="200"/>
              <w:jc w:val="left"/>
              <w:rPr>
                <w:kern w:val="0"/>
                <w:sz w:val="24"/>
              </w:rPr>
            </w:pPr>
            <w:r>
              <w:rPr>
                <w:kern w:val="0"/>
                <w:sz w:val="24"/>
              </w:rPr>
              <w:t>（1）焊接车间建筑面积4080㎡，主要用于车体修复、部件焊修等作业，一期项目已建成投产，本次项目所需焊接工程均依托已建成焊接车间。</w:t>
            </w:r>
          </w:p>
          <w:p>
            <w:pPr>
              <w:widowControl/>
              <w:autoSpaceDE w:val="0"/>
              <w:autoSpaceDN w:val="0"/>
              <w:adjustRightInd w:val="0"/>
              <w:spacing w:line="360" w:lineRule="auto"/>
              <w:ind w:firstLine="480" w:firstLineChars="200"/>
              <w:jc w:val="left"/>
              <w:rPr>
                <w:kern w:val="0"/>
                <w:sz w:val="24"/>
              </w:rPr>
            </w:pPr>
            <w:r>
              <w:rPr>
                <w:kern w:val="0"/>
                <w:sz w:val="24"/>
              </w:rPr>
              <w:t>（2）涂装车间建筑面积3854㎡，主要用于整车及部件涂装检修作业，一期项目已建成投产，本次项目所需喷漆补漆工程均依托已建涂装车间进行。</w:t>
            </w:r>
          </w:p>
          <w:p>
            <w:pPr>
              <w:widowControl/>
              <w:autoSpaceDE w:val="0"/>
              <w:autoSpaceDN w:val="0"/>
              <w:adjustRightInd w:val="0"/>
              <w:spacing w:line="360" w:lineRule="auto"/>
              <w:ind w:firstLine="480" w:firstLineChars="200"/>
              <w:jc w:val="left"/>
              <w:rPr>
                <w:kern w:val="0"/>
                <w:sz w:val="24"/>
              </w:rPr>
            </w:pPr>
            <w:r>
              <w:rPr>
                <w:kern w:val="0"/>
                <w:sz w:val="24"/>
              </w:rPr>
              <w:t>（3）组装车间建筑面积8106㎡，主要用于车辆解体后车体存放、未拆解部件检修作业，零部件检修后上车安装作业。落车，称重及限界试验作业。一期项目已建成投产，本项目维修完成后依托已建的组装车间进行车辆组装。</w:t>
            </w:r>
          </w:p>
          <w:p>
            <w:pPr>
              <w:widowControl/>
              <w:autoSpaceDE w:val="0"/>
              <w:autoSpaceDN w:val="0"/>
              <w:adjustRightInd w:val="0"/>
              <w:spacing w:line="360" w:lineRule="auto"/>
              <w:ind w:firstLine="480" w:firstLineChars="200"/>
              <w:jc w:val="left"/>
              <w:rPr>
                <w:kern w:val="0"/>
                <w:sz w:val="24"/>
              </w:rPr>
            </w:pPr>
            <w:r>
              <w:rPr>
                <w:kern w:val="0"/>
                <w:sz w:val="24"/>
              </w:rPr>
              <w:t>（4）静调车间建筑面积2040㎡，主要用于编组连挂、校线耐压、静态试验等。一期项目已建成投产，本项目维修完成后静调工段均依托已建静调车间进行。</w:t>
            </w:r>
          </w:p>
          <w:p>
            <w:pPr>
              <w:widowControl/>
              <w:autoSpaceDE w:val="0"/>
              <w:autoSpaceDN w:val="0"/>
              <w:adjustRightInd w:val="0"/>
              <w:spacing w:line="360" w:lineRule="auto"/>
              <w:ind w:firstLine="480" w:firstLineChars="200"/>
              <w:jc w:val="left"/>
              <w:rPr>
                <w:kern w:val="0"/>
                <w:sz w:val="24"/>
              </w:rPr>
            </w:pPr>
            <w:r>
              <w:rPr>
                <w:kern w:val="0"/>
                <w:sz w:val="24"/>
              </w:rPr>
              <w:t>（5）铁路专用线位于项目区南面，为一期项目已建成工程。铁路试车线（接入线）从一期项目东北面昆明车辆试车线并排接入，厂区内铁路专用线布置动调线一条（1.19km）、淋雨试车线一条、存车线二条，静调线二条。本项目维修完成后依托已有铁路专用线进行调试。</w:t>
            </w:r>
          </w:p>
          <w:p>
            <w:pPr>
              <w:widowControl/>
              <w:autoSpaceDE w:val="0"/>
              <w:autoSpaceDN w:val="0"/>
              <w:adjustRightInd w:val="0"/>
              <w:spacing w:line="360" w:lineRule="auto"/>
              <w:ind w:firstLine="480" w:firstLineChars="200"/>
              <w:jc w:val="left"/>
              <w:rPr>
                <w:kern w:val="0"/>
                <w:sz w:val="24"/>
              </w:rPr>
            </w:pPr>
            <w:r>
              <w:rPr>
                <w:kern w:val="0"/>
                <w:sz w:val="24"/>
              </w:rPr>
              <w:t>二、辅助工程</w:t>
            </w:r>
          </w:p>
          <w:p>
            <w:pPr>
              <w:widowControl/>
              <w:autoSpaceDE w:val="0"/>
              <w:autoSpaceDN w:val="0"/>
              <w:adjustRightInd w:val="0"/>
              <w:spacing w:line="360" w:lineRule="auto"/>
              <w:ind w:firstLine="480" w:firstLineChars="200"/>
              <w:jc w:val="left"/>
              <w:rPr>
                <w:kern w:val="0"/>
                <w:sz w:val="24"/>
              </w:rPr>
            </w:pPr>
            <w:r>
              <w:rPr>
                <w:kern w:val="0"/>
                <w:sz w:val="24"/>
              </w:rPr>
              <w:t>本次项目不新增辅助工程，均依托已有一期项目辅助工程。</w:t>
            </w:r>
          </w:p>
          <w:p>
            <w:pPr>
              <w:widowControl/>
              <w:autoSpaceDE w:val="0"/>
              <w:autoSpaceDN w:val="0"/>
              <w:adjustRightInd w:val="0"/>
              <w:spacing w:line="360" w:lineRule="auto"/>
              <w:ind w:firstLine="480" w:firstLineChars="200"/>
              <w:jc w:val="left"/>
              <w:rPr>
                <w:kern w:val="0"/>
                <w:sz w:val="24"/>
              </w:rPr>
            </w:pPr>
            <w:r>
              <w:rPr>
                <w:kern w:val="0"/>
                <w:sz w:val="24"/>
              </w:rPr>
              <w:t>（1）车间办公楼</w:t>
            </w:r>
            <w:r>
              <w:rPr>
                <w:kern w:val="0"/>
                <w:sz w:val="24"/>
              </w:rPr>
              <w:tab/>
            </w:r>
          </w:p>
          <w:p>
            <w:pPr>
              <w:widowControl/>
              <w:autoSpaceDE w:val="0"/>
              <w:autoSpaceDN w:val="0"/>
              <w:adjustRightInd w:val="0"/>
              <w:spacing w:line="360" w:lineRule="auto"/>
              <w:ind w:firstLine="480" w:firstLineChars="200"/>
              <w:jc w:val="left"/>
              <w:rPr>
                <w:kern w:val="0"/>
                <w:sz w:val="24"/>
              </w:rPr>
            </w:pPr>
            <w:r>
              <w:rPr>
                <w:kern w:val="0"/>
                <w:sz w:val="24"/>
              </w:rPr>
              <w:t>位于联合厂房内车间辅助间上2层，建筑面积2448㎡。</w:t>
            </w:r>
          </w:p>
          <w:p>
            <w:pPr>
              <w:widowControl/>
              <w:autoSpaceDE w:val="0"/>
              <w:autoSpaceDN w:val="0"/>
              <w:adjustRightInd w:val="0"/>
              <w:spacing w:line="360" w:lineRule="auto"/>
              <w:ind w:firstLine="480" w:firstLineChars="200"/>
              <w:jc w:val="left"/>
              <w:rPr>
                <w:kern w:val="0"/>
                <w:sz w:val="24"/>
              </w:rPr>
            </w:pPr>
            <w:r>
              <w:rPr>
                <w:kern w:val="0"/>
                <w:sz w:val="24"/>
              </w:rPr>
              <w:t>（2）倒班宿舍及食堂</w:t>
            </w:r>
            <w:r>
              <w:rPr>
                <w:kern w:val="0"/>
                <w:sz w:val="24"/>
              </w:rPr>
              <w:tab/>
            </w:r>
          </w:p>
          <w:p>
            <w:pPr>
              <w:widowControl/>
              <w:autoSpaceDE w:val="0"/>
              <w:autoSpaceDN w:val="0"/>
              <w:adjustRightInd w:val="0"/>
              <w:spacing w:line="360" w:lineRule="auto"/>
              <w:ind w:firstLine="480" w:firstLineChars="200"/>
              <w:jc w:val="left"/>
              <w:rPr>
                <w:kern w:val="0"/>
                <w:sz w:val="24"/>
              </w:rPr>
            </w:pPr>
            <w:r>
              <w:rPr>
                <w:kern w:val="0"/>
                <w:sz w:val="24"/>
              </w:rPr>
              <w:t>为4层钢混结构建筑，总建筑面积4000㎡，一层设置为2个职工食堂，倒班宿舍2-4层设置为宿舍。</w:t>
            </w:r>
          </w:p>
          <w:p>
            <w:pPr>
              <w:widowControl/>
              <w:autoSpaceDE w:val="0"/>
              <w:autoSpaceDN w:val="0"/>
              <w:adjustRightInd w:val="0"/>
              <w:spacing w:line="360" w:lineRule="auto"/>
              <w:ind w:firstLine="480" w:firstLineChars="200"/>
              <w:jc w:val="left"/>
              <w:rPr>
                <w:kern w:val="0"/>
                <w:sz w:val="24"/>
              </w:rPr>
            </w:pPr>
            <w:r>
              <w:rPr>
                <w:kern w:val="0"/>
                <w:sz w:val="24"/>
              </w:rPr>
              <w:t>（3）空压站（含配电房）</w:t>
            </w:r>
            <w:r>
              <w:rPr>
                <w:kern w:val="0"/>
                <w:sz w:val="24"/>
              </w:rPr>
              <w:tab/>
            </w:r>
          </w:p>
          <w:p>
            <w:pPr>
              <w:widowControl/>
              <w:autoSpaceDE w:val="0"/>
              <w:autoSpaceDN w:val="0"/>
              <w:adjustRightInd w:val="0"/>
              <w:spacing w:line="360" w:lineRule="auto"/>
              <w:ind w:firstLine="480" w:firstLineChars="200"/>
              <w:jc w:val="left"/>
              <w:rPr>
                <w:kern w:val="0"/>
                <w:sz w:val="24"/>
              </w:rPr>
            </w:pPr>
            <w:r>
              <w:rPr>
                <w:kern w:val="0"/>
                <w:sz w:val="24"/>
              </w:rPr>
              <w:t>位于一期用地西南，建筑面积281㎡</w:t>
            </w:r>
          </w:p>
          <w:p>
            <w:pPr>
              <w:widowControl/>
              <w:autoSpaceDE w:val="0"/>
              <w:autoSpaceDN w:val="0"/>
              <w:adjustRightInd w:val="0"/>
              <w:spacing w:line="360" w:lineRule="auto"/>
              <w:ind w:firstLine="480" w:firstLineChars="200"/>
              <w:jc w:val="left"/>
              <w:rPr>
                <w:kern w:val="0"/>
                <w:sz w:val="24"/>
              </w:rPr>
            </w:pPr>
            <w:r>
              <w:rPr>
                <w:kern w:val="0"/>
                <w:sz w:val="24"/>
              </w:rPr>
              <w:t>（4）油漆库</w:t>
            </w:r>
            <w:r>
              <w:rPr>
                <w:kern w:val="0"/>
                <w:sz w:val="24"/>
              </w:rPr>
              <w:tab/>
            </w:r>
          </w:p>
          <w:p>
            <w:pPr>
              <w:widowControl/>
              <w:autoSpaceDE w:val="0"/>
              <w:autoSpaceDN w:val="0"/>
              <w:adjustRightInd w:val="0"/>
              <w:spacing w:line="360" w:lineRule="auto"/>
              <w:ind w:firstLine="480" w:firstLineChars="200"/>
              <w:jc w:val="left"/>
              <w:rPr>
                <w:kern w:val="0"/>
                <w:sz w:val="24"/>
              </w:rPr>
            </w:pPr>
            <w:r>
              <w:rPr>
                <w:kern w:val="0"/>
                <w:sz w:val="24"/>
              </w:rPr>
              <w:t>为单层建筑，总建筑面积210㎡</w:t>
            </w:r>
          </w:p>
          <w:p>
            <w:pPr>
              <w:widowControl/>
              <w:autoSpaceDE w:val="0"/>
              <w:autoSpaceDN w:val="0"/>
              <w:adjustRightInd w:val="0"/>
              <w:spacing w:line="360" w:lineRule="auto"/>
              <w:ind w:firstLine="480" w:firstLineChars="200"/>
              <w:jc w:val="left"/>
              <w:rPr>
                <w:kern w:val="0"/>
                <w:sz w:val="24"/>
              </w:rPr>
            </w:pPr>
            <w:r>
              <w:rPr>
                <w:kern w:val="0"/>
                <w:sz w:val="24"/>
              </w:rPr>
              <w:t>三、公用工程</w:t>
            </w:r>
          </w:p>
          <w:p>
            <w:pPr>
              <w:widowControl/>
              <w:autoSpaceDE w:val="0"/>
              <w:autoSpaceDN w:val="0"/>
              <w:adjustRightInd w:val="0"/>
              <w:spacing w:line="360" w:lineRule="auto"/>
              <w:ind w:firstLine="480" w:firstLineChars="200"/>
              <w:jc w:val="left"/>
              <w:rPr>
                <w:kern w:val="0"/>
                <w:sz w:val="24"/>
              </w:rPr>
            </w:pPr>
            <w:r>
              <w:rPr>
                <w:kern w:val="0"/>
                <w:sz w:val="24"/>
              </w:rPr>
              <w:t>（1）供水</w:t>
            </w:r>
          </w:p>
          <w:p>
            <w:pPr>
              <w:widowControl/>
              <w:autoSpaceDE w:val="0"/>
              <w:autoSpaceDN w:val="0"/>
              <w:adjustRightInd w:val="0"/>
              <w:spacing w:line="360" w:lineRule="auto"/>
              <w:ind w:firstLine="480" w:firstLineChars="200"/>
              <w:jc w:val="left"/>
              <w:rPr>
                <w:kern w:val="0"/>
                <w:sz w:val="24"/>
              </w:rPr>
            </w:pPr>
            <w:r>
              <w:rPr>
                <w:kern w:val="0"/>
                <w:sz w:val="24"/>
              </w:rPr>
              <w:t>依托一期已建成水泵房、供水管网供水。</w:t>
            </w:r>
          </w:p>
          <w:p>
            <w:pPr>
              <w:widowControl/>
              <w:autoSpaceDE w:val="0"/>
              <w:autoSpaceDN w:val="0"/>
              <w:adjustRightInd w:val="0"/>
              <w:spacing w:line="360" w:lineRule="auto"/>
              <w:ind w:firstLine="480" w:firstLineChars="200"/>
              <w:jc w:val="left"/>
              <w:rPr>
                <w:kern w:val="0"/>
                <w:sz w:val="24"/>
              </w:rPr>
            </w:pPr>
            <w:r>
              <w:rPr>
                <w:kern w:val="0"/>
                <w:sz w:val="24"/>
              </w:rPr>
              <w:t>（2）排水</w:t>
            </w:r>
          </w:p>
          <w:p>
            <w:pPr>
              <w:widowControl/>
              <w:autoSpaceDE w:val="0"/>
              <w:autoSpaceDN w:val="0"/>
              <w:adjustRightInd w:val="0"/>
              <w:spacing w:line="360" w:lineRule="auto"/>
              <w:ind w:firstLine="480" w:firstLineChars="200"/>
              <w:jc w:val="left"/>
              <w:rPr>
                <w:kern w:val="0"/>
                <w:sz w:val="24"/>
              </w:rPr>
            </w:pPr>
            <w:r>
              <w:rPr>
                <w:kern w:val="0"/>
                <w:sz w:val="24"/>
              </w:rPr>
              <w:t>雨污分流系统，依托一期已建成污水管网和</w:t>
            </w:r>
            <w:r>
              <w:rPr>
                <w:rFonts w:hint="eastAsia"/>
                <w:kern w:val="0"/>
                <w:sz w:val="24"/>
              </w:rPr>
              <w:t>污水处理站</w:t>
            </w:r>
            <w:r>
              <w:rPr>
                <w:kern w:val="0"/>
                <w:sz w:val="24"/>
              </w:rPr>
              <w:t>，近期不设置总排口，污水通过污水处理站处理后回用于厂区绿化，预留远期总排口，污水通过滇池南岸环湖截污管网排入淤泥河水质净化厂。</w:t>
            </w:r>
          </w:p>
          <w:p>
            <w:pPr>
              <w:widowControl/>
              <w:autoSpaceDE w:val="0"/>
              <w:autoSpaceDN w:val="0"/>
              <w:adjustRightInd w:val="0"/>
              <w:spacing w:line="360" w:lineRule="auto"/>
              <w:ind w:firstLine="480" w:firstLineChars="200"/>
              <w:jc w:val="left"/>
              <w:rPr>
                <w:kern w:val="0"/>
                <w:sz w:val="24"/>
              </w:rPr>
            </w:pPr>
            <w:r>
              <w:rPr>
                <w:kern w:val="0"/>
                <w:sz w:val="24"/>
              </w:rPr>
              <w:t>（3）供电</w:t>
            </w:r>
          </w:p>
          <w:p>
            <w:pPr>
              <w:widowControl/>
              <w:autoSpaceDE w:val="0"/>
              <w:autoSpaceDN w:val="0"/>
              <w:adjustRightInd w:val="0"/>
              <w:spacing w:line="360" w:lineRule="auto"/>
              <w:ind w:firstLine="480" w:firstLineChars="200"/>
              <w:jc w:val="left"/>
              <w:rPr>
                <w:kern w:val="0"/>
                <w:sz w:val="24"/>
              </w:rPr>
            </w:pPr>
            <w:r>
              <w:rPr>
                <w:kern w:val="0"/>
                <w:sz w:val="24"/>
              </w:rPr>
              <w:t>依托一期已建成中心变电站、配电房和供电系统供电。</w:t>
            </w:r>
          </w:p>
          <w:p>
            <w:pPr>
              <w:widowControl/>
              <w:autoSpaceDE w:val="0"/>
              <w:autoSpaceDN w:val="0"/>
              <w:adjustRightInd w:val="0"/>
              <w:spacing w:line="360" w:lineRule="auto"/>
              <w:ind w:firstLine="480" w:firstLineChars="200"/>
              <w:jc w:val="left"/>
              <w:rPr>
                <w:kern w:val="0"/>
                <w:sz w:val="24"/>
              </w:rPr>
            </w:pPr>
            <w:r>
              <w:rPr>
                <w:kern w:val="0"/>
                <w:sz w:val="24"/>
              </w:rPr>
              <w:t>（4）热水系统</w:t>
            </w:r>
          </w:p>
          <w:p>
            <w:pPr>
              <w:widowControl/>
              <w:autoSpaceDE w:val="0"/>
              <w:autoSpaceDN w:val="0"/>
              <w:adjustRightInd w:val="0"/>
              <w:spacing w:line="360" w:lineRule="auto"/>
              <w:ind w:firstLine="480" w:firstLineChars="200"/>
              <w:jc w:val="left"/>
              <w:rPr>
                <w:kern w:val="0"/>
                <w:sz w:val="24"/>
              </w:rPr>
            </w:pPr>
            <w:r>
              <w:rPr>
                <w:kern w:val="0"/>
                <w:sz w:val="24"/>
              </w:rPr>
              <w:t>依托已建成的太阳能和电热水器。</w:t>
            </w:r>
          </w:p>
          <w:p>
            <w:pPr>
              <w:widowControl/>
              <w:autoSpaceDE w:val="0"/>
              <w:autoSpaceDN w:val="0"/>
              <w:adjustRightInd w:val="0"/>
              <w:spacing w:line="360" w:lineRule="auto"/>
              <w:ind w:firstLine="480" w:firstLineChars="200"/>
              <w:jc w:val="left"/>
              <w:rPr>
                <w:kern w:val="0"/>
                <w:sz w:val="24"/>
              </w:rPr>
            </w:pPr>
            <w:r>
              <w:rPr>
                <w:kern w:val="0"/>
                <w:sz w:val="24"/>
              </w:rPr>
              <w:t>（5）景观绿化</w:t>
            </w:r>
          </w:p>
          <w:p>
            <w:pPr>
              <w:widowControl/>
              <w:autoSpaceDE w:val="0"/>
              <w:autoSpaceDN w:val="0"/>
              <w:adjustRightInd w:val="0"/>
              <w:spacing w:line="360" w:lineRule="auto"/>
              <w:ind w:firstLine="480" w:firstLineChars="200"/>
              <w:jc w:val="left"/>
              <w:rPr>
                <w:kern w:val="0"/>
                <w:sz w:val="24"/>
              </w:rPr>
            </w:pPr>
            <w:r>
              <w:rPr>
                <w:kern w:val="0"/>
                <w:sz w:val="24"/>
              </w:rPr>
              <w:t>项目区总绿化面积80000㎡。均为一期已建成绿化。项目区按照“园林式”绿化标准进行设计和施工。绿化工程包括“线状”绿化及“点式”绿化两大部分。“线状”绿化主要沿道路两侧布置，道路两侧选择乔木、灌木及草坪配置。</w:t>
            </w:r>
          </w:p>
          <w:p>
            <w:pPr>
              <w:widowControl/>
              <w:autoSpaceDE w:val="0"/>
              <w:autoSpaceDN w:val="0"/>
              <w:adjustRightInd w:val="0"/>
              <w:spacing w:line="360" w:lineRule="auto"/>
              <w:ind w:firstLine="480" w:firstLineChars="200"/>
              <w:jc w:val="left"/>
              <w:rPr>
                <w:kern w:val="0"/>
                <w:sz w:val="24"/>
              </w:rPr>
            </w:pPr>
            <w:r>
              <w:rPr>
                <w:kern w:val="0"/>
                <w:sz w:val="24"/>
              </w:rPr>
              <w:t>四、环保设施</w:t>
            </w:r>
          </w:p>
          <w:p>
            <w:pPr>
              <w:widowControl/>
              <w:autoSpaceDE w:val="0"/>
              <w:autoSpaceDN w:val="0"/>
              <w:adjustRightInd w:val="0"/>
              <w:spacing w:line="360" w:lineRule="auto"/>
              <w:ind w:firstLine="480" w:firstLineChars="200"/>
              <w:jc w:val="left"/>
              <w:rPr>
                <w:kern w:val="0"/>
                <w:sz w:val="24"/>
              </w:rPr>
            </w:pPr>
            <w:r>
              <w:rPr>
                <w:kern w:val="0"/>
                <w:sz w:val="24"/>
              </w:rPr>
              <w:t>（一）依托环保设施</w:t>
            </w:r>
          </w:p>
          <w:p>
            <w:pPr>
              <w:widowControl/>
              <w:autoSpaceDE w:val="0"/>
              <w:autoSpaceDN w:val="0"/>
              <w:adjustRightInd w:val="0"/>
              <w:spacing w:line="360" w:lineRule="auto"/>
              <w:ind w:firstLine="480" w:firstLineChars="200"/>
              <w:jc w:val="left"/>
              <w:rPr>
                <w:kern w:val="0"/>
                <w:sz w:val="24"/>
              </w:rPr>
            </w:pPr>
            <w:r>
              <w:rPr>
                <w:kern w:val="0"/>
                <w:sz w:val="24"/>
              </w:rPr>
              <w:t>1、污水处理站</w:t>
            </w:r>
            <w:r>
              <w:rPr>
                <w:kern w:val="0"/>
                <w:sz w:val="24"/>
              </w:rPr>
              <w:tab/>
            </w:r>
          </w:p>
          <w:p>
            <w:pPr>
              <w:widowControl/>
              <w:autoSpaceDE w:val="0"/>
              <w:autoSpaceDN w:val="0"/>
              <w:adjustRightInd w:val="0"/>
              <w:spacing w:line="360" w:lineRule="auto"/>
              <w:ind w:firstLine="480" w:firstLineChars="200"/>
              <w:jc w:val="left"/>
              <w:rPr>
                <w:kern w:val="0"/>
                <w:sz w:val="24"/>
              </w:rPr>
            </w:pPr>
            <w:r>
              <w:rPr>
                <w:kern w:val="0"/>
                <w:sz w:val="24"/>
              </w:rPr>
              <w:t>生产废水依托已建成1座85m³/d污水处理站，采用ICEAS工艺。</w:t>
            </w:r>
          </w:p>
          <w:p>
            <w:pPr>
              <w:widowControl/>
              <w:autoSpaceDE w:val="0"/>
              <w:autoSpaceDN w:val="0"/>
              <w:adjustRightInd w:val="0"/>
              <w:spacing w:line="360" w:lineRule="auto"/>
              <w:ind w:firstLine="480" w:firstLineChars="200"/>
              <w:jc w:val="left"/>
              <w:rPr>
                <w:kern w:val="0"/>
                <w:sz w:val="24"/>
              </w:rPr>
            </w:pPr>
            <w:r>
              <w:rPr>
                <w:kern w:val="0"/>
                <w:sz w:val="24"/>
              </w:rPr>
              <w:t>2、化粪池</w:t>
            </w:r>
            <w:r>
              <w:rPr>
                <w:kern w:val="0"/>
                <w:sz w:val="24"/>
              </w:rPr>
              <w:tab/>
            </w:r>
          </w:p>
          <w:p>
            <w:pPr>
              <w:widowControl/>
              <w:autoSpaceDE w:val="0"/>
              <w:autoSpaceDN w:val="0"/>
              <w:adjustRightInd w:val="0"/>
              <w:spacing w:line="360" w:lineRule="auto"/>
              <w:ind w:firstLine="480" w:firstLineChars="200"/>
              <w:jc w:val="left"/>
              <w:rPr>
                <w:kern w:val="0"/>
                <w:sz w:val="24"/>
              </w:rPr>
            </w:pPr>
            <w:r>
              <w:rPr>
                <w:kern w:val="0"/>
                <w:sz w:val="24"/>
              </w:rPr>
              <w:t>生活污水依托已建成1座25m³化粪池进行处理。</w:t>
            </w:r>
          </w:p>
          <w:p>
            <w:pPr>
              <w:widowControl/>
              <w:autoSpaceDE w:val="0"/>
              <w:autoSpaceDN w:val="0"/>
              <w:adjustRightInd w:val="0"/>
              <w:spacing w:line="360" w:lineRule="auto"/>
              <w:ind w:firstLine="480" w:firstLineChars="200"/>
              <w:jc w:val="left"/>
              <w:rPr>
                <w:kern w:val="0"/>
                <w:sz w:val="24"/>
              </w:rPr>
            </w:pPr>
            <w:r>
              <w:rPr>
                <w:kern w:val="0"/>
                <w:sz w:val="24"/>
              </w:rPr>
              <w:t>3、焊接除尘除湿系统</w:t>
            </w:r>
            <w:r>
              <w:rPr>
                <w:kern w:val="0"/>
                <w:sz w:val="24"/>
              </w:rPr>
              <w:tab/>
            </w:r>
          </w:p>
          <w:p>
            <w:pPr>
              <w:widowControl/>
              <w:autoSpaceDE w:val="0"/>
              <w:autoSpaceDN w:val="0"/>
              <w:adjustRightInd w:val="0"/>
              <w:spacing w:line="360" w:lineRule="auto"/>
              <w:ind w:firstLine="480" w:firstLineChars="200"/>
              <w:jc w:val="left"/>
              <w:rPr>
                <w:kern w:val="0"/>
                <w:sz w:val="24"/>
              </w:rPr>
            </w:pPr>
            <w:r>
              <w:rPr>
                <w:kern w:val="0"/>
                <w:sz w:val="24"/>
              </w:rPr>
              <w:t>焊接车间设置2套移动式焊接烟尘净化装置，再通过车间设置2套除尘除湿系统处理，处理后的焊接废气在车间循环使用。</w:t>
            </w:r>
          </w:p>
          <w:p>
            <w:pPr>
              <w:widowControl/>
              <w:autoSpaceDE w:val="0"/>
              <w:autoSpaceDN w:val="0"/>
              <w:adjustRightInd w:val="0"/>
              <w:spacing w:line="360" w:lineRule="auto"/>
              <w:ind w:firstLine="480" w:firstLineChars="200"/>
              <w:jc w:val="left"/>
              <w:rPr>
                <w:kern w:val="0"/>
                <w:sz w:val="24"/>
              </w:rPr>
            </w:pPr>
            <w:r>
              <w:rPr>
                <w:kern w:val="0"/>
                <w:sz w:val="24"/>
              </w:rPr>
              <w:t>4、喷砂废气处理系统</w:t>
            </w:r>
            <w:r>
              <w:rPr>
                <w:kern w:val="0"/>
                <w:sz w:val="24"/>
              </w:rPr>
              <w:tab/>
            </w:r>
          </w:p>
          <w:p>
            <w:pPr>
              <w:widowControl/>
              <w:autoSpaceDE w:val="0"/>
              <w:autoSpaceDN w:val="0"/>
              <w:adjustRightInd w:val="0"/>
              <w:spacing w:line="360" w:lineRule="auto"/>
              <w:ind w:firstLine="480" w:firstLineChars="200"/>
              <w:jc w:val="left"/>
              <w:rPr>
                <w:kern w:val="0"/>
                <w:sz w:val="24"/>
              </w:rPr>
            </w:pPr>
            <w:r>
              <w:rPr>
                <w:kern w:val="0"/>
                <w:sz w:val="24"/>
              </w:rPr>
              <w:t>喷砂车间内喷砂采用全自动封闭系统，并设置有砂回收装置，共设置2套滤筒干式过滤除尘装置（旋风除尘+滤筒除尘）收集处理喷砂过程粉尘，处理后通过2根16m高排气筒对空排放（1#、2#排气筒）。</w:t>
            </w:r>
          </w:p>
          <w:p>
            <w:pPr>
              <w:widowControl/>
              <w:autoSpaceDE w:val="0"/>
              <w:autoSpaceDN w:val="0"/>
              <w:adjustRightInd w:val="0"/>
              <w:spacing w:line="360" w:lineRule="auto"/>
              <w:ind w:firstLine="480" w:firstLineChars="200"/>
              <w:jc w:val="left"/>
              <w:rPr>
                <w:kern w:val="0"/>
                <w:sz w:val="24"/>
              </w:rPr>
            </w:pPr>
            <w:r>
              <w:rPr>
                <w:kern w:val="0"/>
                <w:sz w:val="24"/>
              </w:rPr>
              <w:t>5、表面处理打磨废气处理系统</w:t>
            </w:r>
          </w:p>
          <w:p>
            <w:pPr>
              <w:widowControl/>
              <w:autoSpaceDE w:val="0"/>
              <w:autoSpaceDN w:val="0"/>
              <w:adjustRightInd w:val="0"/>
              <w:spacing w:line="360" w:lineRule="auto"/>
              <w:ind w:firstLine="480" w:firstLineChars="200"/>
              <w:jc w:val="left"/>
              <w:rPr>
                <w:kern w:val="0"/>
                <w:sz w:val="24"/>
              </w:rPr>
            </w:pPr>
            <w:r>
              <w:rPr>
                <w:kern w:val="0"/>
                <w:sz w:val="24"/>
              </w:rPr>
              <w:t>1#打磨房设置4套打磨房废气处置系统（旋风除尘+滤芯过滤+空气动力过滤），处理后通过4根16m高排气筒对空排放（3#、4#、5#、6#排气筒）；2#打磨房设置4套打磨房废气处置系统（旋风除尘+滤芯过滤+空气动力过滤），处理后通过4根16m高排气筒对空排放（7#、8#、9#、10#排气筒）。</w:t>
            </w:r>
          </w:p>
          <w:p>
            <w:pPr>
              <w:widowControl/>
              <w:autoSpaceDE w:val="0"/>
              <w:autoSpaceDN w:val="0"/>
              <w:adjustRightInd w:val="0"/>
              <w:spacing w:line="360" w:lineRule="auto"/>
              <w:ind w:firstLine="480" w:firstLineChars="200"/>
              <w:jc w:val="left"/>
              <w:rPr>
                <w:kern w:val="0"/>
                <w:sz w:val="24"/>
              </w:rPr>
            </w:pPr>
            <w:r>
              <w:rPr>
                <w:kern w:val="0"/>
                <w:sz w:val="24"/>
              </w:rPr>
              <w:t>6、底漆喷烘废气</w:t>
            </w:r>
            <w:r>
              <w:rPr>
                <w:kern w:val="0"/>
                <w:sz w:val="24"/>
              </w:rPr>
              <w:tab/>
            </w:r>
          </w:p>
          <w:p>
            <w:pPr>
              <w:widowControl/>
              <w:autoSpaceDE w:val="0"/>
              <w:autoSpaceDN w:val="0"/>
              <w:adjustRightInd w:val="0"/>
              <w:spacing w:line="360" w:lineRule="auto"/>
              <w:ind w:firstLine="480" w:firstLineChars="200"/>
              <w:jc w:val="left"/>
              <w:rPr>
                <w:kern w:val="0"/>
                <w:sz w:val="24"/>
              </w:rPr>
            </w:pPr>
            <w:r>
              <w:rPr>
                <w:kern w:val="0"/>
                <w:sz w:val="24"/>
              </w:rPr>
              <w:t>涂装车间1#底漆喷烘房设置4套处理系统，处理工艺为过滤棉吸附+活性炭箱吸附，处理后通过4根16m高排气筒对空排放（10#、11#、12#、13#排气筒）；涂装车间2#底漆喷烘房设置4套处理系统，处理工艺为过滤棉吸附+活性炭箱吸附，处理后通过4根16m高排气筒对空排放（14#、15#、16#、17#排气筒）；</w:t>
            </w:r>
          </w:p>
          <w:p>
            <w:pPr>
              <w:widowControl/>
              <w:autoSpaceDE w:val="0"/>
              <w:autoSpaceDN w:val="0"/>
              <w:adjustRightInd w:val="0"/>
              <w:spacing w:line="360" w:lineRule="auto"/>
              <w:ind w:firstLine="480" w:firstLineChars="200"/>
              <w:jc w:val="left"/>
              <w:rPr>
                <w:kern w:val="0"/>
                <w:sz w:val="24"/>
              </w:rPr>
            </w:pPr>
            <w:r>
              <w:rPr>
                <w:kern w:val="0"/>
                <w:sz w:val="24"/>
              </w:rPr>
              <w:t>7、面漆喷烘废气</w:t>
            </w:r>
            <w:r>
              <w:rPr>
                <w:kern w:val="0"/>
                <w:sz w:val="24"/>
              </w:rPr>
              <w:tab/>
            </w:r>
          </w:p>
          <w:p>
            <w:pPr>
              <w:widowControl/>
              <w:autoSpaceDE w:val="0"/>
              <w:autoSpaceDN w:val="0"/>
              <w:adjustRightInd w:val="0"/>
              <w:spacing w:line="360" w:lineRule="auto"/>
              <w:ind w:firstLine="480" w:firstLineChars="200"/>
              <w:jc w:val="left"/>
              <w:rPr>
                <w:kern w:val="0"/>
                <w:sz w:val="24"/>
              </w:rPr>
            </w:pPr>
            <w:r>
              <w:rPr>
                <w:kern w:val="0"/>
                <w:sz w:val="24"/>
              </w:rPr>
              <w:t>涂装车间1#面漆喷烘房设置4套处理系统，处理工艺为过滤棉吸附+活性炭箱吸附，处理后通过4根16m高排气筒对空排放（17#、18#、19#、20#排气筒）；涂装车间2#底漆喷烘房设置4套处理系统，处理工艺为过滤棉吸附+活性炭箱吸附，处理后通过4根16m高排气筒对空排放（21#、22#、23#、24#排气筒）；</w:t>
            </w:r>
          </w:p>
          <w:p>
            <w:pPr>
              <w:widowControl/>
              <w:autoSpaceDE w:val="0"/>
              <w:autoSpaceDN w:val="0"/>
              <w:adjustRightInd w:val="0"/>
              <w:spacing w:line="360" w:lineRule="auto"/>
              <w:ind w:firstLine="480" w:firstLineChars="200"/>
              <w:jc w:val="left"/>
              <w:rPr>
                <w:kern w:val="0"/>
                <w:sz w:val="24"/>
              </w:rPr>
            </w:pPr>
            <w:r>
              <w:rPr>
                <w:kern w:val="0"/>
                <w:sz w:val="24"/>
              </w:rPr>
              <w:t>8、油烟处理系统</w:t>
            </w:r>
            <w:r>
              <w:rPr>
                <w:kern w:val="0"/>
                <w:sz w:val="24"/>
              </w:rPr>
              <w:tab/>
            </w:r>
          </w:p>
          <w:p>
            <w:pPr>
              <w:widowControl/>
              <w:autoSpaceDE w:val="0"/>
              <w:autoSpaceDN w:val="0"/>
              <w:adjustRightInd w:val="0"/>
              <w:spacing w:line="360" w:lineRule="auto"/>
              <w:ind w:firstLine="480" w:firstLineChars="200"/>
              <w:jc w:val="left"/>
              <w:rPr>
                <w:kern w:val="0"/>
                <w:sz w:val="24"/>
              </w:rPr>
            </w:pPr>
            <w:r>
              <w:rPr>
                <w:kern w:val="0"/>
                <w:sz w:val="24"/>
              </w:rPr>
              <w:t>依托食堂已建成油烟净化器和排气筒，油烟净化器处置效率均为80%，油烟处理后通过高于倒班宿舍楼顶1.5m排气筒对空排放。</w:t>
            </w:r>
          </w:p>
          <w:p>
            <w:pPr>
              <w:widowControl/>
              <w:autoSpaceDE w:val="0"/>
              <w:autoSpaceDN w:val="0"/>
              <w:adjustRightInd w:val="0"/>
              <w:spacing w:line="360" w:lineRule="auto"/>
              <w:ind w:firstLine="480" w:firstLineChars="200"/>
              <w:jc w:val="left"/>
              <w:rPr>
                <w:kern w:val="0"/>
                <w:sz w:val="24"/>
              </w:rPr>
            </w:pPr>
            <w:r>
              <w:rPr>
                <w:kern w:val="0"/>
                <w:sz w:val="24"/>
              </w:rPr>
              <w:t>9、危废暂存间</w:t>
            </w:r>
          </w:p>
          <w:p>
            <w:pPr>
              <w:widowControl/>
              <w:autoSpaceDE w:val="0"/>
              <w:autoSpaceDN w:val="0"/>
              <w:adjustRightInd w:val="0"/>
              <w:spacing w:line="360" w:lineRule="auto"/>
              <w:ind w:firstLine="480" w:firstLineChars="200"/>
              <w:jc w:val="left"/>
              <w:rPr>
                <w:kern w:val="52"/>
                <w:sz w:val="24"/>
              </w:rPr>
            </w:pPr>
            <w:r>
              <w:rPr>
                <w:kern w:val="52"/>
                <w:sz w:val="24"/>
              </w:rPr>
              <w:t>拆解所产生的废润滑油、矿物油统一堆放至已有危废暂存间，委托云南大地丰源环保有限公司清运处置。</w:t>
            </w:r>
          </w:p>
          <w:p>
            <w:pPr>
              <w:widowControl/>
              <w:autoSpaceDE w:val="0"/>
              <w:autoSpaceDN w:val="0"/>
              <w:adjustRightInd w:val="0"/>
              <w:spacing w:line="360" w:lineRule="auto"/>
              <w:ind w:firstLine="480" w:firstLineChars="200"/>
              <w:jc w:val="left"/>
              <w:rPr>
                <w:kern w:val="52"/>
                <w:sz w:val="24"/>
              </w:rPr>
            </w:pPr>
            <w:r>
              <w:rPr>
                <w:kern w:val="52"/>
                <w:sz w:val="24"/>
              </w:rPr>
              <w:t>10、餐饮隔油池</w:t>
            </w:r>
          </w:p>
          <w:p>
            <w:pPr>
              <w:widowControl/>
              <w:autoSpaceDE w:val="0"/>
              <w:autoSpaceDN w:val="0"/>
              <w:adjustRightInd w:val="0"/>
              <w:spacing w:line="360" w:lineRule="auto"/>
              <w:ind w:firstLine="480" w:firstLineChars="200"/>
              <w:jc w:val="left"/>
              <w:rPr>
                <w:kern w:val="52"/>
                <w:sz w:val="24"/>
              </w:rPr>
            </w:pPr>
            <w:r>
              <w:rPr>
                <w:kern w:val="52"/>
                <w:sz w:val="24"/>
              </w:rPr>
              <w:t>依托已建成食堂5m³隔油池处理食堂含油废水。</w:t>
            </w:r>
          </w:p>
          <w:p>
            <w:pPr>
              <w:widowControl/>
              <w:autoSpaceDE w:val="0"/>
              <w:autoSpaceDN w:val="0"/>
              <w:adjustRightInd w:val="0"/>
              <w:spacing w:line="360" w:lineRule="auto"/>
              <w:ind w:firstLine="480" w:firstLineChars="200"/>
              <w:jc w:val="left"/>
              <w:rPr>
                <w:kern w:val="52"/>
                <w:sz w:val="24"/>
              </w:rPr>
            </w:pPr>
            <w:r>
              <w:rPr>
                <w:rFonts w:hint="eastAsia"/>
                <w:kern w:val="52"/>
                <w:sz w:val="24"/>
              </w:rPr>
              <w:t>1</w:t>
            </w:r>
            <w:r>
              <w:rPr>
                <w:kern w:val="52"/>
                <w:sz w:val="24"/>
              </w:rPr>
              <w:t>1、隔油池</w:t>
            </w:r>
          </w:p>
          <w:p>
            <w:pPr>
              <w:widowControl/>
              <w:autoSpaceDE w:val="0"/>
              <w:autoSpaceDN w:val="0"/>
              <w:adjustRightInd w:val="0"/>
              <w:spacing w:line="360" w:lineRule="auto"/>
              <w:ind w:firstLine="480" w:firstLineChars="200"/>
              <w:jc w:val="left"/>
              <w:rPr>
                <w:kern w:val="52"/>
                <w:sz w:val="24"/>
              </w:rPr>
            </w:pPr>
            <w:r>
              <w:rPr>
                <w:kern w:val="52"/>
                <w:sz w:val="24"/>
              </w:rPr>
              <w:t>车辆清洗废水和地坪清洗水依托已建成一期项目18m³隔油池进行处理。</w:t>
            </w:r>
          </w:p>
          <w:p>
            <w:pPr>
              <w:widowControl/>
              <w:spacing w:line="360" w:lineRule="auto"/>
              <w:ind w:firstLine="482" w:firstLineChars="200"/>
              <w:jc w:val="left"/>
              <w:rPr>
                <w:b/>
                <w:kern w:val="0"/>
                <w:sz w:val="24"/>
              </w:rPr>
            </w:pPr>
            <w:r>
              <w:rPr>
                <w:b/>
                <w:kern w:val="0"/>
                <w:sz w:val="24"/>
              </w:rPr>
              <w:t>5、工程占地及拆迁安置</w:t>
            </w:r>
          </w:p>
          <w:p>
            <w:pPr>
              <w:widowControl/>
              <w:spacing w:line="360" w:lineRule="auto"/>
              <w:ind w:firstLine="480" w:firstLineChars="200"/>
              <w:rPr>
                <w:kern w:val="0"/>
                <w:sz w:val="24"/>
              </w:rPr>
            </w:pPr>
            <w:r>
              <w:rPr>
                <w:kern w:val="0"/>
                <w:sz w:val="24"/>
              </w:rPr>
              <w:t>（1）工程占地</w:t>
            </w:r>
          </w:p>
          <w:p>
            <w:pPr>
              <w:widowControl/>
              <w:spacing w:line="360" w:lineRule="auto"/>
              <w:ind w:firstLine="480" w:firstLineChars="200"/>
              <w:rPr>
                <w:kern w:val="0"/>
                <w:sz w:val="24"/>
              </w:rPr>
            </w:pPr>
            <w:r>
              <w:rPr>
                <w:kern w:val="0"/>
                <w:sz w:val="24"/>
              </w:rPr>
              <w:t>项目占地10000㎡，为一期项目预留二期用地，不新征用土地。</w:t>
            </w:r>
          </w:p>
          <w:p>
            <w:pPr>
              <w:widowControl/>
              <w:spacing w:line="360" w:lineRule="auto"/>
              <w:ind w:firstLine="480" w:firstLineChars="200"/>
              <w:rPr>
                <w:kern w:val="0"/>
                <w:sz w:val="24"/>
              </w:rPr>
            </w:pPr>
            <w:r>
              <w:rPr>
                <w:kern w:val="0"/>
                <w:sz w:val="24"/>
              </w:rPr>
              <w:t>（2）移民（拆迁）安置</w:t>
            </w:r>
          </w:p>
          <w:p>
            <w:pPr>
              <w:widowControl/>
              <w:spacing w:line="360" w:lineRule="auto"/>
              <w:ind w:firstLine="480" w:firstLineChars="200"/>
              <w:rPr>
                <w:kern w:val="0"/>
                <w:sz w:val="24"/>
              </w:rPr>
            </w:pPr>
            <w:r>
              <w:rPr>
                <w:kern w:val="0"/>
                <w:sz w:val="24"/>
              </w:rPr>
              <w:t>本项目为政府出让已征收土地。项目建设不涉及移民、拆迁安置等工作。</w:t>
            </w:r>
          </w:p>
          <w:p>
            <w:pPr>
              <w:widowControl/>
              <w:spacing w:line="360" w:lineRule="auto"/>
              <w:ind w:firstLine="482" w:firstLineChars="200"/>
              <w:rPr>
                <w:b/>
                <w:kern w:val="0"/>
                <w:sz w:val="24"/>
              </w:rPr>
            </w:pPr>
            <w:r>
              <w:rPr>
                <w:b/>
                <w:kern w:val="0"/>
                <w:sz w:val="24"/>
              </w:rPr>
              <w:t>6、工作制度及员工数量</w:t>
            </w:r>
          </w:p>
          <w:p>
            <w:pPr>
              <w:widowControl/>
              <w:spacing w:line="360" w:lineRule="auto"/>
              <w:ind w:firstLine="480" w:firstLineChars="200"/>
              <w:rPr>
                <w:kern w:val="0"/>
                <w:sz w:val="24"/>
              </w:rPr>
            </w:pPr>
            <w:r>
              <w:rPr>
                <w:kern w:val="0"/>
                <w:sz w:val="24"/>
              </w:rPr>
              <w:t>本次工程新增工作人员200人，其中质量技术、安环及物流管理人员20 人，招聘及调派生产作业人员139 人，检修合作企业派驻作业人员41 人。</w:t>
            </w:r>
          </w:p>
          <w:p>
            <w:pPr>
              <w:widowControl/>
              <w:spacing w:line="360" w:lineRule="auto"/>
              <w:ind w:firstLine="480" w:firstLineChars="200"/>
              <w:rPr>
                <w:kern w:val="0"/>
                <w:sz w:val="24"/>
              </w:rPr>
            </w:pPr>
            <w:r>
              <w:rPr>
                <w:kern w:val="0"/>
                <w:sz w:val="24"/>
              </w:rPr>
              <w:t>采用两班工作制，全年工作日250 天，每天工作8 小时。</w:t>
            </w:r>
          </w:p>
          <w:p>
            <w:pPr>
              <w:widowControl/>
              <w:spacing w:line="360" w:lineRule="auto"/>
              <w:ind w:firstLine="482" w:firstLineChars="200"/>
              <w:rPr>
                <w:b/>
                <w:kern w:val="0"/>
                <w:sz w:val="24"/>
              </w:rPr>
            </w:pPr>
            <w:r>
              <w:rPr>
                <w:b/>
                <w:kern w:val="0"/>
                <w:sz w:val="24"/>
              </w:rPr>
              <w:t>7、项目主要设备</w:t>
            </w:r>
          </w:p>
          <w:p>
            <w:pPr>
              <w:tabs>
                <w:tab w:val="left" w:pos="6740"/>
              </w:tabs>
              <w:spacing w:line="360" w:lineRule="auto"/>
              <w:ind w:firstLine="482"/>
              <w:jc w:val="center"/>
              <w:rPr>
                <w:rFonts w:eastAsiaTheme="minorEastAsia"/>
                <w:b/>
                <w:sz w:val="24"/>
              </w:rPr>
            </w:pPr>
            <w:r>
              <w:rPr>
                <w:rFonts w:eastAsiaTheme="minorEastAsia"/>
                <w:b/>
                <w:sz w:val="24"/>
              </w:rPr>
              <w:t>表2-4 本次项目新增设备一览表</w:t>
            </w:r>
          </w:p>
          <w:tbl>
            <w:tblPr>
              <w:tblStyle w:val="44"/>
              <w:tblW w:w="61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701"/>
              <w:gridCol w:w="1776"/>
              <w:gridCol w:w="823"/>
              <w:gridCol w:w="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序号</w:t>
                  </w:r>
                </w:p>
              </w:tc>
              <w:tc>
                <w:tcPr>
                  <w:tcW w:w="1701" w:type="dxa"/>
                  <w:shd w:val="clear" w:color="auto" w:fill="auto"/>
                  <w:noWrap/>
                  <w:vAlign w:val="center"/>
                </w:tcPr>
                <w:p>
                  <w:pPr>
                    <w:widowControl/>
                    <w:jc w:val="left"/>
                    <w:rPr>
                      <w:kern w:val="0"/>
                      <w:sz w:val="18"/>
                      <w:szCs w:val="18"/>
                    </w:rPr>
                  </w:pPr>
                  <w:r>
                    <w:rPr>
                      <w:kern w:val="0"/>
                      <w:sz w:val="18"/>
                      <w:szCs w:val="18"/>
                    </w:rPr>
                    <w:t>设备名称</w:t>
                  </w:r>
                </w:p>
              </w:tc>
              <w:tc>
                <w:tcPr>
                  <w:tcW w:w="1776" w:type="dxa"/>
                  <w:shd w:val="clear" w:color="auto" w:fill="auto"/>
                  <w:noWrap/>
                  <w:vAlign w:val="center"/>
                </w:tcPr>
                <w:p>
                  <w:pPr>
                    <w:widowControl/>
                    <w:jc w:val="left"/>
                    <w:rPr>
                      <w:kern w:val="0"/>
                      <w:sz w:val="18"/>
                      <w:szCs w:val="18"/>
                    </w:rPr>
                  </w:pPr>
                  <w:r>
                    <w:rPr>
                      <w:kern w:val="0"/>
                      <w:sz w:val="18"/>
                      <w:szCs w:val="18"/>
                    </w:rPr>
                    <w:t>设备型号、规格</w:t>
                  </w:r>
                </w:p>
              </w:tc>
              <w:tc>
                <w:tcPr>
                  <w:tcW w:w="823" w:type="dxa"/>
                </w:tcPr>
                <w:p>
                  <w:pPr>
                    <w:widowControl/>
                    <w:jc w:val="left"/>
                    <w:rPr>
                      <w:kern w:val="0"/>
                      <w:sz w:val="18"/>
                      <w:szCs w:val="18"/>
                    </w:rPr>
                  </w:pPr>
                  <w:r>
                    <w:rPr>
                      <w:kern w:val="0"/>
                      <w:sz w:val="18"/>
                      <w:szCs w:val="18"/>
                    </w:rPr>
                    <w:t>功率（kW）</w:t>
                  </w:r>
                </w:p>
              </w:tc>
              <w:tc>
                <w:tcPr>
                  <w:tcW w:w="824" w:type="dxa"/>
                  <w:shd w:val="clear" w:color="auto" w:fill="auto"/>
                  <w:noWrap/>
                  <w:vAlign w:val="center"/>
                </w:tcPr>
                <w:p>
                  <w:pPr>
                    <w:widowControl/>
                    <w:jc w:val="left"/>
                    <w:rPr>
                      <w:kern w:val="0"/>
                      <w:sz w:val="18"/>
                      <w:szCs w:val="18"/>
                    </w:rPr>
                  </w:pPr>
                  <w:r>
                    <w:rPr>
                      <w:kern w:val="0"/>
                      <w:sz w:val="18"/>
                      <w:szCs w:val="18"/>
                    </w:rPr>
                    <w:t>设备数量（台/套）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6162" w:type="dxa"/>
                  <w:gridSpan w:val="5"/>
                </w:tcPr>
                <w:p>
                  <w:pPr>
                    <w:widowControl/>
                    <w:jc w:val="left"/>
                    <w:rPr>
                      <w:kern w:val="0"/>
                      <w:sz w:val="18"/>
                      <w:szCs w:val="18"/>
                    </w:rPr>
                  </w:pPr>
                  <w:r>
                    <w:rPr>
                      <w:kern w:val="0"/>
                      <w:sz w:val="18"/>
                      <w:szCs w:val="18"/>
                    </w:rPr>
                    <w:t>改造解体车间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1</w:t>
                  </w:r>
                </w:p>
              </w:tc>
              <w:tc>
                <w:tcPr>
                  <w:tcW w:w="1701" w:type="dxa"/>
                  <w:shd w:val="clear" w:color="auto" w:fill="auto"/>
                  <w:noWrap/>
                  <w:vAlign w:val="center"/>
                </w:tcPr>
                <w:p>
                  <w:pPr>
                    <w:widowControl/>
                    <w:jc w:val="left"/>
                    <w:rPr>
                      <w:kern w:val="0"/>
                      <w:sz w:val="18"/>
                      <w:szCs w:val="18"/>
                    </w:rPr>
                  </w:pPr>
                  <w:r>
                    <w:rPr>
                      <w:kern w:val="0"/>
                      <w:sz w:val="18"/>
                      <w:szCs w:val="18"/>
                    </w:rPr>
                    <w:t>双层平台</w:t>
                  </w:r>
                </w:p>
              </w:tc>
              <w:tc>
                <w:tcPr>
                  <w:tcW w:w="1776" w:type="dxa"/>
                  <w:shd w:val="clear" w:color="auto" w:fill="auto"/>
                  <w:noWrap/>
                  <w:vAlign w:val="center"/>
                </w:tcPr>
                <w:p>
                  <w:pPr>
                    <w:widowControl/>
                    <w:jc w:val="left"/>
                    <w:rPr>
                      <w:kern w:val="0"/>
                      <w:sz w:val="18"/>
                      <w:szCs w:val="18"/>
                    </w:rPr>
                  </w:pPr>
                  <w:r>
                    <w:rPr>
                      <w:kern w:val="0"/>
                      <w:sz w:val="18"/>
                      <w:szCs w:val="18"/>
                    </w:rPr>
                    <w:t>非标</w:t>
                  </w:r>
                </w:p>
              </w:tc>
              <w:tc>
                <w:tcPr>
                  <w:tcW w:w="823" w:type="dxa"/>
                </w:tcPr>
                <w:p>
                  <w:pPr>
                    <w:widowControl/>
                    <w:jc w:val="left"/>
                    <w:rPr>
                      <w:kern w:val="0"/>
                      <w:sz w:val="18"/>
                      <w:szCs w:val="18"/>
                    </w:rPr>
                  </w:pPr>
                  <w:r>
                    <w:rPr>
                      <w:kern w:val="0"/>
                      <w:sz w:val="18"/>
                      <w:szCs w:val="18"/>
                    </w:rPr>
                    <w:t>/</w:t>
                  </w:r>
                </w:p>
              </w:tc>
              <w:tc>
                <w:tcPr>
                  <w:tcW w:w="824" w:type="dxa"/>
                  <w:shd w:val="clear" w:color="auto" w:fill="auto"/>
                  <w:noWrap/>
                  <w:vAlign w:val="center"/>
                </w:tcPr>
                <w:p>
                  <w:pPr>
                    <w:widowControl/>
                    <w:jc w:val="left"/>
                    <w:rPr>
                      <w:kern w:val="0"/>
                      <w:sz w:val="18"/>
                      <w:szCs w:val="18"/>
                    </w:rPr>
                  </w:pPr>
                  <w:r>
                    <w:rPr>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2</w:t>
                  </w:r>
                </w:p>
              </w:tc>
              <w:tc>
                <w:tcPr>
                  <w:tcW w:w="1701" w:type="dxa"/>
                  <w:shd w:val="clear" w:color="auto" w:fill="auto"/>
                  <w:noWrap/>
                  <w:vAlign w:val="bottom"/>
                </w:tcPr>
                <w:p>
                  <w:pPr>
                    <w:widowControl/>
                    <w:jc w:val="left"/>
                    <w:rPr>
                      <w:kern w:val="0"/>
                      <w:sz w:val="18"/>
                      <w:szCs w:val="18"/>
                    </w:rPr>
                  </w:pPr>
                  <w:r>
                    <w:rPr>
                      <w:kern w:val="0"/>
                      <w:sz w:val="18"/>
                      <w:szCs w:val="18"/>
                    </w:rPr>
                    <w:t>液压升降车</w:t>
                  </w:r>
                </w:p>
              </w:tc>
              <w:tc>
                <w:tcPr>
                  <w:tcW w:w="1776" w:type="dxa"/>
                  <w:shd w:val="clear" w:color="auto" w:fill="auto"/>
                  <w:noWrap/>
                  <w:vAlign w:val="bottom"/>
                </w:tcPr>
                <w:p>
                  <w:pPr>
                    <w:widowControl/>
                    <w:jc w:val="left"/>
                    <w:rPr>
                      <w:kern w:val="0"/>
                      <w:sz w:val="18"/>
                      <w:szCs w:val="18"/>
                    </w:rPr>
                  </w:pPr>
                  <w:r>
                    <w:rPr>
                      <w:kern w:val="0"/>
                      <w:sz w:val="18"/>
                      <w:szCs w:val="18"/>
                    </w:rPr>
                    <w:t>非标</w:t>
                  </w:r>
                </w:p>
              </w:tc>
              <w:tc>
                <w:tcPr>
                  <w:tcW w:w="823" w:type="dxa"/>
                </w:tcPr>
                <w:p>
                  <w:pPr>
                    <w:widowControl/>
                    <w:jc w:val="left"/>
                    <w:rPr>
                      <w:kern w:val="0"/>
                      <w:sz w:val="18"/>
                      <w:szCs w:val="18"/>
                    </w:rPr>
                  </w:pPr>
                  <w:r>
                    <w:rPr>
                      <w:kern w:val="0"/>
                      <w:sz w:val="18"/>
                      <w:szCs w:val="18"/>
                    </w:rPr>
                    <w:t>/</w:t>
                  </w:r>
                </w:p>
              </w:tc>
              <w:tc>
                <w:tcPr>
                  <w:tcW w:w="824" w:type="dxa"/>
                  <w:shd w:val="clear" w:color="auto" w:fill="auto"/>
                  <w:noWrap/>
                  <w:vAlign w:val="bottom"/>
                </w:tcPr>
                <w:p>
                  <w:pPr>
                    <w:widowControl/>
                    <w:jc w:val="left"/>
                    <w:rPr>
                      <w:kern w:val="0"/>
                      <w:sz w:val="18"/>
                      <w:szCs w:val="18"/>
                    </w:rPr>
                  </w:pPr>
                  <w:r>
                    <w:rPr>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3</w:t>
                  </w:r>
                </w:p>
              </w:tc>
              <w:tc>
                <w:tcPr>
                  <w:tcW w:w="1701" w:type="dxa"/>
                  <w:shd w:val="clear" w:color="auto" w:fill="auto"/>
                  <w:noWrap/>
                  <w:vAlign w:val="center"/>
                </w:tcPr>
                <w:p>
                  <w:pPr>
                    <w:widowControl/>
                    <w:jc w:val="left"/>
                    <w:rPr>
                      <w:kern w:val="0"/>
                      <w:sz w:val="18"/>
                      <w:szCs w:val="18"/>
                    </w:rPr>
                  </w:pPr>
                  <w:r>
                    <w:rPr>
                      <w:kern w:val="0"/>
                      <w:sz w:val="18"/>
                      <w:szCs w:val="18"/>
                    </w:rPr>
                    <w:t>车门压力试验器</w:t>
                  </w:r>
                </w:p>
              </w:tc>
              <w:tc>
                <w:tcPr>
                  <w:tcW w:w="1776" w:type="dxa"/>
                  <w:shd w:val="clear" w:color="auto" w:fill="auto"/>
                  <w:noWrap/>
                  <w:vAlign w:val="center"/>
                </w:tcPr>
                <w:p>
                  <w:pPr>
                    <w:widowControl/>
                    <w:jc w:val="left"/>
                    <w:rPr>
                      <w:kern w:val="0"/>
                      <w:sz w:val="18"/>
                      <w:szCs w:val="18"/>
                    </w:rPr>
                  </w:pPr>
                  <w:r>
                    <w:rPr>
                      <w:kern w:val="0"/>
                      <w:sz w:val="18"/>
                      <w:szCs w:val="18"/>
                    </w:rPr>
                    <w:t>手提式</w:t>
                  </w:r>
                </w:p>
              </w:tc>
              <w:tc>
                <w:tcPr>
                  <w:tcW w:w="823" w:type="dxa"/>
                </w:tcPr>
                <w:p>
                  <w:pPr>
                    <w:widowControl/>
                    <w:jc w:val="left"/>
                    <w:rPr>
                      <w:kern w:val="0"/>
                      <w:sz w:val="18"/>
                      <w:szCs w:val="18"/>
                    </w:rPr>
                  </w:pPr>
                  <w:r>
                    <w:rPr>
                      <w:kern w:val="0"/>
                      <w:sz w:val="18"/>
                      <w:szCs w:val="18"/>
                    </w:rPr>
                    <w:t>/</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4</w:t>
                  </w:r>
                </w:p>
              </w:tc>
              <w:tc>
                <w:tcPr>
                  <w:tcW w:w="1701" w:type="dxa"/>
                  <w:shd w:val="clear" w:color="auto" w:fill="auto"/>
                  <w:noWrap/>
                  <w:vAlign w:val="center"/>
                </w:tcPr>
                <w:p>
                  <w:pPr>
                    <w:widowControl/>
                    <w:jc w:val="left"/>
                    <w:rPr>
                      <w:kern w:val="0"/>
                      <w:sz w:val="18"/>
                      <w:szCs w:val="18"/>
                    </w:rPr>
                  </w:pPr>
                  <w:r>
                    <w:rPr>
                      <w:kern w:val="0"/>
                      <w:sz w:val="18"/>
                      <w:szCs w:val="18"/>
                    </w:rPr>
                    <w:t>地板布掀铲</w:t>
                  </w:r>
                </w:p>
                <w:p>
                  <w:pPr>
                    <w:widowControl/>
                    <w:jc w:val="left"/>
                    <w:rPr>
                      <w:kern w:val="0"/>
                      <w:sz w:val="18"/>
                      <w:szCs w:val="18"/>
                    </w:rPr>
                  </w:pPr>
                  <w:r>
                    <w:rPr>
                      <w:kern w:val="0"/>
                      <w:sz w:val="18"/>
                      <w:szCs w:val="18"/>
                    </w:rPr>
                    <w:t>机</w:t>
                  </w:r>
                </w:p>
              </w:tc>
              <w:tc>
                <w:tcPr>
                  <w:tcW w:w="1776" w:type="dxa"/>
                  <w:shd w:val="clear" w:color="auto" w:fill="auto"/>
                  <w:noWrap/>
                  <w:vAlign w:val="center"/>
                </w:tcPr>
                <w:p>
                  <w:pPr>
                    <w:widowControl/>
                    <w:jc w:val="left"/>
                    <w:rPr>
                      <w:kern w:val="0"/>
                      <w:sz w:val="18"/>
                      <w:szCs w:val="18"/>
                    </w:rPr>
                  </w:pPr>
                  <w:r>
                    <w:rPr>
                      <w:kern w:val="0"/>
                      <w:sz w:val="18"/>
                      <w:szCs w:val="18"/>
                    </w:rPr>
                    <w:t>30-50㎡/h</w:t>
                  </w:r>
                </w:p>
              </w:tc>
              <w:tc>
                <w:tcPr>
                  <w:tcW w:w="823" w:type="dxa"/>
                </w:tcPr>
                <w:p>
                  <w:pPr>
                    <w:widowControl/>
                    <w:jc w:val="left"/>
                    <w:rPr>
                      <w:kern w:val="0"/>
                      <w:sz w:val="18"/>
                      <w:szCs w:val="18"/>
                    </w:rPr>
                  </w:pPr>
                  <w:r>
                    <w:rPr>
                      <w:kern w:val="0"/>
                      <w:sz w:val="18"/>
                      <w:szCs w:val="18"/>
                    </w:rPr>
                    <w:t>2</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5</w:t>
                  </w:r>
                </w:p>
              </w:tc>
              <w:tc>
                <w:tcPr>
                  <w:tcW w:w="1701" w:type="dxa"/>
                  <w:shd w:val="clear" w:color="auto" w:fill="auto"/>
                  <w:noWrap/>
                  <w:vAlign w:val="center"/>
                </w:tcPr>
                <w:p>
                  <w:pPr>
                    <w:widowControl/>
                    <w:jc w:val="left"/>
                    <w:rPr>
                      <w:kern w:val="0"/>
                      <w:sz w:val="18"/>
                      <w:szCs w:val="18"/>
                    </w:rPr>
                  </w:pPr>
                  <w:r>
                    <w:rPr>
                      <w:kern w:val="0"/>
                      <w:sz w:val="18"/>
                      <w:szCs w:val="18"/>
                    </w:rPr>
                    <w:t>吸尘器</w:t>
                  </w:r>
                </w:p>
              </w:tc>
              <w:tc>
                <w:tcPr>
                  <w:tcW w:w="1776" w:type="dxa"/>
                  <w:shd w:val="clear" w:color="auto" w:fill="auto"/>
                  <w:noWrap/>
                  <w:vAlign w:val="center"/>
                </w:tcPr>
                <w:p>
                  <w:pPr>
                    <w:widowControl/>
                    <w:jc w:val="left"/>
                    <w:rPr>
                      <w:kern w:val="0"/>
                      <w:sz w:val="18"/>
                      <w:szCs w:val="18"/>
                    </w:rPr>
                  </w:pPr>
                  <w:r>
                    <w:rPr>
                      <w:kern w:val="0"/>
                      <w:sz w:val="18"/>
                      <w:szCs w:val="18"/>
                    </w:rPr>
                    <w:t>GXT</w:t>
                  </w:r>
                </w:p>
              </w:tc>
              <w:tc>
                <w:tcPr>
                  <w:tcW w:w="823" w:type="dxa"/>
                </w:tcPr>
                <w:p>
                  <w:pPr>
                    <w:widowControl/>
                    <w:jc w:val="left"/>
                    <w:rPr>
                      <w:kern w:val="0"/>
                      <w:sz w:val="18"/>
                      <w:szCs w:val="18"/>
                    </w:rPr>
                  </w:pPr>
                  <w:r>
                    <w:rPr>
                      <w:kern w:val="0"/>
                      <w:sz w:val="18"/>
                      <w:szCs w:val="18"/>
                    </w:rPr>
                    <w:t>5.5</w:t>
                  </w:r>
                </w:p>
              </w:tc>
              <w:tc>
                <w:tcPr>
                  <w:tcW w:w="824" w:type="dxa"/>
                  <w:shd w:val="clear" w:color="auto" w:fill="auto"/>
                  <w:noWrap/>
                  <w:vAlign w:val="center"/>
                </w:tcPr>
                <w:p>
                  <w:pPr>
                    <w:widowControl/>
                    <w:jc w:val="left"/>
                    <w:rPr>
                      <w:kern w:val="0"/>
                      <w:sz w:val="18"/>
                      <w:szCs w:val="18"/>
                    </w:rPr>
                  </w:pPr>
                  <w:r>
                    <w:rPr>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6162" w:type="dxa"/>
                  <w:gridSpan w:val="5"/>
                </w:tcPr>
                <w:p>
                  <w:pPr>
                    <w:widowControl/>
                    <w:jc w:val="left"/>
                    <w:rPr>
                      <w:kern w:val="0"/>
                      <w:sz w:val="18"/>
                      <w:szCs w:val="18"/>
                    </w:rPr>
                  </w:pPr>
                  <w:r>
                    <w:rPr>
                      <w:kern w:val="0"/>
                      <w:sz w:val="18"/>
                      <w:szCs w:val="18"/>
                    </w:rPr>
                    <w:t>新建部件修厂房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6</w:t>
                  </w:r>
                </w:p>
              </w:tc>
              <w:tc>
                <w:tcPr>
                  <w:tcW w:w="1701" w:type="dxa"/>
                  <w:shd w:val="clear" w:color="auto" w:fill="auto"/>
                  <w:noWrap/>
                  <w:vAlign w:val="center"/>
                </w:tcPr>
                <w:p>
                  <w:pPr>
                    <w:widowControl/>
                    <w:jc w:val="left"/>
                    <w:rPr>
                      <w:kern w:val="0"/>
                      <w:sz w:val="18"/>
                      <w:szCs w:val="18"/>
                    </w:rPr>
                  </w:pPr>
                  <w:r>
                    <w:rPr>
                      <w:kern w:val="0"/>
                      <w:sz w:val="18"/>
                      <w:szCs w:val="18"/>
                    </w:rPr>
                    <w:t>桥式起重机</w:t>
                  </w:r>
                </w:p>
              </w:tc>
              <w:tc>
                <w:tcPr>
                  <w:tcW w:w="1776" w:type="dxa"/>
                  <w:shd w:val="clear" w:color="auto" w:fill="auto"/>
                  <w:noWrap/>
                  <w:vAlign w:val="center"/>
                </w:tcPr>
                <w:p>
                  <w:pPr>
                    <w:widowControl/>
                    <w:jc w:val="left"/>
                    <w:rPr>
                      <w:kern w:val="0"/>
                      <w:sz w:val="18"/>
                      <w:szCs w:val="18"/>
                    </w:rPr>
                  </w:pPr>
                  <w:r>
                    <w:rPr>
                      <w:kern w:val="0"/>
                      <w:sz w:val="18"/>
                      <w:szCs w:val="18"/>
                    </w:rPr>
                    <w:t>Gn=10t S=22.5m</w:t>
                  </w:r>
                </w:p>
              </w:tc>
              <w:tc>
                <w:tcPr>
                  <w:tcW w:w="823" w:type="dxa"/>
                </w:tcPr>
                <w:p>
                  <w:pPr>
                    <w:widowControl/>
                    <w:jc w:val="left"/>
                    <w:rPr>
                      <w:kern w:val="0"/>
                      <w:sz w:val="18"/>
                      <w:szCs w:val="18"/>
                    </w:rPr>
                  </w:pPr>
                  <w:r>
                    <w:rPr>
                      <w:kern w:val="0"/>
                      <w:sz w:val="18"/>
                      <w:szCs w:val="18"/>
                    </w:rPr>
                    <w:t>35</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7</w:t>
                  </w:r>
                </w:p>
              </w:tc>
              <w:tc>
                <w:tcPr>
                  <w:tcW w:w="1701" w:type="dxa"/>
                  <w:shd w:val="clear" w:color="auto" w:fill="auto"/>
                  <w:noWrap/>
                  <w:vAlign w:val="center"/>
                </w:tcPr>
                <w:p>
                  <w:pPr>
                    <w:widowControl/>
                    <w:jc w:val="left"/>
                    <w:rPr>
                      <w:kern w:val="0"/>
                      <w:sz w:val="18"/>
                      <w:szCs w:val="18"/>
                    </w:rPr>
                  </w:pPr>
                  <w:r>
                    <w:rPr>
                      <w:kern w:val="0"/>
                      <w:sz w:val="18"/>
                      <w:szCs w:val="18"/>
                    </w:rPr>
                    <w:t>梁式起重机</w:t>
                  </w:r>
                </w:p>
              </w:tc>
              <w:tc>
                <w:tcPr>
                  <w:tcW w:w="1776" w:type="dxa"/>
                  <w:shd w:val="clear" w:color="auto" w:fill="auto"/>
                  <w:noWrap/>
                  <w:vAlign w:val="center"/>
                </w:tcPr>
                <w:p>
                  <w:pPr>
                    <w:widowControl/>
                    <w:jc w:val="left"/>
                    <w:rPr>
                      <w:kern w:val="0"/>
                      <w:sz w:val="18"/>
                      <w:szCs w:val="18"/>
                    </w:rPr>
                  </w:pPr>
                  <w:r>
                    <w:rPr>
                      <w:kern w:val="0"/>
                      <w:sz w:val="18"/>
                      <w:szCs w:val="18"/>
                    </w:rPr>
                    <w:t>Gn=5t S=22.5m</w:t>
                  </w:r>
                </w:p>
              </w:tc>
              <w:tc>
                <w:tcPr>
                  <w:tcW w:w="823" w:type="dxa"/>
                </w:tcPr>
                <w:p>
                  <w:pPr>
                    <w:widowControl/>
                    <w:jc w:val="left"/>
                    <w:rPr>
                      <w:kern w:val="0"/>
                      <w:sz w:val="18"/>
                      <w:szCs w:val="18"/>
                    </w:rPr>
                  </w:pPr>
                  <w:r>
                    <w:rPr>
                      <w:kern w:val="0"/>
                      <w:sz w:val="18"/>
                      <w:szCs w:val="18"/>
                    </w:rPr>
                    <w:t>15</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8</w:t>
                  </w:r>
                </w:p>
              </w:tc>
              <w:tc>
                <w:tcPr>
                  <w:tcW w:w="1701" w:type="dxa"/>
                  <w:shd w:val="clear" w:color="auto" w:fill="auto"/>
                  <w:noWrap/>
                  <w:vAlign w:val="center"/>
                </w:tcPr>
                <w:p>
                  <w:pPr>
                    <w:widowControl/>
                    <w:jc w:val="left"/>
                    <w:rPr>
                      <w:kern w:val="0"/>
                      <w:sz w:val="18"/>
                      <w:szCs w:val="18"/>
                    </w:rPr>
                  </w:pPr>
                  <w:r>
                    <w:rPr>
                      <w:kern w:val="0"/>
                      <w:sz w:val="18"/>
                      <w:szCs w:val="18"/>
                    </w:rPr>
                    <w:t>梁式起重机</w:t>
                  </w:r>
                </w:p>
              </w:tc>
              <w:tc>
                <w:tcPr>
                  <w:tcW w:w="1776" w:type="dxa"/>
                  <w:shd w:val="clear" w:color="auto" w:fill="auto"/>
                  <w:noWrap/>
                  <w:vAlign w:val="center"/>
                </w:tcPr>
                <w:p>
                  <w:pPr>
                    <w:widowControl/>
                    <w:jc w:val="left"/>
                    <w:rPr>
                      <w:kern w:val="0"/>
                      <w:sz w:val="18"/>
                      <w:szCs w:val="18"/>
                    </w:rPr>
                  </w:pPr>
                  <w:r>
                    <w:rPr>
                      <w:kern w:val="0"/>
                      <w:sz w:val="18"/>
                      <w:szCs w:val="18"/>
                    </w:rPr>
                    <w:t>Gn=2t S=22.5m</w:t>
                  </w:r>
                </w:p>
              </w:tc>
              <w:tc>
                <w:tcPr>
                  <w:tcW w:w="823" w:type="dxa"/>
                </w:tcPr>
                <w:p>
                  <w:pPr>
                    <w:widowControl/>
                    <w:jc w:val="left"/>
                    <w:rPr>
                      <w:kern w:val="0"/>
                      <w:sz w:val="18"/>
                      <w:szCs w:val="18"/>
                    </w:rPr>
                  </w:pPr>
                  <w:r>
                    <w:rPr>
                      <w:kern w:val="0"/>
                      <w:sz w:val="18"/>
                      <w:szCs w:val="18"/>
                    </w:rPr>
                    <w:t>10</w:t>
                  </w:r>
                </w:p>
              </w:tc>
              <w:tc>
                <w:tcPr>
                  <w:tcW w:w="824" w:type="dxa"/>
                  <w:shd w:val="clear" w:color="auto" w:fill="auto"/>
                  <w:noWrap/>
                  <w:vAlign w:val="center"/>
                </w:tcPr>
                <w:p>
                  <w:pPr>
                    <w:widowControl/>
                    <w:jc w:val="left"/>
                    <w:rPr>
                      <w:kern w:val="0"/>
                      <w:sz w:val="18"/>
                      <w:szCs w:val="18"/>
                    </w:rPr>
                  </w:pPr>
                  <w:r>
                    <w:rPr>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9</w:t>
                  </w:r>
                </w:p>
              </w:tc>
              <w:tc>
                <w:tcPr>
                  <w:tcW w:w="1701" w:type="dxa"/>
                  <w:shd w:val="clear" w:color="auto" w:fill="auto"/>
                  <w:noWrap/>
                  <w:vAlign w:val="center"/>
                </w:tcPr>
                <w:p>
                  <w:pPr>
                    <w:widowControl/>
                    <w:jc w:val="left"/>
                    <w:rPr>
                      <w:kern w:val="0"/>
                      <w:sz w:val="18"/>
                      <w:szCs w:val="18"/>
                    </w:rPr>
                  </w:pPr>
                  <w:r>
                    <w:rPr>
                      <w:kern w:val="0"/>
                      <w:sz w:val="18"/>
                      <w:szCs w:val="18"/>
                    </w:rPr>
                    <w:t>梁式起重机</w:t>
                  </w:r>
                </w:p>
              </w:tc>
              <w:tc>
                <w:tcPr>
                  <w:tcW w:w="1776" w:type="dxa"/>
                  <w:shd w:val="clear" w:color="auto" w:fill="auto"/>
                  <w:noWrap/>
                  <w:vAlign w:val="center"/>
                </w:tcPr>
                <w:p>
                  <w:pPr>
                    <w:widowControl/>
                    <w:jc w:val="left"/>
                    <w:rPr>
                      <w:kern w:val="0"/>
                      <w:sz w:val="18"/>
                      <w:szCs w:val="18"/>
                    </w:rPr>
                  </w:pPr>
                  <w:r>
                    <w:rPr>
                      <w:kern w:val="0"/>
                      <w:sz w:val="18"/>
                      <w:szCs w:val="18"/>
                    </w:rPr>
                    <w:t>2T，7.5m</w:t>
                  </w:r>
                </w:p>
              </w:tc>
              <w:tc>
                <w:tcPr>
                  <w:tcW w:w="823" w:type="dxa"/>
                </w:tcPr>
                <w:p>
                  <w:pPr>
                    <w:widowControl/>
                    <w:jc w:val="left"/>
                    <w:rPr>
                      <w:kern w:val="0"/>
                      <w:sz w:val="18"/>
                      <w:szCs w:val="18"/>
                    </w:rPr>
                  </w:pPr>
                  <w:r>
                    <w:rPr>
                      <w:kern w:val="0"/>
                      <w:sz w:val="18"/>
                      <w:szCs w:val="18"/>
                    </w:rPr>
                    <w:t>7</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10</w:t>
                  </w:r>
                </w:p>
              </w:tc>
              <w:tc>
                <w:tcPr>
                  <w:tcW w:w="1701" w:type="dxa"/>
                  <w:shd w:val="clear" w:color="auto" w:fill="auto"/>
                  <w:noWrap/>
                  <w:vAlign w:val="center"/>
                </w:tcPr>
                <w:p>
                  <w:pPr>
                    <w:widowControl/>
                    <w:jc w:val="left"/>
                    <w:rPr>
                      <w:kern w:val="0"/>
                      <w:sz w:val="18"/>
                      <w:szCs w:val="18"/>
                    </w:rPr>
                  </w:pPr>
                  <w:r>
                    <w:rPr>
                      <w:kern w:val="0"/>
                      <w:sz w:val="18"/>
                      <w:szCs w:val="18"/>
                    </w:rPr>
                    <w:t>工作站起重系统</w:t>
                  </w:r>
                </w:p>
              </w:tc>
              <w:tc>
                <w:tcPr>
                  <w:tcW w:w="1776" w:type="dxa"/>
                  <w:shd w:val="clear" w:color="auto" w:fill="auto"/>
                  <w:noWrap/>
                  <w:vAlign w:val="center"/>
                </w:tcPr>
                <w:p>
                  <w:pPr>
                    <w:widowControl/>
                    <w:jc w:val="left"/>
                    <w:rPr>
                      <w:kern w:val="0"/>
                      <w:sz w:val="18"/>
                      <w:szCs w:val="18"/>
                    </w:rPr>
                  </w:pPr>
                  <w:r>
                    <w:rPr>
                      <w:kern w:val="0"/>
                      <w:sz w:val="18"/>
                      <w:szCs w:val="18"/>
                    </w:rPr>
                    <w:t>2.5t，30m</w:t>
                  </w:r>
                </w:p>
              </w:tc>
              <w:tc>
                <w:tcPr>
                  <w:tcW w:w="823" w:type="dxa"/>
                </w:tcPr>
                <w:p>
                  <w:pPr>
                    <w:widowControl/>
                    <w:jc w:val="left"/>
                    <w:rPr>
                      <w:kern w:val="0"/>
                      <w:sz w:val="18"/>
                      <w:szCs w:val="18"/>
                    </w:rPr>
                  </w:pPr>
                  <w:r>
                    <w:rPr>
                      <w:kern w:val="0"/>
                      <w:sz w:val="18"/>
                      <w:szCs w:val="18"/>
                    </w:rPr>
                    <w:t>10</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11</w:t>
                  </w:r>
                </w:p>
              </w:tc>
              <w:tc>
                <w:tcPr>
                  <w:tcW w:w="1701" w:type="dxa"/>
                  <w:shd w:val="clear" w:color="auto" w:fill="auto"/>
                  <w:noWrap/>
                  <w:vAlign w:val="center"/>
                </w:tcPr>
                <w:p>
                  <w:pPr>
                    <w:widowControl/>
                    <w:jc w:val="left"/>
                    <w:rPr>
                      <w:kern w:val="0"/>
                      <w:sz w:val="18"/>
                      <w:szCs w:val="18"/>
                    </w:rPr>
                  </w:pPr>
                  <w:r>
                    <w:rPr>
                      <w:kern w:val="0"/>
                      <w:sz w:val="18"/>
                      <w:szCs w:val="18"/>
                    </w:rPr>
                    <w:t>工作站起重系统</w:t>
                  </w:r>
                </w:p>
              </w:tc>
              <w:tc>
                <w:tcPr>
                  <w:tcW w:w="1776" w:type="dxa"/>
                  <w:shd w:val="clear" w:color="auto" w:fill="auto"/>
                  <w:noWrap/>
                  <w:vAlign w:val="center"/>
                </w:tcPr>
                <w:p>
                  <w:pPr>
                    <w:widowControl/>
                    <w:jc w:val="left"/>
                    <w:rPr>
                      <w:kern w:val="0"/>
                      <w:sz w:val="18"/>
                      <w:szCs w:val="18"/>
                    </w:rPr>
                  </w:pPr>
                  <w:r>
                    <w:rPr>
                      <w:kern w:val="0"/>
                      <w:sz w:val="18"/>
                      <w:szCs w:val="18"/>
                    </w:rPr>
                    <w:t>2t，20m</w:t>
                  </w:r>
                </w:p>
              </w:tc>
              <w:tc>
                <w:tcPr>
                  <w:tcW w:w="823" w:type="dxa"/>
                </w:tcPr>
                <w:p>
                  <w:pPr>
                    <w:widowControl/>
                    <w:jc w:val="left"/>
                    <w:rPr>
                      <w:kern w:val="0"/>
                      <w:sz w:val="18"/>
                      <w:szCs w:val="18"/>
                    </w:rPr>
                  </w:pPr>
                  <w:r>
                    <w:rPr>
                      <w:kern w:val="0"/>
                      <w:sz w:val="18"/>
                      <w:szCs w:val="18"/>
                    </w:rPr>
                    <w:t>10</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12</w:t>
                  </w:r>
                </w:p>
              </w:tc>
              <w:tc>
                <w:tcPr>
                  <w:tcW w:w="1701" w:type="dxa"/>
                  <w:shd w:val="clear" w:color="auto" w:fill="auto"/>
                  <w:noWrap/>
                  <w:vAlign w:val="center"/>
                </w:tcPr>
                <w:p>
                  <w:pPr>
                    <w:widowControl/>
                    <w:jc w:val="left"/>
                    <w:rPr>
                      <w:kern w:val="0"/>
                      <w:sz w:val="18"/>
                      <w:szCs w:val="18"/>
                    </w:rPr>
                  </w:pPr>
                  <w:r>
                    <w:rPr>
                      <w:kern w:val="0"/>
                      <w:sz w:val="18"/>
                      <w:szCs w:val="18"/>
                    </w:rPr>
                    <w:t>直流稳压电源</w:t>
                  </w:r>
                </w:p>
              </w:tc>
              <w:tc>
                <w:tcPr>
                  <w:tcW w:w="1776" w:type="dxa"/>
                  <w:shd w:val="clear" w:color="auto" w:fill="auto"/>
                  <w:noWrap/>
                  <w:vAlign w:val="center"/>
                </w:tcPr>
                <w:p>
                  <w:pPr>
                    <w:widowControl/>
                    <w:jc w:val="left"/>
                    <w:rPr>
                      <w:kern w:val="0"/>
                      <w:sz w:val="18"/>
                      <w:szCs w:val="18"/>
                    </w:rPr>
                  </w:pPr>
                  <w:r>
                    <w:rPr>
                      <w:kern w:val="0"/>
                      <w:sz w:val="18"/>
                      <w:szCs w:val="18"/>
                    </w:rPr>
                    <w:t>非标</w:t>
                  </w:r>
                </w:p>
              </w:tc>
              <w:tc>
                <w:tcPr>
                  <w:tcW w:w="823" w:type="dxa"/>
                </w:tcPr>
                <w:p>
                  <w:pPr>
                    <w:widowControl/>
                    <w:jc w:val="left"/>
                    <w:rPr>
                      <w:kern w:val="0"/>
                      <w:sz w:val="18"/>
                      <w:szCs w:val="18"/>
                    </w:rPr>
                  </w:pPr>
                  <w:r>
                    <w:rPr>
                      <w:kern w:val="0"/>
                      <w:sz w:val="18"/>
                      <w:szCs w:val="18"/>
                    </w:rPr>
                    <w:t>2</w:t>
                  </w:r>
                </w:p>
              </w:tc>
              <w:tc>
                <w:tcPr>
                  <w:tcW w:w="824" w:type="dxa"/>
                  <w:shd w:val="clear" w:color="auto" w:fill="auto"/>
                  <w:noWrap/>
                  <w:vAlign w:val="center"/>
                </w:tcPr>
                <w:p>
                  <w:pPr>
                    <w:widowControl/>
                    <w:jc w:val="left"/>
                    <w:rPr>
                      <w:kern w:val="0"/>
                      <w:sz w:val="18"/>
                      <w:szCs w:val="18"/>
                    </w:rPr>
                  </w:pPr>
                  <w:r>
                    <w:rPr>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13</w:t>
                  </w:r>
                </w:p>
              </w:tc>
              <w:tc>
                <w:tcPr>
                  <w:tcW w:w="1701" w:type="dxa"/>
                  <w:shd w:val="clear" w:color="auto" w:fill="auto"/>
                  <w:noWrap/>
                  <w:vAlign w:val="center"/>
                </w:tcPr>
                <w:p>
                  <w:pPr>
                    <w:widowControl/>
                    <w:jc w:val="left"/>
                    <w:rPr>
                      <w:kern w:val="0"/>
                      <w:sz w:val="18"/>
                      <w:szCs w:val="18"/>
                    </w:rPr>
                  </w:pPr>
                  <w:r>
                    <w:rPr>
                      <w:kern w:val="0"/>
                      <w:sz w:val="18"/>
                      <w:szCs w:val="18"/>
                    </w:rPr>
                    <w:t>多功能工作台</w:t>
                  </w:r>
                </w:p>
              </w:tc>
              <w:tc>
                <w:tcPr>
                  <w:tcW w:w="1776" w:type="dxa"/>
                  <w:shd w:val="clear" w:color="auto" w:fill="auto"/>
                  <w:noWrap/>
                </w:tcPr>
                <w:p>
                  <w:r>
                    <w:rPr>
                      <w:kern w:val="0"/>
                      <w:sz w:val="18"/>
                      <w:szCs w:val="18"/>
                    </w:rPr>
                    <w:t>非标</w:t>
                  </w:r>
                </w:p>
              </w:tc>
              <w:tc>
                <w:tcPr>
                  <w:tcW w:w="823" w:type="dxa"/>
                </w:tcPr>
                <w:p>
                  <w:pPr>
                    <w:widowControl/>
                    <w:jc w:val="left"/>
                    <w:rPr>
                      <w:kern w:val="0"/>
                      <w:sz w:val="18"/>
                      <w:szCs w:val="18"/>
                    </w:rPr>
                  </w:pPr>
                  <w:r>
                    <w:rPr>
                      <w:kern w:val="0"/>
                      <w:sz w:val="18"/>
                      <w:szCs w:val="18"/>
                    </w:rPr>
                    <w:t>/</w:t>
                  </w:r>
                </w:p>
              </w:tc>
              <w:tc>
                <w:tcPr>
                  <w:tcW w:w="824" w:type="dxa"/>
                  <w:shd w:val="clear" w:color="auto" w:fill="auto"/>
                  <w:noWrap/>
                  <w:vAlign w:val="center"/>
                </w:tcPr>
                <w:p>
                  <w:pPr>
                    <w:widowControl/>
                    <w:jc w:val="left"/>
                    <w:rPr>
                      <w:kern w:val="0"/>
                      <w:sz w:val="18"/>
                      <w:szCs w:val="18"/>
                    </w:rPr>
                  </w:pPr>
                  <w:r>
                    <w:rPr>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14</w:t>
                  </w:r>
                </w:p>
              </w:tc>
              <w:tc>
                <w:tcPr>
                  <w:tcW w:w="1701" w:type="dxa"/>
                  <w:shd w:val="clear" w:color="auto" w:fill="auto"/>
                  <w:noWrap/>
                  <w:vAlign w:val="center"/>
                </w:tcPr>
                <w:p>
                  <w:pPr>
                    <w:widowControl/>
                    <w:jc w:val="left"/>
                    <w:rPr>
                      <w:kern w:val="0"/>
                      <w:sz w:val="18"/>
                      <w:szCs w:val="18"/>
                    </w:rPr>
                  </w:pPr>
                  <w:r>
                    <w:rPr>
                      <w:kern w:val="0"/>
                      <w:sz w:val="18"/>
                      <w:szCs w:val="18"/>
                    </w:rPr>
                    <w:t>车轴清洗除锈装置</w:t>
                  </w:r>
                </w:p>
              </w:tc>
              <w:tc>
                <w:tcPr>
                  <w:tcW w:w="1776" w:type="dxa"/>
                  <w:shd w:val="clear" w:color="auto" w:fill="auto"/>
                  <w:noWrap/>
                </w:tcPr>
                <w:p>
                  <w:r>
                    <w:rPr>
                      <w:kern w:val="0"/>
                      <w:sz w:val="18"/>
                      <w:szCs w:val="18"/>
                    </w:rPr>
                    <w:t>非标</w:t>
                  </w:r>
                </w:p>
              </w:tc>
              <w:tc>
                <w:tcPr>
                  <w:tcW w:w="823" w:type="dxa"/>
                </w:tcPr>
                <w:p>
                  <w:pPr>
                    <w:widowControl/>
                    <w:jc w:val="left"/>
                    <w:rPr>
                      <w:kern w:val="0"/>
                      <w:sz w:val="18"/>
                      <w:szCs w:val="18"/>
                    </w:rPr>
                  </w:pPr>
                  <w:r>
                    <w:rPr>
                      <w:kern w:val="0"/>
                      <w:sz w:val="18"/>
                      <w:szCs w:val="18"/>
                    </w:rPr>
                    <w:t>30</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15</w:t>
                  </w:r>
                </w:p>
              </w:tc>
              <w:tc>
                <w:tcPr>
                  <w:tcW w:w="1701" w:type="dxa"/>
                  <w:shd w:val="clear" w:color="auto" w:fill="auto"/>
                  <w:noWrap/>
                  <w:vAlign w:val="center"/>
                </w:tcPr>
                <w:p>
                  <w:pPr>
                    <w:widowControl/>
                    <w:jc w:val="left"/>
                    <w:rPr>
                      <w:kern w:val="0"/>
                      <w:sz w:val="18"/>
                      <w:szCs w:val="18"/>
                    </w:rPr>
                  </w:pPr>
                  <w:r>
                    <w:rPr>
                      <w:kern w:val="0"/>
                      <w:sz w:val="18"/>
                      <w:szCs w:val="18"/>
                    </w:rPr>
                    <w:t>空簧试验台</w:t>
                  </w:r>
                </w:p>
              </w:tc>
              <w:tc>
                <w:tcPr>
                  <w:tcW w:w="1776" w:type="dxa"/>
                  <w:shd w:val="clear" w:color="auto" w:fill="auto"/>
                  <w:noWrap/>
                  <w:vAlign w:val="center"/>
                </w:tcPr>
                <w:p>
                  <w:pPr>
                    <w:widowControl/>
                    <w:jc w:val="left"/>
                    <w:rPr>
                      <w:kern w:val="0"/>
                      <w:sz w:val="18"/>
                      <w:szCs w:val="18"/>
                    </w:rPr>
                  </w:pPr>
                  <w:r>
                    <w:rPr>
                      <w:kern w:val="0"/>
                      <w:sz w:val="18"/>
                      <w:szCs w:val="18"/>
                    </w:rPr>
                    <w:t>/</w:t>
                  </w:r>
                </w:p>
              </w:tc>
              <w:tc>
                <w:tcPr>
                  <w:tcW w:w="823" w:type="dxa"/>
                </w:tcPr>
                <w:p>
                  <w:pPr>
                    <w:widowControl/>
                    <w:jc w:val="left"/>
                    <w:rPr>
                      <w:kern w:val="0"/>
                      <w:sz w:val="18"/>
                      <w:szCs w:val="18"/>
                    </w:rPr>
                  </w:pPr>
                  <w:r>
                    <w:rPr>
                      <w:kern w:val="0"/>
                      <w:sz w:val="18"/>
                      <w:szCs w:val="18"/>
                    </w:rPr>
                    <w:t>10</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16</w:t>
                  </w:r>
                </w:p>
              </w:tc>
              <w:tc>
                <w:tcPr>
                  <w:tcW w:w="1701" w:type="dxa"/>
                  <w:shd w:val="clear" w:color="auto" w:fill="auto"/>
                  <w:noWrap/>
                  <w:vAlign w:val="center"/>
                </w:tcPr>
                <w:p>
                  <w:pPr>
                    <w:widowControl/>
                    <w:jc w:val="left"/>
                    <w:rPr>
                      <w:kern w:val="0"/>
                      <w:sz w:val="18"/>
                      <w:szCs w:val="18"/>
                    </w:rPr>
                  </w:pPr>
                  <w:r>
                    <w:rPr>
                      <w:kern w:val="0"/>
                      <w:sz w:val="18"/>
                      <w:szCs w:val="18"/>
                    </w:rPr>
                    <w:t>转向架转盘</w:t>
                  </w:r>
                </w:p>
              </w:tc>
              <w:tc>
                <w:tcPr>
                  <w:tcW w:w="1776" w:type="dxa"/>
                  <w:shd w:val="clear" w:color="auto" w:fill="auto"/>
                  <w:noWrap/>
                  <w:vAlign w:val="center"/>
                </w:tcPr>
                <w:p>
                  <w:pPr>
                    <w:widowControl/>
                    <w:jc w:val="left"/>
                    <w:rPr>
                      <w:kern w:val="0"/>
                      <w:sz w:val="18"/>
                      <w:szCs w:val="18"/>
                    </w:rPr>
                  </w:pPr>
                  <w:r>
                    <w:rPr>
                      <w:kern w:val="0"/>
                      <w:sz w:val="18"/>
                      <w:szCs w:val="18"/>
                    </w:rPr>
                    <w:t>10t</w:t>
                  </w:r>
                </w:p>
              </w:tc>
              <w:tc>
                <w:tcPr>
                  <w:tcW w:w="823" w:type="dxa"/>
                </w:tcPr>
                <w:p>
                  <w:pPr>
                    <w:widowControl/>
                    <w:jc w:val="left"/>
                    <w:rPr>
                      <w:kern w:val="0"/>
                      <w:sz w:val="18"/>
                      <w:szCs w:val="18"/>
                    </w:rPr>
                  </w:pPr>
                  <w:r>
                    <w:rPr>
                      <w:kern w:val="0"/>
                      <w:sz w:val="18"/>
                      <w:szCs w:val="18"/>
                    </w:rPr>
                    <w:t>3</w:t>
                  </w:r>
                </w:p>
              </w:tc>
              <w:tc>
                <w:tcPr>
                  <w:tcW w:w="824" w:type="dxa"/>
                  <w:shd w:val="clear" w:color="auto" w:fill="auto"/>
                  <w:noWrap/>
                  <w:vAlign w:val="center"/>
                </w:tcPr>
                <w:p>
                  <w:pPr>
                    <w:widowControl/>
                    <w:jc w:val="left"/>
                    <w:rPr>
                      <w:kern w:val="0"/>
                      <w:sz w:val="18"/>
                      <w:szCs w:val="18"/>
                    </w:rPr>
                  </w:pPr>
                  <w:r>
                    <w:rPr>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17</w:t>
                  </w:r>
                </w:p>
              </w:tc>
              <w:tc>
                <w:tcPr>
                  <w:tcW w:w="1701" w:type="dxa"/>
                  <w:shd w:val="clear" w:color="auto" w:fill="auto"/>
                  <w:noWrap/>
                  <w:vAlign w:val="center"/>
                </w:tcPr>
                <w:p>
                  <w:pPr>
                    <w:widowControl/>
                    <w:jc w:val="left"/>
                    <w:rPr>
                      <w:kern w:val="0"/>
                      <w:sz w:val="18"/>
                      <w:szCs w:val="18"/>
                    </w:rPr>
                  </w:pPr>
                  <w:r>
                    <w:rPr>
                      <w:kern w:val="0"/>
                      <w:sz w:val="18"/>
                      <w:szCs w:val="18"/>
                    </w:rPr>
                    <w:t>轮对转盘</w:t>
                  </w:r>
                </w:p>
              </w:tc>
              <w:tc>
                <w:tcPr>
                  <w:tcW w:w="1776" w:type="dxa"/>
                  <w:shd w:val="clear" w:color="auto" w:fill="auto"/>
                  <w:noWrap/>
                  <w:vAlign w:val="center"/>
                </w:tcPr>
                <w:p>
                  <w:pPr>
                    <w:widowControl/>
                    <w:jc w:val="left"/>
                    <w:rPr>
                      <w:kern w:val="0"/>
                      <w:sz w:val="18"/>
                      <w:szCs w:val="18"/>
                    </w:rPr>
                  </w:pPr>
                  <w:r>
                    <w:rPr>
                      <w:kern w:val="0"/>
                      <w:sz w:val="18"/>
                      <w:szCs w:val="18"/>
                    </w:rPr>
                    <w:t>3t</w:t>
                  </w:r>
                </w:p>
              </w:tc>
              <w:tc>
                <w:tcPr>
                  <w:tcW w:w="823" w:type="dxa"/>
                </w:tcPr>
                <w:p>
                  <w:pPr>
                    <w:widowControl/>
                    <w:jc w:val="left"/>
                    <w:rPr>
                      <w:kern w:val="0"/>
                      <w:sz w:val="18"/>
                      <w:szCs w:val="18"/>
                    </w:rPr>
                  </w:pPr>
                  <w:r>
                    <w:rPr>
                      <w:kern w:val="0"/>
                      <w:sz w:val="18"/>
                      <w:szCs w:val="18"/>
                    </w:rPr>
                    <w:t>3</w:t>
                  </w:r>
                </w:p>
              </w:tc>
              <w:tc>
                <w:tcPr>
                  <w:tcW w:w="824" w:type="dxa"/>
                  <w:shd w:val="clear" w:color="auto" w:fill="auto"/>
                  <w:noWrap/>
                  <w:vAlign w:val="center"/>
                </w:tcPr>
                <w:p>
                  <w:pPr>
                    <w:widowControl/>
                    <w:jc w:val="left"/>
                    <w:rPr>
                      <w:kern w:val="0"/>
                      <w:sz w:val="18"/>
                      <w:szCs w:val="18"/>
                    </w:rPr>
                  </w:pPr>
                  <w:r>
                    <w:rPr>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18</w:t>
                  </w:r>
                </w:p>
              </w:tc>
              <w:tc>
                <w:tcPr>
                  <w:tcW w:w="1701" w:type="dxa"/>
                  <w:shd w:val="clear" w:color="auto" w:fill="auto"/>
                  <w:noWrap/>
                  <w:vAlign w:val="center"/>
                </w:tcPr>
                <w:p>
                  <w:pPr>
                    <w:widowControl/>
                    <w:jc w:val="left"/>
                    <w:rPr>
                      <w:kern w:val="0"/>
                      <w:sz w:val="18"/>
                      <w:szCs w:val="18"/>
                    </w:rPr>
                  </w:pPr>
                  <w:r>
                    <w:rPr>
                      <w:kern w:val="0"/>
                      <w:sz w:val="18"/>
                      <w:szCs w:val="18"/>
                    </w:rPr>
                    <w:t>转向架举升机</w:t>
                  </w:r>
                </w:p>
              </w:tc>
              <w:tc>
                <w:tcPr>
                  <w:tcW w:w="1776" w:type="dxa"/>
                  <w:shd w:val="clear" w:color="auto" w:fill="auto"/>
                  <w:noWrap/>
                </w:tcPr>
                <w:p>
                  <w:r>
                    <w:rPr>
                      <w:kern w:val="0"/>
                      <w:sz w:val="18"/>
                      <w:szCs w:val="18"/>
                    </w:rPr>
                    <w:t>非标</w:t>
                  </w:r>
                </w:p>
              </w:tc>
              <w:tc>
                <w:tcPr>
                  <w:tcW w:w="823" w:type="dxa"/>
                </w:tcPr>
                <w:p>
                  <w:pPr>
                    <w:widowControl/>
                    <w:jc w:val="left"/>
                    <w:rPr>
                      <w:kern w:val="0"/>
                      <w:sz w:val="18"/>
                      <w:szCs w:val="18"/>
                    </w:rPr>
                  </w:pPr>
                  <w:r>
                    <w:rPr>
                      <w:kern w:val="0"/>
                      <w:sz w:val="18"/>
                      <w:szCs w:val="18"/>
                    </w:rPr>
                    <w:t>9</w:t>
                  </w:r>
                </w:p>
              </w:tc>
              <w:tc>
                <w:tcPr>
                  <w:tcW w:w="824" w:type="dxa"/>
                  <w:shd w:val="clear" w:color="auto" w:fill="auto"/>
                  <w:noWrap/>
                  <w:vAlign w:val="center"/>
                </w:tcPr>
                <w:p>
                  <w:pPr>
                    <w:widowControl/>
                    <w:jc w:val="left"/>
                    <w:rPr>
                      <w:kern w:val="0"/>
                      <w:sz w:val="18"/>
                      <w:szCs w:val="18"/>
                    </w:rPr>
                  </w:pPr>
                  <w:r>
                    <w:rPr>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19</w:t>
                  </w:r>
                </w:p>
              </w:tc>
              <w:tc>
                <w:tcPr>
                  <w:tcW w:w="1701" w:type="dxa"/>
                  <w:shd w:val="clear" w:color="auto" w:fill="auto"/>
                  <w:noWrap/>
                  <w:vAlign w:val="center"/>
                </w:tcPr>
                <w:p>
                  <w:pPr>
                    <w:widowControl/>
                    <w:jc w:val="left"/>
                    <w:rPr>
                      <w:kern w:val="0"/>
                      <w:sz w:val="18"/>
                      <w:szCs w:val="18"/>
                    </w:rPr>
                  </w:pPr>
                  <w:r>
                    <w:rPr>
                      <w:kern w:val="0"/>
                      <w:sz w:val="18"/>
                      <w:szCs w:val="18"/>
                    </w:rPr>
                    <w:t>构架输送车</w:t>
                  </w:r>
                </w:p>
              </w:tc>
              <w:tc>
                <w:tcPr>
                  <w:tcW w:w="1776" w:type="dxa"/>
                  <w:shd w:val="clear" w:color="auto" w:fill="auto"/>
                  <w:noWrap/>
                </w:tcPr>
                <w:p>
                  <w:r>
                    <w:rPr>
                      <w:kern w:val="0"/>
                      <w:sz w:val="18"/>
                      <w:szCs w:val="18"/>
                    </w:rPr>
                    <w:t>非标</w:t>
                  </w:r>
                </w:p>
              </w:tc>
              <w:tc>
                <w:tcPr>
                  <w:tcW w:w="823" w:type="dxa"/>
                </w:tcPr>
                <w:p>
                  <w:pPr>
                    <w:widowControl/>
                    <w:jc w:val="left"/>
                    <w:rPr>
                      <w:kern w:val="0"/>
                      <w:sz w:val="18"/>
                      <w:szCs w:val="18"/>
                    </w:rPr>
                  </w:pPr>
                  <w:r>
                    <w:rPr>
                      <w:kern w:val="0"/>
                      <w:sz w:val="18"/>
                      <w:szCs w:val="18"/>
                    </w:rPr>
                    <w:t>/</w:t>
                  </w:r>
                </w:p>
              </w:tc>
              <w:tc>
                <w:tcPr>
                  <w:tcW w:w="824" w:type="dxa"/>
                  <w:shd w:val="clear" w:color="auto" w:fill="auto"/>
                  <w:noWrap/>
                  <w:vAlign w:val="center"/>
                </w:tcPr>
                <w:p>
                  <w:pPr>
                    <w:widowControl/>
                    <w:jc w:val="left"/>
                    <w:rPr>
                      <w:kern w:val="0"/>
                      <w:sz w:val="18"/>
                      <w:szCs w:val="18"/>
                    </w:rPr>
                  </w:pPr>
                  <w:r>
                    <w:rPr>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20</w:t>
                  </w:r>
                </w:p>
              </w:tc>
              <w:tc>
                <w:tcPr>
                  <w:tcW w:w="1701" w:type="dxa"/>
                  <w:shd w:val="clear" w:color="auto" w:fill="auto"/>
                  <w:noWrap/>
                  <w:vAlign w:val="center"/>
                </w:tcPr>
                <w:p>
                  <w:pPr>
                    <w:widowControl/>
                    <w:jc w:val="left"/>
                    <w:rPr>
                      <w:kern w:val="0"/>
                      <w:sz w:val="18"/>
                      <w:szCs w:val="18"/>
                    </w:rPr>
                  </w:pPr>
                  <w:r>
                    <w:rPr>
                      <w:kern w:val="0"/>
                      <w:sz w:val="18"/>
                      <w:szCs w:val="18"/>
                    </w:rPr>
                    <w:t>轴承退卸机</w:t>
                  </w:r>
                </w:p>
              </w:tc>
              <w:tc>
                <w:tcPr>
                  <w:tcW w:w="1776" w:type="dxa"/>
                  <w:shd w:val="clear" w:color="auto" w:fill="auto"/>
                  <w:noWrap/>
                </w:tcPr>
                <w:p>
                  <w:r>
                    <w:rPr>
                      <w:kern w:val="0"/>
                      <w:sz w:val="18"/>
                      <w:szCs w:val="18"/>
                    </w:rPr>
                    <w:t>非标</w:t>
                  </w:r>
                </w:p>
              </w:tc>
              <w:tc>
                <w:tcPr>
                  <w:tcW w:w="823" w:type="dxa"/>
                </w:tcPr>
                <w:p>
                  <w:pPr>
                    <w:widowControl/>
                    <w:jc w:val="left"/>
                    <w:rPr>
                      <w:kern w:val="0"/>
                      <w:sz w:val="18"/>
                      <w:szCs w:val="18"/>
                    </w:rPr>
                  </w:pPr>
                  <w:r>
                    <w:rPr>
                      <w:kern w:val="0"/>
                      <w:sz w:val="18"/>
                      <w:szCs w:val="18"/>
                    </w:rPr>
                    <w:t>25</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21</w:t>
                  </w:r>
                </w:p>
              </w:tc>
              <w:tc>
                <w:tcPr>
                  <w:tcW w:w="1701" w:type="dxa"/>
                  <w:shd w:val="clear" w:color="auto" w:fill="auto"/>
                  <w:noWrap/>
                  <w:vAlign w:val="center"/>
                </w:tcPr>
                <w:p>
                  <w:pPr>
                    <w:widowControl/>
                    <w:jc w:val="left"/>
                    <w:rPr>
                      <w:kern w:val="0"/>
                      <w:sz w:val="18"/>
                      <w:szCs w:val="18"/>
                    </w:rPr>
                  </w:pPr>
                  <w:r>
                    <w:rPr>
                      <w:kern w:val="0"/>
                      <w:sz w:val="18"/>
                      <w:szCs w:val="18"/>
                    </w:rPr>
                    <w:t>轮轴退卸单元</w:t>
                  </w:r>
                </w:p>
              </w:tc>
              <w:tc>
                <w:tcPr>
                  <w:tcW w:w="1776" w:type="dxa"/>
                  <w:shd w:val="clear" w:color="auto" w:fill="auto"/>
                  <w:noWrap/>
                </w:tcPr>
                <w:p>
                  <w:r>
                    <w:rPr>
                      <w:kern w:val="0"/>
                      <w:sz w:val="18"/>
                      <w:szCs w:val="18"/>
                    </w:rPr>
                    <w:t>非标</w:t>
                  </w:r>
                </w:p>
              </w:tc>
              <w:tc>
                <w:tcPr>
                  <w:tcW w:w="823" w:type="dxa"/>
                </w:tcPr>
                <w:p>
                  <w:pPr>
                    <w:widowControl/>
                    <w:jc w:val="left"/>
                    <w:rPr>
                      <w:kern w:val="0"/>
                      <w:sz w:val="18"/>
                      <w:szCs w:val="18"/>
                    </w:rPr>
                  </w:pPr>
                  <w:r>
                    <w:rPr>
                      <w:kern w:val="0"/>
                      <w:sz w:val="18"/>
                      <w:szCs w:val="18"/>
                    </w:rPr>
                    <w:t>70</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22</w:t>
                  </w:r>
                </w:p>
              </w:tc>
              <w:tc>
                <w:tcPr>
                  <w:tcW w:w="1701" w:type="dxa"/>
                  <w:shd w:val="clear" w:color="auto" w:fill="auto"/>
                  <w:noWrap/>
                  <w:vAlign w:val="center"/>
                </w:tcPr>
                <w:p>
                  <w:pPr>
                    <w:widowControl/>
                    <w:jc w:val="left"/>
                    <w:rPr>
                      <w:kern w:val="0"/>
                      <w:sz w:val="18"/>
                      <w:szCs w:val="18"/>
                    </w:rPr>
                  </w:pPr>
                  <w:r>
                    <w:rPr>
                      <w:kern w:val="0"/>
                      <w:sz w:val="18"/>
                      <w:szCs w:val="18"/>
                    </w:rPr>
                    <w:t>轮对清洗除锈机</w:t>
                  </w:r>
                </w:p>
              </w:tc>
              <w:tc>
                <w:tcPr>
                  <w:tcW w:w="1776" w:type="dxa"/>
                  <w:shd w:val="clear" w:color="auto" w:fill="auto"/>
                  <w:noWrap/>
                </w:tcPr>
                <w:p>
                  <w:r>
                    <w:rPr>
                      <w:kern w:val="0"/>
                      <w:sz w:val="18"/>
                      <w:szCs w:val="18"/>
                    </w:rPr>
                    <w:t>非标</w:t>
                  </w:r>
                </w:p>
              </w:tc>
              <w:tc>
                <w:tcPr>
                  <w:tcW w:w="823" w:type="dxa"/>
                </w:tcPr>
                <w:p>
                  <w:pPr>
                    <w:widowControl/>
                    <w:jc w:val="left"/>
                    <w:rPr>
                      <w:kern w:val="0"/>
                      <w:sz w:val="18"/>
                      <w:szCs w:val="18"/>
                    </w:rPr>
                  </w:pPr>
                  <w:r>
                    <w:rPr>
                      <w:kern w:val="0"/>
                      <w:sz w:val="18"/>
                      <w:szCs w:val="18"/>
                    </w:rPr>
                    <w:t>40</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23</w:t>
                  </w:r>
                </w:p>
              </w:tc>
              <w:tc>
                <w:tcPr>
                  <w:tcW w:w="1701" w:type="dxa"/>
                  <w:shd w:val="clear" w:color="auto" w:fill="auto"/>
                  <w:noWrap/>
                  <w:vAlign w:val="center"/>
                </w:tcPr>
                <w:p>
                  <w:pPr>
                    <w:widowControl/>
                    <w:jc w:val="left"/>
                    <w:rPr>
                      <w:kern w:val="0"/>
                      <w:sz w:val="18"/>
                      <w:szCs w:val="18"/>
                    </w:rPr>
                  </w:pPr>
                  <w:r>
                    <w:rPr>
                      <w:kern w:val="0"/>
                      <w:sz w:val="18"/>
                      <w:szCs w:val="18"/>
                    </w:rPr>
                    <w:t>轮对磁粉探伤机</w:t>
                  </w:r>
                </w:p>
              </w:tc>
              <w:tc>
                <w:tcPr>
                  <w:tcW w:w="1776" w:type="dxa"/>
                  <w:shd w:val="clear" w:color="auto" w:fill="auto"/>
                  <w:noWrap/>
                </w:tcPr>
                <w:p>
                  <w:r>
                    <w:rPr>
                      <w:kern w:val="0"/>
                      <w:sz w:val="18"/>
                      <w:szCs w:val="18"/>
                    </w:rPr>
                    <w:t>非标</w:t>
                  </w:r>
                </w:p>
              </w:tc>
              <w:tc>
                <w:tcPr>
                  <w:tcW w:w="823" w:type="dxa"/>
                </w:tcPr>
                <w:p>
                  <w:pPr>
                    <w:widowControl/>
                    <w:jc w:val="left"/>
                    <w:rPr>
                      <w:kern w:val="0"/>
                      <w:sz w:val="18"/>
                      <w:szCs w:val="18"/>
                    </w:rPr>
                  </w:pPr>
                  <w:r>
                    <w:rPr>
                      <w:kern w:val="0"/>
                      <w:sz w:val="18"/>
                      <w:szCs w:val="18"/>
                    </w:rPr>
                    <w:t>60</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24</w:t>
                  </w:r>
                </w:p>
              </w:tc>
              <w:tc>
                <w:tcPr>
                  <w:tcW w:w="1701" w:type="dxa"/>
                  <w:shd w:val="clear" w:color="auto" w:fill="auto"/>
                  <w:noWrap/>
                  <w:vAlign w:val="center"/>
                </w:tcPr>
                <w:p>
                  <w:pPr>
                    <w:widowControl/>
                    <w:jc w:val="left"/>
                    <w:rPr>
                      <w:kern w:val="0"/>
                      <w:sz w:val="18"/>
                      <w:szCs w:val="18"/>
                    </w:rPr>
                  </w:pPr>
                  <w:r>
                    <w:rPr>
                      <w:kern w:val="0"/>
                      <w:sz w:val="18"/>
                      <w:szCs w:val="18"/>
                    </w:rPr>
                    <w:t>车轴超声波探伤仪</w:t>
                  </w:r>
                </w:p>
              </w:tc>
              <w:tc>
                <w:tcPr>
                  <w:tcW w:w="1776" w:type="dxa"/>
                  <w:shd w:val="clear" w:color="auto" w:fill="auto"/>
                  <w:noWrap/>
                </w:tcPr>
                <w:p>
                  <w:r>
                    <w:rPr>
                      <w:kern w:val="0"/>
                      <w:sz w:val="18"/>
                      <w:szCs w:val="18"/>
                    </w:rPr>
                    <w:t>非标</w:t>
                  </w:r>
                </w:p>
              </w:tc>
              <w:tc>
                <w:tcPr>
                  <w:tcW w:w="823" w:type="dxa"/>
                </w:tcPr>
                <w:p>
                  <w:pPr>
                    <w:widowControl/>
                    <w:jc w:val="left"/>
                    <w:rPr>
                      <w:kern w:val="0"/>
                      <w:sz w:val="18"/>
                      <w:szCs w:val="18"/>
                    </w:rPr>
                  </w:pPr>
                  <w:r>
                    <w:rPr>
                      <w:kern w:val="0"/>
                      <w:sz w:val="18"/>
                      <w:szCs w:val="18"/>
                    </w:rPr>
                    <w:t>6</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25</w:t>
                  </w:r>
                </w:p>
              </w:tc>
              <w:tc>
                <w:tcPr>
                  <w:tcW w:w="1701" w:type="dxa"/>
                  <w:shd w:val="clear" w:color="auto" w:fill="auto"/>
                  <w:noWrap/>
                  <w:vAlign w:val="center"/>
                </w:tcPr>
                <w:p>
                  <w:pPr>
                    <w:widowControl/>
                    <w:jc w:val="left"/>
                    <w:rPr>
                      <w:kern w:val="0"/>
                      <w:sz w:val="18"/>
                      <w:szCs w:val="18"/>
                    </w:rPr>
                  </w:pPr>
                  <w:r>
                    <w:rPr>
                      <w:kern w:val="0"/>
                      <w:sz w:val="18"/>
                      <w:szCs w:val="18"/>
                    </w:rPr>
                    <w:t>车轴荧光探伤设备</w:t>
                  </w:r>
                </w:p>
              </w:tc>
              <w:tc>
                <w:tcPr>
                  <w:tcW w:w="1776" w:type="dxa"/>
                  <w:shd w:val="clear" w:color="auto" w:fill="auto"/>
                  <w:noWrap/>
                </w:tcPr>
                <w:p>
                  <w:r>
                    <w:rPr>
                      <w:kern w:val="0"/>
                      <w:sz w:val="18"/>
                      <w:szCs w:val="18"/>
                    </w:rPr>
                    <w:t>非标</w:t>
                  </w:r>
                </w:p>
              </w:tc>
              <w:tc>
                <w:tcPr>
                  <w:tcW w:w="823" w:type="dxa"/>
                </w:tcPr>
                <w:p>
                  <w:pPr>
                    <w:widowControl/>
                    <w:jc w:val="left"/>
                    <w:rPr>
                      <w:kern w:val="0"/>
                      <w:sz w:val="18"/>
                      <w:szCs w:val="18"/>
                    </w:rPr>
                  </w:pPr>
                  <w:r>
                    <w:rPr>
                      <w:kern w:val="0"/>
                      <w:sz w:val="18"/>
                      <w:szCs w:val="18"/>
                    </w:rPr>
                    <w:t>60</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26</w:t>
                  </w:r>
                </w:p>
              </w:tc>
              <w:tc>
                <w:tcPr>
                  <w:tcW w:w="1701" w:type="dxa"/>
                  <w:shd w:val="clear" w:color="auto" w:fill="auto"/>
                  <w:noWrap/>
                  <w:vAlign w:val="center"/>
                </w:tcPr>
                <w:p>
                  <w:pPr>
                    <w:widowControl/>
                    <w:jc w:val="left"/>
                    <w:rPr>
                      <w:kern w:val="0"/>
                      <w:sz w:val="18"/>
                      <w:szCs w:val="18"/>
                    </w:rPr>
                  </w:pPr>
                  <w:r>
                    <w:rPr>
                      <w:kern w:val="0"/>
                      <w:sz w:val="18"/>
                      <w:szCs w:val="18"/>
                    </w:rPr>
                    <w:t>轮轴压装单元</w:t>
                  </w:r>
                </w:p>
              </w:tc>
              <w:tc>
                <w:tcPr>
                  <w:tcW w:w="1776" w:type="dxa"/>
                  <w:shd w:val="clear" w:color="auto" w:fill="auto"/>
                  <w:noWrap/>
                </w:tcPr>
                <w:p>
                  <w:r>
                    <w:rPr>
                      <w:kern w:val="0"/>
                      <w:sz w:val="18"/>
                      <w:szCs w:val="18"/>
                    </w:rPr>
                    <w:t>非标</w:t>
                  </w:r>
                </w:p>
              </w:tc>
              <w:tc>
                <w:tcPr>
                  <w:tcW w:w="823" w:type="dxa"/>
                </w:tcPr>
                <w:p>
                  <w:pPr>
                    <w:widowControl/>
                    <w:jc w:val="left"/>
                    <w:rPr>
                      <w:kern w:val="0"/>
                      <w:sz w:val="18"/>
                      <w:szCs w:val="18"/>
                    </w:rPr>
                  </w:pPr>
                  <w:r>
                    <w:rPr>
                      <w:kern w:val="0"/>
                      <w:sz w:val="18"/>
                      <w:szCs w:val="18"/>
                    </w:rPr>
                    <w:t>65</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27</w:t>
                  </w:r>
                </w:p>
              </w:tc>
              <w:tc>
                <w:tcPr>
                  <w:tcW w:w="1701" w:type="dxa"/>
                  <w:shd w:val="clear" w:color="auto" w:fill="auto"/>
                  <w:noWrap/>
                  <w:vAlign w:val="center"/>
                </w:tcPr>
                <w:p>
                  <w:pPr>
                    <w:widowControl/>
                    <w:jc w:val="left"/>
                    <w:rPr>
                      <w:kern w:val="0"/>
                      <w:sz w:val="18"/>
                      <w:szCs w:val="18"/>
                    </w:rPr>
                  </w:pPr>
                  <w:r>
                    <w:rPr>
                      <w:kern w:val="0"/>
                      <w:sz w:val="18"/>
                      <w:szCs w:val="18"/>
                    </w:rPr>
                    <w:t>轮对测量机</w:t>
                  </w:r>
                </w:p>
              </w:tc>
              <w:tc>
                <w:tcPr>
                  <w:tcW w:w="1776" w:type="dxa"/>
                  <w:shd w:val="clear" w:color="auto" w:fill="auto"/>
                  <w:noWrap/>
                </w:tcPr>
                <w:p>
                  <w:r>
                    <w:rPr>
                      <w:kern w:val="0"/>
                      <w:sz w:val="18"/>
                      <w:szCs w:val="18"/>
                    </w:rPr>
                    <w:t>非标</w:t>
                  </w:r>
                </w:p>
              </w:tc>
              <w:tc>
                <w:tcPr>
                  <w:tcW w:w="823" w:type="dxa"/>
                </w:tcPr>
                <w:p>
                  <w:pPr>
                    <w:widowControl/>
                    <w:jc w:val="left"/>
                    <w:rPr>
                      <w:kern w:val="0"/>
                      <w:sz w:val="18"/>
                      <w:szCs w:val="18"/>
                    </w:rPr>
                  </w:pPr>
                  <w:r>
                    <w:rPr>
                      <w:kern w:val="0"/>
                      <w:sz w:val="18"/>
                      <w:szCs w:val="18"/>
                    </w:rPr>
                    <w:t>20</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28</w:t>
                  </w:r>
                </w:p>
              </w:tc>
              <w:tc>
                <w:tcPr>
                  <w:tcW w:w="1701" w:type="dxa"/>
                  <w:shd w:val="clear" w:color="auto" w:fill="auto"/>
                  <w:noWrap/>
                  <w:vAlign w:val="center"/>
                </w:tcPr>
                <w:p>
                  <w:pPr>
                    <w:widowControl/>
                    <w:jc w:val="left"/>
                    <w:rPr>
                      <w:kern w:val="0"/>
                      <w:sz w:val="18"/>
                      <w:szCs w:val="18"/>
                    </w:rPr>
                  </w:pPr>
                  <w:r>
                    <w:rPr>
                      <w:kern w:val="0"/>
                      <w:sz w:val="18"/>
                      <w:szCs w:val="18"/>
                    </w:rPr>
                    <w:t>轴承压装机</w:t>
                  </w:r>
                </w:p>
              </w:tc>
              <w:tc>
                <w:tcPr>
                  <w:tcW w:w="1776" w:type="dxa"/>
                  <w:shd w:val="clear" w:color="auto" w:fill="auto"/>
                  <w:noWrap/>
                </w:tcPr>
                <w:p>
                  <w:r>
                    <w:rPr>
                      <w:kern w:val="0"/>
                      <w:sz w:val="18"/>
                      <w:szCs w:val="18"/>
                    </w:rPr>
                    <w:t>非标</w:t>
                  </w:r>
                </w:p>
              </w:tc>
              <w:tc>
                <w:tcPr>
                  <w:tcW w:w="823" w:type="dxa"/>
                </w:tcPr>
                <w:p>
                  <w:pPr>
                    <w:widowControl/>
                    <w:jc w:val="left"/>
                    <w:rPr>
                      <w:kern w:val="0"/>
                      <w:sz w:val="18"/>
                      <w:szCs w:val="18"/>
                    </w:rPr>
                  </w:pPr>
                  <w:r>
                    <w:rPr>
                      <w:kern w:val="0"/>
                      <w:sz w:val="18"/>
                      <w:szCs w:val="18"/>
                    </w:rPr>
                    <w:t>21</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29</w:t>
                  </w:r>
                </w:p>
              </w:tc>
              <w:tc>
                <w:tcPr>
                  <w:tcW w:w="1701" w:type="dxa"/>
                  <w:shd w:val="clear" w:color="auto" w:fill="auto"/>
                  <w:noWrap/>
                  <w:vAlign w:val="center"/>
                </w:tcPr>
                <w:p>
                  <w:pPr>
                    <w:widowControl/>
                    <w:jc w:val="left"/>
                    <w:rPr>
                      <w:kern w:val="0"/>
                      <w:sz w:val="18"/>
                      <w:szCs w:val="18"/>
                    </w:rPr>
                  </w:pPr>
                  <w:r>
                    <w:rPr>
                      <w:kern w:val="0"/>
                      <w:sz w:val="18"/>
                      <w:szCs w:val="18"/>
                    </w:rPr>
                    <w:t>液压机</w:t>
                  </w:r>
                </w:p>
              </w:tc>
              <w:tc>
                <w:tcPr>
                  <w:tcW w:w="1776" w:type="dxa"/>
                  <w:shd w:val="clear" w:color="auto" w:fill="auto"/>
                  <w:noWrap/>
                </w:tcPr>
                <w:p>
                  <w:r>
                    <w:rPr>
                      <w:kern w:val="0"/>
                      <w:sz w:val="18"/>
                      <w:szCs w:val="18"/>
                    </w:rPr>
                    <w:t>非标</w:t>
                  </w:r>
                </w:p>
              </w:tc>
              <w:tc>
                <w:tcPr>
                  <w:tcW w:w="823" w:type="dxa"/>
                </w:tcPr>
                <w:p>
                  <w:pPr>
                    <w:widowControl/>
                    <w:jc w:val="left"/>
                    <w:rPr>
                      <w:kern w:val="0"/>
                      <w:sz w:val="18"/>
                      <w:szCs w:val="18"/>
                    </w:rPr>
                  </w:pPr>
                  <w:r>
                    <w:rPr>
                      <w:kern w:val="0"/>
                      <w:sz w:val="18"/>
                      <w:szCs w:val="18"/>
                    </w:rPr>
                    <w:t>2.2</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30</w:t>
                  </w:r>
                </w:p>
              </w:tc>
              <w:tc>
                <w:tcPr>
                  <w:tcW w:w="1701" w:type="dxa"/>
                  <w:shd w:val="clear" w:color="auto" w:fill="auto"/>
                  <w:noWrap/>
                  <w:vAlign w:val="center"/>
                </w:tcPr>
                <w:p>
                  <w:pPr>
                    <w:widowControl/>
                    <w:jc w:val="left"/>
                    <w:rPr>
                      <w:kern w:val="0"/>
                      <w:sz w:val="18"/>
                      <w:szCs w:val="18"/>
                    </w:rPr>
                  </w:pPr>
                  <w:r>
                    <w:rPr>
                      <w:kern w:val="0"/>
                      <w:sz w:val="18"/>
                      <w:szCs w:val="18"/>
                    </w:rPr>
                    <w:t>钢簧荧光磁粉探伤设备</w:t>
                  </w:r>
                </w:p>
              </w:tc>
              <w:tc>
                <w:tcPr>
                  <w:tcW w:w="1776" w:type="dxa"/>
                  <w:shd w:val="clear" w:color="auto" w:fill="auto"/>
                  <w:noWrap/>
                </w:tcPr>
                <w:p>
                  <w:r>
                    <w:rPr>
                      <w:kern w:val="0"/>
                      <w:sz w:val="18"/>
                      <w:szCs w:val="18"/>
                    </w:rPr>
                    <w:t>非标</w:t>
                  </w:r>
                </w:p>
              </w:tc>
              <w:tc>
                <w:tcPr>
                  <w:tcW w:w="823" w:type="dxa"/>
                </w:tcPr>
                <w:p>
                  <w:pPr>
                    <w:widowControl/>
                    <w:jc w:val="left"/>
                    <w:rPr>
                      <w:kern w:val="0"/>
                      <w:sz w:val="18"/>
                      <w:szCs w:val="18"/>
                    </w:rPr>
                  </w:pPr>
                  <w:r>
                    <w:rPr>
                      <w:kern w:val="0"/>
                      <w:sz w:val="18"/>
                      <w:szCs w:val="18"/>
                    </w:rPr>
                    <w:t>80</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31</w:t>
                  </w:r>
                </w:p>
              </w:tc>
              <w:tc>
                <w:tcPr>
                  <w:tcW w:w="1701" w:type="dxa"/>
                  <w:shd w:val="clear" w:color="auto" w:fill="auto"/>
                  <w:noWrap/>
                  <w:vAlign w:val="center"/>
                </w:tcPr>
                <w:p>
                  <w:pPr>
                    <w:widowControl/>
                    <w:jc w:val="left"/>
                    <w:rPr>
                      <w:kern w:val="0"/>
                      <w:sz w:val="18"/>
                      <w:szCs w:val="18"/>
                    </w:rPr>
                  </w:pPr>
                  <w:r>
                    <w:rPr>
                      <w:kern w:val="0"/>
                      <w:sz w:val="18"/>
                      <w:szCs w:val="18"/>
                    </w:rPr>
                    <w:t>除尘式砂轮机</w:t>
                  </w:r>
                </w:p>
              </w:tc>
              <w:tc>
                <w:tcPr>
                  <w:tcW w:w="1776" w:type="dxa"/>
                  <w:shd w:val="clear" w:color="auto" w:fill="auto"/>
                  <w:noWrap/>
                  <w:vAlign w:val="center"/>
                </w:tcPr>
                <w:p>
                  <w:pPr>
                    <w:widowControl/>
                    <w:jc w:val="left"/>
                    <w:rPr>
                      <w:kern w:val="0"/>
                      <w:sz w:val="18"/>
                      <w:szCs w:val="18"/>
                    </w:rPr>
                  </w:pPr>
                  <w:r>
                    <w:rPr>
                      <w:kern w:val="0"/>
                      <w:sz w:val="18"/>
                      <w:szCs w:val="18"/>
                    </w:rPr>
                    <w:t>17801</w:t>
                  </w:r>
                </w:p>
              </w:tc>
              <w:tc>
                <w:tcPr>
                  <w:tcW w:w="823" w:type="dxa"/>
                </w:tcPr>
                <w:p>
                  <w:pPr>
                    <w:widowControl/>
                    <w:jc w:val="left"/>
                    <w:rPr>
                      <w:kern w:val="0"/>
                      <w:sz w:val="18"/>
                      <w:szCs w:val="18"/>
                    </w:rPr>
                  </w:pPr>
                  <w:r>
                    <w:rPr>
                      <w:kern w:val="0"/>
                      <w:sz w:val="18"/>
                      <w:szCs w:val="18"/>
                    </w:rPr>
                    <w:t>1.5</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32</w:t>
                  </w:r>
                </w:p>
              </w:tc>
              <w:tc>
                <w:tcPr>
                  <w:tcW w:w="1701" w:type="dxa"/>
                  <w:shd w:val="clear" w:color="auto" w:fill="auto"/>
                  <w:noWrap/>
                  <w:vAlign w:val="center"/>
                </w:tcPr>
                <w:p>
                  <w:pPr>
                    <w:widowControl/>
                    <w:jc w:val="left"/>
                    <w:rPr>
                      <w:kern w:val="0"/>
                      <w:sz w:val="18"/>
                      <w:szCs w:val="18"/>
                    </w:rPr>
                  </w:pPr>
                  <w:r>
                    <w:rPr>
                      <w:kern w:val="0"/>
                      <w:sz w:val="18"/>
                      <w:szCs w:val="18"/>
                    </w:rPr>
                    <w:t>抛丸机</w:t>
                  </w:r>
                </w:p>
              </w:tc>
              <w:tc>
                <w:tcPr>
                  <w:tcW w:w="1776" w:type="dxa"/>
                  <w:shd w:val="clear" w:color="auto" w:fill="auto"/>
                  <w:noWrap/>
                  <w:vAlign w:val="center"/>
                </w:tcPr>
                <w:p>
                  <w:pPr>
                    <w:widowControl/>
                    <w:jc w:val="left"/>
                    <w:rPr>
                      <w:kern w:val="0"/>
                      <w:sz w:val="18"/>
                      <w:szCs w:val="18"/>
                    </w:rPr>
                  </w:pPr>
                  <w:r>
                    <w:rPr>
                      <w:kern w:val="0"/>
                      <w:sz w:val="18"/>
                      <w:szCs w:val="18"/>
                    </w:rPr>
                    <w:t>非标</w:t>
                  </w:r>
                </w:p>
              </w:tc>
              <w:tc>
                <w:tcPr>
                  <w:tcW w:w="823" w:type="dxa"/>
                </w:tcPr>
                <w:p>
                  <w:pPr>
                    <w:widowControl/>
                    <w:jc w:val="left"/>
                    <w:rPr>
                      <w:kern w:val="0"/>
                      <w:sz w:val="18"/>
                      <w:szCs w:val="18"/>
                    </w:rPr>
                  </w:pPr>
                  <w:r>
                    <w:rPr>
                      <w:kern w:val="0"/>
                      <w:sz w:val="18"/>
                      <w:szCs w:val="18"/>
                    </w:rPr>
                    <w:t>132</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33</w:t>
                  </w:r>
                </w:p>
              </w:tc>
              <w:tc>
                <w:tcPr>
                  <w:tcW w:w="1701" w:type="dxa"/>
                  <w:shd w:val="clear" w:color="auto" w:fill="auto"/>
                  <w:noWrap/>
                  <w:vAlign w:val="center"/>
                </w:tcPr>
                <w:p>
                  <w:pPr>
                    <w:widowControl/>
                    <w:jc w:val="left"/>
                    <w:rPr>
                      <w:kern w:val="0"/>
                      <w:sz w:val="18"/>
                      <w:szCs w:val="18"/>
                    </w:rPr>
                  </w:pPr>
                  <w:r>
                    <w:rPr>
                      <w:kern w:val="0"/>
                      <w:sz w:val="18"/>
                      <w:szCs w:val="18"/>
                    </w:rPr>
                    <w:t>电机吹扫装置</w:t>
                  </w:r>
                </w:p>
              </w:tc>
              <w:tc>
                <w:tcPr>
                  <w:tcW w:w="1776" w:type="dxa"/>
                  <w:shd w:val="clear" w:color="auto" w:fill="auto"/>
                  <w:noWrap/>
                  <w:vAlign w:val="center"/>
                </w:tcPr>
                <w:p>
                  <w:pPr>
                    <w:widowControl/>
                    <w:jc w:val="left"/>
                    <w:rPr>
                      <w:kern w:val="0"/>
                      <w:sz w:val="18"/>
                      <w:szCs w:val="18"/>
                    </w:rPr>
                  </w:pPr>
                  <w:r>
                    <w:rPr>
                      <w:kern w:val="0"/>
                      <w:sz w:val="18"/>
                      <w:szCs w:val="18"/>
                    </w:rPr>
                    <w:t>非标</w:t>
                  </w:r>
                </w:p>
              </w:tc>
              <w:tc>
                <w:tcPr>
                  <w:tcW w:w="823" w:type="dxa"/>
                </w:tcPr>
                <w:p>
                  <w:pPr>
                    <w:widowControl/>
                    <w:jc w:val="left"/>
                    <w:rPr>
                      <w:kern w:val="0"/>
                      <w:sz w:val="18"/>
                      <w:szCs w:val="18"/>
                    </w:rPr>
                  </w:pPr>
                  <w:r>
                    <w:rPr>
                      <w:kern w:val="0"/>
                      <w:sz w:val="18"/>
                      <w:szCs w:val="18"/>
                    </w:rPr>
                    <w:t>15</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34</w:t>
                  </w:r>
                </w:p>
              </w:tc>
              <w:tc>
                <w:tcPr>
                  <w:tcW w:w="1701" w:type="dxa"/>
                  <w:shd w:val="clear" w:color="auto" w:fill="auto"/>
                  <w:noWrap/>
                  <w:vAlign w:val="center"/>
                </w:tcPr>
                <w:p>
                  <w:pPr>
                    <w:widowControl/>
                    <w:jc w:val="left"/>
                    <w:rPr>
                      <w:kern w:val="0"/>
                      <w:sz w:val="18"/>
                      <w:szCs w:val="18"/>
                    </w:rPr>
                  </w:pPr>
                  <w:r>
                    <w:rPr>
                      <w:kern w:val="0"/>
                      <w:sz w:val="18"/>
                      <w:szCs w:val="18"/>
                    </w:rPr>
                    <w:t>工作台</w:t>
                  </w:r>
                </w:p>
              </w:tc>
              <w:tc>
                <w:tcPr>
                  <w:tcW w:w="1776" w:type="dxa"/>
                  <w:shd w:val="clear" w:color="auto" w:fill="auto"/>
                  <w:noWrap/>
                  <w:vAlign w:val="center"/>
                </w:tcPr>
                <w:p>
                  <w:pPr>
                    <w:widowControl/>
                    <w:jc w:val="left"/>
                    <w:rPr>
                      <w:kern w:val="0"/>
                      <w:sz w:val="18"/>
                      <w:szCs w:val="18"/>
                    </w:rPr>
                  </w:pPr>
                  <w:r>
                    <w:rPr>
                      <w:kern w:val="0"/>
                      <w:sz w:val="18"/>
                      <w:szCs w:val="18"/>
                    </w:rPr>
                    <w:t>2*1.2m</w:t>
                  </w:r>
                </w:p>
              </w:tc>
              <w:tc>
                <w:tcPr>
                  <w:tcW w:w="823" w:type="dxa"/>
                </w:tcPr>
                <w:p>
                  <w:pPr>
                    <w:widowControl/>
                    <w:jc w:val="left"/>
                    <w:rPr>
                      <w:kern w:val="0"/>
                      <w:sz w:val="18"/>
                      <w:szCs w:val="18"/>
                    </w:rPr>
                  </w:pPr>
                  <w:r>
                    <w:rPr>
                      <w:kern w:val="0"/>
                      <w:sz w:val="18"/>
                      <w:szCs w:val="18"/>
                    </w:rPr>
                    <w:t>/</w:t>
                  </w:r>
                </w:p>
              </w:tc>
              <w:tc>
                <w:tcPr>
                  <w:tcW w:w="824" w:type="dxa"/>
                  <w:shd w:val="clear" w:color="auto" w:fill="auto"/>
                  <w:noWrap/>
                  <w:vAlign w:val="center"/>
                </w:tcPr>
                <w:p>
                  <w:pPr>
                    <w:widowControl/>
                    <w:jc w:val="left"/>
                    <w:rPr>
                      <w:kern w:val="0"/>
                      <w:sz w:val="18"/>
                      <w:szCs w:val="18"/>
                    </w:rPr>
                  </w:pPr>
                  <w:r>
                    <w:rPr>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35</w:t>
                  </w:r>
                </w:p>
              </w:tc>
              <w:tc>
                <w:tcPr>
                  <w:tcW w:w="1701" w:type="dxa"/>
                  <w:shd w:val="clear" w:color="auto" w:fill="auto"/>
                  <w:noWrap/>
                  <w:vAlign w:val="center"/>
                </w:tcPr>
                <w:p>
                  <w:pPr>
                    <w:widowControl/>
                    <w:jc w:val="left"/>
                    <w:rPr>
                      <w:kern w:val="0"/>
                      <w:sz w:val="18"/>
                      <w:szCs w:val="18"/>
                    </w:rPr>
                  </w:pPr>
                  <w:r>
                    <w:rPr>
                      <w:kern w:val="0"/>
                      <w:sz w:val="18"/>
                      <w:szCs w:val="18"/>
                    </w:rPr>
                    <w:t>便携式振动测试仪</w:t>
                  </w:r>
                </w:p>
              </w:tc>
              <w:tc>
                <w:tcPr>
                  <w:tcW w:w="1776" w:type="dxa"/>
                  <w:shd w:val="clear" w:color="auto" w:fill="auto"/>
                  <w:noWrap/>
                  <w:vAlign w:val="center"/>
                </w:tcPr>
                <w:p>
                  <w:pPr>
                    <w:widowControl/>
                    <w:jc w:val="left"/>
                    <w:rPr>
                      <w:kern w:val="0"/>
                      <w:sz w:val="18"/>
                      <w:szCs w:val="18"/>
                    </w:rPr>
                  </w:pPr>
                  <w:r>
                    <w:rPr>
                      <w:kern w:val="0"/>
                      <w:sz w:val="18"/>
                      <w:szCs w:val="18"/>
                    </w:rPr>
                    <w:t>/</w:t>
                  </w:r>
                </w:p>
              </w:tc>
              <w:tc>
                <w:tcPr>
                  <w:tcW w:w="823" w:type="dxa"/>
                </w:tcPr>
                <w:p>
                  <w:pPr>
                    <w:widowControl/>
                    <w:jc w:val="left"/>
                    <w:rPr>
                      <w:kern w:val="0"/>
                      <w:sz w:val="18"/>
                      <w:szCs w:val="18"/>
                    </w:rPr>
                  </w:pPr>
                  <w:r>
                    <w:rPr>
                      <w:kern w:val="0"/>
                      <w:sz w:val="18"/>
                      <w:szCs w:val="18"/>
                    </w:rPr>
                    <w:t>/</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6162" w:type="dxa"/>
                  <w:gridSpan w:val="5"/>
                </w:tcPr>
                <w:p>
                  <w:pPr>
                    <w:widowControl/>
                    <w:jc w:val="left"/>
                    <w:rPr>
                      <w:kern w:val="0"/>
                      <w:sz w:val="18"/>
                      <w:szCs w:val="18"/>
                    </w:rPr>
                  </w:pPr>
                  <w:r>
                    <w:rPr>
                      <w:kern w:val="0"/>
                      <w:sz w:val="18"/>
                      <w:szCs w:val="18"/>
                    </w:rPr>
                    <w:t>蓄电池间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36</w:t>
                  </w:r>
                </w:p>
              </w:tc>
              <w:tc>
                <w:tcPr>
                  <w:tcW w:w="1701" w:type="dxa"/>
                  <w:shd w:val="clear" w:color="auto" w:fill="auto"/>
                  <w:noWrap/>
                  <w:vAlign w:val="center"/>
                </w:tcPr>
                <w:p>
                  <w:pPr>
                    <w:widowControl/>
                    <w:jc w:val="left"/>
                    <w:rPr>
                      <w:kern w:val="0"/>
                      <w:sz w:val="18"/>
                      <w:szCs w:val="18"/>
                    </w:rPr>
                  </w:pPr>
                  <w:r>
                    <w:rPr>
                      <w:kern w:val="0"/>
                      <w:sz w:val="18"/>
                      <w:szCs w:val="18"/>
                    </w:rPr>
                    <w:t>自动横流恒压充放电机</w:t>
                  </w:r>
                </w:p>
              </w:tc>
              <w:tc>
                <w:tcPr>
                  <w:tcW w:w="1776" w:type="dxa"/>
                  <w:shd w:val="clear" w:color="auto" w:fill="auto"/>
                  <w:noWrap/>
                  <w:vAlign w:val="center"/>
                </w:tcPr>
                <w:p>
                  <w:pPr>
                    <w:widowControl/>
                    <w:jc w:val="left"/>
                    <w:rPr>
                      <w:kern w:val="0"/>
                      <w:sz w:val="18"/>
                      <w:szCs w:val="18"/>
                    </w:rPr>
                  </w:pPr>
                  <w:r>
                    <w:rPr>
                      <w:kern w:val="0"/>
                      <w:sz w:val="18"/>
                      <w:szCs w:val="18"/>
                    </w:rPr>
                    <w:t>110v/24V，30A</w:t>
                  </w:r>
                </w:p>
              </w:tc>
              <w:tc>
                <w:tcPr>
                  <w:tcW w:w="823" w:type="dxa"/>
                </w:tcPr>
                <w:p>
                  <w:pPr>
                    <w:widowControl/>
                    <w:jc w:val="left"/>
                    <w:rPr>
                      <w:kern w:val="0"/>
                      <w:sz w:val="18"/>
                      <w:szCs w:val="18"/>
                    </w:rPr>
                  </w:pPr>
                  <w:r>
                    <w:rPr>
                      <w:kern w:val="0"/>
                      <w:sz w:val="18"/>
                      <w:szCs w:val="18"/>
                    </w:rPr>
                    <w:t>20</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6162" w:type="dxa"/>
                  <w:gridSpan w:val="5"/>
                </w:tcPr>
                <w:p>
                  <w:pPr>
                    <w:widowControl/>
                    <w:jc w:val="left"/>
                    <w:rPr>
                      <w:kern w:val="0"/>
                      <w:sz w:val="18"/>
                      <w:szCs w:val="18"/>
                    </w:rPr>
                  </w:pPr>
                  <w:r>
                    <w:rPr>
                      <w:kern w:val="0"/>
                      <w:sz w:val="18"/>
                      <w:szCs w:val="18"/>
                    </w:rPr>
                    <w:t>材料库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37</w:t>
                  </w:r>
                </w:p>
              </w:tc>
              <w:tc>
                <w:tcPr>
                  <w:tcW w:w="1701" w:type="dxa"/>
                  <w:shd w:val="clear" w:color="auto" w:fill="auto"/>
                  <w:noWrap/>
                  <w:vAlign w:val="center"/>
                </w:tcPr>
                <w:p>
                  <w:pPr>
                    <w:widowControl/>
                    <w:jc w:val="left"/>
                    <w:rPr>
                      <w:kern w:val="0"/>
                      <w:sz w:val="18"/>
                      <w:szCs w:val="18"/>
                    </w:rPr>
                  </w:pPr>
                  <w:r>
                    <w:rPr>
                      <w:kern w:val="0"/>
                      <w:sz w:val="18"/>
                      <w:szCs w:val="18"/>
                    </w:rPr>
                    <w:t>转向架转盘</w:t>
                  </w:r>
                </w:p>
              </w:tc>
              <w:tc>
                <w:tcPr>
                  <w:tcW w:w="1776" w:type="dxa"/>
                  <w:shd w:val="clear" w:color="auto" w:fill="auto"/>
                  <w:noWrap/>
                  <w:vAlign w:val="center"/>
                </w:tcPr>
                <w:p>
                  <w:pPr>
                    <w:widowControl/>
                    <w:jc w:val="left"/>
                    <w:rPr>
                      <w:kern w:val="0"/>
                      <w:sz w:val="18"/>
                      <w:szCs w:val="18"/>
                    </w:rPr>
                  </w:pPr>
                  <w:r>
                    <w:rPr>
                      <w:kern w:val="0"/>
                      <w:sz w:val="18"/>
                      <w:szCs w:val="18"/>
                    </w:rPr>
                    <w:t>10t</w:t>
                  </w:r>
                </w:p>
              </w:tc>
              <w:tc>
                <w:tcPr>
                  <w:tcW w:w="823" w:type="dxa"/>
                </w:tcPr>
                <w:p>
                  <w:pPr>
                    <w:widowControl/>
                    <w:jc w:val="left"/>
                    <w:rPr>
                      <w:kern w:val="0"/>
                      <w:sz w:val="18"/>
                      <w:szCs w:val="18"/>
                    </w:rPr>
                  </w:pPr>
                  <w:r>
                    <w:rPr>
                      <w:kern w:val="0"/>
                      <w:sz w:val="18"/>
                      <w:szCs w:val="18"/>
                    </w:rPr>
                    <w:t>3</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38</w:t>
                  </w:r>
                </w:p>
              </w:tc>
              <w:tc>
                <w:tcPr>
                  <w:tcW w:w="1701" w:type="dxa"/>
                  <w:shd w:val="clear" w:color="auto" w:fill="auto"/>
                  <w:noWrap/>
                  <w:vAlign w:val="center"/>
                </w:tcPr>
                <w:p>
                  <w:pPr>
                    <w:widowControl/>
                    <w:jc w:val="left"/>
                    <w:rPr>
                      <w:kern w:val="0"/>
                      <w:sz w:val="18"/>
                      <w:szCs w:val="18"/>
                    </w:rPr>
                  </w:pPr>
                  <w:r>
                    <w:rPr>
                      <w:kern w:val="0"/>
                      <w:sz w:val="18"/>
                      <w:szCs w:val="18"/>
                    </w:rPr>
                    <w:t>叉车</w:t>
                  </w:r>
                </w:p>
              </w:tc>
              <w:tc>
                <w:tcPr>
                  <w:tcW w:w="1776" w:type="dxa"/>
                  <w:shd w:val="clear" w:color="auto" w:fill="auto"/>
                  <w:noWrap/>
                  <w:vAlign w:val="center"/>
                </w:tcPr>
                <w:p>
                  <w:pPr>
                    <w:widowControl/>
                    <w:jc w:val="left"/>
                    <w:rPr>
                      <w:kern w:val="0"/>
                      <w:sz w:val="18"/>
                      <w:szCs w:val="18"/>
                    </w:rPr>
                  </w:pPr>
                  <w:r>
                    <w:rPr>
                      <w:kern w:val="0"/>
                      <w:sz w:val="18"/>
                      <w:szCs w:val="18"/>
                    </w:rPr>
                    <w:t>5t</w:t>
                  </w:r>
                </w:p>
              </w:tc>
              <w:tc>
                <w:tcPr>
                  <w:tcW w:w="823" w:type="dxa"/>
                </w:tcPr>
                <w:p>
                  <w:pPr>
                    <w:widowControl/>
                    <w:jc w:val="left"/>
                    <w:rPr>
                      <w:kern w:val="0"/>
                      <w:sz w:val="18"/>
                      <w:szCs w:val="18"/>
                    </w:rPr>
                  </w:pPr>
                  <w:r>
                    <w:rPr>
                      <w:kern w:val="0"/>
                      <w:sz w:val="18"/>
                      <w:szCs w:val="18"/>
                    </w:rPr>
                    <w:t>/</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6162" w:type="dxa"/>
                  <w:gridSpan w:val="5"/>
                </w:tcPr>
                <w:p>
                  <w:pPr>
                    <w:widowControl/>
                    <w:jc w:val="left"/>
                    <w:rPr>
                      <w:kern w:val="0"/>
                      <w:sz w:val="18"/>
                      <w:szCs w:val="18"/>
                    </w:rPr>
                  </w:pPr>
                  <w:r>
                    <w:rPr>
                      <w:kern w:val="0"/>
                      <w:sz w:val="18"/>
                      <w:szCs w:val="18"/>
                    </w:rPr>
                    <w:t>公用设备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39</w:t>
                  </w:r>
                </w:p>
              </w:tc>
              <w:tc>
                <w:tcPr>
                  <w:tcW w:w="1701" w:type="dxa"/>
                  <w:shd w:val="clear" w:color="auto" w:fill="auto"/>
                  <w:noWrap/>
                  <w:vAlign w:val="center"/>
                </w:tcPr>
                <w:p>
                  <w:pPr>
                    <w:widowControl/>
                    <w:jc w:val="left"/>
                    <w:rPr>
                      <w:kern w:val="0"/>
                      <w:sz w:val="18"/>
                      <w:szCs w:val="18"/>
                    </w:rPr>
                  </w:pPr>
                  <w:r>
                    <w:rPr>
                      <w:kern w:val="0"/>
                      <w:sz w:val="18"/>
                      <w:szCs w:val="18"/>
                    </w:rPr>
                    <w:t>干式变压器</w:t>
                  </w:r>
                </w:p>
              </w:tc>
              <w:tc>
                <w:tcPr>
                  <w:tcW w:w="1776" w:type="dxa"/>
                  <w:shd w:val="clear" w:color="auto" w:fill="auto"/>
                  <w:noWrap/>
                  <w:vAlign w:val="center"/>
                </w:tcPr>
                <w:p>
                  <w:pPr>
                    <w:widowControl/>
                    <w:jc w:val="left"/>
                    <w:rPr>
                      <w:kern w:val="0"/>
                      <w:sz w:val="18"/>
                      <w:szCs w:val="18"/>
                    </w:rPr>
                  </w:pPr>
                  <w:r>
                    <w:rPr>
                      <w:kern w:val="0"/>
                      <w:sz w:val="18"/>
                      <w:szCs w:val="18"/>
                    </w:rPr>
                    <w:t>SCB13-1600kVA</w:t>
                  </w:r>
                </w:p>
              </w:tc>
              <w:tc>
                <w:tcPr>
                  <w:tcW w:w="823" w:type="dxa"/>
                </w:tcPr>
                <w:p>
                  <w:pPr>
                    <w:widowControl/>
                    <w:jc w:val="left"/>
                    <w:rPr>
                      <w:kern w:val="0"/>
                      <w:sz w:val="18"/>
                      <w:szCs w:val="18"/>
                    </w:rPr>
                  </w:pPr>
                  <w:r>
                    <w:rPr>
                      <w:kern w:val="0"/>
                      <w:sz w:val="18"/>
                      <w:szCs w:val="18"/>
                    </w:rPr>
                    <w:t>/</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40</w:t>
                  </w:r>
                </w:p>
              </w:tc>
              <w:tc>
                <w:tcPr>
                  <w:tcW w:w="1701" w:type="dxa"/>
                  <w:shd w:val="clear" w:color="auto" w:fill="auto"/>
                  <w:noWrap/>
                  <w:vAlign w:val="center"/>
                </w:tcPr>
                <w:p>
                  <w:pPr>
                    <w:widowControl/>
                    <w:jc w:val="left"/>
                    <w:rPr>
                      <w:kern w:val="0"/>
                      <w:sz w:val="18"/>
                      <w:szCs w:val="18"/>
                    </w:rPr>
                  </w:pPr>
                  <w:r>
                    <w:rPr>
                      <w:kern w:val="0"/>
                      <w:sz w:val="18"/>
                      <w:szCs w:val="18"/>
                    </w:rPr>
                    <w:t>0.4kV低压进线柜</w:t>
                  </w:r>
                </w:p>
              </w:tc>
              <w:tc>
                <w:tcPr>
                  <w:tcW w:w="1776" w:type="dxa"/>
                  <w:shd w:val="clear" w:color="auto" w:fill="auto"/>
                  <w:noWrap/>
                  <w:vAlign w:val="center"/>
                </w:tcPr>
                <w:p>
                  <w:pPr>
                    <w:widowControl/>
                    <w:jc w:val="left"/>
                    <w:rPr>
                      <w:kern w:val="0"/>
                      <w:sz w:val="18"/>
                      <w:szCs w:val="18"/>
                    </w:rPr>
                  </w:pPr>
                  <w:r>
                    <w:rPr>
                      <w:kern w:val="0"/>
                      <w:sz w:val="18"/>
                      <w:szCs w:val="18"/>
                    </w:rPr>
                    <w:t>GCS</w:t>
                  </w:r>
                </w:p>
              </w:tc>
              <w:tc>
                <w:tcPr>
                  <w:tcW w:w="823" w:type="dxa"/>
                </w:tcPr>
                <w:p>
                  <w:pPr>
                    <w:widowControl/>
                    <w:jc w:val="left"/>
                    <w:rPr>
                      <w:kern w:val="0"/>
                      <w:sz w:val="18"/>
                      <w:szCs w:val="18"/>
                    </w:rPr>
                  </w:pPr>
                  <w:r>
                    <w:rPr>
                      <w:kern w:val="0"/>
                      <w:sz w:val="18"/>
                      <w:szCs w:val="18"/>
                    </w:rPr>
                    <w:t>/</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41</w:t>
                  </w:r>
                </w:p>
              </w:tc>
              <w:tc>
                <w:tcPr>
                  <w:tcW w:w="1701" w:type="dxa"/>
                  <w:shd w:val="clear" w:color="auto" w:fill="auto"/>
                  <w:noWrap/>
                  <w:vAlign w:val="center"/>
                </w:tcPr>
                <w:p>
                  <w:pPr>
                    <w:widowControl/>
                    <w:jc w:val="left"/>
                    <w:rPr>
                      <w:kern w:val="0"/>
                      <w:sz w:val="18"/>
                      <w:szCs w:val="18"/>
                    </w:rPr>
                  </w:pPr>
                  <w:r>
                    <w:rPr>
                      <w:kern w:val="0"/>
                      <w:sz w:val="18"/>
                      <w:szCs w:val="18"/>
                    </w:rPr>
                    <w:t>0.4kV低压馈线柜</w:t>
                  </w:r>
                </w:p>
              </w:tc>
              <w:tc>
                <w:tcPr>
                  <w:tcW w:w="1776" w:type="dxa"/>
                  <w:shd w:val="clear" w:color="auto" w:fill="auto"/>
                  <w:noWrap/>
                </w:tcPr>
                <w:p>
                  <w:r>
                    <w:rPr>
                      <w:kern w:val="0"/>
                      <w:sz w:val="18"/>
                      <w:szCs w:val="18"/>
                    </w:rPr>
                    <w:t>GCS</w:t>
                  </w:r>
                </w:p>
              </w:tc>
              <w:tc>
                <w:tcPr>
                  <w:tcW w:w="823" w:type="dxa"/>
                </w:tcPr>
                <w:p>
                  <w:pPr>
                    <w:widowControl/>
                    <w:jc w:val="left"/>
                    <w:rPr>
                      <w:kern w:val="0"/>
                      <w:sz w:val="18"/>
                      <w:szCs w:val="18"/>
                    </w:rPr>
                  </w:pPr>
                  <w:r>
                    <w:rPr>
                      <w:kern w:val="0"/>
                      <w:sz w:val="18"/>
                      <w:szCs w:val="18"/>
                    </w:rPr>
                    <w:t>/</w:t>
                  </w:r>
                </w:p>
              </w:tc>
              <w:tc>
                <w:tcPr>
                  <w:tcW w:w="824" w:type="dxa"/>
                  <w:shd w:val="clear" w:color="auto" w:fill="auto"/>
                  <w:noWrap/>
                  <w:vAlign w:val="center"/>
                </w:tcPr>
                <w:p>
                  <w:pPr>
                    <w:widowControl/>
                    <w:jc w:val="left"/>
                    <w:rPr>
                      <w:kern w:val="0"/>
                      <w:sz w:val="18"/>
                      <w:szCs w:val="18"/>
                    </w:rPr>
                  </w:pPr>
                  <w:r>
                    <w:rPr>
                      <w:kern w:val="0"/>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42</w:t>
                  </w:r>
                </w:p>
              </w:tc>
              <w:tc>
                <w:tcPr>
                  <w:tcW w:w="1701" w:type="dxa"/>
                  <w:shd w:val="clear" w:color="auto" w:fill="auto"/>
                  <w:noWrap/>
                  <w:vAlign w:val="center"/>
                </w:tcPr>
                <w:p>
                  <w:pPr>
                    <w:widowControl/>
                    <w:jc w:val="left"/>
                    <w:rPr>
                      <w:kern w:val="0"/>
                      <w:sz w:val="18"/>
                      <w:szCs w:val="18"/>
                    </w:rPr>
                  </w:pPr>
                  <w:r>
                    <w:rPr>
                      <w:kern w:val="0"/>
                      <w:sz w:val="18"/>
                      <w:szCs w:val="18"/>
                    </w:rPr>
                    <w:t>有源滤波及无功补偿柜</w:t>
                  </w:r>
                </w:p>
              </w:tc>
              <w:tc>
                <w:tcPr>
                  <w:tcW w:w="1776" w:type="dxa"/>
                  <w:shd w:val="clear" w:color="auto" w:fill="auto"/>
                  <w:noWrap/>
                </w:tcPr>
                <w:p>
                  <w:r>
                    <w:rPr>
                      <w:kern w:val="0"/>
                      <w:sz w:val="18"/>
                      <w:szCs w:val="18"/>
                    </w:rPr>
                    <w:t>GCS</w:t>
                  </w:r>
                </w:p>
              </w:tc>
              <w:tc>
                <w:tcPr>
                  <w:tcW w:w="823" w:type="dxa"/>
                </w:tcPr>
                <w:p>
                  <w:pPr>
                    <w:widowControl/>
                    <w:jc w:val="left"/>
                    <w:rPr>
                      <w:kern w:val="0"/>
                      <w:sz w:val="18"/>
                      <w:szCs w:val="18"/>
                    </w:rPr>
                  </w:pPr>
                  <w:r>
                    <w:rPr>
                      <w:kern w:val="0"/>
                      <w:sz w:val="18"/>
                      <w:szCs w:val="18"/>
                    </w:rPr>
                    <w:t>/</w:t>
                  </w:r>
                </w:p>
              </w:tc>
              <w:tc>
                <w:tcPr>
                  <w:tcW w:w="824" w:type="dxa"/>
                  <w:shd w:val="clear" w:color="auto" w:fill="auto"/>
                  <w:noWrap/>
                  <w:vAlign w:val="center"/>
                </w:tcPr>
                <w:p>
                  <w:pPr>
                    <w:widowControl/>
                    <w:jc w:val="left"/>
                    <w:rPr>
                      <w:kern w:val="0"/>
                      <w:sz w:val="18"/>
                      <w:szCs w:val="18"/>
                    </w:rPr>
                  </w:pPr>
                  <w:r>
                    <w:rPr>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43</w:t>
                  </w:r>
                </w:p>
              </w:tc>
              <w:tc>
                <w:tcPr>
                  <w:tcW w:w="1701" w:type="dxa"/>
                  <w:shd w:val="clear" w:color="auto" w:fill="auto"/>
                  <w:noWrap/>
                  <w:vAlign w:val="center"/>
                </w:tcPr>
                <w:p>
                  <w:pPr>
                    <w:widowControl/>
                    <w:jc w:val="left"/>
                    <w:rPr>
                      <w:kern w:val="0"/>
                      <w:sz w:val="18"/>
                      <w:szCs w:val="18"/>
                    </w:rPr>
                  </w:pPr>
                  <w:r>
                    <w:rPr>
                      <w:kern w:val="0"/>
                      <w:sz w:val="18"/>
                      <w:szCs w:val="18"/>
                    </w:rPr>
                    <w:t>柴油发电机组</w:t>
                  </w:r>
                </w:p>
              </w:tc>
              <w:tc>
                <w:tcPr>
                  <w:tcW w:w="1776" w:type="dxa"/>
                  <w:shd w:val="clear" w:color="auto" w:fill="auto"/>
                  <w:noWrap/>
                  <w:vAlign w:val="center"/>
                </w:tcPr>
                <w:p>
                  <w:pPr>
                    <w:widowControl/>
                    <w:jc w:val="left"/>
                    <w:rPr>
                      <w:kern w:val="0"/>
                      <w:sz w:val="18"/>
                      <w:szCs w:val="18"/>
                    </w:rPr>
                  </w:pPr>
                  <w:r>
                    <w:rPr>
                      <w:kern w:val="0"/>
                      <w:sz w:val="18"/>
                      <w:szCs w:val="18"/>
                    </w:rPr>
                    <w:t>250kW</w:t>
                  </w:r>
                </w:p>
              </w:tc>
              <w:tc>
                <w:tcPr>
                  <w:tcW w:w="823" w:type="dxa"/>
                </w:tcPr>
                <w:p>
                  <w:pPr>
                    <w:widowControl/>
                    <w:jc w:val="left"/>
                    <w:rPr>
                      <w:kern w:val="0"/>
                      <w:sz w:val="18"/>
                      <w:szCs w:val="18"/>
                    </w:rPr>
                  </w:pPr>
                  <w:r>
                    <w:rPr>
                      <w:kern w:val="0"/>
                      <w:sz w:val="18"/>
                      <w:szCs w:val="18"/>
                    </w:rPr>
                    <w:t>//</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44</w:t>
                  </w:r>
                </w:p>
              </w:tc>
              <w:tc>
                <w:tcPr>
                  <w:tcW w:w="1701" w:type="dxa"/>
                  <w:shd w:val="clear" w:color="auto" w:fill="auto"/>
                  <w:noWrap/>
                  <w:vAlign w:val="center"/>
                </w:tcPr>
                <w:p>
                  <w:pPr>
                    <w:widowControl/>
                    <w:jc w:val="left"/>
                    <w:rPr>
                      <w:kern w:val="0"/>
                      <w:sz w:val="18"/>
                      <w:szCs w:val="18"/>
                    </w:rPr>
                  </w:pPr>
                  <w:r>
                    <w:rPr>
                      <w:kern w:val="0"/>
                      <w:sz w:val="18"/>
                      <w:szCs w:val="18"/>
                    </w:rPr>
                    <w:t>电气火灾监控系统</w:t>
                  </w:r>
                </w:p>
              </w:tc>
              <w:tc>
                <w:tcPr>
                  <w:tcW w:w="1776" w:type="dxa"/>
                  <w:shd w:val="clear" w:color="auto" w:fill="auto"/>
                  <w:noWrap/>
                  <w:vAlign w:val="center"/>
                </w:tcPr>
                <w:p>
                  <w:pPr>
                    <w:widowControl/>
                    <w:jc w:val="left"/>
                    <w:rPr>
                      <w:kern w:val="0"/>
                      <w:sz w:val="18"/>
                      <w:szCs w:val="18"/>
                    </w:rPr>
                  </w:pPr>
                  <w:r>
                    <w:rPr>
                      <w:kern w:val="0"/>
                      <w:sz w:val="18"/>
                      <w:szCs w:val="18"/>
                    </w:rPr>
                    <w:t>/</w:t>
                  </w:r>
                </w:p>
              </w:tc>
              <w:tc>
                <w:tcPr>
                  <w:tcW w:w="823" w:type="dxa"/>
                </w:tcPr>
                <w:p>
                  <w:pPr>
                    <w:widowControl/>
                    <w:jc w:val="left"/>
                    <w:rPr>
                      <w:kern w:val="0"/>
                      <w:sz w:val="18"/>
                      <w:szCs w:val="18"/>
                    </w:rPr>
                  </w:pPr>
                  <w:r>
                    <w:rPr>
                      <w:kern w:val="0"/>
                      <w:sz w:val="18"/>
                      <w:szCs w:val="18"/>
                    </w:rPr>
                    <w:t>/</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45</w:t>
                  </w:r>
                </w:p>
              </w:tc>
              <w:tc>
                <w:tcPr>
                  <w:tcW w:w="1701" w:type="dxa"/>
                  <w:shd w:val="clear" w:color="auto" w:fill="auto"/>
                  <w:noWrap/>
                  <w:vAlign w:val="center"/>
                </w:tcPr>
                <w:p>
                  <w:pPr>
                    <w:widowControl/>
                    <w:jc w:val="left"/>
                    <w:rPr>
                      <w:kern w:val="0"/>
                      <w:sz w:val="18"/>
                      <w:szCs w:val="18"/>
                    </w:rPr>
                  </w:pPr>
                  <w:r>
                    <w:rPr>
                      <w:kern w:val="0"/>
                      <w:sz w:val="18"/>
                      <w:szCs w:val="18"/>
                    </w:rPr>
                    <w:t>智能照明系统</w:t>
                  </w:r>
                </w:p>
              </w:tc>
              <w:tc>
                <w:tcPr>
                  <w:tcW w:w="1776" w:type="dxa"/>
                  <w:shd w:val="clear" w:color="auto" w:fill="auto"/>
                  <w:noWrap/>
                  <w:vAlign w:val="center"/>
                </w:tcPr>
                <w:p>
                  <w:pPr>
                    <w:widowControl/>
                    <w:jc w:val="left"/>
                    <w:rPr>
                      <w:kern w:val="0"/>
                      <w:sz w:val="18"/>
                      <w:szCs w:val="18"/>
                    </w:rPr>
                  </w:pPr>
                  <w:r>
                    <w:rPr>
                      <w:kern w:val="0"/>
                      <w:sz w:val="18"/>
                      <w:szCs w:val="18"/>
                    </w:rPr>
                    <w:t>/</w:t>
                  </w:r>
                </w:p>
              </w:tc>
              <w:tc>
                <w:tcPr>
                  <w:tcW w:w="823" w:type="dxa"/>
                </w:tcPr>
                <w:p>
                  <w:pPr>
                    <w:widowControl/>
                    <w:jc w:val="left"/>
                    <w:rPr>
                      <w:kern w:val="0"/>
                      <w:sz w:val="18"/>
                      <w:szCs w:val="18"/>
                    </w:rPr>
                  </w:pPr>
                  <w:r>
                    <w:rPr>
                      <w:kern w:val="0"/>
                      <w:sz w:val="18"/>
                      <w:szCs w:val="18"/>
                    </w:rPr>
                    <w:t>/</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46</w:t>
                  </w:r>
                </w:p>
              </w:tc>
              <w:tc>
                <w:tcPr>
                  <w:tcW w:w="1701" w:type="dxa"/>
                  <w:shd w:val="clear" w:color="auto" w:fill="auto"/>
                  <w:noWrap/>
                  <w:vAlign w:val="center"/>
                </w:tcPr>
                <w:p>
                  <w:pPr>
                    <w:widowControl/>
                    <w:jc w:val="left"/>
                    <w:rPr>
                      <w:kern w:val="0"/>
                      <w:sz w:val="18"/>
                      <w:szCs w:val="18"/>
                    </w:rPr>
                  </w:pPr>
                  <w:r>
                    <w:rPr>
                      <w:kern w:val="0"/>
                      <w:sz w:val="18"/>
                      <w:szCs w:val="18"/>
                    </w:rPr>
                    <w:t>消防电源控制系统</w:t>
                  </w:r>
                </w:p>
              </w:tc>
              <w:tc>
                <w:tcPr>
                  <w:tcW w:w="1776" w:type="dxa"/>
                  <w:shd w:val="clear" w:color="auto" w:fill="auto"/>
                  <w:noWrap/>
                  <w:vAlign w:val="center"/>
                </w:tcPr>
                <w:p>
                  <w:pPr>
                    <w:widowControl/>
                    <w:jc w:val="left"/>
                    <w:rPr>
                      <w:kern w:val="0"/>
                      <w:sz w:val="18"/>
                      <w:szCs w:val="18"/>
                    </w:rPr>
                  </w:pPr>
                  <w:r>
                    <w:rPr>
                      <w:kern w:val="0"/>
                      <w:sz w:val="18"/>
                      <w:szCs w:val="18"/>
                    </w:rPr>
                    <w:t>/</w:t>
                  </w:r>
                </w:p>
              </w:tc>
              <w:tc>
                <w:tcPr>
                  <w:tcW w:w="823" w:type="dxa"/>
                </w:tcPr>
                <w:p>
                  <w:pPr>
                    <w:widowControl/>
                    <w:jc w:val="left"/>
                    <w:rPr>
                      <w:kern w:val="0"/>
                      <w:sz w:val="18"/>
                      <w:szCs w:val="18"/>
                    </w:rPr>
                  </w:pPr>
                  <w:r>
                    <w:rPr>
                      <w:kern w:val="0"/>
                      <w:sz w:val="18"/>
                      <w:szCs w:val="18"/>
                    </w:rPr>
                    <w:t>/</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47</w:t>
                  </w:r>
                </w:p>
              </w:tc>
              <w:tc>
                <w:tcPr>
                  <w:tcW w:w="1701" w:type="dxa"/>
                  <w:shd w:val="clear" w:color="auto" w:fill="auto"/>
                  <w:noWrap/>
                  <w:vAlign w:val="center"/>
                </w:tcPr>
                <w:p>
                  <w:pPr>
                    <w:widowControl/>
                    <w:jc w:val="left"/>
                    <w:rPr>
                      <w:kern w:val="0"/>
                      <w:sz w:val="18"/>
                      <w:szCs w:val="18"/>
                    </w:rPr>
                  </w:pPr>
                  <w:r>
                    <w:rPr>
                      <w:kern w:val="0"/>
                      <w:sz w:val="18"/>
                      <w:szCs w:val="18"/>
                    </w:rPr>
                    <w:t>电能管理系统</w:t>
                  </w:r>
                </w:p>
              </w:tc>
              <w:tc>
                <w:tcPr>
                  <w:tcW w:w="1776" w:type="dxa"/>
                  <w:shd w:val="clear" w:color="auto" w:fill="auto"/>
                  <w:noWrap/>
                  <w:vAlign w:val="center"/>
                </w:tcPr>
                <w:p>
                  <w:pPr>
                    <w:widowControl/>
                    <w:jc w:val="left"/>
                    <w:rPr>
                      <w:kern w:val="0"/>
                      <w:sz w:val="18"/>
                      <w:szCs w:val="18"/>
                    </w:rPr>
                  </w:pPr>
                  <w:r>
                    <w:rPr>
                      <w:kern w:val="0"/>
                      <w:sz w:val="18"/>
                      <w:szCs w:val="18"/>
                    </w:rPr>
                    <w:t>/</w:t>
                  </w:r>
                </w:p>
              </w:tc>
              <w:tc>
                <w:tcPr>
                  <w:tcW w:w="823" w:type="dxa"/>
                </w:tcPr>
                <w:p>
                  <w:pPr>
                    <w:widowControl/>
                    <w:jc w:val="left"/>
                    <w:rPr>
                      <w:kern w:val="0"/>
                      <w:sz w:val="18"/>
                      <w:szCs w:val="18"/>
                    </w:rPr>
                  </w:pPr>
                  <w:r>
                    <w:rPr>
                      <w:kern w:val="0"/>
                      <w:sz w:val="18"/>
                      <w:szCs w:val="18"/>
                    </w:rPr>
                    <w:t>/</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48</w:t>
                  </w:r>
                </w:p>
              </w:tc>
              <w:tc>
                <w:tcPr>
                  <w:tcW w:w="1701" w:type="dxa"/>
                  <w:shd w:val="clear" w:color="auto" w:fill="auto"/>
                  <w:noWrap/>
                  <w:vAlign w:val="center"/>
                </w:tcPr>
                <w:p>
                  <w:pPr>
                    <w:widowControl/>
                    <w:jc w:val="left"/>
                    <w:rPr>
                      <w:kern w:val="0"/>
                      <w:sz w:val="18"/>
                      <w:szCs w:val="18"/>
                    </w:rPr>
                  </w:pPr>
                  <w:r>
                    <w:rPr>
                      <w:kern w:val="0"/>
                      <w:sz w:val="18"/>
                      <w:szCs w:val="18"/>
                    </w:rPr>
                    <w:t>通风设备</w:t>
                  </w:r>
                </w:p>
              </w:tc>
              <w:tc>
                <w:tcPr>
                  <w:tcW w:w="1776" w:type="dxa"/>
                  <w:shd w:val="clear" w:color="auto" w:fill="auto"/>
                  <w:noWrap/>
                  <w:vAlign w:val="center"/>
                </w:tcPr>
                <w:p>
                  <w:pPr>
                    <w:widowControl/>
                    <w:jc w:val="left"/>
                    <w:rPr>
                      <w:kern w:val="0"/>
                      <w:sz w:val="18"/>
                      <w:szCs w:val="18"/>
                    </w:rPr>
                  </w:pPr>
                  <w:r>
                    <w:rPr>
                      <w:kern w:val="0"/>
                      <w:sz w:val="18"/>
                      <w:szCs w:val="18"/>
                    </w:rPr>
                    <w:t>/</w:t>
                  </w:r>
                </w:p>
              </w:tc>
              <w:tc>
                <w:tcPr>
                  <w:tcW w:w="823" w:type="dxa"/>
                </w:tcPr>
                <w:p>
                  <w:pPr>
                    <w:widowControl/>
                    <w:jc w:val="left"/>
                    <w:rPr>
                      <w:kern w:val="0"/>
                      <w:sz w:val="18"/>
                      <w:szCs w:val="18"/>
                    </w:rPr>
                  </w:pPr>
                  <w:r>
                    <w:rPr>
                      <w:kern w:val="0"/>
                      <w:sz w:val="18"/>
                      <w:szCs w:val="18"/>
                    </w:rPr>
                    <w:t>/</w:t>
                  </w:r>
                </w:p>
              </w:tc>
              <w:tc>
                <w:tcPr>
                  <w:tcW w:w="824" w:type="dxa"/>
                  <w:shd w:val="clear" w:color="auto" w:fill="auto"/>
                  <w:noWrap/>
                  <w:vAlign w:val="center"/>
                </w:tcPr>
                <w:p>
                  <w:pPr>
                    <w:widowControl/>
                    <w:jc w:val="left"/>
                    <w:rPr>
                      <w:kern w:val="0"/>
                      <w:sz w:val="18"/>
                      <w:szCs w:val="18"/>
                    </w:rPr>
                  </w:pPr>
                  <w:r>
                    <w:rPr>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038" w:type="dxa"/>
                </w:tcPr>
                <w:p>
                  <w:pPr>
                    <w:widowControl/>
                    <w:jc w:val="left"/>
                    <w:rPr>
                      <w:kern w:val="0"/>
                      <w:sz w:val="18"/>
                      <w:szCs w:val="18"/>
                    </w:rPr>
                  </w:pPr>
                  <w:r>
                    <w:rPr>
                      <w:kern w:val="0"/>
                      <w:sz w:val="18"/>
                      <w:szCs w:val="18"/>
                    </w:rPr>
                    <w:t>49</w:t>
                  </w:r>
                </w:p>
              </w:tc>
              <w:tc>
                <w:tcPr>
                  <w:tcW w:w="1701" w:type="dxa"/>
                  <w:shd w:val="clear" w:color="auto" w:fill="auto"/>
                  <w:noWrap/>
                  <w:vAlign w:val="center"/>
                </w:tcPr>
                <w:p>
                  <w:pPr>
                    <w:widowControl/>
                    <w:jc w:val="left"/>
                    <w:rPr>
                      <w:kern w:val="0"/>
                      <w:sz w:val="18"/>
                      <w:szCs w:val="18"/>
                    </w:rPr>
                  </w:pPr>
                  <w:r>
                    <w:rPr>
                      <w:kern w:val="0"/>
                      <w:sz w:val="18"/>
                      <w:szCs w:val="18"/>
                    </w:rPr>
                    <w:t>潜水排污泵</w:t>
                  </w:r>
                </w:p>
              </w:tc>
              <w:tc>
                <w:tcPr>
                  <w:tcW w:w="1776" w:type="dxa"/>
                  <w:shd w:val="clear" w:color="auto" w:fill="auto"/>
                  <w:noWrap/>
                  <w:vAlign w:val="center"/>
                </w:tcPr>
                <w:p>
                  <w:pPr>
                    <w:widowControl/>
                    <w:jc w:val="left"/>
                    <w:rPr>
                      <w:kern w:val="0"/>
                      <w:sz w:val="18"/>
                      <w:szCs w:val="18"/>
                    </w:rPr>
                  </w:pPr>
                  <w:r>
                    <w:rPr>
                      <w:kern w:val="0"/>
                      <w:sz w:val="18"/>
                      <w:szCs w:val="18"/>
                    </w:rPr>
                    <w:t>/</w:t>
                  </w:r>
                </w:p>
              </w:tc>
              <w:tc>
                <w:tcPr>
                  <w:tcW w:w="823" w:type="dxa"/>
                </w:tcPr>
                <w:p>
                  <w:pPr>
                    <w:widowControl/>
                    <w:jc w:val="left"/>
                    <w:rPr>
                      <w:kern w:val="0"/>
                      <w:sz w:val="18"/>
                      <w:szCs w:val="18"/>
                    </w:rPr>
                  </w:pPr>
                  <w:r>
                    <w:rPr>
                      <w:kern w:val="0"/>
                      <w:sz w:val="18"/>
                      <w:szCs w:val="18"/>
                    </w:rPr>
                    <w:t>/</w:t>
                  </w:r>
                </w:p>
              </w:tc>
              <w:tc>
                <w:tcPr>
                  <w:tcW w:w="824" w:type="dxa"/>
                  <w:shd w:val="clear" w:color="auto" w:fill="auto"/>
                  <w:noWrap/>
                  <w:vAlign w:val="center"/>
                </w:tcPr>
                <w:p>
                  <w:pPr>
                    <w:widowControl/>
                    <w:jc w:val="left"/>
                    <w:rPr>
                      <w:kern w:val="0"/>
                      <w:sz w:val="18"/>
                      <w:szCs w:val="18"/>
                    </w:rPr>
                  </w:pPr>
                  <w:r>
                    <w:rPr>
                      <w:kern w:val="0"/>
                      <w:sz w:val="18"/>
                      <w:szCs w:val="18"/>
                    </w:rPr>
                    <w:t>1</w:t>
                  </w:r>
                </w:p>
              </w:tc>
            </w:tr>
          </w:tbl>
          <w:p>
            <w:pPr>
              <w:widowControl/>
              <w:adjustRightInd w:val="0"/>
              <w:snapToGrid w:val="0"/>
              <w:spacing w:line="360" w:lineRule="auto"/>
              <w:ind w:firstLine="482" w:firstLineChars="200"/>
              <w:jc w:val="left"/>
              <w:rPr>
                <w:b/>
                <w:kern w:val="0"/>
                <w:sz w:val="24"/>
              </w:rPr>
            </w:pPr>
            <w:r>
              <w:rPr>
                <w:b/>
                <w:kern w:val="0"/>
                <w:sz w:val="24"/>
              </w:rPr>
              <w:t>8、</w:t>
            </w:r>
            <w:r>
              <w:rPr>
                <w:rFonts w:hint="eastAsia"/>
                <w:b/>
                <w:kern w:val="0"/>
                <w:sz w:val="24"/>
              </w:rPr>
              <w:t>主要</w:t>
            </w:r>
            <w:r>
              <w:rPr>
                <w:b/>
                <w:kern w:val="0"/>
                <w:sz w:val="24"/>
              </w:rPr>
              <w:t>原辅材料</w:t>
            </w:r>
          </w:p>
          <w:p>
            <w:pPr>
              <w:widowControl/>
              <w:adjustRightInd w:val="0"/>
              <w:snapToGrid w:val="0"/>
              <w:spacing w:line="360" w:lineRule="auto"/>
              <w:ind w:firstLine="480" w:firstLineChars="200"/>
              <w:jc w:val="left"/>
              <w:rPr>
                <w:kern w:val="0"/>
                <w:sz w:val="24"/>
              </w:rPr>
            </w:pPr>
            <w:r>
              <w:rPr>
                <w:rFonts w:hint="eastAsia"/>
                <w:kern w:val="0"/>
                <w:sz w:val="24"/>
              </w:rPr>
              <w:t>地铁车辆架大修涉及油污清理、粘接修复、油漆修补、保养润滑等作业，经统计，地铁车辆架大修所涉及的主要化工品清单如下：</w:t>
            </w:r>
          </w:p>
          <w:p>
            <w:pPr>
              <w:widowControl/>
              <w:adjustRightInd w:val="0"/>
              <w:snapToGrid w:val="0"/>
              <w:spacing w:line="360" w:lineRule="auto"/>
              <w:ind w:firstLine="482" w:firstLineChars="200"/>
              <w:jc w:val="center"/>
              <w:rPr>
                <w:b/>
                <w:kern w:val="0"/>
                <w:sz w:val="24"/>
              </w:rPr>
            </w:pPr>
            <w:r>
              <w:rPr>
                <w:b/>
                <w:kern w:val="0"/>
                <w:sz w:val="24"/>
              </w:rPr>
              <w:t>表</w:t>
            </w:r>
            <w:r>
              <w:rPr>
                <w:rFonts w:hint="eastAsia"/>
                <w:b/>
                <w:kern w:val="0"/>
                <w:sz w:val="24"/>
              </w:rPr>
              <w:t>2</w:t>
            </w:r>
            <w:r>
              <w:rPr>
                <w:b/>
                <w:kern w:val="0"/>
                <w:sz w:val="24"/>
              </w:rPr>
              <w:t>-4 主要原辅材料一览表</w:t>
            </w:r>
          </w:p>
          <w:tbl>
            <w:tblPr>
              <w:tblStyle w:val="45"/>
              <w:tblW w:w="78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708"/>
              <w:gridCol w:w="1843"/>
              <w:gridCol w:w="3008"/>
              <w:gridCol w:w="85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9" w:hRule="atLeast"/>
              </w:trPr>
              <w:tc>
                <w:tcPr>
                  <w:tcW w:w="614" w:type="dxa"/>
                </w:tcPr>
                <w:p>
                  <w:pPr>
                    <w:widowControl/>
                    <w:adjustRightInd w:val="0"/>
                    <w:snapToGrid w:val="0"/>
                    <w:jc w:val="left"/>
                    <w:rPr>
                      <w:kern w:val="0"/>
                      <w:szCs w:val="21"/>
                    </w:rPr>
                  </w:pPr>
                  <w:r>
                    <w:rPr>
                      <w:kern w:val="0"/>
                      <w:szCs w:val="21"/>
                    </w:rPr>
                    <w:t>序号</w:t>
                  </w:r>
                </w:p>
              </w:tc>
              <w:tc>
                <w:tcPr>
                  <w:tcW w:w="708" w:type="dxa"/>
                </w:tcPr>
                <w:p>
                  <w:pPr>
                    <w:widowControl/>
                    <w:adjustRightInd w:val="0"/>
                    <w:snapToGrid w:val="0"/>
                    <w:jc w:val="left"/>
                    <w:rPr>
                      <w:kern w:val="0"/>
                      <w:szCs w:val="21"/>
                    </w:rPr>
                  </w:pPr>
                  <w:r>
                    <w:rPr>
                      <w:kern w:val="0"/>
                      <w:szCs w:val="21"/>
                    </w:rPr>
                    <w:t>工序</w:t>
                  </w:r>
                </w:p>
              </w:tc>
              <w:tc>
                <w:tcPr>
                  <w:tcW w:w="1843" w:type="dxa"/>
                </w:tcPr>
                <w:p>
                  <w:pPr>
                    <w:widowControl/>
                    <w:adjustRightInd w:val="0"/>
                    <w:snapToGrid w:val="0"/>
                    <w:jc w:val="left"/>
                    <w:rPr>
                      <w:kern w:val="0"/>
                      <w:szCs w:val="21"/>
                    </w:rPr>
                  </w:pPr>
                  <w:r>
                    <w:rPr>
                      <w:kern w:val="0"/>
                      <w:szCs w:val="21"/>
                    </w:rPr>
                    <w:t>材料名称</w:t>
                  </w:r>
                </w:p>
              </w:tc>
              <w:tc>
                <w:tcPr>
                  <w:tcW w:w="3008" w:type="dxa"/>
                </w:tcPr>
                <w:p>
                  <w:pPr>
                    <w:widowControl/>
                    <w:adjustRightInd w:val="0"/>
                    <w:snapToGrid w:val="0"/>
                    <w:jc w:val="left"/>
                    <w:rPr>
                      <w:kern w:val="0"/>
                      <w:szCs w:val="21"/>
                    </w:rPr>
                  </w:pPr>
                  <w:r>
                    <w:rPr>
                      <w:kern w:val="0"/>
                      <w:szCs w:val="21"/>
                    </w:rPr>
                    <w:t>性质</w:t>
                  </w:r>
                </w:p>
              </w:tc>
              <w:tc>
                <w:tcPr>
                  <w:tcW w:w="850" w:type="dxa"/>
                </w:tcPr>
                <w:p>
                  <w:pPr>
                    <w:widowControl/>
                    <w:adjustRightInd w:val="0"/>
                    <w:snapToGrid w:val="0"/>
                    <w:jc w:val="left"/>
                    <w:rPr>
                      <w:kern w:val="0"/>
                      <w:szCs w:val="21"/>
                    </w:rPr>
                  </w:pPr>
                  <w:r>
                    <w:rPr>
                      <w:kern w:val="0"/>
                      <w:szCs w:val="21"/>
                    </w:rPr>
                    <w:t>使用量（t/a）</w:t>
                  </w:r>
                </w:p>
              </w:tc>
              <w:tc>
                <w:tcPr>
                  <w:tcW w:w="850" w:type="dxa"/>
                </w:tcPr>
                <w:p>
                  <w:pPr>
                    <w:widowControl/>
                    <w:adjustRightInd w:val="0"/>
                    <w:snapToGrid w:val="0"/>
                    <w:jc w:val="left"/>
                    <w:rPr>
                      <w:kern w:val="0"/>
                      <w:szCs w:val="21"/>
                    </w:rPr>
                  </w:pPr>
                  <w:r>
                    <w:rPr>
                      <w:kern w:val="0"/>
                      <w:szCs w:val="21"/>
                    </w:rPr>
                    <w:t>储存量（t/a）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614" w:type="dxa"/>
                  <w:vMerge w:val="restart"/>
                </w:tcPr>
                <w:p>
                  <w:pPr>
                    <w:widowControl/>
                    <w:adjustRightInd w:val="0"/>
                    <w:snapToGrid w:val="0"/>
                    <w:jc w:val="left"/>
                    <w:rPr>
                      <w:kern w:val="0"/>
                      <w:szCs w:val="21"/>
                    </w:rPr>
                  </w:pPr>
                  <w:r>
                    <w:rPr>
                      <w:rFonts w:hint="eastAsia"/>
                      <w:kern w:val="0"/>
                      <w:szCs w:val="21"/>
                    </w:rPr>
                    <w:t>1</w:t>
                  </w:r>
                </w:p>
              </w:tc>
              <w:tc>
                <w:tcPr>
                  <w:tcW w:w="708" w:type="dxa"/>
                  <w:vMerge w:val="restart"/>
                </w:tcPr>
                <w:p>
                  <w:pPr>
                    <w:widowControl/>
                    <w:adjustRightInd w:val="0"/>
                    <w:snapToGrid w:val="0"/>
                    <w:jc w:val="left"/>
                    <w:rPr>
                      <w:kern w:val="0"/>
                      <w:szCs w:val="21"/>
                    </w:rPr>
                  </w:pPr>
                  <w:r>
                    <w:rPr>
                      <w:rFonts w:hint="eastAsia"/>
                      <w:kern w:val="0"/>
                      <w:szCs w:val="21"/>
                    </w:rPr>
                    <w:t>车体</w:t>
                  </w:r>
                  <w:r>
                    <w:rPr>
                      <w:kern w:val="0"/>
                      <w:szCs w:val="21"/>
                    </w:rPr>
                    <w:t>清洁</w:t>
                  </w:r>
                </w:p>
              </w:tc>
              <w:tc>
                <w:tcPr>
                  <w:tcW w:w="1843" w:type="dxa"/>
                </w:tcPr>
                <w:p>
                  <w:pPr>
                    <w:widowControl/>
                    <w:adjustRightInd w:val="0"/>
                    <w:snapToGrid w:val="0"/>
                    <w:jc w:val="left"/>
                    <w:rPr>
                      <w:kern w:val="0"/>
                      <w:szCs w:val="21"/>
                    </w:rPr>
                  </w:pPr>
                  <w:r>
                    <w:rPr>
                      <w:kern w:val="0"/>
                      <w:szCs w:val="21"/>
                    </w:rPr>
                    <w:t>除锈剂</w:t>
                  </w:r>
                </w:p>
              </w:tc>
              <w:tc>
                <w:tcPr>
                  <w:tcW w:w="3008" w:type="dxa"/>
                </w:tcPr>
                <w:p>
                  <w:pPr>
                    <w:widowControl/>
                    <w:adjustRightInd w:val="0"/>
                    <w:snapToGrid w:val="0"/>
                    <w:jc w:val="left"/>
                    <w:rPr>
                      <w:kern w:val="0"/>
                      <w:szCs w:val="21"/>
                    </w:rPr>
                  </w:pPr>
                  <w:r>
                    <w:rPr>
                      <w:kern w:val="0"/>
                      <w:szCs w:val="21"/>
                    </w:rPr>
                    <w:t>主要由除锈液和中和液组成；</w:t>
                  </w:r>
                  <w:r>
                    <w:rPr>
                      <w:rFonts w:hint="eastAsia"/>
                      <w:kern w:val="0"/>
                      <w:szCs w:val="21"/>
                    </w:rPr>
                    <w:t>除锈液主要为盐酸和缓蚀剂；中和液主要为氢氧化钠、磷酸三钠水溶液</w:t>
                  </w:r>
                </w:p>
              </w:tc>
              <w:tc>
                <w:tcPr>
                  <w:tcW w:w="850" w:type="dxa"/>
                </w:tcPr>
                <w:p>
                  <w:pPr>
                    <w:widowControl/>
                    <w:adjustRightInd w:val="0"/>
                    <w:snapToGrid w:val="0"/>
                    <w:jc w:val="left"/>
                    <w:rPr>
                      <w:kern w:val="0"/>
                      <w:szCs w:val="21"/>
                    </w:rPr>
                  </w:pPr>
                  <w:r>
                    <w:rPr>
                      <w:rFonts w:hint="eastAsia"/>
                      <w:kern w:val="0"/>
                      <w:szCs w:val="21"/>
                    </w:rPr>
                    <w:t>1</w:t>
                  </w:r>
                </w:p>
              </w:tc>
              <w:tc>
                <w:tcPr>
                  <w:tcW w:w="850" w:type="dxa"/>
                </w:tcPr>
                <w:p>
                  <w:pPr>
                    <w:widowControl/>
                    <w:adjustRightInd w:val="0"/>
                    <w:snapToGrid w:val="0"/>
                    <w:jc w:val="left"/>
                    <w:rPr>
                      <w:kern w:val="0"/>
                      <w:szCs w:val="21"/>
                    </w:rPr>
                  </w:pPr>
                  <w:r>
                    <w:rPr>
                      <w:rFonts w:hint="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trPr>
              <w:tc>
                <w:tcPr>
                  <w:tcW w:w="614" w:type="dxa"/>
                  <w:vMerge w:val="continue"/>
                </w:tcPr>
                <w:p>
                  <w:pPr>
                    <w:widowControl/>
                    <w:adjustRightInd w:val="0"/>
                    <w:snapToGrid w:val="0"/>
                    <w:jc w:val="left"/>
                    <w:rPr>
                      <w:kern w:val="0"/>
                      <w:szCs w:val="21"/>
                    </w:rPr>
                  </w:pPr>
                </w:p>
              </w:tc>
              <w:tc>
                <w:tcPr>
                  <w:tcW w:w="708" w:type="dxa"/>
                  <w:vMerge w:val="continue"/>
                </w:tcPr>
                <w:p>
                  <w:pPr>
                    <w:widowControl/>
                    <w:adjustRightInd w:val="0"/>
                    <w:snapToGrid w:val="0"/>
                    <w:jc w:val="left"/>
                    <w:rPr>
                      <w:kern w:val="0"/>
                      <w:szCs w:val="21"/>
                    </w:rPr>
                  </w:pPr>
                </w:p>
              </w:tc>
              <w:tc>
                <w:tcPr>
                  <w:tcW w:w="1843" w:type="dxa"/>
                </w:tcPr>
                <w:p>
                  <w:pPr>
                    <w:widowControl/>
                    <w:adjustRightInd w:val="0"/>
                    <w:snapToGrid w:val="0"/>
                    <w:jc w:val="left"/>
                    <w:rPr>
                      <w:kern w:val="0"/>
                      <w:szCs w:val="21"/>
                    </w:rPr>
                  </w:pPr>
                  <w:r>
                    <w:rPr>
                      <w:kern w:val="0"/>
                      <w:szCs w:val="21"/>
                    </w:rPr>
                    <w:t>清洗剂</w:t>
                  </w:r>
                </w:p>
              </w:tc>
              <w:tc>
                <w:tcPr>
                  <w:tcW w:w="3008" w:type="dxa"/>
                </w:tcPr>
                <w:p>
                  <w:pPr>
                    <w:widowControl/>
                    <w:adjustRightInd w:val="0"/>
                    <w:snapToGrid w:val="0"/>
                    <w:jc w:val="left"/>
                    <w:rPr>
                      <w:kern w:val="0"/>
                      <w:szCs w:val="21"/>
                    </w:rPr>
                  </w:pPr>
                  <w:r>
                    <w:rPr>
                      <w:kern w:val="0"/>
                      <w:szCs w:val="21"/>
                    </w:rPr>
                    <w:t>使用广研水溶性清洗剂，主要成分为</w:t>
                  </w:r>
                  <w:r>
                    <w:rPr>
                      <w:rFonts w:hint="eastAsia"/>
                      <w:kern w:val="0"/>
                      <w:szCs w:val="21"/>
                    </w:rPr>
                    <w:t>偏硅酸钠、碳酸钠、环氧乙烷环氧丙烷共聚物、羧甲基纤维素、柠檬酸钠、有机硅消泡剂、去离子水等</w:t>
                  </w:r>
                </w:p>
              </w:tc>
              <w:tc>
                <w:tcPr>
                  <w:tcW w:w="850" w:type="dxa"/>
                </w:tcPr>
                <w:p>
                  <w:pPr>
                    <w:widowControl/>
                    <w:adjustRightInd w:val="0"/>
                    <w:snapToGrid w:val="0"/>
                    <w:jc w:val="left"/>
                    <w:rPr>
                      <w:kern w:val="0"/>
                      <w:szCs w:val="21"/>
                    </w:rPr>
                  </w:pPr>
                  <w:r>
                    <w:rPr>
                      <w:rFonts w:hint="eastAsia"/>
                      <w:kern w:val="0"/>
                      <w:szCs w:val="21"/>
                    </w:rPr>
                    <w:t>0</w:t>
                  </w:r>
                  <w:r>
                    <w:rPr>
                      <w:kern w:val="0"/>
                      <w:szCs w:val="21"/>
                    </w:rPr>
                    <w:t>.5</w:t>
                  </w:r>
                </w:p>
              </w:tc>
              <w:tc>
                <w:tcPr>
                  <w:tcW w:w="850" w:type="dxa"/>
                </w:tcPr>
                <w:p>
                  <w:pPr>
                    <w:widowControl/>
                    <w:adjustRightInd w:val="0"/>
                    <w:snapToGrid w:val="0"/>
                    <w:jc w:val="left"/>
                    <w:rPr>
                      <w:kern w:val="0"/>
                      <w:szCs w:val="21"/>
                    </w:rPr>
                  </w:pPr>
                  <w:r>
                    <w:rPr>
                      <w:rFonts w:hint="eastAsia"/>
                      <w:kern w:val="0"/>
                      <w:szCs w:val="21"/>
                    </w:rPr>
                    <w:t>0</w:t>
                  </w:r>
                  <w:r>
                    <w:rPr>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trPr>
              <w:tc>
                <w:tcPr>
                  <w:tcW w:w="614" w:type="dxa"/>
                  <w:vMerge w:val="restart"/>
                </w:tcPr>
                <w:p>
                  <w:pPr>
                    <w:widowControl/>
                    <w:adjustRightInd w:val="0"/>
                    <w:snapToGrid w:val="0"/>
                    <w:jc w:val="left"/>
                    <w:rPr>
                      <w:kern w:val="0"/>
                      <w:szCs w:val="21"/>
                    </w:rPr>
                  </w:pPr>
                  <w:r>
                    <w:rPr>
                      <w:rFonts w:hint="eastAsia"/>
                      <w:kern w:val="0"/>
                      <w:szCs w:val="21"/>
                    </w:rPr>
                    <w:t>2</w:t>
                  </w:r>
                </w:p>
              </w:tc>
              <w:tc>
                <w:tcPr>
                  <w:tcW w:w="708" w:type="dxa"/>
                  <w:vMerge w:val="restart"/>
                </w:tcPr>
                <w:p>
                  <w:pPr>
                    <w:widowControl/>
                    <w:adjustRightInd w:val="0"/>
                    <w:snapToGrid w:val="0"/>
                    <w:jc w:val="left"/>
                    <w:rPr>
                      <w:kern w:val="0"/>
                      <w:szCs w:val="21"/>
                    </w:rPr>
                  </w:pPr>
                  <w:r>
                    <w:rPr>
                      <w:kern w:val="0"/>
                      <w:szCs w:val="21"/>
                    </w:rPr>
                    <w:t>粘接修复</w:t>
                  </w:r>
                </w:p>
              </w:tc>
              <w:tc>
                <w:tcPr>
                  <w:tcW w:w="1843" w:type="dxa"/>
                </w:tcPr>
                <w:p>
                  <w:pPr>
                    <w:widowControl/>
                    <w:adjustRightInd w:val="0"/>
                    <w:snapToGrid w:val="0"/>
                    <w:jc w:val="left"/>
                    <w:rPr>
                      <w:kern w:val="0"/>
                      <w:szCs w:val="21"/>
                    </w:rPr>
                  </w:pPr>
                  <w:r>
                    <w:rPr>
                      <w:kern w:val="0"/>
                      <w:szCs w:val="21"/>
                    </w:rPr>
                    <w:t>波士胶</w:t>
                  </w:r>
                </w:p>
              </w:tc>
              <w:tc>
                <w:tcPr>
                  <w:tcW w:w="3008" w:type="dxa"/>
                </w:tcPr>
                <w:p>
                  <w:pPr>
                    <w:widowControl/>
                    <w:adjustRightInd w:val="0"/>
                    <w:jc w:val="left"/>
                    <w:rPr>
                      <w:kern w:val="0"/>
                      <w:szCs w:val="21"/>
                    </w:rPr>
                  </w:pPr>
                  <w:r>
                    <w:rPr>
                      <w:kern w:val="0"/>
                      <w:szCs w:val="21"/>
                    </w:rPr>
                    <w:t>为</w:t>
                  </w:r>
                  <w:r>
                    <w:rPr>
                      <w:rFonts w:hint="eastAsia"/>
                      <w:kern w:val="0"/>
                      <w:szCs w:val="21"/>
                    </w:rPr>
                    <w:t>丙烯酸酯胶粘剂</w:t>
                  </w:r>
                </w:p>
              </w:tc>
              <w:tc>
                <w:tcPr>
                  <w:tcW w:w="850" w:type="dxa"/>
                </w:tcPr>
                <w:p>
                  <w:pPr>
                    <w:widowControl/>
                    <w:adjustRightInd w:val="0"/>
                    <w:snapToGrid w:val="0"/>
                    <w:jc w:val="left"/>
                    <w:rPr>
                      <w:kern w:val="0"/>
                      <w:szCs w:val="21"/>
                    </w:rPr>
                  </w:pPr>
                  <w:r>
                    <w:rPr>
                      <w:rFonts w:hint="eastAsia"/>
                      <w:kern w:val="0"/>
                      <w:szCs w:val="21"/>
                    </w:rPr>
                    <w:t>0</w:t>
                  </w:r>
                  <w:r>
                    <w:rPr>
                      <w:kern w:val="0"/>
                      <w:szCs w:val="21"/>
                    </w:rPr>
                    <w:t>.05</w:t>
                  </w:r>
                </w:p>
              </w:tc>
              <w:tc>
                <w:tcPr>
                  <w:tcW w:w="850" w:type="dxa"/>
                </w:tcPr>
                <w:p>
                  <w:pPr>
                    <w:widowControl/>
                    <w:adjustRightInd w:val="0"/>
                    <w:snapToGrid w:val="0"/>
                    <w:jc w:val="left"/>
                    <w:rPr>
                      <w:kern w:val="0"/>
                      <w:szCs w:val="21"/>
                    </w:rPr>
                  </w:pPr>
                  <w:r>
                    <w:rPr>
                      <w:rFonts w:hint="eastAsia"/>
                      <w:kern w:val="0"/>
                      <w:szCs w:val="21"/>
                    </w:rPr>
                    <w:t>0</w:t>
                  </w:r>
                  <w:r>
                    <w:rPr>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 w:hRule="atLeast"/>
              </w:trPr>
              <w:tc>
                <w:tcPr>
                  <w:tcW w:w="614" w:type="dxa"/>
                  <w:vMerge w:val="continue"/>
                </w:tcPr>
                <w:p>
                  <w:pPr>
                    <w:widowControl/>
                    <w:adjustRightInd w:val="0"/>
                    <w:snapToGrid w:val="0"/>
                    <w:jc w:val="left"/>
                    <w:rPr>
                      <w:kern w:val="0"/>
                      <w:szCs w:val="21"/>
                    </w:rPr>
                  </w:pPr>
                </w:p>
              </w:tc>
              <w:tc>
                <w:tcPr>
                  <w:tcW w:w="708" w:type="dxa"/>
                  <w:vMerge w:val="continue"/>
                </w:tcPr>
                <w:p>
                  <w:pPr>
                    <w:widowControl/>
                    <w:adjustRightInd w:val="0"/>
                    <w:snapToGrid w:val="0"/>
                    <w:jc w:val="left"/>
                    <w:rPr>
                      <w:kern w:val="0"/>
                      <w:szCs w:val="21"/>
                    </w:rPr>
                  </w:pPr>
                </w:p>
              </w:tc>
              <w:tc>
                <w:tcPr>
                  <w:tcW w:w="1843" w:type="dxa"/>
                </w:tcPr>
                <w:p>
                  <w:pPr>
                    <w:widowControl/>
                    <w:adjustRightInd w:val="0"/>
                    <w:snapToGrid w:val="0"/>
                    <w:jc w:val="left"/>
                    <w:rPr>
                      <w:kern w:val="0"/>
                      <w:szCs w:val="21"/>
                    </w:rPr>
                  </w:pPr>
                  <w:r>
                    <w:rPr>
                      <w:kern w:val="0"/>
                      <w:szCs w:val="21"/>
                    </w:rPr>
                    <w:t>西卡胶</w:t>
                  </w:r>
                </w:p>
              </w:tc>
              <w:tc>
                <w:tcPr>
                  <w:tcW w:w="3008" w:type="dxa"/>
                </w:tcPr>
                <w:p>
                  <w:pPr>
                    <w:widowControl/>
                    <w:adjustRightInd w:val="0"/>
                    <w:snapToGrid w:val="0"/>
                    <w:jc w:val="left"/>
                    <w:rPr>
                      <w:kern w:val="0"/>
                      <w:szCs w:val="21"/>
                    </w:rPr>
                  </w:pPr>
                  <w:r>
                    <w:rPr>
                      <w:kern w:val="0"/>
                      <w:szCs w:val="21"/>
                    </w:rPr>
                    <w:t>为单组分硅酮胶</w:t>
                  </w:r>
                </w:p>
              </w:tc>
              <w:tc>
                <w:tcPr>
                  <w:tcW w:w="850" w:type="dxa"/>
                </w:tcPr>
                <w:p>
                  <w:pPr>
                    <w:widowControl/>
                    <w:adjustRightInd w:val="0"/>
                    <w:snapToGrid w:val="0"/>
                    <w:jc w:val="left"/>
                    <w:rPr>
                      <w:kern w:val="0"/>
                      <w:szCs w:val="21"/>
                    </w:rPr>
                  </w:pPr>
                  <w:r>
                    <w:rPr>
                      <w:rFonts w:hint="eastAsia"/>
                      <w:kern w:val="0"/>
                      <w:szCs w:val="21"/>
                    </w:rPr>
                    <w:t>0</w:t>
                  </w:r>
                  <w:r>
                    <w:rPr>
                      <w:kern w:val="0"/>
                      <w:szCs w:val="21"/>
                    </w:rPr>
                    <w:t>.05</w:t>
                  </w:r>
                </w:p>
              </w:tc>
              <w:tc>
                <w:tcPr>
                  <w:tcW w:w="850" w:type="dxa"/>
                </w:tcPr>
                <w:p>
                  <w:pPr>
                    <w:widowControl/>
                    <w:adjustRightInd w:val="0"/>
                    <w:snapToGrid w:val="0"/>
                    <w:jc w:val="left"/>
                    <w:rPr>
                      <w:kern w:val="0"/>
                      <w:szCs w:val="21"/>
                    </w:rPr>
                  </w:pPr>
                  <w:r>
                    <w:rPr>
                      <w:rFonts w:hint="eastAsia"/>
                      <w:kern w:val="0"/>
                      <w:szCs w:val="21"/>
                    </w:rPr>
                    <w:t>0</w:t>
                  </w:r>
                  <w:r>
                    <w:rPr>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 w:hRule="atLeast"/>
              </w:trPr>
              <w:tc>
                <w:tcPr>
                  <w:tcW w:w="614" w:type="dxa"/>
                  <w:vMerge w:val="continue"/>
                </w:tcPr>
                <w:p>
                  <w:pPr>
                    <w:widowControl/>
                    <w:adjustRightInd w:val="0"/>
                    <w:snapToGrid w:val="0"/>
                    <w:jc w:val="left"/>
                    <w:rPr>
                      <w:kern w:val="0"/>
                      <w:szCs w:val="21"/>
                    </w:rPr>
                  </w:pPr>
                </w:p>
              </w:tc>
              <w:tc>
                <w:tcPr>
                  <w:tcW w:w="708" w:type="dxa"/>
                  <w:vMerge w:val="continue"/>
                </w:tcPr>
                <w:p>
                  <w:pPr>
                    <w:widowControl/>
                    <w:adjustRightInd w:val="0"/>
                    <w:snapToGrid w:val="0"/>
                    <w:jc w:val="left"/>
                    <w:rPr>
                      <w:kern w:val="0"/>
                      <w:szCs w:val="21"/>
                    </w:rPr>
                  </w:pPr>
                </w:p>
              </w:tc>
              <w:tc>
                <w:tcPr>
                  <w:tcW w:w="1843" w:type="dxa"/>
                </w:tcPr>
                <w:p>
                  <w:pPr>
                    <w:widowControl/>
                    <w:adjustRightInd w:val="0"/>
                    <w:snapToGrid w:val="0"/>
                    <w:jc w:val="left"/>
                    <w:rPr>
                      <w:kern w:val="0"/>
                      <w:szCs w:val="21"/>
                    </w:rPr>
                  </w:pPr>
                  <w:r>
                    <w:rPr>
                      <w:kern w:val="0"/>
                      <w:szCs w:val="21"/>
                    </w:rPr>
                    <w:t>乐泰胶401</w:t>
                  </w:r>
                </w:p>
              </w:tc>
              <w:tc>
                <w:tcPr>
                  <w:tcW w:w="3008" w:type="dxa"/>
                </w:tcPr>
                <w:p>
                  <w:pPr>
                    <w:widowControl/>
                    <w:adjustRightInd w:val="0"/>
                    <w:snapToGrid w:val="0"/>
                    <w:jc w:val="left"/>
                    <w:rPr>
                      <w:kern w:val="0"/>
                      <w:szCs w:val="21"/>
                    </w:rPr>
                  </w:pPr>
                  <w:r>
                    <w:rPr>
                      <w:kern w:val="0"/>
                      <w:szCs w:val="21"/>
                    </w:rPr>
                    <w:t>为瞬干胶，用于金属材料粘接</w:t>
                  </w:r>
                </w:p>
              </w:tc>
              <w:tc>
                <w:tcPr>
                  <w:tcW w:w="850" w:type="dxa"/>
                </w:tcPr>
                <w:p>
                  <w:pPr>
                    <w:widowControl/>
                    <w:adjustRightInd w:val="0"/>
                    <w:snapToGrid w:val="0"/>
                    <w:jc w:val="left"/>
                    <w:rPr>
                      <w:kern w:val="0"/>
                      <w:szCs w:val="21"/>
                    </w:rPr>
                  </w:pPr>
                  <w:r>
                    <w:rPr>
                      <w:rFonts w:hint="eastAsia"/>
                      <w:kern w:val="0"/>
                      <w:szCs w:val="21"/>
                    </w:rPr>
                    <w:t>0</w:t>
                  </w:r>
                  <w:r>
                    <w:rPr>
                      <w:kern w:val="0"/>
                      <w:szCs w:val="21"/>
                    </w:rPr>
                    <w:t>.001</w:t>
                  </w:r>
                </w:p>
              </w:tc>
              <w:tc>
                <w:tcPr>
                  <w:tcW w:w="850" w:type="dxa"/>
                </w:tcPr>
                <w:p>
                  <w:pPr>
                    <w:widowControl/>
                    <w:adjustRightInd w:val="0"/>
                    <w:snapToGrid w:val="0"/>
                    <w:jc w:val="left"/>
                    <w:rPr>
                      <w:kern w:val="0"/>
                      <w:szCs w:val="21"/>
                    </w:rPr>
                  </w:pPr>
                  <w:r>
                    <w:rPr>
                      <w:rFonts w:hint="eastAsia"/>
                      <w:kern w:val="0"/>
                      <w:szCs w:val="21"/>
                    </w:rPr>
                    <w:t>0</w:t>
                  </w:r>
                  <w:r>
                    <w:rPr>
                      <w:kern w:val="0"/>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trPr>
              <w:tc>
                <w:tcPr>
                  <w:tcW w:w="614" w:type="dxa"/>
                  <w:vMerge w:val="continue"/>
                </w:tcPr>
                <w:p>
                  <w:pPr>
                    <w:widowControl/>
                    <w:adjustRightInd w:val="0"/>
                    <w:snapToGrid w:val="0"/>
                    <w:jc w:val="left"/>
                    <w:rPr>
                      <w:kern w:val="0"/>
                      <w:szCs w:val="21"/>
                    </w:rPr>
                  </w:pPr>
                </w:p>
              </w:tc>
              <w:tc>
                <w:tcPr>
                  <w:tcW w:w="708" w:type="dxa"/>
                  <w:vMerge w:val="continue"/>
                </w:tcPr>
                <w:p>
                  <w:pPr>
                    <w:widowControl/>
                    <w:adjustRightInd w:val="0"/>
                    <w:snapToGrid w:val="0"/>
                    <w:jc w:val="left"/>
                    <w:rPr>
                      <w:kern w:val="0"/>
                      <w:szCs w:val="21"/>
                    </w:rPr>
                  </w:pPr>
                </w:p>
              </w:tc>
              <w:tc>
                <w:tcPr>
                  <w:tcW w:w="1843" w:type="dxa"/>
                </w:tcPr>
                <w:p>
                  <w:pPr>
                    <w:widowControl/>
                    <w:adjustRightInd w:val="0"/>
                    <w:snapToGrid w:val="0"/>
                    <w:jc w:val="left"/>
                    <w:rPr>
                      <w:kern w:val="0"/>
                      <w:szCs w:val="21"/>
                    </w:rPr>
                  </w:pPr>
                  <w:r>
                    <w:rPr>
                      <w:kern w:val="0"/>
                      <w:szCs w:val="21"/>
                    </w:rPr>
                    <w:t>乐泰厌氧胶</w:t>
                  </w:r>
                  <w:r>
                    <w:rPr>
                      <w:rFonts w:hint="eastAsia"/>
                      <w:kern w:val="0"/>
                      <w:szCs w:val="21"/>
                    </w:rPr>
                    <w:t>2</w:t>
                  </w:r>
                  <w:r>
                    <w:rPr>
                      <w:kern w:val="0"/>
                      <w:szCs w:val="21"/>
                    </w:rPr>
                    <w:t>43</w:t>
                  </w:r>
                </w:p>
              </w:tc>
              <w:tc>
                <w:tcPr>
                  <w:tcW w:w="3008" w:type="dxa"/>
                </w:tcPr>
                <w:p>
                  <w:pPr>
                    <w:widowControl/>
                    <w:adjustRightInd w:val="0"/>
                    <w:snapToGrid w:val="0"/>
                    <w:jc w:val="left"/>
                    <w:rPr>
                      <w:kern w:val="0"/>
                      <w:szCs w:val="21"/>
                    </w:rPr>
                  </w:pPr>
                  <w:r>
                    <w:rPr>
                      <w:kern w:val="0"/>
                      <w:szCs w:val="21"/>
                    </w:rPr>
                    <w:t>用于螺纹锁固剂，主要成分为</w:t>
                  </w:r>
                  <w:r>
                    <w:rPr>
                      <w:bCs/>
                      <w:kern w:val="0"/>
                      <w:szCs w:val="21"/>
                    </w:rPr>
                    <w:t>甲基丙烯酸酯</w:t>
                  </w:r>
                </w:p>
              </w:tc>
              <w:tc>
                <w:tcPr>
                  <w:tcW w:w="850" w:type="dxa"/>
                </w:tcPr>
                <w:p>
                  <w:pPr>
                    <w:widowControl/>
                    <w:adjustRightInd w:val="0"/>
                    <w:snapToGrid w:val="0"/>
                    <w:jc w:val="left"/>
                    <w:rPr>
                      <w:kern w:val="0"/>
                      <w:szCs w:val="21"/>
                    </w:rPr>
                  </w:pPr>
                  <w:r>
                    <w:rPr>
                      <w:rFonts w:hint="eastAsia"/>
                      <w:kern w:val="0"/>
                      <w:szCs w:val="21"/>
                    </w:rPr>
                    <w:t>0</w:t>
                  </w:r>
                  <w:r>
                    <w:rPr>
                      <w:kern w:val="0"/>
                      <w:szCs w:val="21"/>
                    </w:rPr>
                    <w:t>.001</w:t>
                  </w:r>
                </w:p>
              </w:tc>
              <w:tc>
                <w:tcPr>
                  <w:tcW w:w="850" w:type="dxa"/>
                </w:tcPr>
                <w:p>
                  <w:pPr>
                    <w:widowControl/>
                    <w:adjustRightInd w:val="0"/>
                    <w:snapToGrid w:val="0"/>
                    <w:jc w:val="left"/>
                    <w:rPr>
                      <w:kern w:val="0"/>
                      <w:szCs w:val="21"/>
                    </w:rPr>
                  </w:pPr>
                  <w:r>
                    <w:rPr>
                      <w:rFonts w:hint="eastAsia"/>
                      <w:kern w:val="0"/>
                      <w:szCs w:val="21"/>
                    </w:rPr>
                    <w:t>0</w:t>
                  </w:r>
                  <w:r>
                    <w:rPr>
                      <w:kern w:val="0"/>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614" w:type="dxa"/>
                  <w:vMerge w:val="restart"/>
                </w:tcPr>
                <w:p>
                  <w:pPr>
                    <w:widowControl/>
                    <w:adjustRightInd w:val="0"/>
                    <w:snapToGrid w:val="0"/>
                    <w:jc w:val="left"/>
                    <w:rPr>
                      <w:kern w:val="0"/>
                      <w:szCs w:val="21"/>
                    </w:rPr>
                  </w:pPr>
                  <w:r>
                    <w:rPr>
                      <w:rFonts w:hint="eastAsia"/>
                      <w:kern w:val="0"/>
                      <w:szCs w:val="21"/>
                    </w:rPr>
                    <w:t>3</w:t>
                  </w:r>
                </w:p>
              </w:tc>
              <w:tc>
                <w:tcPr>
                  <w:tcW w:w="708" w:type="dxa"/>
                  <w:vMerge w:val="restart"/>
                </w:tcPr>
                <w:p>
                  <w:pPr>
                    <w:widowControl/>
                    <w:adjustRightInd w:val="0"/>
                    <w:snapToGrid w:val="0"/>
                    <w:jc w:val="left"/>
                    <w:rPr>
                      <w:kern w:val="0"/>
                      <w:szCs w:val="21"/>
                    </w:rPr>
                  </w:pPr>
                  <w:r>
                    <w:rPr>
                      <w:kern w:val="0"/>
                      <w:szCs w:val="21"/>
                    </w:rPr>
                    <w:t>油漆补修</w:t>
                  </w:r>
                </w:p>
              </w:tc>
              <w:tc>
                <w:tcPr>
                  <w:tcW w:w="1843" w:type="dxa"/>
                </w:tcPr>
                <w:p>
                  <w:pPr>
                    <w:widowControl/>
                    <w:adjustRightInd w:val="0"/>
                    <w:snapToGrid w:val="0"/>
                    <w:jc w:val="left"/>
                    <w:rPr>
                      <w:kern w:val="0"/>
                      <w:szCs w:val="21"/>
                    </w:rPr>
                  </w:pPr>
                  <w:r>
                    <w:rPr>
                      <w:kern w:val="0"/>
                      <w:szCs w:val="21"/>
                    </w:rPr>
                    <w:t>SVE005水性阻尼涂料</w:t>
                  </w:r>
                </w:p>
              </w:tc>
              <w:tc>
                <w:tcPr>
                  <w:tcW w:w="3008" w:type="dxa"/>
                </w:tcPr>
                <w:p>
                  <w:pPr>
                    <w:widowControl/>
                    <w:adjustRightInd w:val="0"/>
                    <w:snapToGrid w:val="0"/>
                    <w:jc w:val="left"/>
                    <w:rPr>
                      <w:kern w:val="0"/>
                      <w:szCs w:val="21"/>
                    </w:rPr>
                  </w:pPr>
                  <w:r>
                    <w:rPr>
                      <w:kern w:val="0"/>
                      <w:szCs w:val="21"/>
                    </w:rPr>
                    <w:t>主要由聚氨酯树脂、环氧树脂乳液、膨胀珍珠岩粉、碳酸钙、水组成</w:t>
                  </w:r>
                </w:p>
              </w:tc>
              <w:tc>
                <w:tcPr>
                  <w:tcW w:w="850" w:type="dxa"/>
                </w:tcPr>
                <w:p>
                  <w:pPr>
                    <w:widowControl/>
                    <w:adjustRightInd w:val="0"/>
                    <w:snapToGrid w:val="0"/>
                    <w:jc w:val="left"/>
                    <w:rPr>
                      <w:kern w:val="0"/>
                      <w:szCs w:val="21"/>
                    </w:rPr>
                  </w:pPr>
                  <w:r>
                    <w:rPr>
                      <w:rFonts w:hint="eastAsia"/>
                      <w:kern w:val="0"/>
                      <w:szCs w:val="21"/>
                    </w:rPr>
                    <w:t>0</w:t>
                  </w:r>
                  <w:r>
                    <w:rPr>
                      <w:kern w:val="0"/>
                      <w:szCs w:val="21"/>
                    </w:rPr>
                    <w:t>.05</w:t>
                  </w:r>
                </w:p>
              </w:tc>
              <w:tc>
                <w:tcPr>
                  <w:tcW w:w="850" w:type="dxa"/>
                </w:tcPr>
                <w:p>
                  <w:pPr>
                    <w:widowControl/>
                    <w:adjustRightInd w:val="0"/>
                    <w:snapToGrid w:val="0"/>
                    <w:jc w:val="left"/>
                    <w:rPr>
                      <w:kern w:val="0"/>
                      <w:szCs w:val="21"/>
                    </w:rPr>
                  </w:pPr>
                  <w:r>
                    <w:rPr>
                      <w:rFonts w:hint="eastAsia"/>
                      <w:kern w:val="0"/>
                      <w:szCs w:val="21"/>
                    </w:rPr>
                    <w:t>0</w:t>
                  </w:r>
                  <w:r>
                    <w:rPr>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trPr>
              <w:tc>
                <w:tcPr>
                  <w:tcW w:w="614" w:type="dxa"/>
                  <w:vMerge w:val="continue"/>
                </w:tcPr>
                <w:p>
                  <w:pPr>
                    <w:widowControl/>
                    <w:adjustRightInd w:val="0"/>
                    <w:snapToGrid w:val="0"/>
                    <w:jc w:val="left"/>
                    <w:rPr>
                      <w:kern w:val="0"/>
                      <w:szCs w:val="21"/>
                    </w:rPr>
                  </w:pPr>
                </w:p>
              </w:tc>
              <w:tc>
                <w:tcPr>
                  <w:tcW w:w="708" w:type="dxa"/>
                  <w:vMerge w:val="continue"/>
                </w:tcPr>
                <w:p>
                  <w:pPr>
                    <w:widowControl/>
                    <w:adjustRightInd w:val="0"/>
                    <w:snapToGrid w:val="0"/>
                    <w:jc w:val="left"/>
                    <w:rPr>
                      <w:kern w:val="0"/>
                      <w:szCs w:val="21"/>
                    </w:rPr>
                  </w:pPr>
                </w:p>
              </w:tc>
              <w:tc>
                <w:tcPr>
                  <w:tcW w:w="1843" w:type="dxa"/>
                </w:tcPr>
                <w:p>
                  <w:pPr>
                    <w:widowControl/>
                    <w:adjustRightInd w:val="0"/>
                    <w:snapToGrid w:val="0"/>
                    <w:jc w:val="left"/>
                    <w:rPr>
                      <w:kern w:val="0"/>
                      <w:szCs w:val="21"/>
                    </w:rPr>
                  </w:pPr>
                  <w:r>
                    <w:rPr>
                      <w:kern w:val="0"/>
                      <w:szCs w:val="21"/>
                    </w:rPr>
                    <w:t>打磨膏</w:t>
                  </w:r>
                </w:p>
              </w:tc>
              <w:tc>
                <w:tcPr>
                  <w:tcW w:w="3008" w:type="dxa"/>
                </w:tcPr>
                <w:p>
                  <w:pPr>
                    <w:widowControl/>
                    <w:adjustRightInd w:val="0"/>
                    <w:snapToGrid w:val="0"/>
                    <w:jc w:val="left"/>
                    <w:rPr>
                      <w:kern w:val="0"/>
                      <w:szCs w:val="21"/>
                    </w:rPr>
                  </w:pPr>
                  <w:r>
                    <w:rPr>
                      <w:kern w:val="0"/>
                      <w:szCs w:val="21"/>
                    </w:rPr>
                    <w:t>主要为二氧化硅、氢氧化铝、羧甲基纤维素等组成</w:t>
                  </w:r>
                </w:p>
              </w:tc>
              <w:tc>
                <w:tcPr>
                  <w:tcW w:w="850" w:type="dxa"/>
                </w:tcPr>
                <w:p>
                  <w:pPr>
                    <w:widowControl/>
                    <w:adjustRightInd w:val="0"/>
                    <w:snapToGrid w:val="0"/>
                    <w:jc w:val="left"/>
                    <w:rPr>
                      <w:kern w:val="0"/>
                      <w:szCs w:val="21"/>
                    </w:rPr>
                  </w:pPr>
                  <w:r>
                    <w:rPr>
                      <w:rFonts w:hint="eastAsia"/>
                      <w:kern w:val="0"/>
                      <w:szCs w:val="21"/>
                    </w:rPr>
                    <w:t>0</w:t>
                  </w:r>
                  <w:r>
                    <w:rPr>
                      <w:kern w:val="0"/>
                      <w:szCs w:val="21"/>
                    </w:rPr>
                    <w:t>.5</w:t>
                  </w:r>
                </w:p>
              </w:tc>
              <w:tc>
                <w:tcPr>
                  <w:tcW w:w="850" w:type="dxa"/>
                </w:tcPr>
                <w:p>
                  <w:pPr>
                    <w:widowControl/>
                    <w:adjustRightInd w:val="0"/>
                    <w:snapToGrid w:val="0"/>
                    <w:jc w:val="left"/>
                    <w:rPr>
                      <w:kern w:val="0"/>
                      <w:szCs w:val="21"/>
                    </w:rPr>
                  </w:pPr>
                  <w:r>
                    <w:rPr>
                      <w:rFonts w:hint="eastAsia"/>
                      <w:kern w:val="0"/>
                      <w:szCs w:val="21"/>
                    </w:rPr>
                    <w:t>0</w:t>
                  </w:r>
                  <w:r>
                    <w:rPr>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trPr>
              <w:tc>
                <w:tcPr>
                  <w:tcW w:w="614" w:type="dxa"/>
                  <w:vMerge w:val="continue"/>
                </w:tcPr>
                <w:p>
                  <w:pPr>
                    <w:widowControl/>
                    <w:adjustRightInd w:val="0"/>
                    <w:snapToGrid w:val="0"/>
                    <w:jc w:val="left"/>
                    <w:rPr>
                      <w:kern w:val="0"/>
                      <w:szCs w:val="21"/>
                    </w:rPr>
                  </w:pPr>
                </w:p>
              </w:tc>
              <w:tc>
                <w:tcPr>
                  <w:tcW w:w="708" w:type="dxa"/>
                  <w:vMerge w:val="continue"/>
                </w:tcPr>
                <w:p>
                  <w:pPr>
                    <w:widowControl/>
                    <w:adjustRightInd w:val="0"/>
                    <w:snapToGrid w:val="0"/>
                    <w:jc w:val="left"/>
                    <w:rPr>
                      <w:kern w:val="0"/>
                      <w:szCs w:val="21"/>
                    </w:rPr>
                  </w:pPr>
                </w:p>
              </w:tc>
              <w:tc>
                <w:tcPr>
                  <w:tcW w:w="1843" w:type="dxa"/>
                </w:tcPr>
                <w:p>
                  <w:pPr>
                    <w:widowControl/>
                    <w:adjustRightInd w:val="0"/>
                    <w:snapToGrid w:val="0"/>
                    <w:jc w:val="left"/>
                    <w:rPr>
                      <w:kern w:val="0"/>
                      <w:szCs w:val="21"/>
                    </w:rPr>
                  </w:pPr>
                  <w:r>
                    <w:rPr>
                      <w:kern w:val="0"/>
                      <w:szCs w:val="21"/>
                    </w:rPr>
                    <w:t>米红色环氧底漆</w:t>
                  </w:r>
                </w:p>
              </w:tc>
              <w:tc>
                <w:tcPr>
                  <w:tcW w:w="3008" w:type="dxa"/>
                </w:tcPr>
                <w:p>
                  <w:pPr>
                    <w:widowControl/>
                    <w:adjustRightInd w:val="0"/>
                    <w:snapToGrid w:val="0"/>
                    <w:jc w:val="left"/>
                    <w:rPr>
                      <w:kern w:val="0"/>
                      <w:szCs w:val="21"/>
                    </w:rPr>
                  </w:pPr>
                  <w:r>
                    <w:rPr>
                      <w:kern w:val="0"/>
                      <w:szCs w:val="21"/>
                    </w:rPr>
                    <w:t>为水性环氧树脂底漆</w:t>
                  </w:r>
                </w:p>
              </w:tc>
              <w:tc>
                <w:tcPr>
                  <w:tcW w:w="850" w:type="dxa"/>
                </w:tcPr>
                <w:p>
                  <w:pPr>
                    <w:widowControl/>
                    <w:adjustRightInd w:val="0"/>
                    <w:snapToGrid w:val="0"/>
                    <w:jc w:val="left"/>
                    <w:rPr>
                      <w:kern w:val="0"/>
                      <w:szCs w:val="21"/>
                    </w:rPr>
                  </w:pPr>
                  <w:r>
                    <w:rPr>
                      <w:kern w:val="0"/>
                      <w:szCs w:val="21"/>
                    </w:rPr>
                    <w:t>4</w:t>
                  </w:r>
                </w:p>
              </w:tc>
              <w:tc>
                <w:tcPr>
                  <w:tcW w:w="850" w:type="dxa"/>
                </w:tcPr>
                <w:p>
                  <w:pPr>
                    <w:widowControl/>
                    <w:adjustRightInd w:val="0"/>
                    <w:snapToGrid w:val="0"/>
                    <w:jc w:val="left"/>
                    <w:rPr>
                      <w:kern w:val="0"/>
                      <w:szCs w:val="21"/>
                    </w:rPr>
                  </w:pPr>
                  <w:r>
                    <w:rPr>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trPr>
              <w:tc>
                <w:tcPr>
                  <w:tcW w:w="614" w:type="dxa"/>
                  <w:vMerge w:val="continue"/>
                </w:tcPr>
                <w:p>
                  <w:pPr>
                    <w:widowControl/>
                    <w:adjustRightInd w:val="0"/>
                    <w:snapToGrid w:val="0"/>
                    <w:jc w:val="left"/>
                    <w:rPr>
                      <w:kern w:val="0"/>
                      <w:szCs w:val="21"/>
                    </w:rPr>
                  </w:pPr>
                </w:p>
              </w:tc>
              <w:tc>
                <w:tcPr>
                  <w:tcW w:w="708" w:type="dxa"/>
                  <w:vMerge w:val="continue"/>
                </w:tcPr>
                <w:p>
                  <w:pPr>
                    <w:widowControl/>
                    <w:adjustRightInd w:val="0"/>
                    <w:snapToGrid w:val="0"/>
                    <w:jc w:val="left"/>
                    <w:rPr>
                      <w:kern w:val="0"/>
                      <w:szCs w:val="21"/>
                    </w:rPr>
                  </w:pPr>
                </w:p>
              </w:tc>
              <w:tc>
                <w:tcPr>
                  <w:tcW w:w="1843" w:type="dxa"/>
                </w:tcPr>
                <w:p>
                  <w:pPr>
                    <w:widowControl/>
                    <w:adjustRightInd w:val="0"/>
                    <w:snapToGrid w:val="0"/>
                    <w:jc w:val="left"/>
                    <w:rPr>
                      <w:kern w:val="0"/>
                      <w:szCs w:val="21"/>
                    </w:rPr>
                  </w:pPr>
                  <w:r>
                    <w:rPr>
                      <w:kern w:val="0"/>
                      <w:szCs w:val="21"/>
                    </w:rPr>
                    <w:t>丙烯酸聚氨酯面漆</w:t>
                  </w:r>
                </w:p>
              </w:tc>
              <w:tc>
                <w:tcPr>
                  <w:tcW w:w="3008" w:type="dxa"/>
                </w:tcPr>
                <w:p>
                  <w:pPr>
                    <w:widowControl/>
                    <w:adjustRightInd w:val="0"/>
                    <w:snapToGrid w:val="0"/>
                    <w:jc w:val="left"/>
                    <w:rPr>
                      <w:kern w:val="0"/>
                      <w:szCs w:val="21"/>
                    </w:rPr>
                  </w:pPr>
                  <w:r>
                    <w:rPr>
                      <w:rFonts w:hint="eastAsia"/>
                      <w:kern w:val="0"/>
                      <w:szCs w:val="21"/>
                    </w:rPr>
                    <w:t>为水性丙烯酸聚氨酯面漆</w:t>
                  </w:r>
                </w:p>
              </w:tc>
              <w:tc>
                <w:tcPr>
                  <w:tcW w:w="850" w:type="dxa"/>
                </w:tcPr>
                <w:p>
                  <w:pPr>
                    <w:widowControl/>
                    <w:adjustRightInd w:val="0"/>
                    <w:snapToGrid w:val="0"/>
                    <w:jc w:val="left"/>
                    <w:rPr>
                      <w:kern w:val="0"/>
                      <w:szCs w:val="21"/>
                    </w:rPr>
                  </w:pPr>
                  <w:r>
                    <w:rPr>
                      <w:kern w:val="0"/>
                      <w:szCs w:val="21"/>
                    </w:rPr>
                    <w:t>2</w:t>
                  </w:r>
                </w:p>
              </w:tc>
              <w:tc>
                <w:tcPr>
                  <w:tcW w:w="850" w:type="dxa"/>
                </w:tcPr>
                <w:p>
                  <w:pPr>
                    <w:widowControl/>
                    <w:adjustRightInd w:val="0"/>
                    <w:snapToGrid w:val="0"/>
                    <w:jc w:val="left"/>
                    <w:rPr>
                      <w:kern w:val="0"/>
                      <w:szCs w:val="21"/>
                    </w:rPr>
                  </w:pPr>
                  <w:r>
                    <w:rPr>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 w:hRule="atLeast"/>
              </w:trPr>
              <w:tc>
                <w:tcPr>
                  <w:tcW w:w="614" w:type="dxa"/>
                  <w:vMerge w:val="continue"/>
                </w:tcPr>
                <w:p>
                  <w:pPr>
                    <w:widowControl/>
                    <w:adjustRightInd w:val="0"/>
                    <w:snapToGrid w:val="0"/>
                    <w:jc w:val="left"/>
                    <w:rPr>
                      <w:kern w:val="0"/>
                      <w:szCs w:val="21"/>
                    </w:rPr>
                  </w:pPr>
                </w:p>
              </w:tc>
              <w:tc>
                <w:tcPr>
                  <w:tcW w:w="708" w:type="dxa"/>
                  <w:vMerge w:val="continue"/>
                </w:tcPr>
                <w:p>
                  <w:pPr>
                    <w:widowControl/>
                    <w:adjustRightInd w:val="0"/>
                    <w:snapToGrid w:val="0"/>
                    <w:jc w:val="left"/>
                    <w:rPr>
                      <w:kern w:val="0"/>
                      <w:szCs w:val="21"/>
                    </w:rPr>
                  </w:pPr>
                </w:p>
              </w:tc>
              <w:tc>
                <w:tcPr>
                  <w:tcW w:w="1843" w:type="dxa"/>
                </w:tcPr>
                <w:p>
                  <w:pPr>
                    <w:widowControl/>
                    <w:adjustRightInd w:val="0"/>
                    <w:snapToGrid w:val="0"/>
                    <w:jc w:val="left"/>
                    <w:rPr>
                      <w:kern w:val="0"/>
                      <w:szCs w:val="21"/>
                    </w:rPr>
                  </w:pPr>
                  <w:r>
                    <w:rPr>
                      <w:kern w:val="0"/>
                      <w:szCs w:val="21"/>
                    </w:rPr>
                    <w:t>环氧改性聚酯腻子</w:t>
                  </w:r>
                </w:p>
              </w:tc>
              <w:tc>
                <w:tcPr>
                  <w:tcW w:w="3008" w:type="dxa"/>
                </w:tcPr>
                <w:p>
                  <w:pPr>
                    <w:widowControl/>
                    <w:adjustRightInd w:val="0"/>
                    <w:snapToGrid w:val="0"/>
                    <w:jc w:val="left"/>
                    <w:rPr>
                      <w:kern w:val="0"/>
                      <w:szCs w:val="21"/>
                    </w:rPr>
                  </w:pPr>
                  <w:r>
                    <w:rPr>
                      <w:kern w:val="0"/>
                      <w:szCs w:val="21"/>
                    </w:rPr>
                    <w:t>主要成分为环氧改性不饱和聚酯树脂</w:t>
                  </w:r>
                </w:p>
              </w:tc>
              <w:tc>
                <w:tcPr>
                  <w:tcW w:w="850" w:type="dxa"/>
                </w:tcPr>
                <w:p>
                  <w:pPr>
                    <w:widowControl/>
                    <w:adjustRightInd w:val="0"/>
                    <w:snapToGrid w:val="0"/>
                    <w:jc w:val="left"/>
                    <w:rPr>
                      <w:kern w:val="0"/>
                      <w:szCs w:val="21"/>
                    </w:rPr>
                  </w:pPr>
                  <w:r>
                    <w:rPr>
                      <w:rFonts w:hint="eastAsia"/>
                      <w:kern w:val="0"/>
                      <w:szCs w:val="21"/>
                    </w:rPr>
                    <w:t>1</w:t>
                  </w:r>
                </w:p>
              </w:tc>
              <w:tc>
                <w:tcPr>
                  <w:tcW w:w="850" w:type="dxa"/>
                </w:tcPr>
                <w:p>
                  <w:pPr>
                    <w:widowControl/>
                    <w:adjustRightInd w:val="0"/>
                    <w:snapToGrid w:val="0"/>
                    <w:jc w:val="left"/>
                    <w:rPr>
                      <w:kern w:val="0"/>
                      <w:szCs w:val="21"/>
                    </w:rPr>
                  </w:pPr>
                  <w:r>
                    <w:rPr>
                      <w:rFonts w:hint="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 w:hRule="atLeast"/>
              </w:trPr>
              <w:tc>
                <w:tcPr>
                  <w:tcW w:w="614" w:type="dxa"/>
                  <w:vMerge w:val="continue"/>
                </w:tcPr>
                <w:p>
                  <w:pPr>
                    <w:widowControl/>
                    <w:adjustRightInd w:val="0"/>
                    <w:snapToGrid w:val="0"/>
                    <w:jc w:val="left"/>
                    <w:rPr>
                      <w:kern w:val="0"/>
                      <w:szCs w:val="21"/>
                    </w:rPr>
                  </w:pPr>
                </w:p>
              </w:tc>
              <w:tc>
                <w:tcPr>
                  <w:tcW w:w="708" w:type="dxa"/>
                  <w:vMerge w:val="continue"/>
                </w:tcPr>
                <w:p>
                  <w:pPr>
                    <w:widowControl/>
                    <w:adjustRightInd w:val="0"/>
                    <w:snapToGrid w:val="0"/>
                    <w:jc w:val="left"/>
                    <w:rPr>
                      <w:kern w:val="0"/>
                      <w:szCs w:val="21"/>
                    </w:rPr>
                  </w:pPr>
                </w:p>
              </w:tc>
              <w:tc>
                <w:tcPr>
                  <w:tcW w:w="1843" w:type="dxa"/>
                </w:tcPr>
                <w:p>
                  <w:pPr>
                    <w:widowControl/>
                    <w:adjustRightInd w:val="0"/>
                    <w:snapToGrid w:val="0"/>
                    <w:jc w:val="left"/>
                    <w:rPr>
                      <w:kern w:val="0"/>
                      <w:szCs w:val="21"/>
                    </w:rPr>
                  </w:pPr>
                  <w:r>
                    <w:rPr>
                      <w:kern w:val="0"/>
                      <w:szCs w:val="21"/>
                    </w:rPr>
                    <w:t>交通黑丙烯酸聚氨酯防污漆</w:t>
                  </w:r>
                </w:p>
              </w:tc>
              <w:tc>
                <w:tcPr>
                  <w:tcW w:w="3008" w:type="dxa"/>
                </w:tcPr>
                <w:p>
                  <w:r>
                    <w:rPr>
                      <w:rFonts w:hint="eastAsia"/>
                      <w:kern w:val="0"/>
                      <w:szCs w:val="21"/>
                    </w:rPr>
                    <w:t>为水性丙烯酸聚氨酯面漆</w:t>
                  </w:r>
                </w:p>
              </w:tc>
              <w:tc>
                <w:tcPr>
                  <w:tcW w:w="850" w:type="dxa"/>
                </w:tcPr>
                <w:p>
                  <w:pPr>
                    <w:widowControl/>
                    <w:adjustRightInd w:val="0"/>
                    <w:snapToGrid w:val="0"/>
                    <w:jc w:val="left"/>
                    <w:rPr>
                      <w:kern w:val="0"/>
                      <w:szCs w:val="21"/>
                    </w:rPr>
                  </w:pPr>
                  <w:r>
                    <w:rPr>
                      <w:kern w:val="0"/>
                      <w:szCs w:val="21"/>
                    </w:rPr>
                    <w:t>0.3</w:t>
                  </w:r>
                </w:p>
              </w:tc>
              <w:tc>
                <w:tcPr>
                  <w:tcW w:w="850" w:type="dxa"/>
                </w:tcPr>
                <w:p>
                  <w:pPr>
                    <w:widowControl/>
                    <w:adjustRightInd w:val="0"/>
                    <w:snapToGrid w:val="0"/>
                    <w:jc w:val="left"/>
                    <w:rPr>
                      <w:kern w:val="0"/>
                      <w:szCs w:val="21"/>
                    </w:rPr>
                  </w:pPr>
                  <w:r>
                    <w:rPr>
                      <w:rFonts w:hint="eastAsia"/>
                      <w:kern w:val="0"/>
                      <w:szCs w:val="21"/>
                    </w:rPr>
                    <w:t>0</w:t>
                  </w:r>
                  <w:r>
                    <w:rPr>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trPr>
              <w:tc>
                <w:tcPr>
                  <w:tcW w:w="614" w:type="dxa"/>
                  <w:vMerge w:val="continue"/>
                </w:tcPr>
                <w:p>
                  <w:pPr>
                    <w:widowControl/>
                    <w:adjustRightInd w:val="0"/>
                    <w:snapToGrid w:val="0"/>
                    <w:jc w:val="left"/>
                    <w:rPr>
                      <w:kern w:val="0"/>
                      <w:szCs w:val="21"/>
                    </w:rPr>
                  </w:pPr>
                </w:p>
              </w:tc>
              <w:tc>
                <w:tcPr>
                  <w:tcW w:w="708" w:type="dxa"/>
                  <w:vMerge w:val="continue"/>
                </w:tcPr>
                <w:p>
                  <w:pPr>
                    <w:widowControl/>
                    <w:adjustRightInd w:val="0"/>
                    <w:snapToGrid w:val="0"/>
                    <w:jc w:val="left"/>
                    <w:rPr>
                      <w:kern w:val="0"/>
                      <w:szCs w:val="21"/>
                    </w:rPr>
                  </w:pPr>
                </w:p>
              </w:tc>
              <w:tc>
                <w:tcPr>
                  <w:tcW w:w="1843" w:type="dxa"/>
                </w:tcPr>
                <w:p>
                  <w:pPr>
                    <w:widowControl/>
                    <w:adjustRightInd w:val="0"/>
                    <w:snapToGrid w:val="0"/>
                    <w:jc w:val="left"/>
                    <w:rPr>
                      <w:kern w:val="0"/>
                      <w:szCs w:val="21"/>
                    </w:rPr>
                  </w:pPr>
                  <w:r>
                    <w:rPr>
                      <w:kern w:val="0"/>
                      <w:szCs w:val="21"/>
                    </w:rPr>
                    <w:t>信号白丙烯酸聚氨酯漆</w:t>
                  </w:r>
                </w:p>
              </w:tc>
              <w:tc>
                <w:tcPr>
                  <w:tcW w:w="3008" w:type="dxa"/>
                </w:tcPr>
                <w:p>
                  <w:r>
                    <w:rPr>
                      <w:rFonts w:hint="eastAsia"/>
                      <w:kern w:val="0"/>
                      <w:szCs w:val="21"/>
                    </w:rPr>
                    <w:t>为水性丙烯酸聚氨酯面漆</w:t>
                  </w:r>
                </w:p>
              </w:tc>
              <w:tc>
                <w:tcPr>
                  <w:tcW w:w="850" w:type="dxa"/>
                </w:tcPr>
                <w:p>
                  <w:pPr>
                    <w:widowControl/>
                    <w:adjustRightInd w:val="0"/>
                    <w:snapToGrid w:val="0"/>
                    <w:jc w:val="left"/>
                    <w:rPr>
                      <w:kern w:val="0"/>
                      <w:szCs w:val="21"/>
                    </w:rPr>
                  </w:pPr>
                  <w:r>
                    <w:rPr>
                      <w:kern w:val="0"/>
                      <w:szCs w:val="21"/>
                    </w:rPr>
                    <w:t>1.8</w:t>
                  </w:r>
                </w:p>
              </w:tc>
              <w:tc>
                <w:tcPr>
                  <w:tcW w:w="850" w:type="dxa"/>
                </w:tcPr>
                <w:p>
                  <w:pPr>
                    <w:widowControl/>
                    <w:adjustRightInd w:val="0"/>
                    <w:snapToGrid w:val="0"/>
                    <w:jc w:val="left"/>
                    <w:rPr>
                      <w:kern w:val="0"/>
                      <w:szCs w:val="21"/>
                    </w:rPr>
                  </w:pPr>
                  <w:r>
                    <w:rPr>
                      <w:rFonts w:hint="eastAsia"/>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14" w:type="dxa"/>
                  <w:vMerge w:val="continue"/>
                </w:tcPr>
                <w:p>
                  <w:pPr>
                    <w:widowControl/>
                    <w:adjustRightInd w:val="0"/>
                    <w:snapToGrid w:val="0"/>
                    <w:jc w:val="left"/>
                    <w:rPr>
                      <w:kern w:val="0"/>
                      <w:szCs w:val="21"/>
                    </w:rPr>
                  </w:pPr>
                </w:p>
              </w:tc>
              <w:tc>
                <w:tcPr>
                  <w:tcW w:w="708" w:type="dxa"/>
                  <w:vMerge w:val="continue"/>
                </w:tcPr>
                <w:p>
                  <w:pPr>
                    <w:widowControl/>
                    <w:adjustRightInd w:val="0"/>
                    <w:snapToGrid w:val="0"/>
                    <w:jc w:val="left"/>
                    <w:rPr>
                      <w:kern w:val="0"/>
                      <w:szCs w:val="21"/>
                    </w:rPr>
                  </w:pPr>
                </w:p>
              </w:tc>
              <w:tc>
                <w:tcPr>
                  <w:tcW w:w="1843" w:type="dxa"/>
                </w:tcPr>
                <w:p>
                  <w:pPr>
                    <w:widowControl/>
                    <w:adjustRightInd w:val="0"/>
                    <w:snapToGrid w:val="0"/>
                    <w:jc w:val="left"/>
                    <w:rPr>
                      <w:kern w:val="0"/>
                      <w:szCs w:val="21"/>
                    </w:rPr>
                  </w:pPr>
                  <w:r>
                    <w:rPr>
                      <w:kern w:val="0"/>
                      <w:szCs w:val="21"/>
                    </w:rPr>
                    <w:t>哑光雾黑色丙烯酸聚氨酯漆</w:t>
                  </w:r>
                </w:p>
              </w:tc>
              <w:tc>
                <w:tcPr>
                  <w:tcW w:w="3008" w:type="dxa"/>
                </w:tcPr>
                <w:p>
                  <w:r>
                    <w:rPr>
                      <w:rFonts w:hint="eastAsia"/>
                      <w:kern w:val="0"/>
                      <w:szCs w:val="21"/>
                    </w:rPr>
                    <w:t>为水性丙烯酸聚氨酯面漆</w:t>
                  </w:r>
                </w:p>
              </w:tc>
              <w:tc>
                <w:tcPr>
                  <w:tcW w:w="850" w:type="dxa"/>
                </w:tcPr>
                <w:p>
                  <w:pPr>
                    <w:widowControl/>
                    <w:adjustRightInd w:val="0"/>
                    <w:snapToGrid w:val="0"/>
                    <w:jc w:val="left"/>
                    <w:rPr>
                      <w:kern w:val="0"/>
                      <w:szCs w:val="21"/>
                    </w:rPr>
                  </w:pPr>
                  <w:r>
                    <w:rPr>
                      <w:rFonts w:hint="eastAsia"/>
                      <w:kern w:val="0"/>
                      <w:szCs w:val="21"/>
                    </w:rPr>
                    <w:t>0</w:t>
                  </w:r>
                  <w:r>
                    <w:rPr>
                      <w:kern w:val="0"/>
                      <w:szCs w:val="21"/>
                    </w:rPr>
                    <w:t>.2</w:t>
                  </w:r>
                </w:p>
              </w:tc>
              <w:tc>
                <w:tcPr>
                  <w:tcW w:w="850" w:type="dxa"/>
                </w:tcPr>
                <w:p>
                  <w:pPr>
                    <w:widowControl/>
                    <w:adjustRightInd w:val="0"/>
                    <w:snapToGrid w:val="0"/>
                    <w:jc w:val="left"/>
                    <w:rPr>
                      <w:kern w:val="0"/>
                      <w:szCs w:val="21"/>
                    </w:rPr>
                  </w:pPr>
                  <w:r>
                    <w:rPr>
                      <w:rFonts w:hint="eastAsia"/>
                      <w:kern w:val="0"/>
                      <w:szCs w:val="21"/>
                    </w:rPr>
                    <w:t>0</w:t>
                  </w:r>
                  <w:r>
                    <w:rPr>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614" w:type="dxa"/>
                  <w:vMerge w:val="continue"/>
                </w:tcPr>
                <w:p>
                  <w:pPr>
                    <w:widowControl/>
                    <w:adjustRightInd w:val="0"/>
                    <w:snapToGrid w:val="0"/>
                    <w:jc w:val="left"/>
                    <w:rPr>
                      <w:kern w:val="0"/>
                      <w:szCs w:val="21"/>
                    </w:rPr>
                  </w:pPr>
                </w:p>
              </w:tc>
              <w:tc>
                <w:tcPr>
                  <w:tcW w:w="708" w:type="dxa"/>
                  <w:vMerge w:val="continue"/>
                </w:tcPr>
                <w:p>
                  <w:pPr>
                    <w:widowControl/>
                    <w:adjustRightInd w:val="0"/>
                    <w:snapToGrid w:val="0"/>
                    <w:jc w:val="left"/>
                    <w:rPr>
                      <w:kern w:val="0"/>
                      <w:szCs w:val="21"/>
                    </w:rPr>
                  </w:pPr>
                </w:p>
              </w:tc>
              <w:tc>
                <w:tcPr>
                  <w:tcW w:w="1843" w:type="dxa"/>
                </w:tcPr>
                <w:p>
                  <w:pPr>
                    <w:widowControl/>
                    <w:adjustRightInd w:val="0"/>
                    <w:snapToGrid w:val="0"/>
                    <w:jc w:val="left"/>
                    <w:rPr>
                      <w:kern w:val="0"/>
                      <w:szCs w:val="21"/>
                    </w:rPr>
                  </w:pPr>
                  <w:r>
                    <w:rPr>
                      <w:kern w:val="0"/>
                      <w:szCs w:val="21"/>
                    </w:rPr>
                    <w:t>亚光影灰色弹性丙烯酸聚氨酯漆</w:t>
                  </w:r>
                </w:p>
              </w:tc>
              <w:tc>
                <w:tcPr>
                  <w:tcW w:w="3008" w:type="dxa"/>
                </w:tcPr>
                <w:p>
                  <w:r>
                    <w:rPr>
                      <w:rFonts w:hint="eastAsia"/>
                      <w:kern w:val="0"/>
                      <w:szCs w:val="21"/>
                    </w:rPr>
                    <w:t>为水性丙烯酸聚氨酯面漆</w:t>
                  </w:r>
                </w:p>
              </w:tc>
              <w:tc>
                <w:tcPr>
                  <w:tcW w:w="850" w:type="dxa"/>
                </w:tcPr>
                <w:p>
                  <w:pPr>
                    <w:widowControl/>
                    <w:adjustRightInd w:val="0"/>
                    <w:snapToGrid w:val="0"/>
                    <w:jc w:val="left"/>
                    <w:rPr>
                      <w:kern w:val="0"/>
                      <w:szCs w:val="21"/>
                    </w:rPr>
                  </w:pPr>
                  <w:r>
                    <w:rPr>
                      <w:rFonts w:hint="eastAsia"/>
                      <w:kern w:val="0"/>
                      <w:szCs w:val="21"/>
                    </w:rPr>
                    <w:t>0</w:t>
                  </w:r>
                  <w:r>
                    <w:rPr>
                      <w:kern w:val="0"/>
                      <w:szCs w:val="21"/>
                    </w:rPr>
                    <w:t>.5</w:t>
                  </w:r>
                </w:p>
              </w:tc>
              <w:tc>
                <w:tcPr>
                  <w:tcW w:w="850" w:type="dxa"/>
                </w:tcPr>
                <w:p>
                  <w:pPr>
                    <w:widowControl/>
                    <w:adjustRightInd w:val="0"/>
                    <w:snapToGrid w:val="0"/>
                    <w:jc w:val="left"/>
                    <w:rPr>
                      <w:kern w:val="0"/>
                      <w:szCs w:val="21"/>
                    </w:rPr>
                  </w:pPr>
                  <w:r>
                    <w:rPr>
                      <w:rFonts w:hint="eastAsia"/>
                      <w:kern w:val="0"/>
                      <w:szCs w:val="21"/>
                    </w:rPr>
                    <w:t>0</w:t>
                  </w:r>
                  <w:r>
                    <w:rPr>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 w:hRule="atLeast"/>
              </w:trPr>
              <w:tc>
                <w:tcPr>
                  <w:tcW w:w="614" w:type="dxa"/>
                  <w:vMerge w:val="continue"/>
                </w:tcPr>
                <w:p>
                  <w:pPr>
                    <w:widowControl/>
                    <w:adjustRightInd w:val="0"/>
                    <w:snapToGrid w:val="0"/>
                    <w:jc w:val="left"/>
                    <w:rPr>
                      <w:kern w:val="0"/>
                      <w:szCs w:val="21"/>
                    </w:rPr>
                  </w:pPr>
                </w:p>
              </w:tc>
              <w:tc>
                <w:tcPr>
                  <w:tcW w:w="708" w:type="dxa"/>
                  <w:vMerge w:val="continue"/>
                </w:tcPr>
                <w:p>
                  <w:pPr>
                    <w:widowControl/>
                    <w:adjustRightInd w:val="0"/>
                    <w:snapToGrid w:val="0"/>
                    <w:jc w:val="left"/>
                    <w:rPr>
                      <w:kern w:val="0"/>
                      <w:szCs w:val="21"/>
                    </w:rPr>
                  </w:pPr>
                </w:p>
              </w:tc>
              <w:tc>
                <w:tcPr>
                  <w:tcW w:w="1843" w:type="dxa"/>
                </w:tcPr>
                <w:p>
                  <w:pPr>
                    <w:widowControl/>
                    <w:adjustRightInd w:val="0"/>
                    <w:snapToGrid w:val="0"/>
                    <w:jc w:val="left"/>
                    <w:rPr>
                      <w:kern w:val="0"/>
                      <w:szCs w:val="21"/>
                    </w:rPr>
                  </w:pPr>
                  <w:r>
                    <w:rPr>
                      <w:kern w:val="0"/>
                      <w:szCs w:val="21"/>
                    </w:rPr>
                    <w:t>浅灰色丙烯酸聚氨酯漆</w:t>
                  </w:r>
                </w:p>
              </w:tc>
              <w:tc>
                <w:tcPr>
                  <w:tcW w:w="3008" w:type="dxa"/>
                </w:tcPr>
                <w:p>
                  <w:r>
                    <w:rPr>
                      <w:rFonts w:hint="eastAsia"/>
                      <w:kern w:val="0"/>
                      <w:szCs w:val="21"/>
                    </w:rPr>
                    <w:t>为水性丙烯酸聚氨酯面漆</w:t>
                  </w:r>
                </w:p>
              </w:tc>
              <w:tc>
                <w:tcPr>
                  <w:tcW w:w="850" w:type="dxa"/>
                </w:tcPr>
                <w:p>
                  <w:pPr>
                    <w:widowControl/>
                    <w:adjustRightInd w:val="0"/>
                    <w:snapToGrid w:val="0"/>
                    <w:jc w:val="left"/>
                    <w:rPr>
                      <w:kern w:val="0"/>
                      <w:szCs w:val="21"/>
                    </w:rPr>
                  </w:pPr>
                  <w:r>
                    <w:rPr>
                      <w:rFonts w:hint="eastAsia"/>
                      <w:kern w:val="0"/>
                      <w:szCs w:val="21"/>
                    </w:rPr>
                    <w:t>0</w:t>
                  </w:r>
                  <w:r>
                    <w:rPr>
                      <w:kern w:val="0"/>
                      <w:szCs w:val="21"/>
                    </w:rPr>
                    <w:t>.1</w:t>
                  </w:r>
                </w:p>
              </w:tc>
              <w:tc>
                <w:tcPr>
                  <w:tcW w:w="850" w:type="dxa"/>
                </w:tcPr>
                <w:p>
                  <w:pPr>
                    <w:widowControl/>
                    <w:adjustRightInd w:val="0"/>
                    <w:snapToGrid w:val="0"/>
                    <w:jc w:val="left"/>
                    <w:rPr>
                      <w:kern w:val="0"/>
                      <w:szCs w:val="21"/>
                    </w:rPr>
                  </w:pPr>
                  <w:r>
                    <w:rPr>
                      <w:rFonts w:hint="eastAsia"/>
                      <w:kern w:val="0"/>
                      <w:szCs w:val="21"/>
                    </w:rPr>
                    <w:t>0</w:t>
                  </w:r>
                  <w:r>
                    <w:rPr>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 w:hRule="atLeast"/>
              </w:trPr>
              <w:tc>
                <w:tcPr>
                  <w:tcW w:w="614" w:type="dxa"/>
                  <w:vMerge w:val="continue"/>
                </w:tcPr>
                <w:p>
                  <w:pPr>
                    <w:widowControl/>
                    <w:adjustRightInd w:val="0"/>
                    <w:snapToGrid w:val="0"/>
                    <w:jc w:val="left"/>
                    <w:rPr>
                      <w:kern w:val="0"/>
                      <w:szCs w:val="21"/>
                    </w:rPr>
                  </w:pPr>
                </w:p>
              </w:tc>
              <w:tc>
                <w:tcPr>
                  <w:tcW w:w="708" w:type="dxa"/>
                  <w:vMerge w:val="continue"/>
                </w:tcPr>
                <w:p>
                  <w:pPr>
                    <w:widowControl/>
                    <w:adjustRightInd w:val="0"/>
                    <w:snapToGrid w:val="0"/>
                    <w:jc w:val="left"/>
                    <w:rPr>
                      <w:kern w:val="0"/>
                      <w:szCs w:val="21"/>
                    </w:rPr>
                  </w:pPr>
                </w:p>
              </w:tc>
              <w:tc>
                <w:tcPr>
                  <w:tcW w:w="1843" w:type="dxa"/>
                </w:tcPr>
                <w:p>
                  <w:pPr>
                    <w:widowControl/>
                    <w:adjustRightInd w:val="0"/>
                    <w:snapToGrid w:val="0"/>
                    <w:jc w:val="left"/>
                    <w:rPr>
                      <w:kern w:val="0"/>
                      <w:szCs w:val="21"/>
                    </w:rPr>
                  </w:pPr>
                  <w:r>
                    <w:rPr>
                      <w:kern w:val="0"/>
                      <w:szCs w:val="21"/>
                    </w:rPr>
                    <w:t>靛蓝色丙烯酸聚氨酯漆</w:t>
                  </w:r>
                </w:p>
              </w:tc>
              <w:tc>
                <w:tcPr>
                  <w:tcW w:w="3008" w:type="dxa"/>
                </w:tcPr>
                <w:p>
                  <w:r>
                    <w:rPr>
                      <w:rFonts w:hint="eastAsia"/>
                      <w:kern w:val="0"/>
                      <w:szCs w:val="21"/>
                    </w:rPr>
                    <w:t>为水性丙烯酸聚氨酯面漆</w:t>
                  </w:r>
                </w:p>
              </w:tc>
              <w:tc>
                <w:tcPr>
                  <w:tcW w:w="850" w:type="dxa"/>
                </w:tcPr>
                <w:p>
                  <w:pPr>
                    <w:widowControl/>
                    <w:adjustRightInd w:val="0"/>
                    <w:snapToGrid w:val="0"/>
                    <w:jc w:val="left"/>
                    <w:rPr>
                      <w:kern w:val="0"/>
                      <w:szCs w:val="21"/>
                    </w:rPr>
                  </w:pPr>
                  <w:r>
                    <w:rPr>
                      <w:rFonts w:hint="eastAsia"/>
                      <w:kern w:val="0"/>
                      <w:szCs w:val="21"/>
                    </w:rPr>
                    <w:t>0</w:t>
                  </w:r>
                  <w:r>
                    <w:rPr>
                      <w:kern w:val="0"/>
                      <w:szCs w:val="21"/>
                    </w:rPr>
                    <w:t>.1</w:t>
                  </w:r>
                </w:p>
              </w:tc>
              <w:tc>
                <w:tcPr>
                  <w:tcW w:w="850" w:type="dxa"/>
                </w:tcPr>
                <w:p>
                  <w:pPr>
                    <w:widowControl/>
                    <w:adjustRightInd w:val="0"/>
                    <w:snapToGrid w:val="0"/>
                    <w:jc w:val="left"/>
                    <w:rPr>
                      <w:kern w:val="0"/>
                      <w:szCs w:val="21"/>
                    </w:rPr>
                  </w:pPr>
                  <w:r>
                    <w:rPr>
                      <w:rFonts w:hint="eastAsia"/>
                      <w:kern w:val="0"/>
                      <w:szCs w:val="21"/>
                    </w:rPr>
                    <w:t>0</w:t>
                  </w:r>
                  <w:r>
                    <w:rPr>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rPr>
              <w:tc>
                <w:tcPr>
                  <w:tcW w:w="614" w:type="dxa"/>
                  <w:vMerge w:val="restart"/>
                </w:tcPr>
                <w:p>
                  <w:pPr>
                    <w:widowControl/>
                    <w:adjustRightInd w:val="0"/>
                    <w:snapToGrid w:val="0"/>
                    <w:jc w:val="left"/>
                    <w:rPr>
                      <w:kern w:val="0"/>
                      <w:szCs w:val="21"/>
                    </w:rPr>
                  </w:pPr>
                  <w:r>
                    <w:rPr>
                      <w:rFonts w:hint="eastAsia"/>
                      <w:kern w:val="0"/>
                      <w:szCs w:val="21"/>
                    </w:rPr>
                    <w:t>4</w:t>
                  </w:r>
                </w:p>
              </w:tc>
              <w:tc>
                <w:tcPr>
                  <w:tcW w:w="708" w:type="dxa"/>
                  <w:vMerge w:val="restart"/>
                </w:tcPr>
                <w:p>
                  <w:pPr>
                    <w:widowControl/>
                    <w:adjustRightInd w:val="0"/>
                    <w:snapToGrid w:val="0"/>
                    <w:jc w:val="left"/>
                    <w:rPr>
                      <w:kern w:val="0"/>
                      <w:szCs w:val="21"/>
                    </w:rPr>
                  </w:pPr>
                  <w:r>
                    <w:rPr>
                      <w:kern w:val="0"/>
                      <w:szCs w:val="21"/>
                    </w:rPr>
                    <w:t>保养润滑</w:t>
                  </w:r>
                </w:p>
              </w:tc>
              <w:tc>
                <w:tcPr>
                  <w:tcW w:w="1843" w:type="dxa"/>
                </w:tcPr>
                <w:p>
                  <w:pPr>
                    <w:widowControl/>
                    <w:adjustRightInd w:val="0"/>
                    <w:snapToGrid w:val="0"/>
                    <w:jc w:val="left"/>
                    <w:rPr>
                      <w:kern w:val="0"/>
                      <w:szCs w:val="21"/>
                    </w:rPr>
                  </w:pPr>
                  <w:r>
                    <w:rPr>
                      <w:kern w:val="0"/>
                      <w:szCs w:val="21"/>
                    </w:rPr>
                    <w:t>特种润滑脂</w:t>
                  </w:r>
                </w:p>
              </w:tc>
              <w:tc>
                <w:tcPr>
                  <w:tcW w:w="3008" w:type="dxa"/>
                </w:tcPr>
                <w:p>
                  <w:pPr>
                    <w:widowControl/>
                    <w:adjustRightInd w:val="0"/>
                    <w:snapToGrid w:val="0"/>
                    <w:jc w:val="left"/>
                    <w:rPr>
                      <w:kern w:val="0"/>
                      <w:szCs w:val="21"/>
                    </w:rPr>
                  </w:pPr>
                  <w:r>
                    <w:rPr>
                      <w:kern w:val="0"/>
                      <w:szCs w:val="21"/>
                    </w:rPr>
                    <w:t>主要成分为聚脲类稠化剂稠化高粘度酯类合成油，为膏状，不易挥发，主要用于齿轮等润滑</w:t>
                  </w:r>
                </w:p>
              </w:tc>
              <w:tc>
                <w:tcPr>
                  <w:tcW w:w="850" w:type="dxa"/>
                </w:tcPr>
                <w:p>
                  <w:pPr>
                    <w:widowControl/>
                    <w:adjustRightInd w:val="0"/>
                    <w:snapToGrid w:val="0"/>
                    <w:jc w:val="left"/>
                    <w:rPr>
                      <w:kern w:val="0"/>
                      <w:szCs w:val="21"/>
                    </w:rPr>
                  </w:pPr>
                  <w:r>
                    <w:rPr>
                      <w:rFonts w:hint="eastAsia"/>
                      <w:kern w:val="0"/>
                      <w:szCs w:val="21"/>
                    </w:rPr>
                    <w:t>0</w:t>
                  </w:r>
                  <w:r>
                    <w:rPr>
                      <w:kern w:val="0"/>
                      <w:szCs w:val="21"/>
                    </w:rPr>
                    <w:t>.05</w:t>
                  </w:r>
                </w:p>
              </w:tc>
              <w:tc>
                <w:tcPr>
                  <w:tcW w:w="850" w:type="dxa"/>
                </w:tcPr>
                <w:p>
                  <w:pPr>
                    <w:widowControl/>
                    <w:adjustRightInd w:val="0"/>
                    <w:snapToGrid w:val="0"/>
                    <w:jc w:val="left"/>
                    <w:rPr>
                      <w:kern w:val="0"/>
                      <w:szCs w:val="21"/>
                    </w:rPr>
                  </w:pPr>
                  <w:r>
                    <w:rPr>
                      <w:rFonts w:hint="eastAsia"/>
                      <w:kern w:val="0"/>
                      <w:szCs w:val="21"/>
                    </w:rPr>
                    <w:t>0</w:t>
                  </w:r>
                  <w:r>
                    <w:rPr>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trPr>
              <w:tc>
                <w:tcPr>
                  <w:tcW w:w="614" w:type="dxa"/>
                  <w:vMerge w:val="continue"/>
                </w:tcPr>
                <w:p>
                  <w:pPr>
                    <w:widowControl/>
                    <w:adjustRightInd w:val="0"/>
                    <w:snapToGrid w:val="0"/>
                    <w:jc w:val="left"/>
                    <w:rPr>
                      <w:kern w:val="0"/>
                      <w:szCs w:val="21"/>
                    </w:rPr>
                  </w:pPr>
                </w:p>
              </w:tc>
              <w:tc>
                <w:tcPr>
                  <w:tcW w:w="708" w:type="dxa"/>
                  <w:vMerge w:val="continue"/>
                </w:tcPr>
                <w:p>
                  <w:pPr>
                    <w:widowControl/>
                    <w:adjustRightInd w:val="0"/>
                    <w:snapToGrid w:val="0"/>
                    <w:jc w:val="left"/>
                    <w:rPr>
                      <w:kern w:val="0"/>
                      <w:szCs w:val="21"/>
                    </w:rPr>
                  </w:pPr>
                </w:p>
              </w:tc>
              <w:tc>
                <w:tcPr>
                  <w:tcW w:w="1843" w:type="dxa"/>
                </w:tcPr>
                <w:p>
                  <w:pPr>
                    <w:widowControl/>
                    <w:adjustRightInd w:val="0"/>
                    <w:snapToGrid w:val="0"/>
                    <w:jc w:val="left"/>
                    <w:rPr>
                      <w:kern w:val="0"/>
                      <w:szCs w:val="21"/>
                    </w:rPr>
                  </w:pPr>
                  <w:r>
                    <w:rPr>
                      <w:kern w:val="0"/>
                      <w:szCs w:val="21"/>
                    </w:rPr>
                    <w:t>润滑剂</w:t>
                  </w:r>
                </w:p>
              </w:tc>
              <w:tc>
                <w:tcPr>
                  <w:tcW w:w="3008" w:type="dxa"/>
                </w:tcPr>
                <w:p>
                  <w:pPr>
                    <w:widowControl/>
                    <w:adjustRightInd w:val="0"/>
                    <w:snapToGrid w:val="0"/>
                    <w:jc w:val="left"/>
                    <w:rPr>
                      <w:kern w:val="0"/>
                      <w:szCs w:val="21"/>
                    </w:rPr>
                  </w:pPr>
                  <w:r>
                    <w:rPr>
                      <w:kern w:val="0"/>
                      <w:szCs w:val="21"/>
                    </w:rPr>
                    <w:t>主要成分为</w:t>
                  </w:r>
                  <w:r>
                    <w:rPr>
                      <w:rFonts w:hint="eastAsia"/>
                      <w:kern w:val="0"/>
                      <w:szCs w:val="21"/>
                    </w:rPr>
                    <w:t>机油</w:t>
                  </w:r>
                  <w:r>
                    <w:rPr>
                      <w:kern w:val="0"/>
                      <w:szCs w:val="21"/>
                    </w:rPr>
                    <w:t>（矿物油）</w:t>
                  </w:r>
                </w:p>
              </w:tc>
              <w:tc>
                <w:tcPr>
                  <w:tcW w:w="850" w:type="dxa"/>
                </w:tcPr>
                <w:p>
                  <w:pPr>
                    <w:widowControl/>
                    <w:adjustRightInd w:val="0"/>
                    <w:snapToGrid w:val="0"/>
                    <w:jc w:val="left"/>
                    <w:rPr>
                      <w:kern w:val="0"/>
                      <w:szCs w:val="21"/>
                    </w:rPr>
                  </w:pPr>
                  <w:r>
                    <w:rPr>
                      <w:rFonts w:hint="eastAsia"/>
                      <w:kern w:val="0"/>
                      <w:szCs w:val="21"/>
                    </w:rPr>
                    <w:t>0</w:t>
                  </w:r>
                  <w:r>
                    <w:rPr>
                      <w:kern w:val="0"/>
                      <w:szCs w:val="21"/>
                    </w:rPr>
                    <w:t>.05</w:t>
                  </w:r>
                </w:p>
              </w:tc>
              <w:tc>
                <w:tcPr>
                  <w:tcW w:w="850" w:type="dxa"/>
                </w:tcPr>
                <w:p>
                  <w:pPr>
                    <w:widowControl/>
                    <w:adjustRightInd w:val="0"/>
                    <w:snapToGrid w:val="0"/>
                    <w:jc w:val="left"/>
                    <w:rPr>
                      <w:kern w:val="0"/>
                      <w:szCs w:val="21"/>
                    </w:rPr>
                  </w:pPr>
                  <w:r>
                    <w:rPr>
                      <w:rFonts w:hint="eastAsia"/>
                      <w:kern w:val="0"/>
                      <w:szCs w:val="21"/>
                    </w:rPr>
                    <w:t>0</w:t>
                  </w:r>
                  <w:r>
                    <w:rPr>
                      <w:kern w:val="0"/>
                      <w:szCs w:val="21"/>
                    </w:rPr>
                    <w:t>.05</w:t>
                  </w:r>
                </w:p>
              </w:tc>
            </w:tr>
          </w:tbl>
          <w:p>
            <w:pPr>
              <w:widowControl/>
              <w:adjustRightInd w:val="0"/>
              <w:snapToGrid w:val="0"/>
              <w:spacing w:line="360" w:lineRule="auto"/>
              <w:ind w:firstLine="482" w:firstLineChars="200"/>
              <w:jc w:val="left"/>
              <w:rPr>
                <w:b/>
                <w:kern w:val="0"/>
                <w:sz w:val="24"/>
              </w:rPr>
            </w:pPr>
            <w:r>
              <w:rPr>
                <w:b/>
                <w:kern w:val="0"/>
                <w:sz w:val="24"/>
              </w:rPr>
              <w:t>9、施工组织</w:t>
            </w:r>
          </w:p>
          <w:p>
            <w:pPr>
              <w:widowControl/>
              <w:adjustRightInd w:val="0"/>
              <w:snapToGrid w:val="0"/>
              <w:spacing w:line="360" w:lineRule="auto"/>
              <w:ind w:firstLine="480" w:firstLineChars="200"/>
              <w:jc w:val="left"/>
              <w:rPr>
                <w:kern w:val="0"/>
                <w:sz w:val="24"/>
              </w:rPr>
            </w:pPr>
            <w:r>
              <w:rPr>
                <w:kern w:val="0"/>
                <w:sz w:val="24"/>
              </w:rPr>
              <w:t>（1）施工时间及施工进度</w:t>
            </w:r>
          </w:p>
          <w:p>
            <w:pPr>
              <w:widowControl/>
              <w:adjustRightInd w:val="0"/>
              <w:snapToGrid w:val="0"/>
              <w:spacing w:line="360" w:lineRule="auto"/>
              <w:ind w:firstLine="480" w:firstLineChars="200"/>
              <w:jc w:val="left"/>
              <w:rPr>
                <w:kern w:val="0"/>
                <w:sz w:val="24"/>
              </w:rPr>
            </w:pPr>
            <w:r>
              <w:rPr>
                <w:kern w:val="0"/>
                <w:sz w:val="24"/>
              </w:rPr>
              <w:t>项目预计2022年10月开工建设，2023年10月完成建设投入运行。</w:t>
            </w:r>
          </w:p>
          <w:p>
            <w:pPr>
              <w:widowControl/>
              <w:adjustRightInd w:val="0"/>
              <w:snapToGrid w:val="0"/>
              <w:spacing w:line="360" w:lineRule="auto"/>
              <w:ind w:firstLine="480" w:firstLineChars="200"/>
              <w:jc w:val="left"/>
              <w:rPr>
                <w:kern w:val="0"/>
                <w:sz w:val="24"/>
              </w:rPr>
            </w:pPr>
            <w:r>
              <w:rPr>
                <w:kern w:val="0"/>
                <w:sz w:val="24"/>
              </w:rPr>
              <w:t>工程施工人员平均约为100人。</w:t>
            </w:r>
          </w:p>
          <w:p>
            <w:pPr>
              <w:widowControl/>
              <w:adjustRightInd w:val="0"/>
              <w:snapToGrid w:val="0"/>
              <w:spacing w:line="360" w:lineRule="auto"/>
              <w:ind w:firstLine="480" w:firstLineChars="200"/>
              <w:jc w:val="left"/>
              <w:rPr>
                <w:kern w:val="0"/>
                <w:sz w:val="24"/>
              </w:rPr>
            </w:pPr>
            <w:r>
              <w:rPr>
                <w:kern w:val="0"/>
                <w:sz w:val="24"/>
              </w:rPr>
              <w:t>（2）施工三场规划</w:t>
            </w:r>
          </w:p>
          <w:p>
            <w:pPr>
              <w:widowControl/>
              <w:adjustRightInd w:val="0"/>
              <w:snapToGrid w:val="0"/>
              <w:spacing w:line="360" w:lineRule="auto"/>
              <w:ind w:firstLine="480" w:firstLineChars="200"/>
              <w:jc w:val="left"/>
              <w:rPr>
                <w:kern w:val="0"/>
                <w:sz w:val="24"/>
              </w:rPr>
            </w:pPr>
            <w:r>
              <w:rPr>
                <w:kern w:val="0"/>
                <w:sz w:val="24"/>
              </w:rPr>
              <w:fldChar w:fldCharType="begin"/>
            </w:r>
            <w:r>
              <w:rPr>
                <w:kern w:val="0"/>
                <w:sz w:val="24"/>
              </w:rPr>
              <w:instrText xml:space="preserve"> = 1 \* GB3 </w:instrText>
            </w:r>
            <w:r>
              <w:rPr>
                <w:kern w:val="0"/>
                <w:sz w:val="24"/>
              </w:rPr>
              <w:fldChar w:fldCharType="separate"/>
            </w:r>
            <w:r>
              <w:rPr>
                <w:rFonts w:hint="eastAsia" w:ascii="宋体" w:hAnsi="宋体" w:cs="宋体"/>
                <w:kern w:val="0"/>
                <w:sz w:val="24"/>
              </w:rPr>
              <w:t>①</w:t>
            </w:r>
            <w:r>
              <w:rPr>
                <w:kern w:val="0"/>
                <w:sz w:val="24"/>
              </w:rPr>
              <w:fldChar w:fldCharType="end"/>
            </w:r>
            <w:r>
              <w:rPr>
                <w:kern w:val="0"/>
                <w:sz w:val="24"/>
              </w:rPr>
              <w:t>施工场地及施工营地</w:t>
            </w:r>
          </w:p>
          <w:p>
            <w:pPr>
              <w:widowControl/>
              <w:adjustRightInd w:val="0"/>
              <w:snapToGrid w:val="0"/>
              <w:spacing w:line="360" w:lineRule="auto"/>
              <w:ind w:firstLine="480" w:firstLineChars="200"/>
              <w:jc w:val="left"/>
              <w:rPr>
                <w:kern w:val="0"/>
                <w:sz w:val="24"/>
              </w:rPr>
            </w:pPr>
            <w:r>
              <w:rPr>
                <w:kern w:val="0"/>
                <w:sz w:val="24"/>
              </w:rPr>
              <w:t>本项目不设置施工营地和施工生活区，施工人员在周边进行招募，施工人员需要住宿的租用周边已有小区房屋。</w:t>
            </w:r>
          </w:p>
          <w:p>
            <w:pPr>
              <w:widowControl/>
              <w:adjustRightInd w:val="0"/>
              <w:snapToGrid w:val="0"/>
              <w:spacing w:line="360" w:lineRule="auto"/>
              <w:ind w:firstLine="480" w:firstLineChars="200"/>
              <w:jc w:val="left"/>
              <w:rPr>
                <w:kern w:val="0"/>
                <w:sz w:val="24"/>
              </w:rPr>
            </w:pPr>
            <w:r>
              <w:rPr>
                <w:kern w:val="0"/>
                <w:sz w:val="24"/>
              </w:rPr>
              <w:fldChar w:fldCharType="begin"/>
            </w:r>
            <w:r>
              <w:rPr>
                <w:kern w:val="0"/>
                <w:sz w:val="24"/>
              </w:rPr>
              <w:instrText xml:space="preserve"> = 2 \* GB3 </w:instrText>
            </w:r>
            <w:r>
              <w:rPr>
                <w:kern w:val="0"/>
                <w:sz w:val="24"/>
              </w:rPr>
              <w:fldChar w:fldCharType="separate"/>
            </w:r>
            <w:r>
              <w:rPr>
                <w:rFonts w:hint="eastAsia" w:ascii="宋体" w:hAnsi="宋体" w:cs="宋体"/>
                <w:kern w:val="0"/>
                <w:sz w:val="24"/>
              </w:rPr>
              <w:t>②</w:t>
            </w:r>
            <w:r>
              <w:rPr>
                <w:kern w:val="0"/>
                <w:sz w:val="24"/>
              </w:rPr>
              <w:fldChar w:fldCharType="end"/>
            </w:r>
            <w:r>
              <w:rPr>
                <w:kern w:val="0"/>
                <w:sz w:val="24"/>
              </w:rPr>
              <w:t>砂石料厂及取土场规划</w:t>
            </w:r>
          </w:p>
          <w:p>
            <w:pPr>
              <w:widowControl/>
              <w:adjustRightInd w:val="0"/>
              <w:snapToGrid w:val="0"/>
              <w:spacing w:line="360" w:lineRule="auto"/>
              <w:ind w:firstLine="480" w:firstLineChars="200"/>
              <w:jc w:val="left"/>
              <w:rPr>
                <w:kern w:val="0"/>
                <w:sz w:val="24"/>
              </w:rPr>
            </w:pPr>
            <w:r>
              <w:rPr>
                <w:kern w:val="0"/>
                <w:sz w:val="24"/>
              </w:rPr>
              <w:t>本项目场地已有一期建设时进行平整，开挖工程量较小，所需要的砂石料全部从当地合法石料厂购买，项目所需的基础回填土方均由场地内平衡，因此，本项目不考虑设置砂石料场及取土场。</w:t>
            </w:r>
          </w:p>
          <w:p>
            <w:pPr>
              <w:widowControl/>
              <w:adjustRightInd w:val="0"/>
              <w:snapToGrid w:val="0"/>
              <w:spacing w:line="360" w:lineRule="auto"/>
              <w:ind w:firstLine="480" w:firstLineChars="200"/>
              <w:jc w:val="left"/>
              <w:rPr>
                <w:kern w:val="0"/>
                <w:sz w:val="24"/>
              </w:rPr>
            </w:pPr>
            <w:r>
              <w:rPr>
                <w:kern w:val="0"/>
                <w:sz w:val="24"/>
              </w:rPr>
              <w:fldChar w:fldCharType="begin"/>
            </w:r>
            <w:r>
              <w:rPr>
                <w:kern w:val="0"/>
                <w:sz w:val="24"/>
              </w:rPr>
              <w:instrText xml:space="preserve"> = 3 \* GB3 </w:instrText>
            </w:r>
            <w:r>
              <w:rPr>
                <w:kern w:val="0"/>
                <w:sz w:val="24"/>
              </w:rPr>
              <w:fldChar w:fldCharType="separate"/>
            </w:r>
            <w:r>
              <w:rPr>
                <w:rFonts w:hint="eastAsia" w:ascii="宋体" w:hAnsi="宋体" w:cs="宋体"/>
                <w:kern w:val="0"/>
                <w:sz w:val="24"/>
              </w:rPr>
              <w:t>③</w:t>
            </w:r>
            <w:r>
              <w:rPr>
                <w:kern w:val="0"/>
                <w:sz w:val="24"/>
              </w:rPr>
              <w:fldChar w:fldCharType="end"/>
            </w:r>
            <w:r>
              <w:rPr>
                <w:kern w:val="0"/>
                <w:sz w:val="24"/>
              </w:rPr>
              <w:t>弃渣场及临时表土场</w:t>
            </w:r>
          </w:p>
          <w:p>
            <w:pPr>
              <w:widowControl/>
              <w:adjustRightInd w:val="0"/>
              <w:snapToGrid w:val="0"/>
              <w:spacing w:line="360" w:lineRule="auto"/>
              <w:ind w:firstLine="480" w:firstLineChars="200"/>
              <w:jc w:val="left"/>
              <w:rPr>
                <w:kern w:val="0"/>
                <w:sz w:val="24"/>
              </w:rPr>
            </w:pPr>
            <w:r>
              <w:rPr>
                <w:kern w:val="0"/>
                <w:sz w:val="24"/>
              </w:rPr>
              <w:t>根据土石方平衡，</w:t>
            </w:r>
            <w:r>
              <w:rPr>
                <w:bCs/>
                <w:kern w:val="0"/>
                <w:sz w:val="24"/>
              </w:rPr>
              <w:t>本工程开挖土石方总量1.35万m</w:t>
            </w:r>
            <w:r>
              <w:rPr>
                <w:bCs/>
                <w:kern w:val="0"/>
                <w:sz w:val="24"/>
                <w:vertAlign w:val="superscript"/>
              </w:rPr>
              <w:t>3</w:t>
            </w:r>
            <w:r>
              <w:rPr>
                <w:bCs/>
                <w:kern w:val="0"/>
                <w:sz w:val="24"/>
              </w:rPr>
              <w:t>；回填土石方总量1.35万m</w:t>
            </w:r>
            <w:r>
              <w:rPr>
                <w:bCs/>
                <w:kern w:val="0"/>
                <w:sz w:val="24"/>
                <w:vertAlign w:val="superscript"/>
              </w:rPr>
              <w:t>3</w:t>
            </w:r>
            <w:r>
              <w:rPr>
                <w:bCs/>
                <w:kern w:val="0"/>
                <w:sz w:val="24"/>
              </w:rPr>
              <w:t>；无废弃土石方产生</w:t>
            </w:r>
            <w:r>
              <w:rPr>
                <w:kern w:val="0"/>
                <w:sz w:val="24"/>
              </w:rPr>
              <w:t>。项目场地内不单独设置弃渣场。</w:t>
            </w:r>
          </w:p>
          <w:p>
            <w:pPr>
              <w:widowControl/>
              <w:spacing w:line="360" w:lineRule="auto"/>
              <w:ind w:firstLine="480" w:firstLineChars="200"/>
              <w:jc w:val="left"/>
              <w:rPr>
                <w:kern w:val="0"/>
                <w:sz w:val="24"/>
              </w:rPr>
            </w:pPr>
            <w:r>
              <w:rPr>
                <w:kern w:val="0"/>
                <w:sz w:val="24"/>
              </w:rPr>
              <w:t>（3）土石方平衡</w:t>
            </w:r>
            <w:r>
              <w:rPr>
                <w:kern w:val="0"/>
                <w:sz w:val="24"/>
              </w:rPr>
              <w:br w:type="textWrapping"/>
            </w:r>
            <w:r>
              <w:rPr>
                <w:kern w:val="0"/>
                <w:sz w:val="24"/>
              </w:rPr>
              <w:t xml:space="preserve">    </w:t>
            </w:r>
            <w:r>
              <w:rPr>
                <w:bCs/>
                <w:kern w:val="0"/>
                <w:sz w:val="24"/>
              </w:rPr>
              <w:t>本工程开挖土石方总量1.35m</w:t>
            </w:r>
            <w:r>
              <w:rPr>
                <w:bCs/>
                <w:kern w:val="0"/>
                <w:sz w:val="24"/>
                <w:vertAlign w:val="superscript"/>
              </w:rPr>
              <w:t>3</w:t>
            </w:r>
            <w:r>
              <w:rPr>
                <w:bCs/>
                <w:kern w:val="0"/>
                <w:sz w:val="24"/>
              </w:rPr>
              <w:t>；回填土石方总量1.35m</w:t>
            </w:r>
            <w:r>
              <w:rPr>
                <w:bCs/>
                <w:kern w:val="0"/>
                <w:sz w:val="24"/>
                <w:vertAlign w:val="superscript"/>
              </w:rPr>
              <w:t>3</w:t>
            </w:r>
            <w:r>
              <w:rPr>
                <w:bCs/>
                <w:kern w:val="0"/>
                <w:sz w:val="24"/>
              </w:rPr>
              <w:t>；产生弃渣0</w:t>
            </w:r>
            <w:r>
              <w:rPr>
                <w:kern w:val="0"/>
                <w:sz w:val="24"/>
              </w:rPr>
              <w:t>。土石方平衡及流向分析情况详见表2-5。</w:t>
            </w:r>
          </w:p>
          <w:p>
            <w:pPr>
              <w:widowControl/>
              <w:spacing w:line="360" w:lineRule="auto"/>
              <w:ind w:firstLine="482" w:firstLineChars="200"/>
              <w:jc w:val="center"/>
              <w:rPr>
                <w:b/>
                <w:kern w:val="0"/>
                <w:sz w:val="24"/>
              </w:rPr>
            </w:pPr>
            <w:r>
              <w:rPr>
                <w:b/>
                <w:kern w:val="0"/>
                <w:sz w:val="24"/>
              </w:rPr>
              <w:t xml:space="preserve">表2-5   </w:t>
            </w:r>
            <w:r>
              <w:rPr>
                <w:b/>
                <w:kern w:val="0"/>
                <w:sz w:val="24"/>
                <w:szCs w:val="21"/>
              </w:rPr>
              <w:t>工程土石方平衡及流向表      单位：m</w:t>
            </w:r>
            <w:r>
              <w:rPr>
                <w:b/>
                <w:kern w:val="0"/>
                <w:sz w:val="24"/>
                <w:szCs w:val="21"/>
                <w:vertAlign w:val="superscript"/>
              </w:rPr>
              <w:t>3</w:t>
            </w:r>
          </w:p>
          <w:tbl>
            <w:tblPr>
              <w:tblStyle w:val="44"/>
              <w:tblW w:w="80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499"/>
              <w:gridCol w:w="656"/>
              <w:gridCol w:w="750"/>
              <w:gridCol w:w="561"/>
              <w:gridCol w:w="451"/>
              <w:gridCol w:w="735"/>
              <w:gridCol w:w="766"/>
              <w:gridCol w:w="685"/>
              <w:gridCol w:w="816"/>
              <w:gridCol w:w="656"/>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590" w:type="dxa"/>
                  <w:vMerge w:val="restart"/>
                  <w:shd w:val="clear" w:color="auto" w:fill="auto"/>
                  <w:noWrap/>
                  <w:vAlign w:val="center"/>
                </w:tcPr>
                <w:p>
                  <w:pPr>
                    <w:widowControl/>
                    <w:jc w:val="left"/>
                    <w:rPr>
                      <w:kern w:val="0"/>
                      <w:sz w:val="18"/>
                      <w:szCs w:val="18"/>
                    </w:rPr>
                  </w:pPr>
                  <w:r>
                    <w:rPr>
                      <w:kern w:val="0"/>
                      <w:sz w:val="18"/>
                      <w:szCs w:val="18"/>
                    </w:rPr>
                    <w:t>项目分区</w:t>
                  </w:r>
                </w:p>
              </w:tc>
              <w:tc>
                <w:tcPr>
                  <w:tcW w:w="499" w:type="dxa"/>
                  <w:vMerge w:val="restart"/>
                  <w:shd w:val="clear" w:color="auto" w:fill="auto"/>
                  <w:vAlign w:val="center"/>
                </w:tcPr>
                <w:p>
                  <w:pPr>
                    <w:widowControl/>
                    <w:jc w:val="left"/>
                    <w:rPr>
                      <w:kern w:val="0"/>
                      <w:sz w:val="18"/>
                      <w:szCs w:val="18"/>
                    </w:rPr>
                  </w:pPr>
                  <w:r>
                    <w:rPr>
                      <w:kern w:val="0"/>
                      <w:sz w:val="18"/>
                      <w:szCs w:val="18"/>
                    </w:rPr>
                    <w:t>分类</w:t>
                  </w:r>
                </w:p>
              </w:tc>
              <w:tc>
                <w:tcPr>
                  <w:tcW w:w="656" w:type="dxa"/>
                  <w:vMerge w:val="restart"/>
                  <w:shd w:val="clear" w:color="auto" w:fill="auto"/>
                  <w:vAlign w:val="center"/>
                </w:tcPr>
                <w:p>
                  <w:pPr>
                    <w:widowControl/>
                    <w:jc w:val="left"/>
                    <w:rPr>
                      <w:kern w:val="0"/>
                      <w:sz w:val="18"/>
                      <w:szCs w:val="18"/>
                    </w:rPr>
                  </w:pPr>
                  <w:r>
                    <w:rPr>
                      <w:kern w:val="0"/>
                      <w:sz w:val="18"/>
                      <w:szCs w:val="18"/>
                    </w:rPr>
                    <w:t>开挖或剥离方</w:t>
                  </w:r>
                </w:p>
              </w:tc>
              <w:tc>
                <w:tcPr>
                  <w:tcW w:w="750" w:type="dxa"/>
                  <w:vMerge w:val="restart"/>
                  <w:shd w:val="clear" w:color="auto" w:fill="auto"/>
                  <w:vAlign w:val="center"/>
                </w:tcPr>
                <w:p>
                  <w:pPr>
                    <w:widowControl/>
                    <w:jc w:val="left"/>
                    <w:rPr>
                      <w:kern w:val="0"/>
                      <w:sz w:val="18"/>
                      <w:szCs w:val="18"/>
                    </w:rPr>
                  </w:pPr>
                  <w:r>
                    <w:rPr>
                      <w:kern w:val="0"/>
                      <w:sz w:val="18"/>
                      <w:szCs w:val="18"/>
                    </w:rPr>
                    <w:t>回填</w:t>
                  </w:r>
                </w:p>
              </w:tc>
              <w:tc>
                <w:tcPr>
                  <w:tcW w:w="1012" w:type="dxa"/>
                  <w:gridSpan w:val="2"/>
                  <w:shd w:val="clear" w:color="auto" w:fill="auto"/>
                  <w:vAlign w:val="center"/>
                </w:tcPr>
                <w:p>
                  <w:pPr>
                    <w:widowControl/>
                    <w:ind w:firstLine="199" w:firstLineChars="111"/>
                    <w:jc w:val="left"/>
                    <w:rPr>
                      <w:kern w:val="0"/>
                      <w:sz w:val="18"/>
                      <w:szCs w:val="18"/>
                    </w:rPr>
                  </w:pPr>
                  <w:r>
                    <w:rPr>
                      <w:kern w:val="0"/>
                      <w:sz w:val="18"/>
                      <w:szCs w:val="18"/>
                    </w:rPr>
                    <w:t>外借</w:t>
                  </w:r>
                </w:p>
              </w:tc>
              <w:tc>
                <w:tcPr>
                  <w:tcW w:w="1501" w:type="dxa"/>
                  <w:gridSpan w:val="2"/>
                  <w:vAlign w:val="center"/>
                </w:tcPr>
                <w:p>
                  <w:pPr>
                    <w:widowControl/>
                    <w:ind w:firstLine="199" w:firstLineChars="111"/>
                    <w:jc w:val="left"/>
                    <w:rPr>
                      <w:kern w:val="0"/>
                      <w:sz w:val="18"/>
                      <w:szCs w:val="18"/>
                    </w:rPr>
                  </w:pPr>
                  <w:r>
                    <w:rPr>
                      <w:kern w:val="0"/>
                      <w:sz w:val="18"/>
                      <w:szCs w:val="18"/>
                    </w:rPr>
                    <w:t>调入</w:t>
                  </w:r>
                </w:p>
              </w:tc>
              <w:tc>
                <w:tcPr>
                  <w:tcW w:w="1501" w:type="dxa"/>
                  <w:gridSpan w:val="2"/>
                  <w:vAlign w:val="center"/>
                </w:tcPr>
                <w:p>
                  <w:pPr>
                    <w:widowControl/>
                    <w:ind w:firstLine="199" w:firstLineChars="111"/>
                    <w:jc w:val="left"/>
                    <w:rPr>
                      <w:kern w:val="0"/>
                      <w:sz w:val="18"/>
                      <w:szCs w:val="18"/>
                    </w:rPr>
                  </w:pPr>
                  <w:r>
                    <w:rPr>
                      <w:kern w:val="0"/>
                      <w:sz w:val="18"/>
                      <w:szCs w:val="18"/>
                    </w:rPr>
                    <w:t>调出</w:t>
                  </w:r>
                </w:p>
              </w:tc>
              <w:tc>
                <w:tcPr>
                  <w:tcW w:w="1501" w:type="dxa"/>
                  <w:gridSpan w:val="2"/>
                  <w:shd w:val="clear" w:color="auto" w:fill="auto"/>
                  <w:vAlign w:val="center"/>
                </w:tcPr>
                <w:p>
                  <w:pPr>
                    <w:widowControl/>
                    <w:ind w:firstLine="199" w:firstLineChars="111"/>
                    <w:jc w:val="left"/>
                    <w:rPr>
                      <w:kern w:val="0"/>
                      <w:sz w:val="18"/>
                      <w:szCs w:val="18"/>
                    </w:rPr>
                  </w:pPr>
                  <w:r>
                    <w:rPr>
                      <w:kern w:val="0"/>
                      <w:sz w:val="18"/>
                      <w:szCs w:val="18"/>
                    </w:rPr>
                    <w:t>弃土弃渣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590" w:type="dxa"/>
                  <w:vMerge w:val="continue"/>
                  <w:vAlign w:val="center"/>
                </w:tcPr>
                <w:p>
                  <w:pPr>
                    <w:widowControl/>
                    <w:ind w:firstLine="360" w:firstLineChars="200"/>
                    <w:jc w:val="center"/>
                    <w:rPr>
                      <w:kern w:val="0"/>
                      <w:sz w:val="18"/>
                      <w:szCs w:val="18"/>
                    </w:rPr>
                  </w:pPr>
                </w:p>
              </w:tc>
              <w:tc>
                <w:tcPr>
                  <w:tcW w:w="499" w:type="dxa"/>
                  <w:vMerge w:val="continue"/>
                  <w:vAlign w:val="center"/>
                </w:tcPr>
                <w:p>
                  <w:pPr>
                    <w:widowControl/>
                    <w:ind w:firstLine="360" w:firstLineChars="200"/>
                    <w:jc w:val="center"/>
                    <w:rPr>
                      <w:kern w:val="0"/>
                      <w:sz w:val="18"/>
                      <w:szCs w:val="18"/>
                    </w:rPr>
                  </w:pPr>
                </w:p>
              </w:tc>
              <w:tc>
                <w:tcPr>
                  <w:tcW w:w="656" w:type="dxa"/>
                  <w:vMerge w:val="continue"/>
                  <w:vAlign w:val="center"/>
                </w:tcPr>
                <w:p>
                  <w:pPr>
                    <w:widowControl/>
                    <w:ind w:firstLine="360" w:firstLineChars="200"/>
                    <w:jc w:val="center"/>
                    <w:rPr>
                      <w:kern w:val="0"/>
                      <w:sz w:val="18"/>
                      <w:szCs w:val="18"/>
                    </w:rPr>
                  </w:pPr>
                </w:p>
              </w:tc>
              <w:tc>
                <w:tcPr>
                  <w:tcW w:w="750" w:type="dxa"/>
                  <w:vMerge w:val="continue"/>
                  <w:vAlign w:val="center"/>
                </w:tcPr>
                <w:p>
                  <w:pPr>
                    <w:widowControl/>
                    <w:ind w:firstLine="360" w:firstLineChars="200"/>
                    <w:jc w:val="center"/>
                    <w:rPr>
                      <w:kern w:val="0"/>
                      <w:sz w:val="18"/>
                      <w:szCs w:val="18"/>
                    </w:rPr>
                  </w:pPr>
                </w:p>
              </w:tc>
              <w:tc>
                <w:tcPr>
                  <w:tcW w:w="561" w:type="dxa"/>
                  <w:shd w:val="clear" w:color="auto" w:fill="auto"/>
                  <w:vAlign w:val="center"/>
                </w:tcPr>
                <w:p>
                  <w:pPr>
                    <w:widowControl/>
                    <w:jc w:val="left"/>
                    <w:rPr>
                      <w:kern w:val="0"/>
                      <w:sz w:val="18"/>
                      <w:szCs w:val="18"/>
                    </w:rPr>
                  </w:pPr>
                  <w:r>
                    <w:rPr>
                      <w:kern w:val="0"/>
                      <w:sz w:val="18"/>
                      <w:szCs w:val="18"/>
                    </w:rPr>
                    <w:t>数量</w:t>
                  </w:r>
                </w:p>
              </w:tc>
              <w:tc>
                <w:tcPr>
                  <w:tcW w:w="451" w:type="dxa"/>
                  <w:shd w:val="clear" w:color="auto" w:fill="auto"/>
                  <w:vAlign w:val="center"/>
                </w:tcPr>
                <w:p>
                  <w:pPr>
                    <w:widowControl/>
                    <w:jc w:val="left"/>
                    <w:rPr>
                      <w:kern w:val="0"/>
                      <w:sz w:val="18"/>
                      <w:szCs w:val="18"/>
                    </w:rPr>
                  </w:pPr>
                  <w:r>
                    <w:rPr>
                      <w:kern w:val="0"/>
                      <w:sz w:val="18"/>
                      <w:szCs w:val="18"/>
                    </w:rPr>
                    <w:t>来源</w:t>
                  </w:r>
                </w:p>
              </w:tc>
              <w:tc>
                <w:tcPr>
                  <w:tcW w:w="735" w:type="dxa"/>
                  <w:shd w:val="clear" w:color="auto" w:fill="auto"/>
                  <w:vAlign w:val="center"/>
                </w:tcPr>
                <w:p>
                  <w:pPr>
                    <w:widowControl/>
                    <w:jc w:val="left"/>
                    <w:rPr>
                      <w:kern w:val="0"/>
                      <w:sz w:val="18"/>
                      <w:szCs w:val="18"/>
                    </w:rPr>
                  </w:pPr>
                  <w:r>
                    <w:rPr>
                      <w:kern w:val="0"/>
                      <w:sz w:val="18"/>
                      <w:szCs w:val="18"/>
                    </w:rPr>
                    <w:t>数量</w:t>
                  </w:r>
                </w:p>
              </w:tc>
              <w:tc>
                <w:tcPr>
                  <w:tcW w:w="766" w:type="dxa"/>
                  <w:shd w:val="clear" w:color="auto" w:fill="auto"/>
                  <w:vAlign w:val="center"/>
                </w:tcPr>
                <w:p>
                  <w:pPr>
                    <w:widowControl/>
                    <w:jc w:val="left"/>
                    <w:rPr>
                      <w:kern w:val="0"/>
                      <w:sz w:val="18"/>
                      <w:szCs w:val="18"/>
                    </w:rPr>
                  </w:pPr>
                  <w:r>
                    <w:rPr>
                      <w:kern w:val="0"/>
                      <w:sz w:val="18"/>
                      <w:szCs w:val="18"/>
                    </w:rPr>
                    <w:t>来源</w:t>
                  </w:r>
                </w:p>
              </w:tc>
              <w:tc>
                <w:tcPr>
                  <w:tcW w:w="685" w:type="dxa"/>
                  <w:shd w:val="clear" w:color="auto" w:fill="auto"/>
                  <w:vAlign w:val="center"/>
                </w:tcPr>
                <w:p>
                  <w:pPr>
                    <w:widowControl/>
                    <w:jc w:val="left"/>
                    <w:rPr>
                      <w:kern w:val="0"/>
                      <w:sz w:val="18"/>
                      <w:szCs w:val="18"/>
                    </w:rPr>
                  </w:pPr>
                  <w:r>
                    <w:rPr>
                      <w:kern w:val="0"/>
                      <w:sz w:val="18"/>
                      <w:szCs w:val="18"/>
                    </w:rPr>
                    <w:t>数量</w:t>
                  </w:r>
                </w:p>
              </w:tc>
              <w:tc>
                <w:tcPr>
                  <w:tcW w:w="816" w:type="dxa"/>
                  <w:shd w:val="clear" w:color="auto" w:fill="auto"/>
                  <w:vAlign w:val="center"/>
                </w:tcPr>
                <w:p>
                  <w:pPr>
                    <w:widowControl/>
                    <w:jc w:val="left"/>
                    <w:rPr>
                      <w:kern w:val="0"/>
                      <w:sz w:val="18"/>
                      <w:szCs w:val="18"/>
                    </w:rPr>
                  </w:pPr>
                  <w:r>
                    <w:rPr>
                      <w:kern w:val="0"/>
                      <w:sz w:val="18"/>
                      <w:szCs w:val="18"/>
                    </w:rPr>
                    <w:t>去向</w:t>
                  </w:r>
                </w:p>
              </w:tc>
              <w:tc>
                <w:tcPr>
                  <w:tcW w:w="656" w:type="dxa"/>
                  <w:shd w:val="clear" w:color="auto" w:fill="auto"/>
                  <w:vAlign w:val="center"/>
                </w:tcPr>
                <w:p>
                  <w:pPr>
                    <w:widowControl/>
                    <w:jc w:val="left"/>
                    <w:rPr>
                      <w:kern w:val="0"/>
                      <w:sz w:val="18"/>
                      <w:szCs w:val="18"/>
                    </w:rPr>
                  </w:pPr>
                  <w:r>
                    <w:rPr>
                      <w:kern w:val="0"/>
                      <w:sz w:val="18"/>
                      <w:szCs w:val="18"/>
                    </w:rPr>
                    <w:t>数量</w:t>
                  </w:r>
                </w:p>
              </w:tc>
              <w:tc>
                <w:tcPr>
                  <w:tcW w:w="845" w:type="dxa"/>
                  <w:shd w:val="clear" w:color="auto" w:fill="auto"/>
                  <w:vAlign w:val="center"/>
                </w:tcPr>
                <w:p>
                  <w:pPr>
                    <w:widowControl/>
                    <w:ind w:firstLine="199" w:firstLineChars="111"/>
                    <w:jc w:val="left"/>
                    <w:rPr>
                      <w:kern w:val="0"/>
                      <w:sz w:val="18"/>
                      <w:szCs w:val="18"/>
                    </w:rPr>
                  </w:pPr>
                  <w:r>
                    <w:rPr>
                      <w:kern w:val="0"/>
                      <w:sz w:val="18"/>
                      <w:szCs w:val="18"/>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590" w:type="dxa"/>
                  <w:shd w:val="clear" w:color="auto" w:fill="auto"/>
                  <w:noWrap/>
                  <w:vAlign w:val="center"/>
                </w:tcPr>
                <w:p>
                  <w:pPr>
                    <w:widowControl/>
                    <w:jc w:val="left"/>
                    <w:rPr>
                      <w:kern w:val="0"/>
                      <w:sz w:val="18"/>
                      <w:szCs w:val="18"/>
                    </w:rPr>
                  </w:pPr>
                  <w:r>
                    <w:rPr>
                      <w:kern w:val="0"/>
                      <w:sz w:val="18"/>
                      <w:szCs w:val="18"/>
                    </w:rPr>
                    <w:t>基坑工程</w:t>
                  </w:r>
                </w:p>
              </w:tc>
              <w:tc>
                <w:tcPr>
                  <w:tcW w:w="499" w:type="dxa"/>
                  <w:shd w:val="clear" w:color="auto" w:fill="auto"/>
                  <w:vAlign w:val="center"/>
                </w:tcPr>
                <w:p>
                  <w:pPr>
                    <w:widowControl/>
                    <w:jc w:val="left"/>
                    <w:rPr>
                      <w:kern w:val="0"/>
                      <w:sz w:val="18"/>
                      <w:szCs w:val="18"/>
                    </w:rPr>
                  </w:pPr>
                  <w:r>
                    <w:rPr>
                      <w:kern w:val="0"/>
                      <w:sz w:val="18"/>
                      <w:szCs w:val="18"/>
                    </w:rPr>
                    <w:t>土石方工程</w:t>
                  </w:r>
                </w:p>
              </w:tc>
              <w:tc>
                <w:tcPr>
                  <w:tcW w:w="656" w:type="dxa"/>
                  <w:shd w:val="clear" w:color="auto" w:fill="auto"/>
                  <w:vAlign w:val="center"/>
                </w:tcPr>
                <w:p>
                  <w:pPr>
                    <w:widowControl/>
                    <w:jc w:val="left"/>
                    <w:rPr>
                      <w:kern w:val="0"/>
                      <w:sz w:val="18"/>
                      <w:szCs w:val="18"/>
                    </w:rPr>
                  </w:pPr>
                  <w:r>
                    <w:rPr>
                      <w:kern w:val="0"/>
                      <w:sz w:val="18"/>
                      <w:szCs w:val="18"/>
                    </w:rPr>
                    <w:t>13114</w:t>
                  </w:r>
                </w:p>
              </w:tc>
              <w:tc>
                <w:tcPr>
                  <w:tcW w:w="750" w:type="dxa"/>
                  <w:shd w:val="clear" w:color="auto" w:fill="auto"/>
                  <w:vAlign w:val="center"/>
                </w:tcPr>
                <w:p>
                  <w:pPr>
                    <w:widowControl/>
                    <w:jc w:val="left"/>
                    <w:rPr>
                      <w:kern w:val="0"/>
                      <w:sz w:val="18"/>
                      <w:szCs w:val="18"/>
                    </w:rPr>
                  </w:pPr>
                  <w:r>
                    <w:rPr>
                      <w:kern w:val="0"/>
                      <w:sz w:val="18"/>
                      <w:szCs w:val="18"/>
                    </w:rPr>
                    <w:t>13114</w:t>
                  </w:r>
                </w:p>
              </w:tc>
              <w:tc>
                <w:tcPr>
                  <w:tcW w:w="561" w:type="dxa"/>
                  <w:shd w:val="clear" w:color="auto" w:fill="auto"/>
                  <w:vAlign w:val="center"/>
                </w:tcPr>
                <w:p>
                  <w:pPr>
                    <w:widowControl/>
                    <w:jc w:val="left"/>
                    <w:rPr>
                      <w:kern w:val="0"/>
                      <w:sz w:val="18"/>
                      <w:szCs w:val="18"/>
                    </w:rPr>
                  </w:pPr>
                </w:p>
              </w:tc>
              <w:tc>
                <w:tcPr>
                  <w:tcW w:w="451" w:type="dxa"/>
                  <w:shd w:val="clear" w:color="auto" w:fill="auto"/>
                  <w:vAlign w:val="center"/>
                </w:tcPr>
                <w:p>
                  <w:pPr>
                    <w:widowControl/>
                    <w:ind w:left="-90" w:leftChars="-43" w:right="-149" w:rightChars="-71"/>
                    <w:jc w:val="left"/>
                    <w:rPr>
                      <w:kern w:val="0"/>
                      <w:sz w:val="18"/>
                      <w:szCs w:val="18"/>
                    </w:rPr>
                  </w:pPr>
                </w:p>
              </w:tc>
              <w:tc>
                <w:tcPr>
                  <w:tcW w:w="735" w:type="dxa"/>
                  <w:vAlign w:val="center"/>
                </w:tcPr>
                <w:p>
                  <w:pPr>
                    <w:widowControl/>
                    <w:jc w:val="left"/>
                    <w:rPr>
                      <w:kern w:val="0"/>
                      <w:sz w:val="18"/>
                      <w:szCs w:val="18"/>
                    </w:rPr>
                  </w:pPr>
                </w:p>
              </w:tc>
              <w:tc>
                <w:tcPr>
                  <w:tcW w:w="766" w:type="dxa"/>
                  <w:vAlign w:val="center"/>
                </w:tcPr>
                <w:p>
                  <w:pPr>
                    <w:widowControl/>
                    <w:jc w:val="left"/>
                    <w:rPr>
                      <w:kern w:val="0"/>
                      <w:sz w:val="18"/>
                      <w:szCs w:val="18"/>
                    </w:rPr>
                  </w:pPr>
                </w:p>
              </w:tc>
              <w:tc>
                <w:tcPr>
                  <w:tcW w:w="685" w:type="dxa"/>
                  <w:vAlign w:val="center"/>
                </w:tcPr>
                <w:p>
                  <w:pPr>
                    <w:widowControl/>
                    <w:jc w:val="left"/>
                    <w:rPr>
                      <w:kern w:val="0"/>
                      <w:sz w:val="18"/>
                      <w:szCs w:val="18"/>
                    </w:rPr>
                  </w:pPr>
                </w:p>
              </w:tc>
              <w:tc>
                <w:tcPr>
                  <w:tcW w:w="816" w:type="dxa"/>
                  <w:vAlign w:val="center"/>
                </w:tcPr>
                <w:p>
                  <w:pPr>
                    <w:widowControl/>
                    <w:jc w:val="left"/>
                    <w:rPr>
                      <w:kern w:val="0"/>
                      <w:sz w:val="18"/>
                      <w:szCs w:val="18"/>
                    </w:rPr>
                  </w:pPr>
                </w:p>
              </w:tc>
              <w:tc>
                <w:tcPr>
                  <w:tcW w:w="656" w:type="dxa"/>
                  <w:shd w:val="clear" w:color="auto" w:fill="auto"/>
                  <w:vAlign w:val="center"/>
                </w:tcPr>
                <w:p>
                  <w:pPr>
                    <w:widowControl/>
                    <w:jc w:val="left"/>
                    <w:rPr>
                      <w:kern w:val="0"/>
                      <w:sz w:val="18"/>
                      <w:szCs w:val="18"/>
                    </w:rPr>
                  </w:pPr>
                </w:p>
              </w:tc>
              <w:tc>
                <w:tcPr>
                  <w:tcW w:w="845" w:type="dxa"/>
                  <w:shd w:val="clear" w:color="auto" w:fill="auto"/>
                  <w:noWrap/>
                  <w:vAlign w:val="center"/>
                </w:tcPr>
                <w:p>
                  <w:pPr>
                    <w:widowControl/>
                    <w:jc w:val="left"/>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590" w:type="dxa"/>
                  <w:shd w:val="clear" w:color="auto" w:fill="auto"/>
                  <w:noWrap/>
                  <w:vAlign w:val="center"/>
                </w:tcPr>
                <w:p>
                  <w:pPr>
                    <w:widowControl/>
                    <w:jc w:val="left"/>
                    <w:rPr>
                      <w:kern w:val="0"/>
                      <w:sz w:val="18"/>
                      <w:szCs w:val="18"/>
                    </w:rPr>
                  </w:pPr>
                  <w:r>
                    <w:rPr>
                      <w:kern w:val="0"/>
                      <w:sz w:val="18"/>
                      <w:szCs w:val="18"/>
                    </w:rPr>
                    <w:t>建筑物区</w:t>
                  </w:r>
                </w:p>
              </w:tc>
              <w:tc>
                <w:tcPr>
                  <w:tcW w:w="499" w:type="dxa"/>
                  <w:shd w:val="clear" w:color="auto" w:fill="auto"/>
                  <w:vAlign w:val="center"/>
                </w:tcPr>
                <w:p>
                  <w:pPr>
                    <w:widowControl/>
                    <w:jc w:val="left"/>
                    <w:rPr>
                      <w:kern w:val="0"/>
                      <w:sz w:val="18"/>
                      <w:szCs w:val="18"/>
                    </w:rPr>
                  </w:pPr>
                  <w:r>
                    <w:rPr>
                      <w:kern w:val="0"/>
                      <w:sz w:val="18"/>
                      <w:szCs w:val="18"/>
                    </w:rPr>
                    <w:t>二次土石方</w:t>
                  </w:r>
                </w:p>
              </w:tc>
              <w:tc>
                <w:tcPr>
                  <w:tcW w:w="656" w:type="dxa"/>
                  <w:shd w:val="clear" w:color="auto" w:fill="auto"/>
                  <w:vAlign w:val="center"/>
                </w:tcPr>
                <w:p>
                  <w:pPr>
                    <w:widowControl/>
                    <w:rPr>
                      <w:kern w:val="0"/>
                      <w:sz w:val="18"/>
                      <w:szCs w:val="18"/>
                    </w:rPr>
                  </w:pPr>
                  <w:r>
                    <w:rPr>
                      <w:kern w:val="0"/>
                      <w:sz w:val="18"/>
                      <w:szCs w:val="18"/>
                    </w:rPr>
                    <w:t>386</w:t>
                  </w:r>
                </w:p>
              </w:tc>
              <w:tc>
                <w:tcPr>
                  <w:tcW w:w="750" w:type="dxa"/>
                  <w:shd w:val="clear" w:color="auto" w:fill="auto"/>
                  <w:vAlign w:val="center"/>
                </w:tcPr>
                <w:p>
                  <w:pPr>
                    <w:widowControl/>
                    <w:rPr>
                      <w:kern w:val="0"/>
                      <w:sz w:val="18"/>
                      <w:szCs w:val="18"/>
                    </w:rPr>
                  </w:pPr>
                  <w:r>
                    <w:rPr>
                      <w:kern w:val="0"/>
                      <w:sz w:val="18"/>
                      <w:szCs w:val="18"/>
                    </w:rPr>
                    <w:t>386</w:t>
                  </w:r>
                </w:p>
              </w:tc>
              <w:tc>
                <w:tcPr>
                  <w:tcW w:w="561" w:type="dxa"/>
                  <w:shd w:val="clear" w:color="auto" w:fill="auto"/>
                  <w:vAlign w:val="center"/>
                </w:tcPr>
                <w:p>
                  <w:pPr>
                    <w:widowControl/>
                    <w:ind w:firstLine="360" w:firstLineChars="200"/>
                    <w:jc w:val="center"/>
                    <w:rPr>
                      <w:kern w:val="0"/>
                      <w:sz w:val="18"/>
                      <w:szCs w:val="18"/>
                    </w:rPr>
                  </w:pPr>
                </w:p>
              </w:tc>
              <w:tc>
                <w:tcPr>
                  <w:tcW w:w="451" w:type="dxa"/>
                  <w:shd w:val="clear" w:color="auto" w:fill="auto"/>
                  <w:vAlign w:val="center"/>
                </w:tcPr>
                <w:p>
                  <w:pPr>
                    <w:widowControl/>
                    <w:ind w:firstLine="360" w:firstLineChars="200"/>
                    <w:jc w:val="center"/>
                    <w:rPr>
                      <w:kern w:val="0"/>
                      <w:sz w:val="18"/>
                      <w:szCs w:val="18"/>
                    </w:rPr>
                  </w:pPr>
                </w:p>
              </w:tc>
              <w:tc>
                <w:tcPr>
                  <w:tcW w:w="735" w:type="dxa"/>
                  <w:vAlign w:val="center"/>
                </w:tcPr>
                <w:p>
                  <w:pPr>
                    <w:widowControl/>
                    <w:ind w:firstLine="360" w:firstLineChars="200"/>
                    <w:jc w:val="center"/>
                    <w:rPr>
                      <w:kern w:val="0"/>
                      <w:sz w:val="18"/>
                      <w:szCs w:val="18"/>
                    </w:rPr>
                  </w:pPr>
                </w:p>
              </w:tc>
              <w:tc>
                <w:tcPr>
                  <w:tcW w:w="766" w:type="dxa"/>
                  <w:vAlign w:val="center"/>
                </w:tcPr>
                <w:p>
                  <w:pPr>
                    <w:widowControl/>
                    <w:ind w:firstLine="360" w:firstLineChars="200"/>
                    <w:jc w:val="center"/>
                    <w:rPr>
                      <w:kern w:val="0"/>
                      <w:sz w:val="18"/>
                      <w:szCs w:val="18"/>
                    </w:rPr>
                  </w:pPr>
                </w:p>
              </w:tc>
              <w:tc>
                <w:tcPr>
                  <w:tcW w:w="685" w:type="dxa"/>
                  <w:vAlign w:val="center"/>
                </w:tcPr>
                <w:p>
                  <w:pPr>
                    <w:widowControl/>
                    <w:ind w:firstLine="360" w:firstLineChars="200"/>
                    <w:jc w:val="center"/>
                    <w:rPr>
                      <w:kern w:val="0"/>
                      <w:sz w:val="18"/>
                      <w:szCs w:val="18"/>
                    </w:rPr>
                  </w:pPr>
                </w:p>
              </w:tc>
              <w:tc>
                <w:tcPr>
                  <w:tcW w:w="816" w:type="dxa"/>
                  <w:vAlign w:val="center"/>
                </w:tcPr>
                <w:p>
                  <w:pPr>
                    <w:widowControl/>
                    <w:ind w:firstLine="360" w:firstLineChars="200"/>
                    <w:jc w:val="center"/>
                    <w:rPr>
                      <w:kern w:val="0"/>
                      <w:sz w:val="18"/>
                      <w:szCs w:val="18"/>
                    </w:rPr>
                  </w:pPr>
                </w:p>
              </w:tc>
              <w:tc>
                <w:tcPr>
                  <w:tcW w:w="656" w:type="dxa"/>
                  <w:shd w:val="clear" w:color="auto" w:fill="auto"/>
                  <w:vAlign w:val="center"/>
                </w:tcPr>
                <w:p>
                  <w:pPr>
                    <w:widowControl/>
                    <w:ind w:firstLine="360" w:firstLineChars="200"/>
                    <w:jc w:val="center"/>
                    <w:rPr>
                      <w:kern w:val="0"/>
                      <w:sz w:val="18"/>
                      <w:szCs w:val="18"/>
                    </w:rPr>
                  </w:pPr>
                </w:p>
              </w:tc>
              <w:tc>
                <w:tcPr>
                  <w:tcW w:w="845" w:type="dxa"/>
                  <w:shd w:val="clear" w:color="auto" w:fill="auto"/>
                  <w:vAlign w:val="center"/>
                </w:tcPr>
                <w:p>
                  <w:pPr>
                    <w:widowControl/>
                    <w:ind w:firstLine="360" w:firstLineChars="200"/>
                    <w:jc w:val="center"/>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1089" w:type="dxa"/>
                  <w:gridSpan w:val="2"/>
                  <w:shd w:val="clear" w:color="auto" w:fill="auto"/>
                  <w:noWrap/>
                  <w:vAlign w:val="center"/>
                </w:tcPr>
                <w:p>
                  <w:pPr>
                    <w:widowControl/>
                    <w:jc w:val="left"/>
                    <w:rPr>
                      <w:kern w:val="0"/>
                      <w:sz w:val="18"/>
                      <w:szCs w:val="18"/>
                    </w:rPr>
                  </w:pPr>
                  <w:r>
                    <w:rPr>
                      <w:kern w:val="0"/>
                      <w:sz w:val="18"/>
                      <w:szCs w:val="18"/>
                    </w:rPr>
                    <w:t>合计</w:t>
                  </w:r>
                </w:p>
              </w:tc>
              <w:tc>
                <w:tcPr>
                  <w:tcW w:w="656" w:type="dxa"/>
                  <w:shd w:val="clear" w:color="auto" w:fill="auto"/>
                  <w:vAlign w:val="center"/>
                </w:tcPr>
                <w:p>
                  <w:pPr>
                    <w:widowControl/>
                    <w:jc w:val="left"/>
                    <w:rPr>
                      <w:kern w:val="0"/>
                      <w:sz w:val="18"/>
                      <w:szCs w:val="18"/>
                    </w:rPr>
                  </w:pPr>
                  <w:r>
                    <w:rPr>
                      <w:kern w:val="0"/>
                      <w:sz w:val="18"/>
                      <w:szCs w:val="18"/>
                    </w:rPr>
                    <w:t>13500</w:t>
                  </w:r>
                </w:p>
              </w:tc>
              <w:tc>
                <w:tcPr>
                  <w:tcW w:w="750" w:type="dxa"/>
                  <w:shd w:val="clear" w:color="auto" w:fill="auto"/>
                  <w:vAlign w:val="center"/>
                </w:tcPr>
                <w:p>
                  <w:pPr>
                    <w:widowControl/>
                    <w:jc w:val="left"/>
                    <w:rPr>
                      <w:kern w:val="0"/>
                      <w:sz w:val="18"/>
                      <w:szCs w:val="18"/>
                    </w:rPr>
                  </w:pPr>
                  <w:r>
                    <w:rPr>
                      <w:kern w:val="0"/>
                      <w:sz w:val="18"/>
                      <w:szCs w:val="18"/>
                    </w:rPr>
                    <w:t>13500</w:t>
                  </w:r>
                </w:p>
              </w:tc>
              <w:tc>
                <w:tcPr>
                  <w:tcW w:w="561" w:type="dxa"/>
                  <w:shd w:val="clear" w:color="auto" w:fill="auto"/>
                  <w:vAlign w:val="center"/>
                </w:tcPr>
                <w:p>
                  <w:pPr>
                    <w:widowControl/>
                    <w:jc w:val="left"/>
                    <w:rPr>
                      <w:kern w:val="0"/>
                      <w:sz w:val="18"/>
                      <w:szCs w:val="18"/>
                    </w:rPr>
                  </w:pPr>
                  <w:r>
                    <w:rPr>
                      <w:kern w:val="0"/>
                      <w:sz w:val="18"/>
                      <w:szCs w:val="18"/>
                    </w:rPr>
                    <w:t>/</w:t>
                  </w:r>
                </w:p>
              </w:tc>
              <w:tc>
                <w:tcPr>
                  <w:tcW w:w="451" w:type="dxa"/>
                  <w:shd w:val="clear" w:color="auto" w:fill="auto"/>
                  <w:vAlign w:val="center"/>
                </w:tcPr>
                <w:p>
                  <w:pPr>
                    <w:widowControl/>
                    <w:rPr>
                      <w:kern w:val="0"/>
                      <w:sz w:val="18"/>
                      <w:szCs w:val="18"/>
                    </w:rPr>
                  </w:pPr>
                  <w:r>
                    <w:rPr>
                      <w:kern w:val="0"/>
                      <w:sz w:val="18"/>
                      <w:szCs w:val="18"/>
                    </w:rPr>
                    <w:t>/</w:t>
                  </w:r>
                </w:p>
              </w:tc>
              <w:tc>
                <w:tcPr>
                  <w:tcW w:w="735" w:type="dxa"/>
                  <w:vAlign w:val="center"/>
                </w:tcPr>
                <w:p>
                  <w:pPr>
                    <w:widowControl/>
                    <w:jc w:val="left"/>
                    <w:rPr>
                      <w:kern w:val="0"/>
                      <w:sz w:val="18"/>
                      <w:szCs w:val="18"/>
                    </w:rPr>
                  </w:pPr>
                  <w:r>
                    <w:rPr>
                      <w:kern w:val="0"/>
                      <w:sz w:val="18"/>
                      <w:szCs w:val="18"/>
                    </w:rPr>
                    <w:t>/</w:t>
                  </w:r>
                </w:p>
              </w:tc>
              <w:tc>
                <w:tcPr>
                  <w:tcW w:w="766" w:type="dxa"/>
                  <w:vAlign w:val="center"/>
                </w:tcPr>
                <w:p>
                  <w:pPr>
                    <w:widowControl/>
                    <w:jc w:val="left"/>
                    <w:rPr>
                      <w:kern w:val="0"/>
                      <w:sz w:val="18"/>
                      <w:szCs w:val="18"/>
                    </w:rPr>
                  </w:pPr>
                  <w:r>
                    <w:rPr>
                      <w:kern w:val="0"/>
                      <w:sz w:val="18"/>
                      <w:szCs w:val="18"/>
                    </w:rPr>
                    <w:t>/</w:t>
                  </w:r>
                </w:p>
              </w:tc>
              <w:tc>
                <w:tcPr>
                  <w:tcW w:w="685" w:type="dxa"/>
                  <w:vAlign w:val="center"/>
                </w:tcPr>
                <w:p>
                  <w:pPr>
                    <w:widowControl/>
                    <w:jc w:val="left"/>
                    <w:rPr>
                      <w:kern w:val="0"/>
                      <w:sz w:val="18"/>
                      <w:szCs w:val="18"/>
                    </w:rPr>
                  </w:pPr>
                  <w:r>
                    <w:rPr>
                      <w:kern w:val="0"/>
                      <w:sz w:val="18"/>
                      <w:szCs w:val="18"/>
                    </w:rPr>
                    <w:t>/</w:t>
                  </w:r>
                </w:p>
              </w:tc>
              <w:tc>
                <w:tcPr>
                  <w:tcW w:w="816" w:type="dxa"/>
                  <w:vAlign w:val="center"/>
                </w:tcPr>
                <w:p>
                  <w:pPr>
                    <w:widowControl/>
                    <w:jc w:val="left"/>
                    <w:rPr>
                      <w:kern w:val="0"/>
                      <w:sz w:val="18"/>
                      <w:szCs w:val="18"/>
                    </w:rPr>
                  </w:pPr>
                  <w:r>
                    <w:rPr>
                      <w:kern w:val="0"/>
                      <w:sz w:val="18"/>
                      <w:szCs w:val="18"/>
                    </w:rPr>
                    <w:t>/</w:t>
                  </w:r>
                </w:p>
              </w:tc>
              <w:tc>
                <w:tcPr>
                  <w:tcW w:w="656" w:type="dxa"/>
                  <w:shd w:val="clear" w:color="auto" w:fill="auto"/>
                  <w:vAlign w:val="center"/>
                </w:tcPr>
                <w:p>
                  <w:pPr>
                    <w:widowControl/>
                    <w:jc w:val="left"/>
                    <w:rPr>
                      <w:kern w:val="0"/>
                      <w:sz w:val="18"/>
                      <w:szCs w:val="18"/>
                    </w:rPr>
                  </w:pPr>
                  <w:r>
                    <w:rPr>
                      <w:kern w:val="0"/>
                      <w:sz w:val="18"/>
                      <w:szCs w:val="18"/>
                    </w:rPr>
                    <w:t>/</w:t>
                  </w:r>
                </w:p>
              </w:tc>
              <w:tc>
                <w:tcPr>
                  <w:tcW w:w="845" w:type="dxa"/>
                  <w:shd w:val="clear" w:color="auto" w:fill="auto"/>
                  <w:vAlign w:val="center"/>
                </w:tcPr>
                <w:p>
                  <w:pPr>
                    <w:widowControl/>
                    <w:ind w:firstLine="360" w:firstLineChars="200"/>
                    <w:jc w:val="center"/>
                    <w:rPr>
                      <w:kern w:val="0"/>
                      <w:sz w:val="18"/>
                      <w:szCs w:val="18"/>
                    </w:rPr>
                  </w:pPr>
                  <w:r>
                    <w:rPr>
                      <w:kern w:val="0"/>
                      <w:sz w:val="18"/>
                      <w:szCs w:val="18"/>
                    </w:rPr>
                    <w:t>/</w:t>
                  </w:r>
                </w:p>
              </w:tc>
            </w:tr>
          </w:tbl>
          <w:p>
            <w:pPr>
              <w:widowControl/>
              <w:adjustRightInd w:val="0"/>
              <w:snapToGrid w:val="0"/>
              <w:spacing w:line="360" w:lineRule="auto"/>
              <w:ind w:firstLine="480" w:firstLineChars="200"/>
              <w:jc w:val="left"/>
              <w:rPr>
                <w:kern w:val="0"/>
                <w:sz w:val="24"/>
              </w:rPr>
            </w:pPr>
            <w:r>
              <w:rPr>
                <w:kern w:val="0"/>
                <w:sz w:val="24"/>
              </w:rPr>
              <w:t>（4）交通运输</w:t>
            </w:r>
          </w:p>
          <w:p>
            <w:pPr>
              <w:widowControl/>
              <w:adjustRightInd w:val="0"/>
              <w:snapToGrid w:val="0"/>
              <w:spacing w:line="360" w:lineRule="auto"/>
              <w:ind w:firstLine="480" w:firstLineChars="200"/>
              <w:jc w:val="left"/>
              <w:rPr>
                <w:kern w:val="0"/>
                <w:sz w:val="24"/>
              </w:rPr>
            </w:pPr>
            <w:r>
              <w:rPr>
                <w:kern w:val="0"/>
                <w:sz w:val="24"/>
              </w:rPr>
              <w:t>项目施工期交通运输主要依托周边</w:t>
            </w:r>
            <w:r>
              <w:rPr>
                <w:rFonts w:hint="eastAsia"/>
                <w:kern w:val="0"/>
                <w:sz w:val="24"/>
              </w:rPr>
              <w:t>高新大道</w:t>
            </w:r>
            <w:r>
              <w:rPr>
                <w:kern w:val="0"/>
                <w:sz w:val="24"/>
              </w:rPr>
              <w:t>。</w:t>
            </w:r>
          </w:p>
          <w:p>
            <w:pPr>
              <w:widowControl/>
              <w:adjustRightInd w:val="0"/>
              <w:snapToGrid w:val="0"/>
              <w:spacing w:line="360" w:lineRule="auto"/>
              <w:ind w:firstLine="480" w:firstLineChars="200"/>
              <w:jc w:val="left"/>
              <w:rPr>
                <w:kern w:val="0"/>
                <w:sz w:val="24"/>
              </w:rPr>
            </w:pPr>
            <w:r>
              <w:rPr>
                <w:kern w:val="0"/>
                <w:sz w:val="24"/>
              </w:rPr>
              <w:t>（5）建筑材料来源</w:t>
            </w:r>
          </w:p>
          <w:p>
            <w:pPr>
              <w:widowControl/>
              <w:adjustRightInd w:val="0"/>
              <w:snapToGrid w:val="0"/>
              <w:spacing w:line="360" w:lineRule="auto"/>
              <w:ind w:firstLine="480" w:firstLineChars="200"/>
              <w:jc w:val="left"/>
              <w:rPr>
                <w:kern w:val="0"/>
                <w:sz w:val="24"/>
              </w:rPr>
            </w:pPr>
            <w:r>
              <w:rPr>
                <w:kern w:val="0"/>
                <w:sz w:val="24"/>
              </w:rPr>
              <w:t>项目建设所需的主要建筑材料为钢材、水泥、砂石、木材等，均外购。</w:t>
            </w:r>
          </w:p>
          <w:p>
            <w:pPr>
              <w:tabs>
                <w:tab w:val="left" w:pos="2460"/>
              </w:tabs>
              <w:spacing w:line="360" w:lineRule="auto"/>
              <w:rPr>
                <w:b/>
                <w:sz w:val="24"/>
              </w:rPr>
            </w:pPr>
            <w:r>
              <w:rPr>
                <w:b/>
                <w:sz w:val="24"/>
              </w:rPr>
              <w:t>10、环保投资</w:t>
            </w:r>
          </w:p>
          <w:p>
            <w:pPr>
              <w:spacing w:line="360" w:lineRule="auto"/>
              <w:ind w:firstLine="480" w:firstLineChars="200"/>
              <w:rPr>
                <w:sz w:val="24"/>
              </w:rPr>
            </w:pPr>
            <w:r>
              <w:rPr>
                <w:sz w:val="24"/>
              </w:rPr>
              <w:t>本项目总投资8194.66万元，其中本次新增环保投资为81.7万元，。环保投资明细见表2-6。</w:t>
            </w:r>
          </w:p>
          <w:p>
            <w:pPr>
              <w:tabs>
                <w:tab w:val="left" w:pos="6740"/>
              </w:tabs>
              <w:spacing w:line="360" w:lineRule="auto"/>
              <w:ind w:firstLine="482"/>
              <w:jc w:val="center"/>
              <w:rPr>
                <w:rFonts w:eastAsiaTheme="minorEastAsia"/>
                <w:b/>
                <w:sz w:val="24"/>
              </w:rPr>
            </w:pPr>
            <w:r>
              <w:rPr>
                <w:rFonts w:eastAsiaTheme="minorEastAsia"/>
                <w:b/>
                <w:sz w:val="24"/>
              </w:rPr>
              <w:t>表2-6  环保投资明细表</w:t>
            </w:r>
          </w:p>
          <w:tbl>
            <w:tblPr>
              <w:tblStyle w:val="44"/>
              <w:tblW w:w="7925"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52"/>
              <w:gridCol w:w="624"/>
              <w:gridCol w:w="1230"/>
              <w:gridCol w:w="788"/>
              <w:gridCol w:w="1067"/>
              <w:gridCol w:w="2585"/>
              <w:gridCol w:w="10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552" w:type="dxa"/>
                  <w:vAlign w:val="center"/>
                </w:tcPr>
                <w:p>
                  <w:pPr>
                    <w:jc w:val="center"/>
                    <w:rPr>
                      <w:kern w:val="0"/>
                      <w:szCs w:val="21"/>
                    </w:rPr>
                  </w:pPr>
                  <w:r>
                    <w:rPr>
                      <w:kern w:val="0"/>
                      <w:szCs w:val="21"/>
                    </w:rPr>
                    <w:t>序号</w:t>
                  </w:r>
                </w:p>
              </w:tc>
              <w:tc>
                <w:tcPr>
                  <w:tcW w:w="1854" w:type="dxa"/>
                  <w:gridSpan w:val="2"/>
                  <w:vAlign w:val="center"/>
                </w:tcPr>
                <w:p>
                  <w:pPr>
                    <w:jc w:val="center"/>
                    <w:rPr>
                      <w:kern w:val="0"/>
                      <w:szCs w:val="21"/>
                    </w:rPr>
                  </w:pPr>
                  <w:r>
                    <w:rPr>
                      <w:kern w:val="0"/>
                      <w:szCs w:val="21"/>
                    </w:rPr>
                    <w:t>投资项目</w:t>
                  </w:r>
                </w:p>
              </w:tc>
              <w:tc>
                <w:tcPr>
                  <w:tcW w:w="788" w:type="dxa"/>
                  <w:vAlign w:val="center"/>
                </w:tcPr>
                <w:p>
                  <w:pPr>
                    <w:jc w:val="center"/>
                    <w:rPr>
                      <w:kern w:val="0"/>
                      <w:szCs w:val="21"/>
                    </w:rPr>
                  </w:pPr>
                  <w:r>
                    <w:rPr>
                      <w:kern w:val="0"/>
                      <w:szCs w:val="21"/>
                    </w:rPr>
                    <w:t>数量</w:t>
                  </w:r>
                </w:p>
              </w:tc>
              <w:tc>
                <w:tcPr>
                  <w:tcW w:w="1067" w:type="dxa"/>
                  <w:vAlign w:val="center"/>
                </w:tcPr>
                <w:p>
                  <w:pPr>
                    <w:jc w:val="center"/>
                    <w:rPr>
                      <w:kern w:val="0"/>
                      <w:szCs w:val="21"/>
                    </w:rPr>
                  </w:pPr>
                  <w:r>
                    <w:rPr>
                      <w:kern w:val="0"/>
                      <w:szCs w:val="21"/>
                    </w:rPr>
                    <w:t>单价</w:t>
                  </w:r>
                </w:p>
              </w:tc>
              <w:tc>
                <w:tcPr>
                  <w:tcW w:w="2585" w:type="dxa"/>
                  <w:vAlign w:val="center"/>
                </w:tcPr>
                <w:p>
                  <w:pPr>
                    <w:jc w:val="center"/>
                    <w:rPr>
                      <w:kern w:val="0"/>
                      <w:szCs w:val="21"/>
                    </w:rPr>
                  </w:pPr>
                  <w:r>
                    <w:rPr>
                      <w:kern w:val="0"/>
                      <w:szCs w:val="21"/>
                    </w:rPr>
                    <w:t>金额</w:t>
                  </w:r>
                </w:p>
                <w:p>
                  <w:pPr>
                    <w:jc w:val="center"/>
                    <w:rPr>
                      <w:kern w:val="0"/>
                      <w:szCs w:val="21"/>
                    </w:rPr>
                  </w:pPr>
                  <w:r>
                    <w:rPr>
                      <w:kern w:val="0"/>
                      <w:szCs w:val="21"/>
                    </w:rPr>
                    <w:t>（万元）</w:t>
                  </w:r>
                </w:p>
              </w:tc>
              <w:tc>
                <w:tcPr>
                  <w:tcW w:w="1079" w:type="dxa"/>
                  <w:vAlign w:val="center"/>
                </w:tcPr>
                <w:p>
                  <w:pPr>
                    <w:jc w:val="center"/>
                    <w:rPr>
                      <w:kern w:val="0"/>
                      <w:szCs w:val="21"/>
                    </w:rPr>
                  </w:pPr>
                  <w:r>
                    <w:rPr>
                      <w:kern w:val="0"/>
                      <w:szCs w:val="21"/>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7925" w:type="dxa"/>
                  <w:gridSpan w:val="7"/>
                  <w:vAlign w:val="center"/>
                </w:tcPr>
                <w:p>
                  <w:pPr>
                    <w:rPr>
                      <w:b/>
                      <w:kern w:val="0"/>
                      <w:szCs w:val="21"/>
                    </w:rPr>
                  </w:pPr>
                  <w:r>
                    <w:rPr>
                      <w:b/>
                      <w:kern w:val="0"/>
                      <w:szCs w:val="21"/>
                    </w:rPr>
                    <w:t>一、施工期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552" w:type="dxa"/>
                  <w:vAlign w:val="center"/>
                </w:tcPr>
                <w:p>
                  <w:pPr>
                    <w:jc w:val="center"/>
                    <w:rPr>
                      <w:kern w:val="0"/>
                      <w:szCs w:val="21"/>
                    </w:rPr>
                  </w:pPr>
                  <w:r>
                    <w:rPr>
                      <w:kern w:val="0"/>
                      <w:szCs w:val="21"/>
                    </w:rPr>
                    <w:t>1</w:t>
                  </w:r>
                </w:p>
              </w:tc>
              <w:tc>
                <w:tcPr>
                  <w:tcW w:w="624" w:type="dxa"/>
                  <w:vMerge w:val="restart"/>
                  <w:vAlign w:val="center"/>
                </w:tcPr>
                <w:p>
                  <w:pPr>
                    <w:jc w:val="center"/>
                    <w:rPr>
                      <w:kern w:val="0"/>
                      <w:szCs w:val="21"/>
                    </w:rPr>
                  </w:pPr>
                  <w:r>
                    <w:rPr>
                      <w:bCs/>
                      <w:szCs w:val="21"/>
                    </w:rPr>
                    <w:t>大气防治措施</w:t>
                  </w:r>
                </w:p>
              </w:tc>
              <w:tc>
                <w:tcPr>
                  <w:tcW w:w="1230" w:type="dxa"/>
                  <w:vAlign w:val="center"/>
                </w:tcPr>
                <w:p>
                  <w:pPr>
                    <w:jc w:val="center"/>
                    <w:rPr>
                      <w:kern w:val="0"/>
                      <w:szCs w:val="21"/>
                    </w:rPr>
                  </w:pPr>
                  <w:r>
                    <w:rPr>
                      <w:bCs/>
                      <w:szCs w:val="21"/>
                    </w:rPr>
                    <w:t>洒水降尘</w:t>
                  </w:r>
                </w:p>
              </w:tc>
              <w:tc>
                <w:tcPr>
                  <w:tcW w:w="788" w:type="dxa"/>
                  <w:vAlign w:val="center"/>
                </w:tcPr>
                <w:p>
                  <w:pPr>
                    <w:jc w:val="center"/>
                    <w:rPr>
                      <w:kern w:val="0"/>
                      <w:szCs w:val="21"/>
                    </w:rPr>
                  </w:pPr>
                  <w:r>
                    <w:rPr>
                      <w:kern w:val="0"/>
                      <w:szCs w:val="21"/>
                    </w:rPr>
                    <w:t>人工洒水</w:t>
                  </w:r>
                </w:p>
              </w:tc>
              <w:tc>
                <w:tcPr>
                  <w:tcW w:w="1067" w:type="dxa"/>
                  <w:vAlign w:val="center"/>
                </w:tcPr>
                <w:p>
                  <w:pPr>
                    <w:jc w:val="center"/>
                    <w:rPr>
                      <w:kern w:val="0"/>
                      <w:szCs w:val="21"/>
                    </w:rPr>
                  </w:pPr>
                  <w:r>
                    <w:rPr>
                      <w:bCs/>
                      <w:szCs w:val="21"/>
                    </w:rPr>
                    <w:t>100元/次</w:t>
                  </w:r>
                </w:p>
              </w:tc>
              <w:tc>
                <w:tcPr>
                  <w:tcW w:w="2585" w:type="dxa"/>
                  <w:vAlign w:val="center"/>
                </w:tcPr>
                <w:p>
                  <w:pPr>
                    <w:jc w:val="center"/>
                    <w:rPr>
                      <w:kern w:val="0"/>
                      <w:szCs w:val="21"/>
                    </w:rPr>
                  </w:pPr>
                  <w:r>
                    <w:rPr>
                      <w:kern w:val="0"/>
                      <w:szCs w:val="21"/>
                    </w:rPr>
                    <w:t>14.6</w:t>
                  </w:r>
                </w:p>
              </w:tc>
              <w:tc>
                <w:tcPr>
                  <w:tcW w:w="1079" w:type="dxa"/>
                  <w:vAlign w:val="center"/>
                </w:tcPr>
                <w:p>
                  <w:pPr>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795" w:hRule="atLeast"/>
              </w:trPr>
              <w:tc>
                <w:tcPr>
                  <w:tcW w:w="552" w:type="dxa"/>
                  <w:vAlign w:val="center"/>
                </w:tcPr>
                <w:p>
                  <w:pPr>
                    <w:jc w:val="center"/>
                    <w:rPr>
                      <w:kern w:val="0"/>
                      <w:szCs w:val="21"/>
                    </w:rPr>
                  </w:pPr>
                  <w:r>
                    <w:rPr>
                      <w:kern w:val="0"/>
                      <w:szCs w:val="21"/>
                    </w:rPr>
                    <w:t>2</w:t>
                  </w:r>
                </w:p>
              </w:tc>
              <w:tc>
                <w:tcPr>
                  <w:tcW w:w="624" w:type="dxa"/>
                  <w:vMerge w:val="continue"/>
                  <w:vAlign w:val="center"/>
                </w:tcPr>
                <w:p>
                  <w:pPr>
                    <w:jc w:val="center"/>
                    <w:rPr>
                      <w:kern w:val="0"/>
                      <w:szCs w:val="21"/>
                    </w:rPr>
                  </w:pPr>
                </w:p>
              </w:tc>
              <w:tc>
                <w:tcPr>
                  <w:tcW w:w="1230" w:type="dxa"/>
                  <w:tcBorders>
                    <w:bottom w:val="single" w:color="auto" w:sz="4" w:space="0"/>
                  </w:tcBorders>
                  <w:vAlign w:val="center"/>
                </w:tcPr>
                <w:p>
                  <w:pPr>
                    <w:jc w:val="center"/>
                    <w:rPr>
                      <w:kern w:val="0"/>
                      <w:szCs w:val="21"/>
                    </w:rPr>
                  </w:pPr>
                  <w:r>
                    <w:rPr>
                      <w:bCs/>
                      <w:szCs w:val="21"/>
                    </w:rPr>
                    <w:t>施工材料土工布遮盖及防尘帷幕</w:t>
                  </w:r>
                </w:p>
              </w:tc>
              <w:tc>
                <w:tcPr>
                  <w:tcW w:w="788" w:type="dxa"/>
                  <w:tcBorders>
                    <w:bottom w:val="single" w:color="auto" w:sz="4" w:space="0"/>
                  </w:tcBorders>
                  <w:vAlign w:val="center"/>
                </w:tcPr>
                <w:p>
                  <w:pPr>
                    <w:jc w:val="center"/>
                    <w:rPr>
                      <w:kern w:val="0"/>
                      <w:szCs w:val="21"/>
                    </w:rPr>
                  </w:pPr>
                  <w:r>
                    <w:rPr>
                      <w:bCs/>
                      <w:szCs w:val="21"/>
                    </w:rPr>
                    <w:t>1000m</w:t>
                  </w:r>
                  <w:r>
                    <w:rPr>
                      <w:bCs/>
                      <w:szCs w:val="21"/>
                      <w:vertAlign w:val="superscript"/>
                    </w:rPr>
                    <w:t>2</w:t>
                  </w:r>
                </w:p>
              </w:tc>
              <w:tc>
                <w:tcPr>
                  <w:tcW w:w="1067" w:type="dxa"/>
                  <w:tcBorders>
                    <w:bottom w:val="single" w:color="auto" w:sz="4" w:space="0"/>
                  </w:tcBorders>
                  <w:vAlign w:val="center"/>
                </w:tcPr>
                <w:p>
                  <w:pPr>
                    <w:jc w:val="center"/>
                    <w:rPr>
                      <w:kern w:val="0"/>
                      <w:szCs w:val="21"/>
                    </w:rPr>
                  </w:pPr>
                  <w:r>
                    <w:rPr>
                      <w:bCs/>
                      <w:szCs w:val="21"/>
                    </w:rPr>
                    <w:t>20元/m</w:t>
                  </w:r>
                  <w:r>
                    <w:rPr>
                      <w:bCs/>
                      <w:szCs w:val="21"/>
                      <w:vertAlign w:val="superscript"/>
                    </w:rPr>
                    <w:t>2</w:t>
                  </w:r>
                </w:p>
              </w:tc>
              <w:tc>
                <w:tcPr>
                  <w:tcW w:w="2585" w:type="dxa"/>
                  <w:tcBorders>
                    <w:bottom w:val="single" w:color="auto" w:sz="4" w:space="0"/>
                  </w:tcBorders>
                  <w:vAlign w:val="center"/>
                </w:tcPr>
                <w:p>
                  <w:pPr>
                    <w:jc w:val="center"/>
                    <w:rPr>
                      <w:kern w:val="0"/>
                      <w:szCs w:val="21"/>
                    </w:rPr>
                  </w:pPr>
                  <w:r>
                    <w:rPr>
                      <w:kern w:val="0"/>
                      <w:szCs w:val="21"/>
                    </w:rPr>
                    <w:t>2.0</w:t>
                  </w:r>
                </w:p>
              </w:tc>
              <w:tc>
                <w:tcPr>
                  <w:tcW w:w="1079" w:type="dxa"/>
                  <w:tcBorders>
                    <w:bottom w:val="single" w:color="auto" w:sz="4" w:space="0"/>
                  </w:tcBorders>
                  <w:vAlign w:val="center"/>
                </w:tcPr>
                <w:p>
                  <w:pPr>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552" w:type="dxa"/>
                  <w:vAlign w:val="center"/>
                </w:tcPr>
                <w:p>
                  <w:pPr>
                    <w:jc w:val="center"/>
                    <w:rPr>
                      <w:kern w:val="0"/>
                      <w:szCs w:val="21"/>
                    </w:rPr>
                  </w:pPr>
                  <w:r>
                    <w:rPr>
                      <w:kern w:val="0"/>
                      <w:szCs w:val="21"/>
                    </w:rPr>
                    <w:t>3</w:t>
                  </w:r>
                </w:p>
              </w:tc>
              <w:tc>
                <w:tcPr>
                  <w:tcW w:w="624" w:type="dxa"/>
                  <w:vMerge w:val="restart"/>
                  <w:vAlign w:val="center"/>
                </w:tcPr>
                <w:p>
                  <w:pPr>
                    <w:jc w:val="center"/>
                    <w:rPr>
                      <w:kern w:val="0"/>
                      <w:szCs w:val="21"/>
                    </w:rPr>
                  </w:pPr>
                  <w:r>
                    <w:rPr>
                      <w:bCs/>
                      <w:szCs w:val="21"/>
                    </w:rPr>
                    <w:t>污水防治措施</w:t>
                  </w:r>
                </w:p>
              </w:tc>
              <w:tc>
                <w:tcPr>
                  <w:tcW w:w="1230" w:type="dxa"/>
                  <w:vAlign w:val="center"/>
                </w:tcPr>
                <w:p>
                  <w:pPr>
                    <w:jc w:val="center"/>
                    <w:rPr>
                      <w:bCs/>
                      <w:szCs w:val="21"/>
                    </w:rPr>
                  </w:pPr>
                  <w:r>
                    <w:rPr>
                      <w:bCs/>
                      <w:szCs w:val="21"/>
                    </w:rPr>
                    <w:t>施工废水沉淀池</w:t>
                  </w:r>
                </w:p>
              </w:tc>
              <w:tc>
                <w:tcPr>
                  <w:tcW w:w="788" w:type="dxa"/>
                  <w:vAlign w:val="center"/>
                </w:tcPr>
                <w:p>
                  <w:pPr>
                    <w:jc w:val="center"/>
                    <w:rPr>
                      <w:bCs/>
                      <w:szCs w:val="21"/>
                    </w:rPr>
                  </w:pPr>
                  <w:r>
                    <w:rPr>
                      <w:bCs/>
                      <w:szCs w:val="21"/>
                    </w:rPr>
                    <w:t>3个</w:t>
                  </w:r>
                </w:p>
              </w:tc>
              <w:tc>
                <w:tcPr>
                  <w:tcW w:w="1067" w:type="dxa"/>
                  <w:vAlign w:val="center"/>
                </w:tcPr>
                <w:p>
                  <w:pPr>
                    <w:jc w:val="center"/>
                    <w:rPr>
                      <w:bCs/>
                      <w:szCs w:val="21"/>
                    </w:rPr>
                  </w:pPr>
                  <w:r>
                    <w:rPr>
                      <w:bCs/>
                      <w:szCs w:val="21"/>
                    </w:rPr>
                    <w:t>2000元/个</w:t>
                  </w:r>
                </w:p>
              </w:tc>
              <w:tc>
                <w:tcPr>
                  <w:tcW w:w="2585" w:type="dxa"/>
                  <w:vAlign w:val="center"/>
                </w:tcPr>
                <w:p>
                  <w:pPr>
                    <w:jc w:val="center"/>
                    <w:rPr>
                      <w:kern w:val="0"/>
                      <w:szCs w:val="21"/>
                    </w:rPr>
                  </w:pPr>
                  <w:r>
                    <w:rPr>
                      <w:kern w:val="0"/>
                      <w:szCs w:val="21"/>
                    </w:rPr>
                    <w:t>0.6</w:t>
                  </w:r>
                </w:p>
              </w:tc>
              <w:tc>
                <w:tcPr>
                  <w:tcW w:w="1079" w:type="dxa"/>
                  <w:vAlign w:val="center"/>
                </w:tcPr>
                <w:p>
                  <w:pPr>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552" w:type="dxa"/>
                  <w:vAlign w:val="center"/>
                </w:tcPr>
                <w:p>
                  <w:pPr>
                    <w:jc w:val="center"/>
                    <w:rPr>
                      <w:kern w:val="0"/>
                      <w:szCs w:val="21"/>
                    </w:rPr>
                  </w:pPr>
                  <w:r>
                    <w:rPr>
                      <w:kern w:val="0"/>
                      <w:szCs w:val="21"/>
                    </w:rPr>
                    <w:t>4</w:t>
                  </w:r>
                </w:p>
              </w:tc>
              <w:tc>
                <w:tcPr>
                  <w:tcW w:w="624" w:type="dxa"/>
                  <w:vMerge w:val="continue"/>
                  <w:vAlign w:val="center"/>
                </w:tcPr>
                <w:p>
                  <w:pPr>
                    <w:jc w:val="center"/>
                    <w:rPr>
                      <w:kern w:val="0"/>
                      <w:szCs w:val="21"/>
                    </w:rPr>
                  </w:pPr>
                </w:p>
              </w:tc>
              <w:tc>
                <w:tcPr>
                  <w:tcW w:w="1230" w:type="dxa"/>
                  <w:vAlign w:val="center"/>
                </w:tcPr>
                <w:p>
                  <w:pPr>
                    <w:jc w:val="center"/>
                    <w:rPr>
                      <w:bCs/>
                      <w:szCs w:val="21"/>
                    </w:rPr>
                  </w:pPr>
                  <w:r>
                    <w:rPr>
                      <w:bCs/>
                      <w:szCs w:val="21"/>
                    </w:rPr>
                    <w:t>临时截排水沟</w:t>
                  </w:r>
                </w:p>
              </w:tc>
              <w:tc>
                <w:tcPr>
                  <w:tcW w:w="788" w:type="dxa"/>
                  <w:vAlign w:val="center"/>
                </w:tcPr>
                <w:p>
                  <w:pPr>
                    <w:jc w:val="center"/>
                    <w:rPr>
                      <w:bCs/>
                      <w:szCs w:val="21"/>
                    </w:rPr>
                  </w:pPr>
                  <w:r>
                    <w:rPr>
                      <w:bCs/>
                      <w:szCs w:val="21"/>
                    </w:rPr>
                    <w:t>1000m</w:t>
                  </w:r>
                </w:p>
              </w:tc>
              <w:tc>
                <w:tcPr>
                  <w:tcW w:w="1067" w:type="dxa"/>
                  <w:vAlign w:val="center"/>
                </w:tcPr>
                <w:p>
                  <w:pPr>
                    <w:jc w:val="center"/>
                    <w:rPr>
                      <w:bCs/>
                      <w:szCs w:val="21"/>
                    </w:rPr>
                  </w:pPr>
                  <w:r>
                    <w:rPr>
                      <w:bCs/>
                      <w:szCs w:val="21"/>
                    </w:rPr>
                    <w:t>20元/m</w:t>
                  </w:r>
                </w:p>
              </w:tc>
              <w:tc>
                <w:tcPr>
                  <w:tcW w:w="2585" w:type="dxa"/>
                  <w:vAlign w:val="center"/>
                </w:tcPr>
                <w:p>
                  <w:pPr>
                    <w:jc w:val="center"/>
                    <w:rPr>
                      <w:kern w:val="0"/>
                      <w:szCs w:val="21"/>
                    </w:rPr>
                  </w:pPr>
                  <w:r>
                    <w:rPr>
                      <w:kern w:val="0"/>
                      <w:szCs w:val="21"/>
                    </w:rPr>
                    <w:t>2</w:t>
                  </w:r>
                </w:p>
              </w:tc>
              <w:tc>
                <w:tcPr>
                  <w:tcW w:w="1079" w:type="dxa"/>
                  <w:vAlign w:val="center"/>
                </w:tcPr>
                <w:p>
                  <w:pPr>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552" w:type="dxa"/>
                  <w:vAlign w:val="center"/>
                </w:tcPr>
                <w:p>
                  <w:pPr>
                    <w:jc w:val="center"/>
                    <w:rPr>
                      <w:kern w:val="0"/>
                      <w:szCs w:val="21"/>
                    </w:rPr>
                  </w:pPr>
                  <w:r>
                    <w:rPr>
                      <w:kern w:val="0"/>
                      <w:szCs w:val="21"/>
                    </w:rPr>
                    <w:t>5</w:t>
                  </w:r>
                </w:p>
              </w:tc>
              <w:tc>
                <w:tcPr>
                  <w:tcW w:w="624" w:type="dxa"/>
                  <w:vAlign w:val="center"/>
                </w:tcPr>
                <w:p>
                  <w:pPr>
                    <w:jc w:val="center"/>
                    <w:rPr>
                      <w:kern w:val="0"/>
                      <w:szCs w:val="21"/>
                    </w:rPr>
                  </w:pPr>
                  <w:r>
                    <w:rPr>
                      <w:bCs/>
                      <w:szCs w:val="21"/>
                    </w:rPr>
                    <w:t>固废防治措施</w:t>
                  </w:r>
                </w:p>
              </w:tc>
              <w:tc>
                <w:tcPr>
                  <w:tcW w:w="1230" w:type="dxa"/>
                  <w:vAlign w:val="center"/>
                </w:tcPr>
                <w:p>
                  <w:pPr>
                    <w:jc w:val="center"/>
                    <w:rPr>
                      <w:bCs/>
                      <w:szCs w:val="21"/>
                    </w:rPr>
                  </w:pPr>
                  <w:r>
                    <w:rPr>
                      <w:bCs/>
                      <w:szCs w:val="21"/>
                    </w:rPr>
                    <w:t>生活垃圾收集桶、建筑垃圾清运</w:t>
                  </w:r>
                </w:p>
              </w:tc>
              <w:tc>
                <w:tcPr>
                  <w:tcW w:w="788" w:type="dxa"/>
                  <w:vAlign w:val="center"/>
                </w:tcPr>
                <w:p>
                  <w:pPr>
                    <w:jc w:val="center"/>
                    <w:rPr>
                      <w:bCs/>
                      <w:szCs w:val="21"/>
                    </w:rPr>
                  </w:pPr>
                  <w:r>
                    <w:rPr>
                      <w:bCs/>
                      <w:szCs w:val="21"/>
                    </w:rPr>
                    <w:t>/</w:t>
                  </w:r>
                </w:p>
              </w:tc>
              <w:tc>
                <w:tcPr>
                  <w:tcW w:w="1067" w:type="dxa"/>
                  <w:vAlign w:val="center"/>
                </w:tcPr>
                <w:p>
                  <w:pPr>
                    <w:jc w:val="center"/>
                    <w:rPr>
                      <w:bCs/>
                      <w:szCs w:val="21"/>
                    </w:rPr>
                  </w:pPr>
                  <w:r>
                    <w:rPr>
                      <w:bCs/>
                      <w:szCs w:val="21"/>
                    </w:rPr>
                    <w:t>/</w:t>
                  </w:r>
                </w:p>
              </w:tc>
              <w:tc>
                <w:tcPr>
                  <w:tcW w:w="2585" w:type="dxa"/>
                  <w:vAlign w:val="center"/>
                </w:tcPr>
                <w:p>
                  <w:pPr>
                    <w:jc w:val="center"/>
                    <w:rPr>
                      <w:kern w:val="0"/>
                      <w:szCs w:val="21"/>
                    </w:rPr>
                  </w:pPr>
                  <w:r>
                    <w:rPr>
                      <w:kern w:val="0"/>
                      <w:szCs w:val="21"/>
                    </w:rPr>
                    <w:t>2.0</w:t>
                  </w:r>
                </w:p>
              </w:tc>
              <w:tc>
                <w:tcPr>
                  <w:tcW w:w="1079" w:type="dxa"/>
                  <w:vAlign w:val="center"/>
                </w:tcPr>
                <w:p>
                  <w:pPr>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7925" w:type="dxa"/>
                  <w:gridSpan w:val="7"/>
                  <w:vAlign w:val="center"/>
                </w:tcPr>
                <w:p>
                  <w:pPr>
                    <w:rPr>
                      <w:b/>
                      <w:kern w:val="0"/>
                      <w:szCs w:val="21"/>
                    </w:rPr>
                  </w:pPr>
                  <w:r>
                    <w:rPr>
                      <w:b/>
                      <w:kern w:val="0"/>
                      <w:szCs w:val="21"/>
                    </w:rPr>
                    <w:t>二、运行期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7925" w:type="dxa"/>
                  <w:gridSpan w:val="7"/>
                  <w:vAlign w:val="center"/>
                </w:tcPr>
                <w:p>
                  <w:pPr>
                    <w:jc w:val="center"/>
                    <w:rPr>
                      <w:kern w:val="0"/>
                      <w:szCs w:val="21"/>
                    </w:rPr>
                  </w:pPr>
                  <w:r>
                    <w:rPr>
                      <w:kern w:val="0"/>
                      <w:szCs w:val="21"/>
                    </w:rPr>
                    <w:t>水环境保护措施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60" w:hRule="atLeast"/>
              </w:trPr>
              <w:tc>
                <w:tcPr>
                  <w:tcW w:w="552" w:type="dxa"/>
                  <w:tcBorders>
                    <w:left w:val="single" w:color="auto" w:sz="4" w:space="0"/>
                    <w:bottom w:val="single" w:color="auto" w:sz="4" w:space="0"/>
                  </w:tcBorders>
                  <w:vAlign w:val="center"/>
                </w:tcPr>
                <w:p>
                  <w:pPr>
                    <w:jc w:val="center"/>
                    <w:rPr>
                      <w:kern w:val="0"/>
                      <w:szCs w:val="21"/>
                    </w:rPr>
                  </w:pPr>
                  <w:r>
                    <w:rPr>
                      <w:rFonts w:hint="eastAsia"/>
                      <w:kern w:val="0"/>
                      <w:szCs w:val="21"/>
                    </w:rPr>
                    <w:t>1</w:t>
                  </w:r>
                  <w:r>
                    <w:rPr>
                      <w:kern w:val="0"/>
                      <w:szCs w:val="21"/>
                    </w:rPr>
                    <w:t>.1</w:t>
                  </w:r>
                </w:p>
              </w:tc>
              <w:tc>
                <w:tcPr>
                  <w:tcW w:w="1854" w:type="dxa"/>
                  <w:gridSpan w:val="2"/>
                  <w:tcBorders>
                    <w:bottom w:val="single" w:color="auto" w:sz="4" w:space="0"/>
                  </w:tcBorders>
                  <w:vAlign w:val="center"/>
                </w:tcPr>
                <w:p>
                  <w:pPr>
                    <w:jc w:val="center"/>
                    <w:rPr>
                      <w:kern w:val="0"/>
                      <w:szCs w:val="21"/>
                    </w:rPr>
                  </w:pPr>
                  <w:r>
                    <w:rPr>
                      <w:kern w:val="0"/>
                      <w:szCs w:val="21"/>
                    </w:rPr>
                    <w:t>清水池扩建</w:t>
                  </w:r>
                </w:p>
              </w:tc>
              <w:tc>
                <w:tcPr>
                  <w:tcW w:w="788" w:type="dxa"/>
                  <w:tcBorders>
                    <w:bottom w:val="single" w:color="auto" w:sz="4" w:space="0"/>
                  </w:tcBorders>
                  <w:vAlign w:val="center"/>
                </w:tcPr>
                <w:p>
                  <w:pPr>
                    <w:jc w:val="center"/>
                    <w:rPr>
                      <w:kern w:val="0"/>
                      <w:szCs w:val="21"/>
                    </w:rPr>
                  </w:pPr>
                  <w:r>
                    <w:rPr>
                      <w:rFonts w:hint="eastAsia"/>
                      <w:kern w:val="0"/>
                      <w:szCs w:val="21"/>
                    </w:rPr>
                    <w:t>1个</w:t>
                  </w:r>
                </w:p>
              </w:tc>
              <w:tc>
                <w:tcPr>
                  <w:tcW w:w="1067" w:type="dxa"/>
                  <w:tcBorders>
                    <w:bottom w:val="single" w:color="auto" w:sz="4" w:space="0"/>
                  </w:tcBorders>
                  <w:vAlign w:val="center"/>
                </w:tcPr>
                <w:p>
                  <w:pPr>
                    <w:rPr>
                      <w:kern w:val="0"/>
                      <w:szCs w:val="21"/>
                    </w:rPr>
                  </w:pPr>
                  <w:r>
                    <w:rPr>
                      <w:kern w:val="0"/>
                      <w:szCs w:val="21"/>
                    </w:rPr>
                    <w:t>/</w:t>
                  </w:r>
                </w:p>
              </w:tc>
              <w:tc>
                <w:tcPr>
                  <w:tcW w:w="2585" w:type="dxa"/>
                  <w:tcBorders>
                    <w:bottom w:val="single" w:color="auto" w:sz="4" w:space="0"/>
                  </w:tcBorders>
                  <w:vAlign w:val="center"/>
                </w:tcPr>
                <w:p>
                  <w:pPr>
                    <w:jc w:val="center"/>
                    <w:rPr>
                      <w:kern w:val="0"/>
                      <w:szCs w:val="21"/>
                    </w:rPr>
                  </w:pPr>
                  <w:r>
                    <w:rPr>
                      <w:rFonts w:hint="eastAsia"/>
                      <w:kern w:val="0"/>
                      <w:szCs w:val="21"/>
                    </w:rPr>
                    <w:t>1</w:t>
                  </w:r>
                  <w:r>
                    <w:rPr>
                      <w:kern w:val="0"/>
                      <w:szCs w:val="21"/>
                    </w:rPr>
                    <w:t>5</w:t>
                  </w:r>
                </w:p>
              </w:tc>
              <w:tc>
                <w:tcPr>
                  <w:tcW w:w="1079" w:type="dxa"/>
                  <w:tcBorders>
                    <w:bottom w:val="single" w:color="auto" w:sz="4" w:space="0"/>
                  </w:tcBorders>
                  <w:vAlign w:val="center"/>
                </w:tcPr>
                <w:p>
                  <w:pPr>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60" w:hRule="atLeast"/>
              </w:trPr>
              <w:tc>
                <w:tcPr>
                  <w:tcW w:w="552" w:type="dxa"/>
                  <w:tcBorders>
                    <w:left w:val="single" w:color="auto" w:sz="4" w:space="0"/>
                    <w:bottom w:val="single" w:color="auto" w:sz="4" w:space="0"/>
                  </w:tcBorders>
                  <w:vAlign w:val="center"/>
                </w:tcPr>
                <w:p>
                  <w:pPr>
                    <w:jc w:val="center"/>
                    <w:rPr>
                      <w:kern w:val="0"/>
                      <w:szCs w:val="21"/>
                    </w:rPr>
                  </w:pPr>
                  <w:r>
                    <w:rPr>
                      <w:rFonts w:hint="eastAsia"/>
                      <w:kern w:val="0"/>
                      <w:szCs w:val="21"/>
                    </w:rPr>
                    <w:t>1</w:t>
                  </w:r>
                  <w:r>
                    <w:rPr>
                      <w:kern w:val="0"/>
                      <w:szCs w:val="21"/>
                    </w:rPr>
                    <w:t>.2</w:t>
                  </w:r>
                </w:p>
              </w:tc>
              <w:tc>
                <w:tcPr>
                  <w:tcW w:w="1854" w:type="dxa"/>
                  <w:gridSpan w:val="2"/>
                  <w:tcBorders>
                    <w:bottom w:val="single" w:color="auto" w:sz="4" w:space="0"/>
                  </w:tcBorders>
                  <w:vAlign w:val="center"/>
                </w:tcPr>
                <w:p>
                  <w:pPr>
                    <w:jc w:val="center"/>
                    <w:rPr>
                      <w:kern w:val="0"/>
                      <w:szCs w:val="21"/>
                    </w:rPr>
                  </w:pPr>
                  <w:r>
                    <w:rPr>
                      <w:kern w:val="0"/>
                      <w:szCs w:val="21"/>
                    </w:rPr>
                    <w:t>雨污水管网建设</w:t>
                  </w:r>
                </w:p>
              </w:tc>
              <w:tc>
                <w:tcPr>
                  <w:tcW w:w="788" w:type="dxa"/>
                  <w:tcBorders>
                    <w:bottom w:val="single" w:color="auto" w:sz="4" w:space="0"/>
                  </w:tcBorders>
                  <w:vAlign w:val="center"/>
                </w:tcPr>
                <w:p>
                  <w:pPr>
                    <w:jc w:val="center"/>
                    <w:rPr>
                      <w:kern w:val="0"/>
                      <w:szCs w:val="21"/>
                    </w:rPr>
                  </w:pPr>
                  <w:r>
                    <w:rPr>
                      <w:kern w:val="0"/>
                      <w:szCs w:val="21"/>
                    </w:rPr>
                    <w:t>/</w:t>
                  </w:r>
                </w:p>
              </w:tc>
              <w:tc>
                <w:tcPr>
                  <w:tcW w:w="1067" w:type="dxa"/>
                  <w:tcBorders>
                    <w:bottom w:val="single" w:color="auto" w:sz="4" w:space="0"/>
                  </w:tcBorders>
                  <w:vAlign w:val="center"/>
                </w:tcPr>
                <w:p>
                  <w:pPr>
                    <w:jc w:val="center"/>
                    <w:rPr>
                      <w:kern w:val="0"/>
                      <w:szCs w:val="21"/>
                    </w:rPr>
                  </w:pPr>
                  <w:r>
                    <w:rPr>
                      <w:rFonts w:hint="eastAsia"/>
                      <w:kern w:val="0"/>
                      <w:szCs w:val="21"/>
                    </w:rPr>
                    <w:t>/</w:t>
                  </w:r>
                </w:p>
              </w:tc>
              <w:tc>
                <w:tcPr>
                  <w:tcW w:w="2585" w:type="dxa"/>
                  <w:tcBorders>
                    <w:bottom w:val="single" w:color="auto" w:sz="4" w:space="0"/>
                  </w:tcBorders>
                  <w:vAlign w:val="center"/>
                </w:tcPr>
                <w:p>
                  <w:pPr>
                    <w:jc w:val="center"/>
                    <w:rPr>
                      <w:kern w:val="0"/>
                      <w:szCs w:val="21"/>
                    </w:rPr>
                  </w:pPr>
                  <w:r>
                    <w:rPr>
                      <w:rFonts w:hint="eastAsia"/>
                      <w:kern w:val="0"/>
                      <w:szCs w:val="21"/>
                    </w:rPr>
                    <w:t>5</w:t>
                  </w:r>
                </w:p>
              </w:tc>
              <w:tc>
                <w:tcPr>
                  <w:tcW w:w="1079" w:type="dxa"/>
                  <w:tcBorders>
                    <w:bottom w:val="single" w:color="auto" w:sz="4" w:space="0"/>
                  </w:tcBorders>
                  <w:vAlign w:val="center"/>
                </w:tcPr>
                <w:p>
                  <w:pPr>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60" w:hRule="atLeast"/>
              </w:trPr>
              <w:tc>
                <w:tcPr>
                  <w:tcW w:w="552" w:type="dxa"/>
                  <w:tcBorders>
                    <w:left w:val="single" w:color="auto" w:sz="4" w:space="0"/>
                    <w:bottom w:val="single" w:color="auto" w:sz="4" w:space="0"/>
                  </w:tcBorders>
                  <w:vAlign w:val="center"/>
                </w:tcPr>
                <w:p>
                  <w:pPr>
                    <w:jc w:val="center"/>
                    <w:rPr>
                      <w:kern w:val="0"/>
                      <w:szCs w:val="21"/>
                    </w:rPr>
                  </w:pPr>
                  <w:r>
                    <w:rPr>
                      <w:rFonts w:hint="eastAsia"/>
                      <w:kern w:val="0"/>
                      <w:szCs w:val="21"/>
                    </w:rPr>
                    <w:t>1</w:t>
                  </w:r>
                  <w:r>
                    <w:rPr>
                      <w:kern w:val="0"/>
                      <w:szCs w:val="21"/>
                    </w:rPr>
                    <w:t>.3</w:t>
                  </w:r>
                </w:p>
              </w:tc>
              <w:tc>
                <w:tcPr>
                  <w:tcW w:w="1854" w:type="dxa"/>
                  <w:gridSpan w:val="2"/>
                  <w:tcBorders>
                    <w:bottom w:val="single" w:color="auto" w:sz="4" w:space="0"/>
                  </w:tcBorders>
                  <w:vAlign w:val="center"/>
                </w:tcPr>
                <w:p>
                  <w:pPr>
                    <w:jc w:val="center"/>
                    <w:rPr>
                      <w:kern w:val="0"/>
                      <w:szCs w:val="21"/>
                    </w:rPr>
                  </w:pPr>
                  <w:r>
                    <w:rPr>
                      <w:kern w:val="0"/>
                      <w:szCs w:val="21"/>
                    </w:rPr>
                    <w:t>预留排污口</w:t>
                  </w:r>
                </w:p>
              </w:tc>
              <w:tc>
                <w:tcPr>
                  <w:tcW w:w="788" w:type="dxa"/>
                  <w:tcBorders>
                    <w:bottom w:val="single" w:color="auto" w:sz="4" w:space="0"/>
                  </w:tcBorders>
                  <w:vAlign w:val="center"/>
                </w:tcPr>
                <w:p>
                  <w:pPr>
                    <w:jc w:val="center"/>
                    <w:rPr>
                      <w:kern w:val="0"/>
                      <w:szCs w:val="21"/>
                    </w:rPr>
                  </w:pPr>
                  <w:r>
                    <w:rPr>
                      <w:rFonts w:hint="eastAsia"/>
                      <w:kern w:val="0"/>
                      <w:szCs w:val="21"/>
                    </w:rPr>
                    <w:t>1个</w:t>
                  </w:r>
                </w:p>
              </w:tc>
              <w:tc>
                <w:tcPr>
                  <w:tcW w:w="1067" w:type="dxa"/>
                  <w:tcBorders>
                    <w:bottom w:val="single" w:color="auto" w:sz="4" w:space="0"/>
                  </w:tcBorders>
                  <w:vAlign w:val="center"/>
                </w:tcPr>
                <w:p>
                  <w:pPr>
                    <w:jc w:val="center"/>
                    <w:rPr>
                      <w:kern w:val="0"/>
                      <w:szCs w:val="21"/>
                    </w:rPr>
                  </w:pPr>
                  <w:r>
                    <w:rPr>
                      <w:rFonts w:hint="eastAsia"/>
                      <w:kern w:val="0"/>
                      <w:szCs w:val="21"/>
                    </w:rPr>
                    <w:t>/</w:t>
                  </w:r>
                </w:p>
              </w:tc>
              <w:tc>
                <w:tcPr>
                  <w:tcW w:w="2585" w:type="dxa"/>
                  <w:tcBorders>
                    <w:bottom w:val="single" w:color="auto" w:sz="4" w:space="0"/>
                  </w:tcBorders>
                  <w:vAlign w:val="center"/>
                </w:tcPr>
                <w:p>
                  <w:pPr>
                    <w:jc w:val="center"/>
                    <w:rPr>
                      <w:kern w:val="0"/>
                      <w:szCs w:val="21"/>
                    </w:rPr>
                  </w:pPr>
                  <w:r>
                    <w:rPr>
                      <w:rFonts w:hint="eastAsia"/>
                      <w:kern w:val="0"/>
                      <w:szCs w:val="21"/>
                    </w:rPr>
                    <w:t>0</w:t>
                  </w:r>
                  <w:r>
                    <w:rPr>
                      <w:kern w:val="0"/>
                      <w:szCs w:val="21"/>
                    </w:rPr>
                    <w:t>.5</w:t>
                  </w:r>
                </w:p>
              </w:tc>
              <w:tc>
                <w:tcPr>
                  <w:tcW w:w="1079" w:type="dxa"/>
                  <w:tcBorders>
                    <w:bottom w:val="single" w:color="auto" w:sz="4" w:space="0"/>
                  </w:tcBorders>
                  <w:vAlign w:val="center"/>
                </w:tcPr>
                <w:p>
                  <w:pPr>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7925" w:type="dxa"/>
                  <w:gridSpan w:val="7"/>
                  <w:vAlign w:val="center"/>
                </w:tcPr>
                <w:p>
                  <w:pPr>
                    <w:jc w:val="center"/>
                    <w:rPr>
                      <w:kern w:val="0"/>
                      <w:szCs w:val="21"/>
                    </w:rPr>
                  </w:pPr>
                  <w:r>
                    <w:rPr>
                      <w:kern w:val="0"/>
                      <w:szCs w:val="21"/>
                    </w:rPr>
                    <w:t>噪声治理措施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552" w:type="dxa"/>
                  <w:vAlign w:val="center"/>
                </w:tcPr>
                <w:p>
                  <w:pPr>
                    <w:jc w:val="center"/>
                    <w:rPr>
                      <w:kern w:val="0"/>
                      <w:szCs w:val="21"/>
                    </w:rPr>
                  </w:pPr>
                  <w:r>
                    <w:rPr>
                      <w:kern w:val="0"/>
                      <w:szCs w:val="21"/>
                    </w:rPr>
                    <w:t>2.1</w:t>
                  </w:r>
                </w:p>
              </w:tc>
              <w:tc>
                <w:tcPr>
                  <w:tcW w:w="1854" w:type="dxa"/>
                  <w:gridSpan w:val="2"/>
                  <w:vAlign w:val="center"/>
                </w:tcPr>
                <w:p>
                  <w:pPr>
                    <w:jc w:val="center"/>
                    <w:rPr>
                      <w:kern w:val="0"/>
                      <w:szCs w:val="21"/>
                    </w:rPr>
                  </w:pPr>
                  <w:r>
                    <w:rPr>
                      <w:kern w:val="0"/>
                      <w:szCs w:val="21"/>
                    </w:rPr>
                    <w:t>减震垫</w:t>
                  </w:r>
                </w:p>
              </w:tc>
              <w:tc>
                <w:tcPr>
                  <w:tcW w:w="788" w:type="dxa"/>
                  <w:vAlign w:val="center"/>
                </w:tcPr>
                <w:p>
                  <w:pPr>
                    <w:jc w:val="center"/>
                    <w:rPr>
                      <w:kern w:val="0"/>
                      <w:szCs w:val="21"/>
                    </w:rPr>
                  </w:pPr>
                  <w:r>
                    <w:rPr>
                      <w:rFonts w:hint="eastAsia"/>
                      <w:kern w:val="0"/>
                      <w:szCs w:val="21"/>
                    </w:rPr>
                    <w:t>/</w:t>
                  </w:r>
                </w:p>
              </w:tc>
              <w:tc>
                <w:tcPr>
                  <w:tcW w:w="1067" w:type="dxa"/>
                  <w:vAlign w:val="center"/>
                </w:tcPr>
                <w:p>
                  <w:pPr>
                    <w:jc w:val="center"/>
                    <w:rPr>
                      <w:kern w:val="0"/>
                      <w:szCs w:val="21"/>
                    </w:rPr>
                  </w:pPr>
                  <w:r>
                    <w:rPr>
                      <w:rFonts w:hint="eastAsia"/>
                      <w:kern w:val="0"/>
                      <w:szCs w:val="21"/>
                    </w:rPr>
                    <w:t>/</w:t>
                  </w:r>
                </w:p>
              </w:tc>
              <w:tc>
                <w:tcPr>
                  <w:tcW w:w="2585" w:type="dxa"/>
                  <w:vAlign w:val="center"/>
                </w:tcPr>
                <w:p>
                  <w:pPr>
                    <w:jc w:val="center"/>
                    <w:rPr>
                      <w:kern w:val="0"/>
                      <w:szCs w:val="21"/>
                    </w:rPr>
                  </w:pPr>
                  <w:r>
                    <w:rPr>
                      <w:rFonts w:hint="eastAsia"/>
                      <w:kern w:val="0"/>
                      <w:szCs w:val="21"/>
                    </w:rPr>
                    <w:t>1</w:t>
                  </w:r>
                  <w:r>
                    <w:rPr>
                      <w:kern w:val="0"/>
                      <w:szCs w:val="21"/>
                    </w:rPr>
                    <w:t>0（估列）</w:t>
                  </w:r>
                </w:p>
              </w:tc>
              <w:tc>
                <w:tcPr>
                  <w:tcW w:w="1079" w:type="dxa"/>
                  <w:vAlign w:val="center"/>
                </w:tcPr>
                <w:p>
                  <w:pPr>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7925" w:type="dxa"/>
                  <w:gridSpan w:val="7"/>
                  <w:vAlign w:val="center"/>
                </w:tcPr>
                <w:p>
                  <w:pPr>
                    <w:jc w:val="center"/>
                    <w:rPr>
                      <w:kern w:val="0"/>
                      <w:szCs w:val="21"/>
                    </w:rPr>
                  </w:pPr>
                  <w:r>
                    <w:rPr>
                      <w:kern w:val="0"/>
                      <w:szCs w:val="21"/>
                    </w:rPr>
                    <w:t>固废措施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21" w:hRule="atLeast"/>
              </w:trPr>
              <w:tc>
                <w:tcPr>
                  <w:tcW w:w="552" w:type="dxa"/>
                  <w:tcBorders>
                    <w:top w:val="single" w:color="auto" w:sz="4" w:space="0"/>
                  </w:tcBorders>
                  <w:vAlign w:val="center"/>
                </w:tcPr>
                <w:p>
                  <w:pPr>
                    <w:jc w:val="center"/>
                    <w:rPr>
                      <w:kern w:val="0"/>
                      <w:szCs w:val="21"/>
                    </w:rPr>
                  </w:pPr>
                  <w:r>
                    <w:rPr>
                      <w:rFonts w:hint="eastAsia"/>
                      <w:kern w:val="0"/>
                      <w:szCs w:val="21"/>
                    </w:rPr>
                    <w:t>3</w:t>
                  </w:r>
                  <w:r>
                    <w:rPr>
                      <w:kern w:val="0"/>
                      <w:szCs w:val="21"/>
                    </w:rPr>
                    <w:t>.1</w:t>
                  </w:r>
                </w:p>
              </w:tc>
              <w:tc>
                <w:tcPr>
                  <w:tcW w:w="1854" w:type="dxa"/>
                  <w:gridSpan w:val="2"/>
                  <w:tcBorders>
                    <w:top w:val="single" w:color="auto" w:sz="4" w:space="0"/>
                  </w:tcBorders>
                  <w:vAlign w:val="center"/>
                </w:tcPr>
                <w:p>
                  <w:pPr>
                    <w:jc w:val="center"/>
                    <w:rPr>
                      <w:kern w:val="0"/>
                      <w:szCs w:val="21"/>
                    </w:rPr>
                  </w:pPr>
                  <w:r>
                    <w:rPr>
                      <w:kern w:val="0"/>
                      <w:szCs w:val="21"/>
                    </w:rPr>
                    <w:t>生活垃圾清运</w:t>
                  </w:r>
                </w:p>
              </w:tc>
              <w:tc>
                <w:tcPr>
                  <w:tcW w:w="788" w:type="dxa"/>
                  <w:tcBorders>
                    <w:top w:val="single" w:color="auto" w:sz="4" w:space="0"/>
                  </w:tcBorders>
                  <w:vAlign w:val="center"/>
                </w:tcPr>
                <w:p>
                  <w:pPr>
                    <w:jc w:val="center"/>
                    <w:rPr>
                      <w:kern w:val="0"/>
                      <w:szCs w:val="21"/>
                    </w:rPr>
                  </w:pPr>
                  <w:r>
                    <w:rPr>
                      <w:rFonts w:hint="eastAsia"/>
                      <w:kern w:val="0"/>
                      <w:szCs w:val="21"/>
                    </w:rPr>
                    <w:t>/</w:t>
                  </w:r>
                </w:p>
              </w:tc>
              <w:tc>
                <w:tcPr>
                  <w:tcW w:w="1067" w:type="dxa"/>
                  <w:tcBorders>
                    <w:top w:val="single" w:color="auto" w:sz="4" w:space="0"/>
                  </w:tcBorders>
                  <w:vAlign w:val="center"/>
                </w:tcPr>
                <w:p>
                  <w:pPr>
                    <w:jc w:val="center"/>
                    <w:rPr>
                      <w:kern w:val="0"/>
                      <w:szCs w:val="21"/>
                    </w:rPr>
                  </w:pPr>
                  <w:r>
                    <w:rPr>
                      <w:rFonts w:hint="eastAsia"/>
                      <w:kern w:val="0"/>
                      <w:szCs w:val="21"/>
                    </w:rPr>
                    <w:t>/</w:t>
                  </w:r>
                </w:p>
              </w:tc>
              <w:tc>
                <w:tcPr>
                  <w:tcW w:w="2585" w:type="dxa"/>
                  <w:tcBorders>
                    <w:top w:val="single" w:color="auto" w:sz="4" w:space="0"/>
                  </w:tcBorders>
                  <w:vAlign w:val="center"/>
                </w:tcPr>
                <w:p>
                  <w:pPr>
                    <w:jc w:val="center"/>
                    <w:rPr>
                      <w:kern w:val="0"/>
                      <w:szCs w:val="21"/>
                    </w:rPr>
                  </w:pPr>
                  <w:r>
                    <w:rPr>
                      <w:rFonts w:hint="eastAsia"/>
                      <w:kern w:val="0"/>
                      <w:szCs w:val="21"/>
                    </w:rPr>
                    <w:t>5</w:t>
                  </w:r>
                </w:p>
              </w:tc>
              <w:tc>
                <w:tcPr>
                  <w:tcW w:w="1079" w:type="dxa"/>
                  <w:tcBorders>
                    <w:top w:val="single" w:color="auto" w:sz="4" w:space="0"/>
                  </w:tcBorders>
                  <w:vAlign w:val="center"/>
                </w:tcPr>
                <w:p>
                  <w:pPr>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0" w:hRule="atLeast"/>
              </w:trPr>
              <w:tc>
                <w:tcPr>
                  <w:tcW w:w="552" w:type="dxa"/>
                  <w:vAlign w:val="center"/>
                </w:tcPr>
                <w:p>
                  <w:pPr>
                    <w:jc w:val="center"/>
                    <w:rPr>
                      <w:kern w:val="0"/>
                      <w:szCs w:val="21"/>
                    </w:rPr>
                  </w:pPr>
                  <w:r>
                    <w:rPr>
                      <w:rFonts w:hint="eastAsia"/>
                      <w:kern w:val="0"/>
                      <w:szCs w:val="21"/>
                    </w:rPr>
                    <w:t>3</w:t>
                  </w:r>
                  <w:r>
                    <w:rPr>
                      <w:kern w:val="0"/>
                      <w:szCs w:val="21"/>
                    </w:rPr>
                    <w:t>.2</w:t>
                  </w:r>
                </w:p>
              </w:tc>
              <w:tc>
                <w:tcPr>
                  <w:tcW w:w="1854" w:type="dxa"/>
                  <w:gridSpan w:val="2"/>
                  <w:vAlign w:val="center"/>
                </w:tcPr>
                <w:p>
                  <w:pPr>
                    <w:jc w:val="center"/>
                    <w:rPr>
                      <w:kern w:val="0"/>
                      <w:szCs w:val="21"/>
                    </w:rPr>
                  </w:pPr>
                  <w:r>
                    <w:rPr>
                      <w:kern w:val="0"/>
                      <w:szCs w:val="21"/>
                    </w:rPr>
                    <w:t>新增危险废物清运处置</w:t>
                  </w:r>
                </w:p>
              </w:tc>
              <w:tc>
                <w:tcPr>
                  <w:tcW w:w="788" w:type="dxa"/>
                  <w:vAlign w:val="center"/>
                </w:tcPr>
                <w:p>
                  <w:pPr>
                    <w:jc w:val="center"/>
                    <w:rPr>
                      <w:kern w:val="0"/>
                      <w:szCs w:val="21"/>
                    </w:rPr>
                  </w:pPr>
                  <w:r>
                    <w:rPr>
                      <w:rFonts w:hint="eastAsia"/>
                      <w:kern w:val="0"/>
                      <w:szCs w:val="21"/>
                    </w:rPr>
                    <w:t>/</w:t>
                  </w:r>
                </w:p>
              </w:tc>
              <w:tc>
                <w:tcPr>
                  <w:tcW w:w="1067" w:type="dxa"/>
                  <w:vAlign w:val="center"/>
                </w:tcPr>
                <w:p>
                  <w:pPr>
                    <w:jc w:val="center"/>
                    <w:rPr>
                      <w:kern w:val="0"/>
                      <w:szCs w:val="21"/>
                    </w:rPr>
                  </w:pPr>
                  <w:r>
                    <w:rPr>
                      <w:rFonts w:hint="eastAsia"/>
                      <w:kern w:val="0"/>
                      <w:szCs w:val="21"/>
                    </w:rPr>
                    <w:t>/</w:t>
                  </w:r>
                </w:p>
              </w:tc>
              <w:tc>
                <w:tcPr>
                  <w:tcW w:w="2585" w:type="dxa"/>
                  <w:vAlign w:val="center"/>
                </w:tcPr>
                <w:p>
                  <w:pPr>
                    <w:jc w:val="center"/>
                    <w:rPr>
                      <w:kern w:val="0"/>
                      <w:szCs w:val="21"/>
                    </w:rPr>
                  </w:pPr>
                  <w:r>
                    <w:rPr>
                      <w:rFonts w:hint="eastAsia"/>
                      <w:kern w:val="0"/>
                      <w:szCs w:val="21"/>
                    </w:rPr>
                    <w:t>1</w:t>
                  </w:r>
                  <w:r>
                    <w:rPr>
                      <w:kern w:val="0"/>
                      <w:szCs w:val="21"/>
                    </w:rPr>
                    <w:t>0</w:t>
                  </w:r>
                </w:p>
              </w:tc>
              <w:tc>
                <w:tcPr>
                  <w:tcW w:w="1079" w:type="dxa"/>
                  <w:vAlign w:val="center"/>
                </w:tcPr>
                <w:p>
                  <w:pPr>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35" w:hRule="atLeast"/>
              </w:trPr>
              <w:tc>
                <w:tcPr>
                  <w:tcW w:w="7925" w:type="dxa"/>
                  <w:gridSpan w:val="7"/>
                  <w:tcBorders>
                    <w:bottom w:val="single" w:color="auto" w:sz="4" w:space="0"/>
                  </w:tcBorders>
                  <w:vAlign w:val="center"/>
                </w:tcPr>
                <w:p>
                  <w:pPr>
                    <w:jc w:val="center"/>
                    <w:rPr>
                      <w:kern w:val="0"/>
                      <w:szCs w:val="21"/>
                    </w:rPr>
                  </w:pPr>
                  <w:r>
                    <w:rPr>
                      <w:kern w:val="0"/>
                      <w:szCs w:val="21"/>
                    </w:rPr>
                    <w:t>应急措施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35" w:hRule="atLeast"/>
              </w:trPr>
              <w:tc>
                <w:tcPr>
                  <w:tcW w:w="552" w:type="dxa"/>
                  <w:vAlign w:val="center"/>
                </w:tcPr>
                <w:p>
                  <w:pPr>
                    <w:jc w:val="center"/>
                    <w:rPr>
                      <w:kern w:val="0"/>
                      <w:szCs w:val="21"/>
                    </w:rPr>
                  </w:pPr>
                  <w:r>
                    <w:rPr>
                      <w:rFonts w:hint="eastAsia"/>
                      <w:kern w:val="0"/>
                      <w:szCs w:val="21"/>
                    </w:rPr>
                    <w:t>4</w:t>
                  </w:r>
                  <w:r>
                    <w:rPr>
                      <w:kern w:val="0"/>
                      <w:szCs w:val="21"/>
                    </w:rPr>
                    <w:t>.1</w:t>
                  </w:r>
                </w:p>
              </w:tc>
              <w:tc>
                <w:tcPr>
                  <w:tcW w:w="1854" w:type="dxa"/>
                  <w:gridSpan w:val="2"/>
                  <w:vAlign w:val="center"/>
                </w:tcPr>
                <w:p>
                  <w:pPr>
                    <w:jc w:val="center"/>
                    <w:rPr>
                      <w:kern w:val="0"/>
                      <w:szCs w:val="21"/>
                    </w:rPr>
                  </w:pPr>
                  <w:r>
                    <w:rPr>
                      <w:kern w:val="0"/>
                      <w:szCs w:val="21"/>
                    </w:rPr>
                    <w:t>应急池</w:t>
                  </w:r>
                </w:p>
              </w:tc>
              <w:tc>
                <w:tcPr>
                  <w:tcW w:w="788" w:type="dxa"/>
                  <w:vAlign w:val="center"/>
                </w:tcPr>
                <w:p>
                  <w:pPr>
                    <w:jc w:val="center"/>
                    <w:rPr>
                      <w:kern w:val="0"/>
                      <w:szCs w:val="21"/>
                    </w:rPr>
                  </w:pPr>
                  <w:r>
                    <w:rPr>
                      <w:rFonts w:hint="eastAsia"/>
                      <w:kern w:val="0"/>
                      <w:szCs w:val="21"/>
                    </w:rPr>
                    <w:t>1座</w:t>
                  </w:r>
                </w:p>
              </w:tc>
              <w:tc>
                <w:tcPr>
                  <w:tcW w:w="1067" w:type="dxa"/>
                  <w:vAlign w:val="center"/>
                </w:tcPr>
                <w:p>
                  <w:pPr>
                    <w:jc w:val="center"/>
                    <w:rPr>
                      <w:kern w:val="0"/>
                      <w:szCs w:val="21"/>
                    </w:rPr>
                  </w:pPr>
                  <w:r>
                    <w:rPr>
                      <w:rFonts w:hint="eastAsia"/>
                      <w:kern w:val="0"/>
                      <w:szCs w:val="21"/>
                    </w:rPr>
                    <w:t>/</w:t>
                  </w:r>
                </w:p>
              </w:tc>
              <w:tc>
                <w:tcPr>
                  <w:tcW w:w="2585" w:type="dxa"/>
                  <w:vAlign w:val="center"/>
                </w:tcPr>
                <w:p>
                  <w:pPr>
                    <w:jc w:val="center"/>
                    <w:rPr>
                      <w:kern w:val="0"/>
                      <w:szCs w:val="21"/>
                    </w:rPr>
                  </w:pPr>
                  <w:r>
                    <w:rPr>
                      <w:kern w:val="0"/>
                      <w:szCs w:val="21"/>
                    </w:rPr>
                    <w:t>10</w:t>
                  </w:r>
                </w:p>
              </w:tc>
              <w:tc>
                <w:tcPr>
                  <w:tcW w:w="1079" w:type="dxa"/>
                  <w:vAlign w:val="center"/>
                </w:tcPr>
                <w:p>
                  <w:pPr>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35" w:hRule="atLeast"/>
              </w:trPr>
              <w:tc>
                <w:tcPr>
                  <w:tcW w:w="552" w:type="dxa"/>
                  <w:vAlign w:val="center"/>
                </w:tcPr>
                <w:p>
                  <w:pPr>
                    <w:jc w:val="center"/>
                    <w:rPr>
                      <w:kern w:val="0"/>
                      <w:szCs w:val="21"/>
                    </w:rPr>
                  </w:pPr>
                  <w:r>
                    <w:rPr>
                      <w:rFonts w:hint="eastAsia"/>
                      <w:kern w:val="0"/>
                      <w:szCs w:val="21"/>
                    </w:rPr>
                    <w:t>4</w:t>
                  </w:r>
                  <w:r>
                    <w:rPr>
                      <w:kern w:val="0"/>
                      <w:szCs w:val="21"/>
                    </w:rPr>
                    <w:t>.2</w:t>
                  </w:r>
                </w:p>
              </w:tc>
              <w:tc>
                <w:tcPr>
                  <w:tcW w:w="1854" w:type="dxa"/>
                  <w:gridSpan w:val="2"/>
                  <w:vAlign w:val="center"/>
                </w:tcPr>
                <w:p>
                  <w:pPr>
                    <w:jc w:val="center"/>
                    <w:rPr>
                      <w:kern w:val="0"/>
                      <w:szCs w:val="21"/>
                    </w:rPr>
                  </w:pPr>
                  <w:r>
                    <w:rPr>
                      <w:kern w:val="0"/>
                      <w:szCs w:val="21"/>
                    </w:rPr>
                    <w:t>应急预案编制</w:t>
                  </w:r>
                </w:p>
              </w:tc>
              <w:tc>
                <w:tcPr>
                  <w:tcW w:w="788" w:type="dxa"/>
                  <w:vAlign w:val="center"/>
                </w:tcPr>
                <w:p>
                  <w:pPr>
                    <w:jc w:val="center"/>
                    <w:rPr>
                      <w:kern w:val="0"/>
                      <w:szCs w:val="21"/>
                    </w:rPr>
                  </w:pPr>
                  <w:r>
                    <w:rPr>
                      <w:rFonts w:hint="eastAsia"/>
                      <w:kern w:val="0"/>
                      <w:szCs w:val="21"/>
                    </w:rPr>
                    <w:t>/</w:t>
                  </w:r>
                </w:p>
              </w:tc>
              <w:tc>
                <w:tcPr>
                  <w:tcW w:w="1067" w:type="dxa"/>
                  <w:vAlign w:val="center"/>
                </w:tcPr>
                <w:p>
                  <w:pPr>
                    <w:jc w:val="center"/>
                    <w:rPr>
                      <w:kern w:val="0"/>
                      <w:szCs w:val="21"/>
                    </w:rPr>
                  </w:pPr>
                  <w:r>
                    <w:rPr>
                      <w:rFonts w:hint="eastAsia"/>
                      <w:kern w:val="0"/>
                      <w:szCs w:val="21"/>
                    </w:rPr>
                    <w:t>/</w:t>
                  </w:r>
                </w:p>
              </w:tc>
              <w:tc>
                <w:tcPr>
                  <w:tcW w:w="2585" w:type="dxa"/>
                  <w:vAlign w:val="center"/>
                </w:tcPr>
                <w:p>
                  <w:pPr>
                    <w:jc w:val="center"/>
                    <w:rPr>
                      <w:kern w:val="0"/>
                      <w:szCs w:val="21"/>
                    </w:rPr>
                  </w:pPr>
                  <w:r>
                    <w:rPr>
                      <w:rFonts w:hint="eastAsia"/>
                      <w:kern w:val="0"/>
                      <w:szCs w:val="21"/>
                    </w:rPr>
                    <w:t>5</w:t>
                  </w:r>
                </w:p>
              </w:tc>
              <w:tc>
                <w:tcPr>
                  <w:tcW w:w="1079" w:type="dxa"/>
                  <w:vAlign w:val="center"/>
                </w:tcPr>
                <w:p>
                  <w:pPr>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35" w:hRule="atLeast"/>
              </w:trPr>
              <w:tc>
                <w:tcPr>
                  <w:tcW w:w="4261" w:type="dxa"/>
                  <w:gridSpan w:val="5"/>
                  <w:tcBorders>
                    <w:bottom w:val="single" w:color="auto" w:sz="4" w:space="0"/>
                  </w:tcBorders>
                  <w:vAlign w:val="center"/>
                </w:tcPr>
                <w:p>
                  <w:pPr>
                    <w:jc w:val="center"/>
                    <w:rPr>
                      <w:kern w:val="0"/>
                      <w:szCs w:val="21"/>
                    </w:rPr>
                  </w:pPr>
                  <w:r>
                    <w:rPr>
                      <w:kern w:val="0"/>
                      <w:szCs w:val="21"/>
                    </w:rPr>
                    <w:t>合计</w:t>
                  </w:r>
                </w:p>
              </w:tc>
              <w:tc>
                <w:tcPr>
                  <w:tcW w:w="2585" w:type="dxa"/>
                  <w:tcBorders>
                    <w:bottom w:val="single" w:color="auto" w:sz="4" w:space="0"/>
                  </w:tcBorders>
                  <w:vAlign w:val="center"/>
                </w:tcPr>
                <w:p>
                  <w:pPr>
                    <w:jc w:val="center"/>
                    <w:rPr>
                      <w:kern w:val="0"/>
                      <w:szCs w:val="21"/>
                    </w:rPr>
                  </w:pPr>
                  <w:r>
                    <w:rPr>
                      <w:rFonts w:hint="eastAsia"/>
                      <w:kern w:val="0"/>
                      <w:szCs w:val="21"/>
                    </w:rPr>
                    <w:t>8</w:t>
                  </w:r>
                  <w:r>
                    <w:rPr>
                      <w:kern w:val="0"/>
                      <w:szCs w:val="21"/>
                    </w:rPr>
                    <w:t>1.7</w:t>
                  </w:r>
                </w:p>
              </w:tc>
              <w:tc>
                <w:tcPr>
                  <w:tcW w:w="1079" w:type="dxa"/>
                  <w:tcBorders>
                    <w:bottom w:val="single" w:color="auto" w:sz="4" w:space="0"/>
                  </w:tcBorders>
                  <w:vAlign w:val="center"/>
                </w:tcPr>
                <w:p>
                  <w:pPr>
                    <w:jc w:val="center"/>
                    <w:rPr>
                      <w:kern w:val="0"/>
                      <w:szCs w:val="21"/>
                    </w:rPr>
                  </w:pPr>
                </w:p>
              </w:tc>
            </w:tr>
          </w:tbl>
          <w:p>
            <w:pPr>
              <w:tabs>
                <w:tab w:val="left" w:pos="2460"/>
              </w:tabs>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71" w:hRule="atLeast"/>
          <w:jc w:val="center"/>
        </w:trPr>
        <w:tc>
          <w:tcPr>
            <w:tcW w:w="823" w:type="dxa"/>
            <w:vAlign w:val="center"/>
          </w:tcPr>
          <w:p>
            <w:pPr>
              <w:pStyle w:val="39"/>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工艺流程和产排污环节</w:t>
            </w:r>
          </w:p>
        </w:tc>
        <w:tc>
          <w:tcPr>
            <w:tcW w:w="8161" w:type="dxa"/>
          </w:tcPr>
          <w:p>
            <w:pPr>
              <w:adjustRightInd w:val="0"/>
              <w:snapToGrid w:val="0"/>
              <w:spacing w:line="360" w:lineRule="auto"/>
              <w:rPr>
                <w:b/>
                <w:bCs/>
                <w:sz w:val="24"/>
              </w:rPr>
            </w:pPr>
            <w:r>
              <w:rPr>
                <w:b/>
                <w:bCs/>
                <w:sz w:val="24"/>
              </w:rPr>
              <w:t>一、工艺流程</w:t>
            </w:r>
          </w:p>
          <w:p>
            <w:pPr>
              <w:adjustRightInd w:val="0"/>
              <w:snapToGrid w:val="0"/>
              <w:spacing w:line="360" w:lineRule="auto"/>
              <w:rPr>
                <w:b/>
                <w:bCs/>
                <w:sz w:val="24"/>
              </w:rPr>
            </w:pPr>
            <w:r>
              <w:rPr>
                <w:b/>
                <w:bCs/>
                <w:sz w:val="24"/>
              </w:rPr>
              <w:t>1、施工期</w:t>
            </w:r>
          </w:p>
          <w:p>
            <w:pPr>
              <w:widowControl/>
              <w:spacing w:line="360" w:lineRule="auto"/>
              <w:ind w:firstLine="480" w:firstLineChars="200"/>
              <w:jc w:val="left"/>
              <w:rPr>
                <w:kern w:val="0"/>
                <w:sz w:val="24"/>
              </w:rPr>
            </w:pPr>
            <w:r>
              <w:rPr>
                <w:kern w:val="0"/>
                <w:sz w:val="24"/>
              </w:rPr>
              <w:t>建设过程中不同施工阶段所采用的施工方式不一样：在清除植被阶段和拆除阶段以机械施工为主，人力施工为辅，主要使用推土机、挖掘机等；在装修阶段主要以人力为主等。施工工艺流程图及产污环节图见图2-1。</w:t>
            </w:r>
          </w:p>
          <w:p>
            <w:pPr>
              <w:widowControl/>
              <w:spacing w:line="360" w:lineRule="auto"/>
              <w:ind w:firstLine="480" w:firstLineChars="200"/>
              <w:jc w:val="left"/>
              <w:rPr>
                <w:kern w:val="0"/>
                <w:sz w:val="24"/>
              </w:rPr>
            </w:pPr>
          </w:p>
          <w:p>
            <w:pPr>
              <w:widowControl/>
              <w:spacing w:line="360" w:lineRule="auto"/>
              <w:ind w:firstLine="480" w:firstLineChars="200"/>
              <w:jc w:val="left"/>
              <w:rPr>
                <w:kern w:val="0"/>
                <w:sz w:val="24"/>
              </w:rPr>
            </w:pPr>
          </w:p>
          <w:p>
            <w:pPr>
              <w:widowControl/>
              <w:spacing w:line="360" w:lineRule="auto"/>
              <w:ind w:firstLine="480" w:firstLineChars="200"/>
              <w:jc w:val="left"/>
              <w:rPr>
                <w:kern w:val="0"/>
                <w:sz w:val="24"/>
              </w:rPr>
            </w:pPr>
          </w:p>
          <w:p>
            <w:pPr>
              <w:widowControl/>
              <w:spacing w:line="360" w:lineRule="auto"/>
              <w:ind w:firstLine="480" w:firstLineChars="200"/>
              <w:jc w:val="left"/>
              <w:rPr>
                <w:kern w:val="0"/>
                <w:sz w:val="24"/>
              </w:rPr>
            </w:pPr>
          </w:p>
          <w:p>
            <w:pPr>
              <w:widowControl/>
              <w:spacing w:line="360" w:lineRule="auto"/>
              <w:ind w:firstLine="480" w:firstLineChars="200"/>
              <w:jc w:val="left"/>
              <w:rPr>
                <w:kern w:val="0"/>
                <w:sz w:val="24"/>
              </w:rPr>
            </w:pPr>
          </w:p>
          <w:p>
            <w:pPr>
              <w:widowControl/>
              <w:spacing w:line="360" w:lineRule="auto"/>
              <w:ind w:firstLine="480" w:firstLineChars="200"/>
              <w:jc w:val="left"/>
              <w:rPr>
                <w:kern w:val="0"/>
                <w:sz w:val="24"/>
              </w:rPr>
            </w:pPr>
          </w:p>
          <w:p>
            <w:pPr>
              <w:widowControl/>
              <w:spacing w:line="360" w:lineRule="auto"/>
              <w:ind w:firstLine="480" w:firstLineChars="200"/>
              <w:jc w:val="left"/>
              <w:rPr>
                <w:kern w:val="0"/>
                <w:sz w:val="24"/>
              </w:rPr>
            </w:pPr>
          </w:p>
          <w:p>
            <w:pPr>
              <w:widowControl/>
              <w:spacing w:line="360" w:lineRule="auto"/>
              <w:ind w:firstLine="480" w:firstLineChars="200"/>
              <w:jc w:val="left"/>
              <w:rPr>
                <w:kern w:val="0"/>
                <w:sz w:val="24"/>
              </w:rPr>
            </w:pPr>
          </w:p>
          <w:p>
            <w:pPr>
              <w:spacing w:line="500" w:lineRule="exact"/>
              <w:ind w:firstLine="480" w:firstLineChars="200"/>
              <w:rPr>
                <w:sz w:val="24"/>
                <w:szCs w:val="20"/>
              </w:rPr>
            </w:pPr>
            <w:r>
              <w:rPr>
                <w:sz w:val="24"/>
                <w:szCs w:val="20"/>
              </w:rPr>
              <mc:AlternateContent>
                <mc:Choice Requires="wps">
                  <w:drawing>
                    <wp:anchor distT="0" distB="0" distL="114300" distR="114300" simplePos="0" relativeHeight="251667456" behindDoc="0" locked="0" layoutInCell="1" allowOverlap="1">
                      <wp:simplePos x="0" y="0"/>
                      <wp:positionH relativeFrom="column">
                        <wp:posOffset>1202055</wp:posOffset>
                      </wp:positionH>
                      <wp:positionV relativeFrom="paragraph">
                        <wp:posOffset>107315</wp:posOffset>
                      </wp:positionV>
                      <wp:extent cx="3803650" cy="297180"/>
                      <wp:effectExtent l="0" t="0" r="25400" b="26670"/>
                      <wp:wrapNone/>
                      <wp:docPr id="72" name="Text Box 1437"/>
                      <wp:cNvGraphicFramePr/>
                      <a:graphic xmlns:a="http://schemas.openxmlformats.org/drawingml/2006/main">
                        <a:graphicData uri="http://schemas.microsoft.com/office/word/2010/wordprocessingShape">
                          <wps:wsp>
                            <wps:cNvSpPr txBox="1">
                              <a:spLocks noChangeArrowheads="1"/>
                            </wps:cNvSpPr>
                            <wps:spPr bwMode="auto">
                              <a:xfrm>
                                <a:off x="0" y="0"/>
                                <a:ext cx="3803650" cy="297180"/>
                              </a:xfrm>
                              <a:prstGeom prst="rect">
                                <a:avLst/>
                              </a:prstGeom>
                              <a:solidFill>
                                <a:srgbClr val="FFFFFF"/>
                              </a:solidFill>
                              <a:ln w="9525">
                                <a:solidFill>
                                  <a:srgbClr val="000000"/>
                                </a:solidFill>
                                <a:miter lim="800000"/>
                              </a:ln>
                            </wps:spPr>
                            <wps:txbx>
                              <w:txbxContent>
                                <w:p>
                                  <w:pPr>
                                    <w:ind w:firstLine="420"/>
                                    <w:jc w:val="center"/>
                                    <w:rPr>
                                      <w:szCs w:val="21"/>
                                    </w:rPr>
                                  </w:pPr>
                                  <w:r>
                                    <w:rPr>
                                      <w:rFonts w:hint="eastAsia"/>
                                      <w:szCs w:val="21"/>
                                    </w:rPr>
                                    <w:t>施 工 期</w:t>
                                  </w:r>
                                </w:p>
                              </w:txbxContent>
                            </wps:txbx>
                            <wps:bodyPr rot="0" vert="horz" wrap="square" lIns="0" tIns="45720" rIns="0" bIns="45720" anchor="t" anchorCtr="0" upright="1">
                              <a:noAutofit/>
                            </wps:bodyPr>
                          </wps:wsp>
                        </a:graphicData>
                      </a:graphic>
                    </wp:anchor>
                  </w:drawing>
                </mc:Choice>
                <mc:Fallback>
                  <w:pict>
                    <v:shape id="Text Box 1437" o:spid="_x0000_s1026" o:spt="202" type="#_x0000_t202" style="position:absolute;left:0pt;margin-left:94.65pt;margin-top:8.45pt;height:23.4pt;width:299.5pt;z-index:251667456;mso-width-relative:page;mso-height-relative:page;" fillcolor="#FFFFFF" filled="t" stroked="t" coordsize="21600,21600" o:gfxdata="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HabntkAAAAJAQAADwAA&#10;AAAAAAABACAAAAAiAAAAZHJzL2Rvd25yZXYueG1sUEsBAhQAFAAAAAgAh07iQMNd52MVAgAANAQA&#10;AA4AAAAAAAAAAQAgAAAAKAEAAGRycy9lMm9Eb2MueG1sUEsFBgAAAAAGAAYAWQEAAK8FAAAAAA==&#10;">
                      <v:fill on="t" focussize="0,0"/>
                      <v:stroke color="#000000" miterlimit="8" joinstyle="miter"/>
                      <v:imagedata o:title=""/>
                      <o:lock v:ext="edit" aspectratio="f"/>
                      <v:textbox inset="0mm,1.27mm,0mm,1.27mm">
                        <w:txbxContent>
                          <w:p>
                            <w:pPr>
                              <w:ind w:firstLine="420"/>
                              <w:jc w:val="center"/>
                              <w:rPr>
                                <w:szCs w:val="21"/>
                              </w:rPr>
                            </w:pPr>
                            <w:r>
                              <w:rPr>
                                <w:rFonts w:hint="eastAsia"/>
                                <w:szCs w:val="21"/>
                              </w:rPr>
                              <w:t>施 工 期</w:t>
                            </w:r>
                          </w:p>
                        </w:txbxContent>
                      </v:textbox>
                    </v:shape>
                  </w:pict>
                </mc:Fallback>
              </mc:AlternateContent>
            </w:r>
          </w:p>
          <w:p>
            <w:pPr>
              <w:spacing w:line="500" w:lineRule="exact"/>
              <w:ind w:firstLine="480" w:firstLineChars="200"/>
              <w:rPr>
                <w:sz w:val="24"/>
                <w:szCs w:val="20"/>
              </w:rPr>
            </w:pPr>
            <w:r>
              <w:rPr>
                <w:sz w:val="24"/>
                <w:szCs w:val="20"/>
              </w:rPr>
              <mc:AlternateContent>
                <mc:Choice Requires="wpg">
                  <w:drawing>
                    <wp:anchor distT="0" distB="0" distL="114300" distR="114300" simplePos="0" relativeHeight="251673600" behindDoc="0" locked="0" layoutInCell="1" allowOverlap="1">
                      <wp:simplePos x="0" y="0"/>
                      <wp:positionH relativeFrom="column">
                        <wp:posOffset>3190875</wp:posOffset>
                      </wp:positionH>
                      <wp:positionV relativeFrom="paragraph">
                        <wp:posOffset>5080</wp:posOffset>
                      </wp:positionV>
                      <wp:extent cx="977900" cy="1976755"/>
                      <wp:effectExtent l="3175" t="9525" r="0" b="4445"/>
                      <wp:wrapNone/>
                      <wp:docPr id="67" name="Group 1444"/>
                      <wp:cNvGraphicFramePr/>
                      <a:graphic xmlns:a="http://schemas.openxmlformats.org/drawingml/2006/main">
                        <a:graphicData uri="http://schemas.microsoft.com/office/word/2010/wordprocessingGroup">
                          <wpg:wgp>
                            <wpg:cNvGrpSpPr/>
                            <wpg:grpSpPr>
                              <a:xfrm>
                                <a:off x="0" y="0"/>
                                <a:ext cx="977900" cy="1976755"/>
                                <a:chOff x="7003" y="9840"/>
                                <a:chExt cx="1540" cy="1820"/>
                              </a:xfrm>
                            </wpg:grpSpPr>
                            <wps:wsp>
                              <wps:cNvPr id="68" name="Text Box 1445"/>
                              <wps:cNvSpPr txBox="1">
                                <a:spLocks noChangeArrowheads="1"/>
                              </wps:cNvSpPr>
                              <wps:spPr bwMode="auto">
                                <a:xfrm>
                                  <a:off x="7047" y="10212"/>
                                  <a:ext cx="1080" cy="468"/>
                                </a:xfrm>
                                <a:prstGeom prst="rect">
                                  <a:avLst/>
                                </a:prstGeom>
                                <a:solidFill>
                                  <a:srgbClr val="FFFFFF"/>
                                </a:solidFill>
                                <a:ln w="9525">
                                  <a:solidFill>
                                    <a:srgbClr val="000000"/>
                                  </a:solidFill>
                                  <a:miter lim="800000"/>
                                </a:ln>
                              </wps:spPr>
                              <wps:txbx>
                                <w:txbxContent>
                                  <w:p>
                                    <w:pPr>
                                      <w:rPr>
                                        <w:szCs w:val="21"/>
                                      </w:rPr>
                                    </w:pPr>
                                    <w:r>
                                      <w:rPr>
                                        <w:rFonts w:hint="eastAsia"/>
                                        <w:szCs w:val="21"/>
                                      </w:rPr>
                                      <w:t>主体工程</w:t>
                                    </w:r>
                                  </w:p>
                                </w:txbxContent>
                              </wps:txbx>
                              <wps:bodyPr rot="0" vert="horz" wrap="square" lIns="0" tIns="45720" rIns="0" bIns="45720" anchor="t" anchorCtr="0" upright="1">
                                <a:noAutofit/>
                              </wps:bodyPr>
                            </wps:wsp>
                            <wps:wsp>
                              <wps:cNvPr id="69" name="Line 1446"/>
                              <wps:cNvCnPr>
                                <a:cxnSpLocks noChangeShapeType="1"/>
                              </wps:cNvCnPr>
                              <wps:spPr bwMode="auto">
                                <a:xfrm>
                                  <a:off x="7557" y="10684"/>
                                  <a:ext cx="0" cy="312"/>
                                </a:xfrm>
                                <a:prstGeom prst="line">
                                  <a:avLst/>
                                </a:prstGeom>
                                <a:noFill/>
                                <a:ln w="9525">
                                  <a:solidFill>
                                    <a:srgbClr val="000000"/>
                                  </a:solidFill>
                                  <a:round/>
                                  <a:tailEnd type="triangle" w="med" len="med"/>
                                </a:ln>
                              </wps:spPr>
                              <wps:bodyPr/>
                            </wps:wsp>
                            <wps:wsp>
                              <wps:cNvPr id="70" name="Text Box 1447"/>
                              <wps:cNvSpPr txBox="1">
                                <a:spLocks noChangeArrowheads="1"/>
                              </wps:cNvSpPr>
                              <wps:spPr bwMode="auto">
                                <a:xfrm>
                                  <a:off x="7003" y="11011"/>
                                  <a:ext cx="1540" cy="649"/>
                                </a:xfrm>
                                <a:prstGeom prst="rect">
                                  <a:avLst/>
                                </a:prstGeom>
                                <a:solidFill>
                                  <a:srgbClr val="FFFFFF"/>
                                </a:solidFill>
                                <a:ln>
                                  <a:noFill/>
                                </a:ln>
                              </wps:spPr>
                              <wps:txbx>
                                <w:txbxContent>
                                  <w:p>
                                    <w:pPr>
                                      <w:rPr>
                                        <w:szCs w:val="21"/>
                                        <w:u w:val="wave"/>
                                      </w:rPr>
                                    </w:pPr>
                                    <w:r>
                                      <w:rPr>
                                        <w:rFonts w:hint="eastAsia"/>
                                        <w:szCs w:val="21"/>
                                        <w:u w:val="wave"/>
                                      </w:rPr>
                                      <w:t>生活垃圾、生活污水</w:t>
                                    </w:r>
                                  </w:p>
                                </w:txbxContent>
                              </wps:txbx>
                              <wps:bodyPr rot="0" vert="horz" wrap="square" lIns="0" tIns="0" rIns="0" bIns="0" anchor="t" anchorCtr="0" upright="1">
                                <a:noAutofit/>
                              </wps:bodyPr>
                            </wps:wsp>
                            <wps:wsp>
                              <wps:cNvPr id="71" name="Line 1448"/>
                              <wps:cNvCnPr>
                                <a:cxnSpLocks noChangeShapeType="1"/>
                              </wps:cNvCnPr>
                              <wps:spPr bwMode="auto">
                                <a:xfrm>
                                  <a:off x="7507" y="9840"/>
                                  <a:ext cx="0" cy="357"/>
                                </a:xfrm>
                                <a:prstGeom prst="line">
                                  <a:avLst/>
                                </a:prstGeom>
                                <a:noFill/>
                                <a:ln w="9525">
                                  <a:solidFill>
                                    <a:srgbClr val="000000"/>
                                  </a:solidFill>
                                  <a:round/>
                                  <a:tailEnd type="triangle" w="med" len="med"/>
                                </a:ln>
                              </wps:spPr>
                              <wps:bodyPr/>
                            </wps:wsp>
                          </wpg:wgp>
                        </a:graphicData>
                      </a:graphic>
                    </wp:anchor>
                  </w:drawing>
                </mc:Choice>
                <mc:Fallback>
                  <w:pict>
                    <v:group id="Group 1444" o:spid="_x0000_s1026" o:spt="203" style="position:absolute;left:0pt;margin-left:251.25pt;margin-top:0.4pt;height:155.65pt;width:77pt;z-index:251673600;mso-width-relative:page;mso-height-relative:page;" coordorigin="7003,9840" coordsize="1540,1820" o:gfxdata="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CR68q7XAAAACAEAAA8AAAAAAAAAAQAgAAAA&#10;IgAAAGRycy9kb3ducmV2LnhtbFBLAQIUABQAAAAIAIdO4kCUDy+pYgMAAKcLAAAOAAAAAAAAAAEA&#10;IAAAACYBAABkcnMvZTJvRG9jLnhtbFBLBQYAAAAABgAGAFkBAAD6BgAAAAA=&#10;">
                      <o:lock v:ext="edit" aspectratio="f"/>
                      <v:shape id="Text Box 1445" o:spid="_x0000_s1026" o:spt="202" type="#_x0000_t202" style="position:absolute;left:7047;top:10212;height:468;width:1080;" fillcolor="#FFFFFF" filled="t" stroked="t" coordsize="21600,21600" o:gfxdata="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FjM7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1.27mm,0mm,1.27mm">
                          <w:txbxContent>
                            <w:p>
                              <w:pPr>
                                <w:rPr>
                                  <w:szCs w:val="21"/>
                                </w:rPr>
                              </w:pPr>
                              <w:r>
                                <w:rPr>
                                  <w:rFonts w:hint="eastAsia"/>
                                  <w:szCs w:val="21"/>
                                </w:rPr>
                                <w:t>主体工程</w:t>
                              </w:r>
                            </w:p>
                          </w:txbxContent>
                        </v:textbox>
                      </v:shape>
                      <v:line id="Line 1446" o:spid="_x0000_s1026" o:spt="20" style="position:absolute;left:7557;top:10684;height:312;width:0;" filled="f" stroked="t" coordsize="21600,21600" o:gfxdata="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UmS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1447" o:spid="_x0000_s1026" o:spt="202" type="#_x0000_t202" style="position:absolute;left:7003;top:11011;height:649;width:1540;" fillcolor="#FFFFFF" filled="t" stroked="f" coordsize="21600,21600" o:gfxdata="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zmLxtwAAANsAAAAP&#10;AAAAAAAAAAEAIAAAACIAAABkcnMvZG93bnJldi54bWxQSwECFAAUAAAACACHTuJAMy8FnjsAAAA5&#10;AAAAEAAAAAAAAAABACAAAAAGAQAAZHJzL3NoYXBleG1sLnhtbFBLBQYAAAAABgAGAFsBAACwAwAA&#10;AAA=&#10;">
                        <v:fill on="t" focussize="0,0"/>
                        <v:stroke on="f"/>
                        <v:imagedata o:title=""/>
                        <o:lock v:ext="edit" aspectratio="f"/>
                        <v:textbox inset="0mm,0mm,0mm,0mm">
                          <w:txbxContent>
                            <w:p>
                              <w:pPr>
                                <w:rPr>
                                  <w:szCs w:val="21"/>
                                  <w:u w:val="wave"/>
                                </w:rPr>
                              </w:pPr>
                              <w:r>
                                <w:rPr>
                                  <w:rFonts w:hint="eastAsia"/>
                                  <w:szCs w:val="21"/>
                                  <w:u w:val="wave"/>
                                </w:rPr>
                                <w:t>生活垃圾、生活污水</w:t>
                              </w:r>
                            </w:p>
                          </w:txbxContent>
                        </v:textbox>
                      </v:shape>
                      <v:line id="Line 1448" o:spid="_x0000_s1026" o:spt="20" style="position:absolute;left:7507;top:9840;height:357;width:0;" filled="f" stroked="t" coordsize="21600,21600" o:gfxdata="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q8k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r>
              <w:rPr>
                <w:sz w:val="24"/>
                <w:szCs w:val="20"/>
              </w:rPr>
              <mc:AlternateContent>
                <mc:Choice Requires="wpg">
                  <w:drawing>
                    <wp:anchor distT="0" distB="0" distL="114300" distR="114300" simplePos="0" relativeHeight="251674624" behindDoc="0" locked="0" layoutInCell="1" allowOverlap="1">
                      <wp:simplePos x="0" y="0"/>
                      <wp:positionH relativeFrom="column">
                        <wp:posOffset>2120265</wp:posOffset>
                      </wp:positionH>
                      <wp:positionV relativeFrom="paragraph">
                        <wp:posOffset>96520</wp:posOffset>
                      </wp:positionV>
                      <wp:extent cx="908685" cy="2162175"/>
                      <wp:effectExtent l="0" t="5715" r="0" b="3810"/>
                      <wp:wrapNone/>
                      <wp:docPr id="62" name="Group 1449"/>
                      <wp:cNvGraphicFramePr/>
                      <a:graphic xmlns:a="http://schemas.openxmlformats.org/drawingml/2006/main">
                        <a:graphicData uri="http://schemas.microsoft.com/office/word/2010/wordprocessingGroup">
                          <wpg:wgp>
                            <wpg:cNvGrpSpPr/>
                            <wpg:grpSpPr>
                              <a:xfrm>
                                <a:off x="0" y="0"/>
                                <a:ext cx="908685" cy="2162175"/>
                                <a:chOff x="5367" y="9817"/>
                                <a:chExt cx="1210" cy="2563"/>
                              </a:xfrm>
                            </wpg:grpSpPr>
                            <wps:wsp>
                              <wps:cNvPr id="63" name="Text Box 1450"/>
                              <wps:cNvSpPr txBox="1">
                                <a:spLocks noChangeArrowheads="1"/>
                              </wps:cNvSpPr>
                              <wps:spPr bwMode="auto">
                                <a:xfrm>
                                  <a:off x="5482" y="10212"/>
                                  <a:ext cx="1080" cy="468"/>
                                </a:xfrm>
                                <a:prstGeom prst="rect">
                                  <a:avLst/>
                                </a:prstGeom>
                                <a:solidFill>
                                  <a:srgbClr val="FFFFFF"/>
                                </a:solidFill>
                                <a:ln w="9525">
                                  <a:solidFill>
                                    <a:srgbClr val="000000"/>
                                  </a:solidFill>
                                  <a:miter lim="800000"/>
                                </a:ln>
                              </wps:spPr>
                              <wps:txbx>
                                <w:txbxContent>
                                  <w:p>
                                    <w:pPr>
                                      <w:rPr>
                                        <w:szCs w:val="21"/>
                                      </w:rPr>
                                    </w:pPr>
                                    <w:r>
                                      <w:rPr>
                                        <w:rFonts w:hint="eastAsia"/>
                                        <w:szCs w:val="21"/>
                                      </w:rPr>
                                      <w:t>基础工程</w:t>
                                    </w:r>
                                  </w:p>
                                </w:txbxContent>
                              </wps:txbx>
                              <wps:bodyPr rot="0" vert="horz" wrap="square" lIns="0" tIns="45720" rIns="0" bIns="45720" anchor="t" anchorCtr="0" upright="1">
                                <a:noAutofit/>
                              </wps:bodyPr>
                            </wps:wsp>
                            <wps:wsp>
                              <wps:cNvPr id="64" name="Line 1451"/>
                              <wps:cNvCnPr>
                                <a:cxnSpLocks noChangeShapeType="1"/>
                              </wps:cNvCnPr>
                              <wps:spPr bwMode="auto">
                                <a:xfrm>
                                  <a:off x="5975" y="10676"/>
                                  <a:ext cx="0" cy="312"/>
                                </a:xfrm>
                                <a:prstGeom prst="line">
                                  <a:avLst/>
                                </a:prstGeom>
                                <a:noFill/>
                                <a:ln w="9525">
                                  <a:solidFill>
                                    <a:srgbClr val="000000"/>
                                  </a:solidFill>
                                  <a:prstDash val="dash"/>
                                  <a:round/>
                                  <a:tailEnd type="triangle" w="med" len="med"/>
                                </a:ln>
                              </wps:spPr>
                              <wps:bodyPr/>
                            </wps:wsp>
                            <wps:wsp>
                              <wps:cNvPr id="65" name="Line 1452"/>
                              <wps:cNvCnPr>
                                <a:cxnSpLocks noChangeShapeType="1"/>
                              </wps:cNvCnPr>
                              <wps:spPr bwMode="auto">
                                <a:xfrm>
                                  <a:off x="5967" y="9817"/>
                                  <a:ext cx="0" cy="357"/>
                                </a:xfrm>
                                <a:prstGeom prst="line">
                                  <a:avLst/>
                                </a:prstGeom>
                                <a:noFill/>
                                <a:ln w="9525">
                                  <a:solidFill>
                                    <a:srgbClr val="000000"/>
                                  </a:solidFill>
                                  <a:round/>
                                  <a:tailEnd type="triangle" w="med" len="med"/>
                                </a:ln>
                              </wps:spPr>
                              <wps:bodyPr/>
                            </wps:wsp>
                            <wps:wsp>
                              <wps:cNvPr id="66" name="Text Box 1453"/>
                              <wps:cNvSpPr txBox="1">
                                <a:spLocks noChangeArrowheads="1"/>
                              </wps:cNvSpPr>
                              <wps:spPr bwMode="auto">
                                <a:xfrm>
                                  <a:off x="5367" y="11056"/>
                                  <a:ext cx="1210" cy="1324"/>
                                </a:xfrm>
                                <a:prstGeom prst="rect">
                                  <a:avLst/>
                                </a:prstGeom>
                                <a:solidFill>
                                  <a:srgbClr val="FFFFFF"/>
                                </a:solidFill>
                                <a:ln>
                                  <a:noFill/>
                                </a:ln>
                              </wps:spPr>
                              <wps:txbx>
                                <w:txbxContent>
                                  <w:p>
                                    <w:pPr>
                                      <w:rPr>
                                        <w:szCs w:val="21"/>
                                      </w:rPr>
                                    </w:pPr>
                                    <w:r>
                                      <w:rPr>
                                        <w:rFonts w:hint="eastAsia"/>
                                        <w:szCs w:val="21"/>
                                        <w:u w:val="wave"/>
                                      </w:rPr>
                                      <w:t>扬尘、生活垃圾、施工垃圾、生活污水、施工废</w:t>
                                    </w:r>
                                    <w:r>
                                      <w:rPr>
                                        <w:rFonts w:hint="eastAsia"/>
                                        <w:szCs w:val="21"/>
                                      </w:rPr>
                                      <w:t>水</w:t>
                                    </w:r>
                                  </w:p>
                                </w:txbxContent>
                              </wps:txbx>
                              <wps:bodyPr rot="0" vert="horz" wrap="square" lIns="0" tIns="0" rIns="0" bIns="0" anchor="t" anchorCtr="0" upright="1">
                                <a:noAutofit/>
                              </wps:bodyPr>
                            </wps:wsp>
                          </wpg:wgp>
                        </a:graphicData>
                      </a:graphic>
                    </wp:anchor>
                  </w:drawing>
                </mc:Choice>
                <mc:Fallback>
                  <w:pict>
                    <v:group id="Group 1449" o:spid="_x0000_s1026" o:spt="203" style="position:absolute;left:0pt;margin-left:166.95pt;margin-top:7.6pt;height:170.25pt;width:71.55pt;z-index:251674624;mso-width-relative:page;mso-height-relative:page;" coordorigin="5367,9817" coordsize="1210,2563" o:gfxdata="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">
                      <o:lock v:ext="edit" aspectratio="f"/>
                      <v:shape id="Text Box 1450" o:spid="_x0000_s1026" o:spt="202" type="#_x0000_t202" style="position:absolute;left:5482;top:10212;height:468;width:1080;" fillcolor="#FFFFFF" filled="t" stroked="t" coordsize="21600,21600" o:gfxdata="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l8UK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1.27mm,0mm,1.27mm">
                          <w:txbxContent>
                            <w:p>
                              <w:pPr>
                                <w:rPr>
                                  <w:szCs w:val="21"/>
                                </w:rPr>
                              </w:pPr>
                              <w:r>
                                <w:rPr>
                                  <w:rFonts w:hint="eastAsia"/>
                                  <w:szCs w:val="21"/>
                                </w:rPr>
                                <w:t>基础工程</w:t>
                              </w:r>
                            </w:p>
                          </w:txbxContent>
                        </v:textbox>
                      </v:shape>
                      <v:line id="Line 1451" o:spid="_x0000_s1026" o:spt="20" style="position:absolute;left:5975;top:10676;height:312;width:0;" filled="f" stroked="t" coordsize="21600,21600" o:gfxdata="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r2D74A&#10;AADb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line>
                      <v:line id="Line 1452" o:spid="_x0000_s1026" o:spt="20" style="position:absolute;left:5967;top:9817;height:357;width:0;" filled="f" stroked="t" coordsize="21600,21600" o:gfxdata="UEsDBAoAAAAAAIdO4kAAAAAAAAAAAAAAAAAEAAAAZHJzL1BLAwQUAAAACACHTuJAIdgsTr8AAADb&#10;AAAADwAAAGRycy9kb3ducmV2LnhtbEWPT2vCQBTE74LfYXmCN92kUA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YLE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453" o:spid="_x0000_s1026" o:spt="202" type="#_x0000_t202" style="position:absolute;left:5367;top:11056;height:1324;width:1210;" fillcolor="#FFFFFF" filled="t" stroked="f" coordsize="21600,21600" o:gfxdata="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yycO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szCs w:val="21"/>
                                </w:rPr>
                              </w:pPr>
                              <w:r>
                                <w:rPr>
                                  <w:rFonts w:hint="eastAsia"/>
                                  <w:szCs w:val="21"/>
                                  <w:u w:val="wave"/>
                                </w:rPr>
                                <w:t>扬尘、生活垃圾、施工垃圾、生活污水、施工废</w:t>
                              </w:r>
                              <w:r>
                                <w:rPr>
                                  <w:rFonts w:hint="eastAsia"/>
                                  <w:szCs w:val="21"/>
                                </w:rPr>
                                <w:t>水</w:t>
                              </w:r>
                            </w:p>
                          </w:txbxContent>
                        </v:textbox>
                      </v:shape>
                    </v:group>
                  </w:pict>
                </mc:Fallback>
              </mc:AlternateContent>
            </w:r>
            <w:r>
              <w:rPr>
                <w:sz w:val="24"/>
                <w:szCs w:val="20"/>
              </w:rPr>
              <mc:AlternateContent>
                <mc:Choice Requires="wps">
                  <w:drawing>
                    <wp:anchor distT="0" distB="0" distL="114300" distR="114300" simplePos="0" relativeHeight="251679744" behindDoc="0" locked="0" layoutInCell="1" allowOverlap="1">
                      <wp:simplePos x="0" y="0"/>
                      <wp:positionH relativeFrom="column">
                        <wp:posOffset>4682490</wp:posOffset>
                      </wp:positionH>
                      <wp:positionV relativeFrom="paragraph">
                        <wp:posOffset>75565</wp:posOffset>
                      </wp:positionV>
                      <wp:extent cx="11430" cy="304800"/>
                      <wp:effectExtent l="46990" t="13335" r="55880" b="24765"/>
                      <wp:wrapNone/>
                      <wp:docPr id="61" name="Line 1466"/>
                      <wp:cNvGraphicFramePr/>
                      <a:graphic xmlns:a="http://schemas.openxmlformats.org/drawingml/2006/main">
                        <a:graphicData uri="http://schemas.microsoft.com/office/word/2010/wordprocessingShape">
                          <wps:wsp>
                            <wps:cNvCnPr>
                              <a:cxnSpLocks noChangeShapeType="1"/>
                            </wps:cNvCnPr>
                            <wps:spPr bwMode="auto">
                              <a:xfrm>
                                <a:off x="0" y="0"/>
                                <a:ext cx="11430" cy="304800"/>
                              </a:xfrm>
                              <a:prstGeom prst="line">
                                <a:avLst/>
                              </a:prstGeom>
                              <a:noFill/>
                              <a:ln w="9525">
                                <a:solidFill>
                                  <a:srgbClr val="000000"/>
                                </a:solidFill>
                                <a:round/>
                                <a:tailEnd type="triangle" w="med" len="med"/>
                              </a:ln>
                            </wps:spPr>
                            <wps:bodyPr/>
                          </wps:wsp>
                        </a:graphicData>
                      </a:graphic>
                    </wp:anchor>
                  </w:drawing>
                </mc:Choice>
                <mc:Fallback>
                  <w:pict>
                    <v:line id="Line 1466" o:spid="_x0000_s1026" o:spt="20" style="position:absolute;left:0pt;margin-left:368.7pt;margin-top:5.95pt;height:24pt;width:0.9pt;z-index:251679744;mso-width-relative:page;mso-height-relative:page;" filled="f" stroked="t" coordsize="21600,21600" o:gfxdata="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rhpgNsAAAAJAQAADwAAAAAAAAABACAA&#10;AAAiAAAAZHJzL2Rvd25yZXYueG1sUEsBAhQAFAAAAAgAh07iQNZWqmPRAQAAhgMAAA4AAAAAAAAA&#10;AQAgAAAAKgEAAGRycy9lMm9Eb2MueG1sUEsFBgAAAAAGAAYAWQEAAG0FAAAAAA==&#10;">
                      <v:fill on="f" focussize="0,0"/>
                      <v:stroke color="#000000" joinstyle="round" endarrow="block"/>
                      <v:imagedata o:title=""/>
                      <o:lock v:ext="edit" aspectratio="f"/>
                    </v:line>
                  </w:pict>
                </mc:Fallback>
              </mc:AlternateContent>
            </w:r>
            <w:r>
              <w:rPr>
                <w:sz w:val="28"/>
                <w:szCs w:val="28"/>
              </w:rPr>
              <mc:AlternateContent>
                <mc:Choice Requires="wpg">
                  <w:drawing>
                    <wp:anchor distT="0" distB="0" distL="114300" distR="114300" simplePos="0" relativeHeight="251676672" behindDoc="0" locked="0" layoutInCell="1" allowOverlap="1">
                      <wp:simplePos x="0" y="0"/>
                      <wp:positionH relativeFrom="column">
                        <wp:posOffset>1130300</wp:posOffset>
                      </wp:positionH>
                      <wp:positionV relativeFrom="paragraph">
                        <wp:posOffset>64770</wp:posOffset>
                      </wp:positionV>
                      <wp:extent cx="768350" cy="1627505"/>
                      <wp:effectExtent l="0" t="12065" r="3175" b="0"/>
                      <wp:wrapNone/>
                      <wp:docPr id="51" name="Group 1459"/>
                      <wp:cNvGraphicFramePr/>
                      <a:graphic xmlns:a="http://schemas.openxmlformats.org/drawingml/2006/main">
                        <a:graphicData uri="http://schemas.microsoft.com/office/word/2010/wordprocessingGroup">
                          <wpg:wgp>
                            <wpg:cNvGrpSpPr/>
                            <wpg:grpSpPr>
                              <a:xfrm>
                                <a:off x="0" y="0"/>
                                <a:ext cx="768350" cy="1627505"/>
                                <a:chOff x="5367" y="9817"/>
                                <a:chExt cx="1210" cy="2563"/>
                              </a:xfrm>
                            </wpg:grpSpPr>
                            <wps:wsp>
                              <wps:cNvPr id="52" name="Text Box 1460"/>
                              <wps:cNvSpPr txBox="1">
                                <a:spLocks noChangeArrowheads="1"/>
                              </wps:cNvSpPr>
                              <wps:spPr bwMode="auto">
                                <a:xfrm>
                                  <a:off x="5482" y="10212"/>
                                  <a:ext cx="1080" cy="468"/>
                                </a:xfrm>
                                <a:prstGeom prst="rect">
                                  <a:avLst/>
                                </a:prstGeom>
                                <a:solidFill>
                                  <a:srgbClr val="FFFFFF"/>
                                </a:solidFill>
                                <a:ln w="9525">
                                  <a:solidFill>
                                    <a:srgbClr val="000000"/>
                                  </a:solidFill>
                                  <a:miter lim="800000"/>
                                </a:ln>
                              </wps:spPr>
                              <wps:txbx>
                                <w:txbxContent>
                                  <w:p>
                                    <w:r>
                                      <w:rPr>
                                        <w:rFonts w:hint="eastAsia"/>
                                        <w:szCs w:val="21"/>
                                      </w:rPr>
                                      <w:t>土石方开</w:t>
                                    </w:r>
                                    <w:r>
                                      <w:rPr>
                                        <w:rFonts w:hint="eastAsia"/>
                                      </w:rPr>
                                      <w:t>挖</w:t>
                                    </w:r>
                                  </w:p>
                                </w:txbxContent>
                              </wps:txbx>
                              <wps:bodyPr rot="0" vert="horz" wrap="square" lIns="0" tIns="45720" rIns="0" bIns="45720" anchor="t" anchorCtr="0" upright="1">
                                <a:noAutofit/>
                              </wps:bodyPr>
                            </wps:wsp>
                            <wps:wsp>
                              <wps:cNvPr id="53" name="Line 1461"/>
                              <wps:cNvCnPr>
                                <a:cxnSpLocks noChangeShapeType="1"/>
                              </wps:cNvCnPr>
                              <wps:spPr bwMode="auto">
                                <a:xfrm>
                                  <a:off x="5975" y="10676"/>
                                  <a:ext cx="0" cy="312"/>
                                </a:xfrm>
                                <a:prstGeom prst="line">
                                  <a:avLst/>
                                </a:prstGeom>
                                <a:noFill/>
                                <a:ln w="9525">
                                  <a:solidFill>
                                    <a:srgbClr val="000000"/>
                                  </a:solidFill>
                                  <a:prstDash val="dash"/>
                                  <a:round/>
                                  <a:tailEnd type="triangle" w="med" len="med"/>
                                </a:ln>
                              </wps:spPr>
                              <wps:bodyPr/>
                            </wps:wsp>
                            <wps:wsp>
                              <wps:cNvPr id="54" name="Line 1462"/>
                              <wps:cNvCnPr>
                                <a:cxnSpLocks noChangeShapeType="1"/>
                              </wps:cNvCnPr>
                              <wps:spPr bwMode="auto">
                                <a:xfrm>
                                  <a:off x="5967" y="9817"/>
                                  <a:ext cx="0" cy="357"/>
                                </a:xfrm>
                                <a:prstGeom prst="line">
                                  <a:avLst/>
                                </a:prstGeom>
                                <a:noFill/>
                                <a:ln w="9525">
                                  <a:solidFill>
                                    <a:srgbClr val="000000"/>
                                  </a:solidFill>
                                  <a:round/>
                                  <a:tailEnd type="triangle" w="med" len="med"/>
                                </a:ln>
                              </wps:spPr>
                              <wps:bodyPr/>
                            </wps:wsp>
                            <wps:wsp>
                              <wps:cNvPr id="55" name="Text Box 1463"/>
                              <wps:cNvSpPr txBox="1">
                                <a:spLocks noChangeArrowheads="1"/>
                              </wps:cNvSpPr>
                              <wps:spPr bwMode="auto">
                                <a:xfrm>
                                  <a:off x="5367" y="11056"/>
                                  <a:ext cx="1210" cy="1324"/>
                                </a:xfrm>
                                <a:prstGeom prst="rect">
                                  <a:avLst/>
                                </a:prstGeom>
                                <a:solidFill>
                                  <a:srgbClr val="FFFFFF"/>
                                </a:solidFill>
                                <a:ln>
                                  <a:noFill/>
                                </a:ln>
                              </wps:spPr>
                              <wps:txbx>
                                <w:txbxContent>
                                  <w:p>
                                    <w:r>
                                      <w:rPr>
                                        <w:rFonts w:hint="eastAsia"/>
                                        <w:szCs w:val="21"/>
                                        <w:u w:val="wave"/>
                                      </w:rPr>
                                      <w:t>扬尘、生活垃圾、废弃土石方、生活污水</w:t>
                                    </w:r>
                                  </w:p>
                                </w:txbxContent>
                              </wps:txbx>
                              <wps:bodyPr rot="0" vert="horz" wrap="square" lIns="0" tIns="0" rIns="0" bIns="0" anchor="t" anchorCtr="0" upright="1">
                                <a:noAutofit/>
                              </wps:bodyPr>
                            </wps:wsp>
                          </wpg:wgp>
                        </a:graphicData>
                      </a:graphic>
                    </wp:anchor>
                  </w:drawing>
                </mc:Choice>
                <mc:Fallback>
                  <w:pict>
                    <v:group id="Group 1459" o:spid="_x0000_s1026" o:spt="203" style="position:absolute;left:0pt;margin-left:89pt;margin-top:5.1pt;height:128.15pt;width:60.5pt;z-index:251676672;mso-width-relative:page;mso-height-relative:page;" coordorigin="5367,9817" coordsize="1210,2563" o:gfxdata="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AAAAAGRycy9QSwECFAAUAAAACACHTuJAKdisvNgAAAAKAQAADwAAAAAA&#10;AAABACAAAAAiAAAAZHJzL2Rvd25yZXYueG1sUEsBAhQAFAAAAAgAh07iQB55fxtpAwAAwAsAAA4A&#10;AAAAAAAAAQAgAAAAJwEAAGRycy9lMm9Eb2MueG1sUEsFBgAAAAAGAAYAWQEAAAIHAAAAAA==&#10;">
                      <o:lock v:ext="edit" aspectratio="f"/>
                      <v:shape id="Text Box 1460" o:spid="_x0000_s1026" o:spt="202" type="#_x0000_t202" style="position:absolute;left:5482;top:10212;height:468;width:1080;" fillcolor="#FFFFFF" filled="t" stroked="t" coordsize="21600,21600" o:gfxdata="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FnmS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1.27mm,0mm,1.27mm">
                          <w:txbxContent>
                            <w:p>
                              <w:r>
                                <w:rPr>
                                  <w:rFonts w:hint="eastAsia"/>
                                  <w:szCs w:val="21"/>
                                </w:rPr>
                                <w:t>土石方开</w:t>
                              </w:r>
                              <w:r>
                                <w:rPr>
                                  <w:rFonts w:hint="eastAsia"/>
                                </w:rPr>
                                <w:t>挖</w:t>
                              </w:r>
                            </w:p>
                          </w:txbxContent>
                        </v:textbox>
                      </v:shape>
                      <v:line id="Line 1461" o:spid="_x0000_s1026" o:spt="20" style="position:absolute;left:5975;top:10676;height:312;width:0;" filled="f" stroked="t" coordsize="21600,21600" o:gfxdata="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kxr4A&#10;AADb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line>
                      <v:line id="Line 1462" o:spid="_x0000_s1026" o:spt="20" style="position:absolute;left:5967;top:9817;height:357;width:0;" filled="f" stroked="t" coordsize="21600,21600" o:gfxdata="UEsDBAoAAAAAAIdO4kAAAAAAAAAAAAAAAAAEAAAAZHJzL1BLAwQUAAAACACHTuJAgPhDaL8AAADb&#10;AAAADwAAAGRycy9kb3ducmV2LnhtbEWPT2vCQBTE7wW/w/KE3uom0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4Q2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463" o:spid="_x0000_s1026" o:spt="202" type="#_x0000_t202" style="position:absolute;left:5367;top:11056;height:1324;width:1210;" fillcolor="#FFFFFF" filled="t" stroked="f" coordsize="21600,21600" o:gfxdata="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ydCb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r>
                                <w:rPr>
                                  <w:rFonts w:hint="eastAsia"/>
                                  <w:szCs w:val="21"/>
                                  <w:u w:val="wave"/>
                                </w:rPr>
                                <w:t>扬尘、生活垃圾、废弃土石方、生活污水</w:t>
                              </w:r>
                            </w:p>
                          </w:txbxContent>
                        </v:textbox>
                      </v:shape>
                    </v:group>
                  </w:pict>
                </mc:Fallback>
              </mc:AlternateContent>
            </w:r>
          </w:p>
          <w:p>
            <w:pPr>
              <w:spacing w:line="500" w:lineRule="exact"/>
              <w:ind w:firstLine="560" w:firstLineChars="200"/>
              <w:rPr>
                <w:sz w:val="24"/>
                <w:szCs w:val="20"/>
              </w:rPr>
            </w:pPr>
            <w:r>
              <w:rPr>
                <w:sz w:val="28"/>
                <w:szCs w:val="28"/>
              </w:rPr>
              <mc:AlternateContent>
                <mc:Choice Requires="wps">
                  <w:drawing>
                    <wp:anchor distT="0" distB="0" distL="114300" distR="114300" simplePos="0" relativeHeight="251670528" behindDoc="0" locked="0" layoutInCell="1" allowOverlap="1">
                      <wp:simplePos x="0" y="0"/>
                      <wp:positionH relativeFrom="column">
                        <wp:posOffset>4251325</wp:posOffset>
                      </wp:positionH>
                      <wp:positionV relativeFrom="paragraph">
                        <wp:posOffset>40640</wp:posOffset>
                      </wp:positionV>
                      <wp:extent cx="840740" cy="297180"/>
                      <wp:effectExtent l="6350" t="10160" r="10160" b="6985"/>
                      <wp:wrapNone/>
                      <wp:docPr id="50" name="Text Box 1441"/>
                      <wp:cNvGraphicFramePr/>
                      <a:graphic xmlns:a="http://schemas.openxmlformats.org/drawingml/2006/main">
                        <a:graphicData uri="http://schemas.microsoft.com/office/word/2010/wordprocessingShape">
                          <wps:wsp>
                            <wps:cNvSpPr txBox="1">
                              <a:spLocks noChangeArrowheads="1"/>
                            </wps:cNvSpPr>
                            <wps:spPr bwMode="auto">
                              <a:xfrm>
                                <a:off x="0" y="0"/>
                                <a:ext cx="840740" cy="297180"/>
                              </a:xfrm>
                              <a:prstGeom prst="rect">
                                <a:avLst/>
                              </a:prstGeom>
                              <a:solidFill>
                                <a:srgbClr val="FFFFFF"/>
                              </a:solidFill>
                              <a:ln w="9525">
                                <a:solidFill>
                                  <a:srgbClr val="000000"/>
                                </a:solidFill>
                                <a:miter lim="800000"/>
                              </a:ln>
                            </wps:spPr>
                            <wps:txbx>
                              <w:txbxContent>
                                <w:p>
                                  <w:r>
                                    <w:rPr>
                                      <w:rFonts w:hint="eastAsia"/>
                                      <w:szCs w:val="21"/>
                                    </w:rPr>
                                    <w:t>设备安装调试</w:t>
                                  </w:r>
                                </w:p>
                              </w:txbxContent>
                            </wps:txbx>
                            <wps:bodyPr rot="0" vert="horz" wrap="square" lIns="0" tIns="45720" rIns="0" bIns="45720" anchor="t" anchorCtr="0" upright="1">
                              <a:noAutofit/>
                            </wps:bodyPr>
                          </wps:wsp>
                        </a:graphicData>
                      </a:graphic>
                    </wp:anchor>
                  </w:drawing>
                </mc:Choice>
                <mc:Fallback>
                  <w:pict>
                    <v:shape id="Text Box 1441" o:spid="_x0000_s1026" o:spt="202" type="#_x0000_t202" style="position:absolute;left:0pt;margin-left:334.75pt;margin-top:3.2pt;height:23.4pt;width:66.2pt;z-index:251670528;mso-width-relative:page;mso-height-relative:page;" fillcolor="#FFFFFF" filled="t" stroked="t" coordsize="21600,21600" o:gfxdata="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x/9b2QAAAAgBAAAPAAAA&#10;AAAAAAEAIAAAACIAAABkcnMvZG93bnJldi54bWxQSwECFAAUAAAACACHTuJAZieCYRQCAAAzBAAA&#10;DgAAAAAAAAABACAAAAAoAQAAZHJzL2Uyb0RvYy54bWxQSwUGAAAAAAYABgBZAQAArgUAAAAA&#10;">
                      <v:fill on="t" focussize="0,0"/>
                      <v:stroke color="#000000" miterlimit="8" joinstyle="miter"/>
                      <v:imagedata o:title=""/>
                      <o:lock v:ext="edit" aspectratio="f"/>
                      <v:textbox inset="0mm,1.27mm,0mm,1.27mm">
                        <w:txbxContent>
                          <w:p>
                            <w:r>
                              <w:rPr>
                                <w:rFonts w:hint="eastAsia"/>
                                <w:szCs w:val="21"/>
                              </w:rPr>
                              <w:t>设备安装调试</w:t>
                            </w:r>
                          </w:p>
                        </w:txbxContent>
                      </v:textbox>
                    </v:shape>
                  </w:pict>
                </mc:Fallback>
              </mc:AlternateContent>
            </w:r>
            <w:r>
              <w:rPr>
                <w:sz w:val="28"/>
                <w:szCs w:val="28"/>
              </w:rPr>
              <mc:AlternateContent>
                <mc:Choice Requires="wps">
                  <w:drawing>
                    <wp:anchor distT="0" distB="0" distL="114300" distR="114300" simplePos="0" relativeHeight="251677696" behindDoc="0" locked="0" layoutInCell="1" allowOverlap="1">
                      <wp:simplePos x="0" y="0"/>
                      <wp:positionH relativeFrom="column">
                        <wp:posOffset>1894205</wp:posOffset>
                      </wp:positionH>
                      <wp:positionV relativeFrom="paragraph">
                        <wp:posOffset>170180</wp:posOffset>
                      </wp:positionV>
                      <wp:extent cx="315595" cy="3810"/>
                      <wp:effectExtent l="11430" t="53975" r="15875" b="56515"/>
                      <wp:wrapNone/>
                      <wp:docPr id="48" name="Line 1464"/>
                      <wp:cNvGraphicFramePr/>
                      <a:graphic xmlns:a="http://schemas.openxmlformats.org/drawingml/2006/main">
                        <a:graphicData uri="http://schemas.microsoft.com/office/word/2010/wordprocessingShape">
                          <wps:wsp>
                            <wps:cNvCnPr>
                              <a:cxnSpLocks noChangeShapeType="1"/>
                            </wps:cNvCnPr>
                            <wps:spPr bwMode="auto">
                              <a:xfrm flipV="1">
                                <a:off x="0" y="0"/>
                                <a:ext cx="315595" cy="3810"/>
                              </a:xfrm>
                              <a:prstGeom prst="line">
                                <a:avLst/>
                              </a:prstGeom>
                              <a:noFill/>
                              <a:ln w="9525">
                                <a:solidFill>
                                  <a:srgbClr val="000000"/>
                                </a:solidFill>
                                <a:round/>
                                <a:tailEnd type="triangle" w="med" len="med"/>
                              </a:ln>
                            </wps:spPr>
                            <wps:bodyPr/>
                          </wps:wsp>
                        </a:graphicData>
                      </a:graphic>
                    </wp:anchor>
                  </w:drawing>
                </mc:Choice>
                <mc:Fallback>
                  <w:pict>
                    <v:line id="Line 1464" o:spid="_x0000_s1026" o:spt="20" style="position:absolute;left:0pt;flip:y;margin-left:149.15pt;margin-top:13.4pt;height:0.3pt;width:24.85pt;z-index:251677696;mso-width-relative:page;mso-height-relative:page;" filled="f" stroked="t" coordsize="21600,21600" o:gfxdata="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t45SdoAAAAJAQAADwAAAAAAAAAB&#10;ACAAAAAiAAAAZHJzL2Rvd25yZXYueG1sUEsBAhQAFAAAAAgAh07iQIz5Q9rVAQAAjwMAAA4AAAAA&#10;AAAAAQAgAAAAKQEAAGRycy9lMm9Eb2MueG1sUEsFBgAAAAAGAAYAWQEAAHAFAAAAAA==&#10;">
                      <v:fill on="f" focussize="0,0"/>
                      <v:stroke color="#000000" joinstyle="round" endarrow="block"/>
                      <v:imagedata o:title=""/>
                      <o:lock v:ext="edit" aspectratio="f"/>
                    </v:line>
                  </w:pict>
                </mc:Fallback>
              </mc:AlternateContent>
            </w:r>
            <w:r>
              <w:rPr>
                <w:sz w:val="24"/>
                <w:szCs w:val="20"/>
              </w:rPr>
              <mc:AlternateContent>
                <mc:Choice Requires="wps">
                  <w:drawing>
                    <wp:anchor distT="0" distB="0" distL="114300" distR="114300" simplePos="0" relativeHeight="251669504" behindDoc="0" locked="0" layoutInCell="1" allowOverlap="1">
                      <wp:simplePos x="0" y="0"/>
                      <wp:positionH relativeFrom="column">
                        <wp:posOffset>3908425</wp:posOffset>
                      </wp:positionH>
                      <wp:positionV relativeFrom="paragraph">
                        <wp:posOffset>153035</wp:posOffset>
                      </wp:positionV>
                      <wp:extent cx="339725" cy="3810"/>
                      <wp:effectExtent l="6350" t="55880" r="15875" b="54610"/>
                      <wp:wrapNone/>
                      <wp:docPr id="47" name="Line 1440"/>
                      <wp:cNvGraphicFramePr/>
                      <a:graphic xmlns:a="http://schemas.openxmlformats.org/drawingml/2006/main">
                        <a:graphicData uri="http://schemas.microsoft.com/office/word/2010/wordprocessingShape">
                          <wps:wsp>
                            <wps:cNvCnPr>
                              <a:cxnSpLocks noChangeShapeType="1"/>
                            </wps:cNvCnPr>
                            <wps:spPr bwMode="auto">
                              <a:xfrm flipV="1">
                                <a:off x="0" y="0"/>
                                <a:ext cx="339725" cy="3810"/>
                              </a:xfrm>
                              <a:prstGeom prst="line">
                                <a:avLst/>
                              </a:prstGeom>
                              <a:noFill/>
                              <a:ln w="9525">
                                <a:solidFill>
                                  <a:srgbClr val="000000"/>
                                </a:solidFill>
                                <a:round/>
                                <a:tailEnd type="triangle" w="med" len="med"/>
                              </a:ln>
                            </wps:spPr>
                            <wps:bodyPr/>
                          </wps:wsp>
                        </a:graphicData>
                      </a:graphic>
                    </wp:anchor>
                  </w:drawing>
                </mc:Choice>
                <mc:Fallback>
                  <w:pict>
                    <v:line id="Line 1440" o:spid="_x0000_s1026" o:spt="20" style="position:absolute;left:0pt;flip:y;margin-left:307.75pt;margin-top:12.05pt;height:0.3pt;width:26.75pt;z-index:251669504;mso-width-relative:page;mso-height-relative:page;" filled="f" stroked="t" coordsize="21600,21600" o:gfxdata="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nwK7m2AAAAAkBAAAPAAAAAAAAAAEAIAAA&#10;ACIAAABkcnMvZG93bnJldi54bWxQSwECFAAUAAAACACHTuJAbGkg69MBAACPAwAADgAAAAAAAAAB&#10;ACAAAAAnAQAAZHJzL2Uyb0RvYy54bWxQSwUGAAAAAAYABgBZAQAAbAUAAAAA&#10;">
                      <v:fill on="f" focussize="0,0"/>
                      <v:stroke color="#000000" joinstyle="round" endarrow="block"/>
                      <v:imagedata o:title=""/>
                      <o:lock v:ext="edit" aspectratio="f"/>
                    </v:line>
                  </w:pict>
                </mc:Fallback>
              </mc:AlternateContent>
            </w:r>
            <w:r>
              <w:rPr>
                <w:sz w:val="24"/>
                <w:szCs w:val="20"/>
              </w:rPr>
              <mc:AlternateContent>
                <mc:Choice Requires="wps">
                  <w:drawing>
                    <wp:anchor distT="0" distB="0" distL="114300" distR="114300" simplePos="0" relativeHeight="251668480" behindDoc="0" locked="0" layoutInCell="1" allowOverlap="1">
                      <wp:simplePos x="0" y="0"/>
                      <wp:positionH relativeFrom="column">
                        <wp:posOffset>2889250</wp:posOffset>
                      </wp:positionH>
                      <wp:positionV relativeFrom="paragraph">
                        <wp:posOffset>135255</wp:posOffset>
                      </wp:positionV>
                      <wp:extent cx="315595" cy="3810"/>
                      <wp:effectExtent l="6350" t="57150" r="20955" b="53340"/>
                      <wp:wrapNone/>
                      <wp:docPr id="46" name="Line 1439"/>
                      <wp:cNvGraphicFramePr/>
                      <a:graphic xmlns:a="http://schemas.openxmlformats.org/drawingml/2006/main">
                        <a:graphicData uri="http://schemas.microsoft.com/office/word/2010/wordprocessingShape">
                          <wps:wsp>
                            <wps:cNvCnPr>
                              <a:cxnSpLocks noChangeShapeType="1"/>
                            </wps:cNvCnPr>
                            <wps:spPr bwMode="auto">
                              <a:xfrm flipV="1">
                                <a:off x="0" y="0"/>
                                <a:ext cx="315595" cy="3810"/>
                              </a:xfrm>
                              <a:prstGeom prst="line">
                                <a:avLst/>
                              </a:prstGeom>
                              <a:noFill/>
                              <a:ln w="9525">
                                <a:solidFill>
                                  <a:srgbClr val="000000"/>
                                </a:solidFill>
                                <a:round/>
                                <a:tailEnd type="triangle" w="med" len="med"/>
                              </a:ln>
                            </wps:spPr>
                            <wps:bodyPr/>
                          </wps:wsp>
                        </a:graphicData>
                      </a:graphic>
                    </wp:anchor>
                  </w:drawing>
                </mc:Choice>
                <mc:Fallback>
                  <w:pict>
                    <v:line id="Line 1439" o:spid="_x0000_s1026" o:spt="20" style="position:absolute;left:0pt;flip:y;margin-left:227.5pt;margin-top:10.65pt;height:0.3pt;width:24.85pt;z-index:251668480;mso-width-relative:page;mso-height-relative:page;" filled="f" stroked="t" coordsize="21600,21600" o:gfxdata="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OHZ8/2QAAAAkBAAAPAAAAAAAAAAEA&#10;IAAAACIAAABkcnMvZG93bnJldi54bWxQSwECFAAUAAAACACHTuJAB/tFUdUBAACPAwAADgAAAAAA&#10;AAABACAAAAAoAQAAZHJzL2Uyb0RvYy54bWxQSwUGAAAAAAYABgBZAQAAbwUAAAAA&#10;">
                      <v:fill on="f" focussize="0,0"/>
                      <v:stroke color="#000000" joinstyle="round" endarrow="block"/>
                      <v:imagedata o:title=""/>
                      <o:lock v:ext="edit" aspectratio="f"/>
                    </v:line>
                  </w:pict>
                </mc:Fallback>
              </mc:AlternateContent>
            </w:r>
          </w:p>
          <w:p>
            <w:pPr>
              <w:tabs>
                <w:tab w:val="left" w:pos="3729"/>
              </w:tabs>
              <w:spacing w:line="500" w:lineRule="exact"/>
              <w:rPr>
                <w:sz w:val="24"/>
                <w:szCs w:val="20"/>
              </w:rPr>
            </w:pPr>
            <w:r>
              <w:rPr>
                <w:sz w:val="24"/>
                <w:szCs w:val="20"/>
              </w:rPr>
              <mc:AlternateContent>
                <mc:Choice Requires="wps">
                  <w:drawing>
                    <wp:anchor distT="0" distB="0" distL="114300" distR="114300" simplePos="0" relativeHeight="251672576" behindDoc="0" locked="0" layoutInCell="1" allowOverlap="1">
                      <wp:simplePos x="0" y="0"/>
                      <wp:positionH relativeFrom="column">
                        <wp:posOffset>4253230</wp:posOffset>
                      </wp:positionH>
                      <wp:positionV relativeFrom="paragraph">
                        <wp:posOffset>231140</wp:posOffset>
                      </wp:positionV>
                      <wp:extent cx="840740" cy="686435"/>
                      <wp:effectExtent l="0" t="0" r="0" b="0"/>
                      <wp:wrapNone/>
                      <wp:docPr id="45" name="Text Box 1443"/>
                      <wp:cNvGraphicFramePr/>
                      <a:graphic xmlns:a="http://schemas.openxmlformats.org/drawingml/2006/main">
                        <a:graphicData uri="http://schemas.microsoft.com/office/word/2010/wordprocessingShape">
                          <wps:wsp>
                            <wps:cNvSpPr txBox="1">
                              <a:spLocks noChangeArrowheads="1"/>
                            </wps:cNvSpPr>
                            <wps:spPr bwMode="auto">
                              <a:xfrm>
                                <a:off x="0" y="0"/>
                                <a:ext cx="840740" cy="686435"/>
                              </a:xfrm>
                              <a:prstGeom prst="rect">
                                <a:avLst/>
                              </a:prstGeom>
                              <a:solidFill>
                                <a:srgbClr val="FFFFFF"/>
                              </a:solidFill>
                              <a:ln>
                                <a:noFill/>
                              </a:ln>
                            </wps:spPr>
                            <wps:txbx>
                              <w:txbxContent>
                                <w:p>
                                  <w:pPr>
                                    <w:rPr>
                                      <w:szCs w:val="21"/>
                                      <w:u w:val="wave"/>
                                    </w:rPr>
                                  </w:pPr>
                                  <w:r>
                                    <w:rPr>
                                      <w:rFonts w:hint="eastAsia"/>
                                      <w:szCs w:val="21"/>
                                      <w:u w:val="wave"/>
                                    </w:rPr>
                                    <w:t>生活垃圾、生</w:t>
                                  </w:r>
                                </w:p>
                                <w:p>
                                  <w:pPr>
                                    <w:rPr>
                                      <w:szCs w:val="21"/>
                                      <w:u w:val="wave"/>
                                    </w:rPr>
                                  </w:pPr>
                                  <w:r>
                                    <w:rPr>
                                      <w:rFonts w:hint="eastAsia"/>
                                      <w:szCs w:val="21"/>
                                      <w:u w:val="wave"/>
                                    </w:rPr>
                                    <w:t>活污水</w:t>
                                  </w:r>
                                </w:p>
                              </w:txbxContent>
                            </wps:txbx>
                            <wps:bodyPr rot="0" vert="horz" wrap="square" lIns="0" tIns="0" rIns="0" bIns="0" anchor="t" anchorCtr="0" upright="1">
                              <a:noAutofit/>
                            </wps:bodyPr>
                          </wps:wsp>
                        </a:graphicData>
                      </a:graphic>
                    </wp:anchor>
                  </w:drawing>
                </mc:Choice>
                <mc:Fallback>
                  <w:pict>
                    <v:shape id="Text Box 1443" o:spid="_x0000_s1026" o:spt="202" type="#_x0000_t202" style="position:absolute;left:0pt;margin-left:334.9pt;margin-top:18.2pt;height:54.05pt;width:66.2pt;z-index:251672576;mso-width-relative:page;mso-height-relative:page;" fillcolor="#FFFFFF" filled="t" stroked="f" coordsize="21600,21600" o:gfxdata="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xSDUXYAAAACgEAAA8AAAAAAAAAAQAgAAAAIgAAAGRycy9kb3ducmV2Lnht&#10;bFBLAQIUABQAAAAIAIdO4kAMWNpD+QEAAOIDAAAOAAAAAAAAAAEAIAAAACcBAABkcnMvZTJvRG9j&#10;LnhtbFBLBQYAAAAABgAGAFkBAACSBQAAAAA=&#10;">
                      <v:fill on="t" focussize="0,0"/>
                      <v:stroke on="f"/>
                      <v:imagedata o:title=""/>
                      <o:lock v:ext="edit" aspectratio="f"/>
                      <v:textbox inset="0mm,0mm,0mm,0mm">
                        <w:txbxContent>
                          <w:p>
                            <w:pPr>
                              <w:rPr>
                                <w:szCs w:val="21"/>
                                <w:u w:val="wave"/>
                              </w:rPr>
                            </w:pPr>
                            <w:r>
                              <w:rPr>
                                <w:rFonts w:hint="eastAsia"/>
                                <w:szCs w:val="21"/>
                                <w:u w:val="wave"/>
                              </w:rPr>
                              <w:t>生活垃圾、生</w:t>
                            </w:r>
                          </w:p>
                          <w:p>
                            <w:pPr>
                              <w:rPr>
                                <w:szCs w:val="21"/>
                                <w:u w:val="wave"/>
                              </w:rPr>
                            </w:pPr>
                            <w:r>
                              <w:rPr>
                                <w:rFonts w:hint="eastAsia"/>
                                <w:szCs w:val="21"/>
                                <w:u w:val="wave"/>
                              </w:rPr>
                              <w:t>活污水</w:t>
                            </w:r>
                          </w:p>
                        </w:txbxContent>
                      </v:textbox>
                    </v:shape>
                  </w:pict>
                </mc:Fallback>
              </mc:AlternateContent>
            </w:r>
            <w:r>
              <w:rPr>
                <w:sz w:val="24"/>
                <w:szCs w:val="20"/>
              </w:rPr>
              <mc:AlternateContent>
                <mc:Choice Requires="wps">
                  <w:drawing>
                    <wp:anchor distT="0" distB="0" distL="114300" distR="114300" simplePos="0" relativeHeight="251671552" behindDoc="0" locked="0" layoutInCell="1" allowOverlap="1">
                      <wp:simplePos x="0" y="0"/>
                      <wp:positionH relativeFrom="column">
                        <wp:posOffset>4711065</wp:posOffset>
                      </wp:positionH>
                      <wp:positionV relativeFrom="paragraph">
                        <wp:posOffset>2540</wp:posOffset>
                      </wp:positionV>
                      <wp:extent cx="0" cy="198120"/>
                      <wp:effectExtent l="56515" t="13335" r="57785" b="17145"/>
                      <wp:wrapNone/>
                      <wp:docPr id="44" name="Line 1442"/>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prstDash val="dash"/>
                                <a:round/>
                                <a:tailEnd type="triangle" w="med" len="med"/>
                              </a:ln>
                            </wps:spPr>
                            <wps:bodyPr/>
                          </wps:wsp>
                        </a:graphicData>
                      </a:graphic>
                    </wp:anchor>
                  </w:drawing>
                </mc:Choice>
                <mc:Fallback>
                  <w:pict>
                    <v:line id="Line 1442" o:spid="_x0000_s1026" o:spt="20" style="position:absolute;left:0pt;margin-left:370.95pt;margin-top:0.2pt;height:15.6pt;width:0pt;z-index:251671552;mso-width-relative:page;mso-height-relative:page;" filled="f" stroked="t" coordsize="21600,21600" o:gfxdata="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RWJDNtYAAAAHAQAADwAAAAAAAAABACAA&#10;AAAiAAAAZHJzL2Rvd25yZXYueG1sUEsBAhQAFAAAAAgAh07iQCPgQLLWAQAAmgMAAA4AAAAAAAAA&#10;AQAgAAAAJQEAAGRycy9lMm9Eb2MueG1sUEsFBgAAAAAGAAYAWQEAAG0FAAAAAA==&#10;">
                      <v:fill on="f" focussize="0,0"/>
                      <v:stroke color="#000000" joinstyle="round" dashstyle="dash" endarrow="block"/>
                      <v:imagedata o:title=""/>
                      <o:lock v:ext="edit" aspectratio="f"/>
                    </v:line>
                  </w:pict>
                </mc:Fallback>
              </mc:AlternateContent>
            </w:r>
            <w:r>
              <w:rPr>
                <w:sz w:val="24"/>
                <w:szCs w:val="20"/>
              </w:rPr>
              <w:tab/>
            </w:r>
          </w:p>
          <w:p>
            <w:pPr>
              <w:tabs>
                <w:tab w:val="left" w:pos="7157"/>
              </w:tabs>
              <w:spacing w:line="500" w:lineRule="exact"/>
              <w:ind w:firstLine="480" w:firstLineChars="200"/>
              <w:rPr>
                <w:sz w:val="24"/>
                <w:szCs w:val="20"/>
              </w:rPr>
            </w:pPr>
            <w:r>
              <w:rPr>
                <w:sz w:val="24"/>
                <w:szCs w:val="20"/>
              </w:rPr>
              <w:tab/>
            </w:r>
          </w:p>
          <w:p>
            <w:pPr>
              <w:jc w:val="center"/>
              <w:rPr>
                <w:b/>
                <w:szCs w:val="21"/>
              </w:rPr>
            </w:pPr>
          </w:p>
          <w:p>
            <w:pPr>
              <w:jc w:val="center"/>
              <w:rPr>
                <w:b/>
                <w:szCs w:val="21"/>
              </w:rPr>
            </w:pPr>
          </w:p>
          <w:p>
            <w:pPr>
              <w:jc w:val="center"/>
              <w:rPr>
                <w:b/>
                <w:szCs w:val="21"/>
              </w:rPr>
            </w:pPr>
          </w:p>
          <w:p>
            <w:pPr>
              <w:jc w:val="center"/>
              <w:rPr>
                <w:b/>
                <w:sz w:val="24"/>
              </w:rPr>
            </w:pPr>
          </w:p>
          <w:p>
            <w:pPr>
              <w:jc w:val="center"/>
              <w:rPr>
                <w:b/>
                <w:sz w:val="24"/>
              </w:rPr>
            </w:pPr>
          </w:p>
          <w:p>
            <w:pPr>
              <w:jc w:val="center"/>
              <w:rPr>
                <w:b/>
                <w:sz w:val="24"/>
              </w:rPr>
            </w:pPr>
          </w:p>
          <w:p>
            <w:pPr>
              <w:widowControl/>
              <w:spacing w:line="360" w:lineRule="auto"/>
              <w:ind w:firstLine="482" w:firstLineChars="200"/>
              <w:jc w:val="center"/>
              <w:rPr>
                <w:b/>
                <w:kern w:val="0"/>
                <w:sz w:val="24"/>
              </w:rPr>
            </w:pPr>
            <w:r>
              <w:rPr>
                <w:b/>
                <w:kern w:val="0"/>
                <w:sz w:val="24"/>
              </w:rPr>
              <w:t>图2-1项目施工流程及产污环节示意图</w:t>
            </w:r>
          </w:p>
          <w:p>
            <w:pPr>
              <w:adjustRightInd w:val="0"/>
              <w:snapToGrid w:val="0"/>
              <w:spacing w:line="360" w:lineRule="auto"/>
              <w:rPr>
                <w:b/>
                <w:bCs/>
                <w:sz w:val="24"/>
              </w:rPr>
            </w:pPr>
            <w:r>
              <w:rPr>
                <w:b/>
                <w:bCs/>
                <w:sz w:val="24"/>
              </w:rPr>
              <w:t>2、运营期</w:t>
            </w:r>
          </w:p>
          <w:p>
            <w:pPr>
              <w:spacing w:line="360" w:lineRule="auto"/>
              <w:ind w:right="45" w:firstLine="480" w:firstLineChars="200"/>
              <w:rPr>
                <w:sz w:val="24"/>
              </w:rPr>
            </w:pPr>
            <w:bookmarkStart w:id="7" w:name="_Toc320007923"/>
            <w:r>
              <w:rPr>
                <w:sz w:val="24"/>
              </w:rPr>
              <w:t>运行期</w:t>
            </w:r>
            <w:r>
              <w:rPr>
                <w:bCs/>
                <w:sz w:val="24"/>
              </w:rPr>
              <w:t>主要</w:t>
            </w:r>
            <w:r>
              <w:rPr>
                <w:sz w:val="24"/>
              </w:rPr>
              <w:t>产污节点如下图所示：</w:t>
            </w:r>
          </w:p>
          <w:p>
            <w:pPr>
              <w:widowControl/>
              <w:spacing w:line="360" w:lineRule="auto"/>
              <w:ind w:firstLine="174" w:firstLineChars="83"/>
              <w:jc w:val="center"/>
            </w:pPr>
            <w:r>
              <w:object>
                <v:shape id="_x0000_i1026" o:spt="75" type="#_x0000_t75" style="height:186.75pt;width:396.75pt;" o:ole="t" filled="f" o:preferrelative="t" stroked="f" coordsize="21600,21600">
                  <v:path/>
                  <v:fill on="f" focussize="0,0"/>
                  <v:stroke on="f" joinstyle="miter"/>
                  <v:imagedata r:id="rId10" o:title=""/>
                  <o:lock v:ext="edit" aspectratio="t"/>
                  <w10:wrap type="none"/>
                  <w10:anchorlock/>
                </v:shape>
                <o:OLEObject Type="Embed" ProgID="Visio.Drawing.15" ShapeID="_x0000_i1026" DrawAspect="Content" ObjectID="_1468075725" r:id="rId9">
                  <o:LockedField>false</o:LockedField>
                </o:OLEObject>
              </w:object>
            </w:r>
          </w:p>
          <w:p>
            <w:pPr>
              <w:widowControl/>
              <w:spacing w:line="360" w:lineRule="auto"/>
              <w:ind w:firstLine="200" w:firstLineChars="83"/>
              <w:jc w:val="center"/>
              <w:rPr>
                <w:b/>
                <w:snapToGrid w:val="0"/>
                <w:kern w:val="0"/>
                <w:sz w:val="24"/>
              </w:rPr>
            </w:pPr>
            <w:r>
              <w:rPr>
                <w:b/>
                <w:snapToGrid w:val="0"/>
                <w:kern w:val="0"/>
                <w:sz w:val="24"/>
              </w:rPr>
              <w:t>图2-2  运营期工艺流程图</w:t>
            </w:r>
            <w:bookmarkEnd w:id="7"/>
          </w:p>
          <w:p>
            <w:pPr>
              <w:adjustRightInd w:val="0"/>
              <w:snapToGrid w:val="0"/>
              <w:spacing w:line="360" w:lineRule="auto"/>
              <w:rPr>
                <w:b/>
                <w:snapToGrid w:val="0"/>
                <w:kern w:val="0"/>
                <w:sz w:val="24"/>
              </w:rPr>
            </w:pPr>
            <w:r>
              <w:rPr>
                <w:b/>
                <w:snapToGrid w:val="0"/>
                <w:kern w:val="0"/>
                <w:sz w:val="24"/>
              </w:rPr>
              <w:t>二、主要污染工序</w:t>
            </w:r>
          </w:p>
          <w:p>
            <w:pPr>
              <w:widowControl/>
              <w:spacing w:line="360" w:lineRule="auto"/>
              <w:ind w:firstLine="482" w:firstLineChars="200"/>
              <w:jc w:val="left"/>
              <w:rPr>
                <w:b/>
                <w:kern w:val="0"/>
                <w:sz w:val="24"/>
              </w:rPr>
            </w:pPr>
            <w:r>
              <w:rPr>
                <w:b/>
                <w:kern w:val="0"/>
                <w:sz w:val="24"/>
              </w:rPr>
              <w:t>1、施工期主要污染工序</w:t>
            </w:r>
          </w:p>
          <w:p>
            <w:pPr>
              <w:widowControl/>
              <w:spacing w:line="360" w:lineRule="auto"/>
              <w:ind w:firstLine="480" w:firstLineChars="200"/>
              <w:jc w:val="left"/>
              <w:rPr>
                <w:kern w:val="0"/>
                <w:sz w:val="24"/>
              </w:rPr>
            </w:pPr>
            <w:r>
              <w:rPr>
                <w:kern w:val="0"/>
                <w:sz w:val="24"/>
              </w:rPr>
              <w:t>项目建设所需的主要的建筑材料为钢材、混凝土、木材等均外购，由卖方运至项目区。</w:t>
            </w:r>
          </w:p>
          <w:p>
            <w:pPr>
              <w:widowControl/>
              <w:spacing w:line="360" w:lineRule="auto"/>
              <w:ind w:firstLine="480" w:firstLineChars="200"/>
              <w:jc w:val="left"/>
              <w:rPr>
                <w:kern w:val="0"/>
                <w:sz w:val="24"/>
              </w:rPr>
            </w:pPr>
            <w:r>
              <w:rPr>
                <w:kern w:val="0"/>
                <w:sz w:val="24"/>
              </w:rPr>
              <w:t>施工期大致可分为三个阶段：土石方阶段及基础阶段，主体结构阶段，室内外装修、安装阶段。项目建设过程中不同施工阶段所采用的施工方式不一样：在土石方阶段以机械施工为主，人力施工为辅，主要使用推土机、挖掘机等；在基础打桩阶段几乎全部是机械施工，主要使用静压打桩机；在主体结构阶段则机械施工及人力施工各占一半，主要使用切割机、电焊机等；材料运送主要使用提升机，在装修阶段以人力施工为主，机械施工为辅，使用的机械包括电钻、角向磨光机等。</w:t>
            </w:r>
          </w:p>
          <w:p>
            <w:pPr>
              <w:widowControl/>
              <w:spacing w:line="360" w:lineRule="auto"/>
              <w:ind w:firstLine="480" w:firstLineChars="200"/>
              <w:jc w:val="left"/>
              <w:rPr>
                <w:kern w:val="0"/>
                <w:sz w:val="24"/>
              </w:rPr>
            </w:pPr>
            <w:r>
              <w:rPr>
                <w:kern w:val="0"/>
                <w:sz w:val="24"/>
              </w:rPr>
              <w:t>本项目施工过程中产生的主要污染物为废气（扬尘、汽车尾气、涂料挥发的刺激性气体等）、施工机械和运输车辆产生的噪声、施工产生的废水以及建筑垃圾等固体废物。</w:t>
            </w:r>
          </w:p>
          <w:p>
            <w:pPr>
              <w:adjustRightInd w:val="0"/>
              <w:snapToGrid w:val="0"/>
              <w:spacing w:line="360" w:lineRule="auto"/>
              <w:rPr>
                <w:b/>
                <w:kern w:val="0"/>
                <w:sz w:val="24"/>
              </w:rPr>
            </w:pPr>
            <w:r>
              <w:rPr>
                <w:b/>
                <w:kern w:val="0"/>
                <w:sz w:val="24"/>
              </w:rPr>
              <w:t>2、运行期</w:t>
            </w:r>
          </w:p>
          <w:p>
            <w:pPr>
              <w:spacing w:line="360" w:lineRule="auto"/>
              <w:rPr>
                <w:b/>
                <w:kern w:val="28"/>
                <w:sz w:val="24"/>
                <w:szCs w:val="30"/>
              </w:rPr>
            </w:pPr>
            <w:r>
              <w:rPr>
                <w:b/>
                <w:kern w:val="28"/>
                <w:sz w:val="24"/>
                <w:szCs w:val="30"/>
              </w:rPr>
              <w:t>（1）、废气</w:t>
            </w:r>
          </w:p>
          <w:p>
            <w:pPr>
              <w:autoSpaceDE w:val="0"/>
              <w:autoSpaceDN w:val="0"/>
              <w:adjustRightInd w:val="0"/>
              <w:spacing w:line="360" w:lineRule="auto"/>
              <w:ind w:firstLine="480" w:firstLineChars="200"/>
              <w:rPr>
                <w:kern w:val="0"/>
                <w:sz w:val="24"/>
              </w:rPr>
            </w:pPr>
            <w:r>
              <w:rPr>
                <w:kern w:val="0"/>
                <w:sz w:val="24"/>
              </w:rPr>
              <w:t>拟建项目不设置锅炉，喷漆采用自然风干。工程废气主要来自于补焊打磨的焊接烟气和车辆构件补漆废气。项目设置备用发电机，备用发电机运行时将产生少量废气，项目食堂也会产生油烟废气。</w:t>
            </w:r>
          </w:p>
          <w:p>
            <w:pPr>
              <w:autoSpaceDE w:val="0"/>
              <w:autoSpaceDN w:val="0"/>
              <w:adjustRightInd w:val="0"/>
              <w:spacing w:line="360" w:lineRule="auto"/>
              <w:rPr>
                <w:kern w:val="0"/>
                <w:sz w:val="24"/>
              </w:rPr>
            </w:pPr>
            <w:r>
              <w:rPr>
                <w:b/>
                <w:kern w:val="0"/>
                <w:sz w:val="24"/>
              </w:rPr>
              <w:t>（2）、废水</w:t>
            </w:r>
          </w:p>
          <w:p>
            <w:pPr>
              <w:spacing w:line="360" w:lineRule="auto"/>
              <w:ind w:firstLine="480" w:firstLineChars="200"/>
              <w:rPr>
                <w:sz w:val="24"/>
                <w:szCs w:val="22"/>
              </w:rPr>
            </w:pPr>
            <w:r>
              <w:rPr>
                <w:sz w:val="24"/>
                <w:szCs w:val="22"/>
              </w:rPr>
              <w:t>项目废水主要为车间地坪冲洗废水、车辆清洗水和员工生活污水。</w:t>
            </w:r>
          </w:p>
          <w:p>
            <w:pPr>
              <w:overflowPunct w:val="0"/>
              <w:topLinePunct/>
              <w:spacing w:line="360" w:lineRule="auto"/>
              <w:rPr>
                <w:b/>
                <w:bCs/>
                <w:snapToGrid w:val="0"/>
                <w:spacing w:val="4"/>
                <w:sz w:val="24"/>
              </w:rPr>
            </w:pPr>
            <w:r>
              <w:rPr>
                <w:b/>
                <w:bCs/>
                <w:snapToGrid w:val="0"/>
                <w:spacing w:val="4"/>
                <w:sz w:val="24"/>
              </w:rPr>
              <w:t>（3）、噪声</w:t>
            </w:r>
          </w:p>
          <w:p>
            <w:pPr>
              <w:spacing w:line="360" w:lineRule="auto"/>
              <w:ind w:firstLine="480" w:firstLineChars="200"/>
              <w:rPr>
                <w:sz w:val="24"/>
                <w:szCs w:val="22"/>
              </w:rPr>
            </w:pPr>
            <w:r>
              <w:rPr>
                <w:sz w:val="24"/>
                <w:szCs w:val="22"/>
              </w:rPr>
              <w:t>本项目不设置中央空调，类比同类型医院，项目的医疗设备噪声源强多小于60dB(A)，且在室内运行，因此，项目噪声源主要为污水处理站水泵噪声，配电设备产生的噪声，人员嘈杂声，电梯机房噪声以及备用发电机噪声，具体噪声源强见表2-7。</w:t>
            </w:r>
          </w:p>
          <w:p>
            <w:pPr>
              <w:tabs>
                <w:tab w:val="left" w:pos="6740"/>
              </w:tabs>
              <w:spacing w:line="360" w:lineRule="auto"/>
              <w:ind w:firstLine="482"/>
              <w:jc w:val="center"/>
              <w:rPr>
                <w:rFonts w:eastAsiaTheme="minorEastAsia"/>
                <w:b/>
                <w:sz w:val="24"/>
              </w:rPr>
            </w:pPr>
            <w:r>
              <w:rPr>
                <w:rFonts w:eastAsiaTheme="minorEastAsia"/>
                <w:b/>
                <w:sz w:val="24"/>
              </w:rPr>
              <w:t>表2-7 项目运营期噪声源     单位：dB(A)</w:t>
            </w:r>
          </w:p>
          <w:tbl>
            <w:tblPr>
              <w:tblStyle w:val="44"/>
              <w:tblW w:w="78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559"/>
              <w:gridCol w:w="1732"/>
              <w:gridCol w:w="1165"/>
              <w:gridCol w:w="688"/>
              <w:gridCol w:w="1067"/>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4" w:type="dxa"/>
                  <w:vAlign w:val="center"/>
                </w:tcPr>
                <w:p>
                  <w:pPr>
                    <w:jc w:val="center"/>
                    <w:rPr>
                      <w:szCs w:val="21"/>
                    </w:rPr>
                  </w:pPr>
                  <w:r>
                    <w:rPr>
                      <w:szCs w:val="21"/>
                    </w:rPr>
                    <w:t>序号</w:t>
                  </w:r>
                </w:p>
              </w:tc>
              <w:tc>
                <w:tcPr>
                  <w:tcW w:w="1559" w:type="dxa"/>
                  <w:vAlign w:val="center"/>
                </w:tcPr>
                <w:p>
                  <w:pPr>
                    <w:jc w:val="center"/>
                    <w:rPr>
                      <w:szCs w:val="21"/>
                    </w:rPr>
                  </w:pPr>
                  <w:r>
                    <w:rPr>
                      <w:szCs w:val="21"/>
                    </w:rPr>
                    <w:t>项目名称</w:t>
                  </w:r>
                </w:p>
              </w:tc>
              <w:tc>
                <w:tcPr>
                  <w:tcW w:w="1732" w:type="dxa"/>
                  <w:vAlign w:val="center"/>
                </w:tcPr>
                <w:p>
                  <w:pPr>
                    <w:jc w:val="center"/>
                    <w:rPr>
                      <w:szCs w:val="21"/>
                    </w:rPr>
                  </w:pPr>
                  <w:r>
                    <w:rPr>
                      <w:szCs w:val="21"/>
                    </w:rPr>
                    <w:t>主要产噪设备</w:t>
                  </w:r>
                </w:p>
              </w:tc>
              <w:tc>
                <w:tcPr>
                  <w:tcW w:w="1165" w:type="dxa"/>
                  <w:vAlign w:val="center"/>
                </w:tcPr>
                <w:p>
                  <w:pPr>
                    <w:jc w:val="center"/>
                    <w:rPr>
                      <w:szCs w:val="21"/>
                    </w:rPr>
                  </w:pPr>
                  <w:r>
                    <w:rPr>
                      <w:szCs w:val="21"/>
                    </w:rPr>
                    <w:t>位置</w:t>
                  </w:r>
                </w:p>
              </w:tc>
              <w:tc>
                <w:tcPr>
                  <w:tcW w:w="688" w:type="dxa"/>
                  <w:vAlign w:val="center"/>
                </w:tcPr>
                <w:p>
                  <w:pPr>
                    <w:jc w:val="center"/>
                    <w:rPr>
                      <w:szCs w:val="21"/>
                    </w:rPr>
                  </w:pPr>
                  <w:r>
                    <w:rPr>
                      <w:szCs w:val="21"/>
                    </w:rPr>
                    <w:t>台数</w:t>
                  </w:r>
                </w:p>
              </w:tc>
              <w:tc>
                <w:tcPr>
                  <w:tcW w:w="1067" w:type="dxa"/>
                  <w:vAlign w:val="center"/>
                </w:tcPr>
                <w:p>
                  <w:pPr>
                    <w:jc w:val="center"/>
                    <w:rPr>
                      <w:szCs w:val="21"/>
                    </w:rPr>
                  </w:pPr>
                  <w:r>
                    <w:rPr>
                      <w:szCs w:val="21"/>
                    </w:rPr>
                    <w:t>运行方式</w:t>
                  </w:r>
                </w:p>
              </w:tc>
              <w:tc>
                <w:tcPr>
                  <w:tcW w:w="981" w:type="dxa"/>
                  <w:vAlign w:val="center"/>
                </w:tcPr>
                <w:p>
                  <w:pPr>
                    <w:jc w:val="center"/>
                    <w:rPr>
                      <w:szCs w:val="21"/>
                    </w:rPr>
                  </w:pPr>
                  <w:r>
                    <w:rPr>
                      <w:szCs w:val="21"/>
                    </w:rPr>
                    <w:t>噪声值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4" w:type="dxa"/>
                  <w:vAlign w:val="center"/>
                </w:tcPr>
                <w:p>
                  <w:pPr>
                    <w:jc w:val="center"/>
                    <w:rPr>
                      <w:szCs w:val="21"/>
                    </w:rPr>
                  </w:pPr>
                  <w:r>
                    <w:rPr>
                      <w:szCs w:val="21"/>
                    </w:rPr>
                    <w:t>1</w:t>
                  </w:r>
                </w:p>
              </w:tc>
              <w:tc>
                <w:tcPr>
                  <w:tcW w:w="1559" w:type="dxa"/>
                  <w:vAlign w:val="center"/>
                </w:tcPr>
                <w:p>
                  <w:pPr>
                    <w:jc w:val="center"/>
                    <w:rPr>
                      <w:szCs w:val="21"/>
                    </w:rPr>
                  </w:pPr>
                  <w:r>
                    <w:rPr>
                      <w:szCs w:val="21"/>
                    </w:rPr>
                    <w:t>污水处理站</w:t>
                  </w:r>
                </w:p>
              </w:tc>
              <w:tc>
                <w:tcPr>
                  <w:tcW w:w="1732" w:type="dxa"/>
                  <w:vAlign w:val="center"/>
                </w:tcPr>
                <w:p>
                  <w:pPr>
                    <w:jc w:val="center"/>
                    <w:rPr>
                      <w:szCs w:val="21"/>
                    </w:rPr>
                  </w:pPr>
                  <w:r>
                    <w:rPr>
                      <w:szCs w:val="21"/>
                    </w:rPr>
                    <w:t>水泵、曝气机等</w:t>
                  </w:r>
                </w:p>
              </w:tc>
              <w:tc>
                <w:tcPr>
                  <w:tcW w:w="1165" w:type="dxa"/>
                  <w:vAlign w:val="center"/>
                </w:tcPr>
                <w:p>
                  <w:pPr>
                    <w:jc w:val="center"/>
                    <w:rPr>
                      <w:szCs w:val="21"/>
                    </w:rPr>
                  </w:pPr>
                  <w:r>
                    <w:rPr>
                      <w:szCs w:val="21"/>
                    </w:rPr>
                    <w:t>东北面绿化带地下</w:t>
                  </w:r>
                </w:p>
              </w:tc>
              <w:tc>
                <w:tcPr>
                  <w:tcW w:w="688" w:type="dxa"/>
                  <w:vAlign w:val="center"/>
                </w:tcPr>
                <w:p>
                  <w:pPr>
                    <w:jc w:val="center"/>
                    <w:rPr>
                      <w:szCs w:val="21"/>
                    </w:rPr>
                  </w:pPr>
                  <w:r>
                    <w:rPr>
                      <w:szCs w:val="21"/>
                    </w:rPr>
                    <w:t>一套</w:t>
                  </w:r>
                </w:p>
              </w:tc>
              <w:tc>
                <w:tcPr>
                  <w:tcW w:w="1067" w:type="dxa"/>
                  <w:vAlign w:val="center"/>
                </w:tcPr>
                <w:p>
                  <w:pPr>
                    <w:jc w:val="center"/>
                    <w:rPr>
                      <w:szCs w:val="21"/>
                    </w:rPr>
                  </w:pPr>
                  <w:r>
                    <w:rPr>
                      <w:szCs w:val="21"/>
                    </w:rPr>
                    <w:t>连续</w:t>
                  </w:r>
                </w:p>
              </w:tc>
              <w:tc>
                <w:tcPr>
                  <w:tcW w:w="981" w:type="dxa"/>
                  <w:vAlign w:val="center"/>
                </w:tcPr>
                <w:p>
                  <w:pPr>
                    <w:jc w:val="center"/>
                    <w:rPr>
                      <w:szCs w:val="21"/>
                    </w:rPr>
                  </w:pPr>
                  <w:r>
                    <w:rPr>
                      <w:szCs w:val="21"/>
                    </w:rPr>
                    <w:t>65-70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4" w:type="dxa"/>
                  <w:vAlign w:val="center"/>
                </w:tcPr>
                <w:p>
                  <w:pPr>
                    <w:jc w:val="center"/>
                    <w:rPr>
                      <w:szCs w:val="21"/>
                    </w:rPr>
                  </w:pPr>
                  <w:r>
                    <w:rPr>
                      <w:szCs w:val="21"/>
                    </w:rPr>
                    <w:t>2</w:t>
                  </w:r>
                </w:p>
              </w:tc>
              <w:tc>
                <w:tcPr>
                  <w:tcW w:w="1559" w:type="dxa"/>
                  <w:vAlign w:val="center"/>
                </w:tcPr>
                <w:p>
                  <w:pPr>
                    <w:jc w:val="center"/>
                    <w:rPr>
                      <w:szCs w:val="21"/>
                    </w:rPr>
                  </w:pPr>
                  <w:r>
                    <w:rPr>
                      <w:szCs w:val="21"/>
                    </w:rPr>
                    <w:t>配电设备</w:t>
                  </w:r>
                </w:p>
              </w:tc>
              <w:tc>
                <w:tcPr>
                  <w:tcW w:w="1732" w:type="dxa"/>
                  <w:vAlign w:val="center"/>
                </w:tcPr>
                <w:p>
                  <w:pPr>
                    <w:jc w:val="center"/>
                    <w:rPr>
                      <w:szCs w:val="21"/>
                    </w:rPr>
                  </w:pPr>
                  <w:r>
                    <w:rPr>
                      <w:szCs w:val="21"/>
                    </w:rPr>
                    <w:t>配电设备</w:t>
                  </w:r>
                </w:p>
              </w:tc>
              <w:tc>
                <w:tcPr>
                  <w:tcW w:w="1165" w:type="dxa"/>
                  <w:vAlign w:val="center"/>
                </w:tcPr>
                <w:p>
                  <w:pPr>
                    <w:jc w:val="center"/>
                    <w:rPr>
                      <w:szCs w:val="21"/>
                    </w:rPr>
                  </w:pPr>
                  <w:r>
                    <w:rPr>
                      <w:szCs w:val="21"/>
                    </w:rPr>
                    <w:t>配电室内</w:t>
                  </w:r>
                </w:p>
              </w:tc>
              <w:tc>
                <w:tcPr>
                  <w:tcW w:w="688" w:type="dxa"/>
                  <w:vAlign w:val="center"/>
                </w:tcPr>
                <w:p>
                  <w:pPr>
                    <w:jc w:val="center"/>
                    <w:rPr>
                      <w:szCs w:val="21"/>
                    </w:rPr>
                  </w:pPr>
                  <w:r>
                    <w:rPr>
                      <w:szCs w:val="21"/>
                    </w:rPr>
                    <w:t>一台</w:t>
                  </w:r>
                </w:p>
              </w:tc>
              <w:tc>
                <w:tcPr>
                  <w:tcW w:w="1067" w:type="dxa"/>
                  <w:vAlign w:val="center"/>
                </w:tcPr>
                <w:p>
                  <w:pPr>
                    <w:jc w:val="center"/>
                    <w:rPr>
                      <w:szCs w:val="21"/>
                    </w:rPr>
                  </w:pPr>
                  <w:r>
                    <w:rPr>
                      <w:szCs w:val="21"/>
                    </w:rPr>
                    <w:t>连续</w:t>
                  </w:r>
                </w:p>
              </w:tc>
              <w:tc>
                <w:tcPr>
                  <w:tcW w:w="981" w:type="dxa"/>
                  <w:vAlign w:val="center"/>
                </w:tcPr>
                <w:p>
                  <w:pPr>
                    <w:jc w:val="center"/>
                    <w:rPr>
                      <w:szCs w:val="21"/>
                    </w:rPr>
                  </w:pPr>
                  <w:r>
                    <w:rPr>
                      <w:szCs w:val="21"/>
                    </w:rPr>
                    <w:t>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664" w:type="dxa"/>
                  <w:vAlign w:val="center"/>
                </w:tcPr>
                <w:p>
                  <w:pPr>
                    <w:jc w:val="center"/>
                    <w:rPr>
                      <w:szCs w:val="21"/>
                    </w:rPr>
                  </w:pPr>
                  <w:r>
                    <w:rPr>
                      <w:szCs w:val="21"/>
                    </w:rPr>
                    <w:t>3</w:t>
                  </w:r>
                </w:p>
              </w:tc>
              <w:tc>
                <w:tcPr>
                  <w:tcW w:w="1559" w:type="dxa"/>
                  <w:vAlign w:val="center"/>
                </w:tcPr>
                <w:p>
                  <w:pPr>
                    <w:jc w:val="center"/>
                    <w:rPr>
                      <w:szCs w:val="21"/>
                    </w:rPr>
                  </w:pPr>
                  <w:r>
                    <w:rPr>
                      <w:szCs w:val="21"/>
                    </w:rPr>
                    <w:t>人群噪声</w:t>
                  </w:r>
                </w:p>
              </w:tc>
              <w:tc>
                <w:tcPr>
                  <w:tcW w:w="1732" w:type="dxa"/>
                  <w:vAlign w:val="center"/>
                </w:tcPr>
                <w:p>
                  <w:pPr>
                    <w:jc w:val="center"/>
                    <w:rPr>
                      <w:szCs w:val="21"/>
                    </w:rPr>
                  </w:pPr>
                  <w:r>
                    <w:rPr>
                      <w:szCs w:val="21"/>
                    </w:rPr>
                    <w:t>项目内看诊的人群</w:t>
                  </w:r>
                </w:p>
              </w:tc>
              <w:tc>
                <w:tcPr>
                  <w:tcW w:w="1165" w:type="dxa"/>
                  <w:vAlign w:val="center"/>
                </w:tcPr>
                <w:p>
                  <w:pPr>
                    <w:jc w:val="center"/>
                    <w:rPr>
                      <w:szCs w:val="21"/>
                    </w:rPr>
                  </w:pPr>
                  <w:r>
                    <w:rPr>
                      <w:szCs w:val="21"/>
                    </w:rPr>
                    <w:t>各诊室等</w:t>
                  </w:r>
                </w:p>
              </w:tc>
              <w:tc>
                <w:tcPr>
                  <w:tcW w:w="688" w:type="dxa"/>
                  <w:vAlign w:val="center"/>
                </w:tcPr>
                <w:p>
                  <w:pPr>
                    <w:jc w:val="center"/>
                    <w:rPr>
                      <w:szCs w:val="21"/>
                    </w:rPr>
                  </w:pPr>
                  <w:r>
                    <w:rPr>
                      <w:szCs w:val="21"/>
                    </w:rPr>
                    <w:t>/</w:t>
                  </w:r>
                </w:p>
              </w:tc>
              <w:tc>
                <w:tcPr>
                  <w:tcW w:w="1067" w:type="dxa"/>
                  <w:vAlign w:val="center"/>
                </w:tcPr>
                <w:p>
                  <w:pPr>
                    <w:jc w:val="center"/>
                    <w:rPr>
                      <w:szCs w:val="21"/>
                    </w:rPr>
                  </w:pPr>
                  <w:r>
                    <w:rPr>
                      <w:szCs w:val="21"/>
                    </w:rPr>
                    <w:t>间断</w:t>
                  </w:r>
                </w:p>
              </w:tc>
              <w:tc>
                <w:tcPr>
                  <w:tcW w:w="981" w:type="dxa"/>
                  <w:vAlign w:val="center"/>
                </w:tcPr>
                <w:p>
                  <w:pPr>
                    <w:jc w:val="center"/>
                    <w:rPr>
                      <w:szCs w:val="21"/>
                    </w:rPr>
                  </w:pPr>
                  <w:r>
                    <w:rPr>
                      <w:szCs w:val="21"/>
                    </w:rPr>
                    <w:t>60～70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664" w:type="dxa"/>
                  <w:vAlign w:val="center"/>
                </w:tcPr>
                <w:p>
                  <w:pPr>
                    <w:jc w:val="center"/>
                    <w:rPr>
                      <w:szCs w:val="21"/>
                    </w:rPr>
                  </w:pPr>
                  <w:r>
                    <w:rPr>
                      <w:szCs w:val="21"/>
                    </w:rPr>
                    <w:t>4</w:t>
                  </w:r>
                </w:p>
              </w:tc>
              <w:tc>
                <w:tcPr>
                  <w:tcW w:w="1559" w:type="dxa"/>
                  <w:vAlign w:val="center"/>
                </w:tcPr>
                <w:p>
                  <w:pPr>
                    <w:jc w:val="center"/>
                    <w:rPr>
                      <w:szCs w:val="21"/>
                    </w:rPr>
                  </w:pPr>
                  <w:r>
                    <w:rPr>
                      <w:szCs w:val="21"/>
                    </w:rPr>
                    <w:t>备用发电机</w:t>
                  </w:r>
                </w:p>
              </w:tc>
              <w:tc>
                <w:tcPr>
                  <w:tcW w:w="1732" w:type="dxa"/>
                  <w:vAlign w:val="center"/>
                </w:tcPr>
                <w:p>
                  <w:pPr>
                    <w:jc w:val="center"/>
                    <w:rPr>
                      <w:szCs w:val="21"/>
                    </w:rPr>
                  </w:pPr>
                  <w:r>
                    <w:rPr>
                      <w:szCs w:val="21"/>
                    </w:rPr>
                    <w:t>备用发电机</w:t>
                  </w:r>
                </w:p>
              </w:tc>
              <w:tc>
                <w:tcPr>
                  <w:tcW w:w="1165" w:type="dxa"/>
                  <w:vAlign w:val="center"/>
                </w:tcPr>
                <w:p>
                  <w:pPr>
                    <w:jc w:val="center"/>
                    <w:rPr>
                      <w:szCs w:val="21"/>
                    </w:rPr>
                  </w:pPr>
                  <w:r>
                    <w:rPr>
                      <w:szCs w:val="21"/>
                    </w:rPr>
                    <w:t>备用发电机房</w:t>
                  </w:r>
                </w:p>
              </w:tc>
              <w:tc>
                <w:tcPr>
                  <w:tcW w:w="688" w:type="dxa"/>
                  <w:vAlign w:val="center"/>
                </w:tcPr>
                <w:p>
                  <w:pPr>
                    <w:jc w:val="center"/>
                    <w:rPr>
                      <w:szCs w:val="21"/>
                    </w:rPr>
                  </w:pPr>
                  <w:r>
                    <w:rPr>
                      <w:szCs w:val="21"/>
                    </w:rPr>
                    <w:t>一台</w:t>
                  </w:r>
                </w:p>
              </w:tc>
              <w:tc>
                <w:tcPr>
                  <w:tcW w:w="1067" w:type="dxa"/>
                  <w:vAlign w:val="center"/>
                </w:tcPr>
                <w:p>
                  <w:pPr>
                    <w:jc w:val="center"/>
                    <w:rPr>
                      <w:szCs w:val="21"/>
                    </w:rPr>
                  </w:pPr>
                  <w:r>
                    <w:rPr>
                      <w:szCs w:val="21"/>
                    </w:rPr>
                    <w:t>间断</w:t>
                  </w:r>
                </w:p>
              </w:tc>
              <w:tc>
                <w:tcPr>
                  <w:tcW w:w="981" w:type="dxa"/>
                  <w:vAlign w:val="center"/>
                </w:tcPr>
                <w:p>
                  <w:pPr>
                    <w:jc w:val="center"/>
                    <w:rPr>
                      <w:szCs w:val="21"/>
                    </w:rPr>
                  </w:pPr>
                  <w:r>
                    <w:rPr>
                      <w:szCs w:val="21"/>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664" w:type="dxa"/>
                  <w:vAlign w:val="center"/>
                </w:tcPr>
                <w:p>
                  <w:pPr>
                    <w:jc w:val="center"/>
                    <w:rPr>
                      <w:szCs w:val="21"/>
                    </w:rPr>
                  </w:pPr>
                  <w:r>
                    <w:rPr>
                      <w:szCs w:val="21"/>
                    </w:rPr>
                    <w:t>5</w:t>
                  </w:r>
                </w:p>
              </w:tc>
              <w:tc>
                <w:tcPr>
                  <w:tcW w:w="1559" w:type="dxa"/>
                  <w:vAlign w:val="center"/>
                </w:tcPr>
                <w:p>
                  <w:pPr>
                    <w:jc w:val="center"/>
                    <w:rPr>
                      <w:szCs w:val="21"/>
                    </w:rPr>
                  </w:pPr>
                  <w:r>
                    <w:rPr>
                      <w:szCs w:val="21"/>
                    </w:rPr>
                    <w:t>电梯机房</w:t>
                  </w:r>
                </w:p>
              </w:tc>
              <w:tc>
                <w:tcPr>
                  <w:tcW w:w="1732" w:type="dxa"/>
                  <w:vAlign w:val="center"/>
                </w:tcPr>
                <w:p>
                  <w:pPr>
                    <w:jc w:val="center"/>
                    <w:rPr>
                      <w:szCs w:val="21"/>
                    </w:rPr>
                  </w:pPr>
                  <w:r>
                    <w:rPr>
                      <w:szCs w:val="21"/>
                    </w:rPr>
                    <w:t>电梯</w:t>
                  </w:r>
                </w:p>
              </w:tc>
              <w:tc>
                <w:tcPr>
                  <w:tcW w:w="1165" w:type="dxa"/>
                  <w:vAlign w:val="center"/>
                </w:tcPr>
                <w:p>
                  <w:pPr>
                    <w:jc w:val="center"/>
                    <w:rPr>
                      <w:szCs w:val="21"/>
                    </w:rPr>
                  </w:pPr>
                  <w:r>
                    <w:rPr>
                      <w:szCs w:val="21"/>
                    </w:rPr>
                    <w:t>楼顶</w:t>
                  </w:r>
                </w:p>
              </w:tc>
              <w:tc>
                <w:tcPr>
                  <w:tcW w:w="688" w:type="dxa"/>
                  <w:vAlign w:val="center"/>
                </w:tcPr>
                <w:p>
                  <w:pPr>
                    <w:jc w:val="center"/>
                    <w:rPr>
                      <w:szCs w:val="21"/>
                    </w:rPr>
                  </w:pPr>
                  <w:r>
                    <w:rPr>
                      <w:szCs w:val="21"/>
                    </w:rPr>
                    <w:t>3台</w:t>
                  </w:r>
                </w:p>
              </w:tc>
              <w:tc>
                <w:tcPr>
                  <w:tcW w:w="1067" w:type="dxa"/>
                  <w:vAlign w:val="center"/>
                </w:tcPr>
                <w:p>
                  <w:pPr>
                    <w:jc w:val="center"/>
                    <w:rPr>
                      <w:szCs w:val="21"/>
                    </w:rPr>
                  </w:pPr>
                  <w:r>
                    <w:rPr>
                      <w:szCs w:val="21"/>
                    </w:rPr>
                    <w:t>连续</w:t>
                  </w:r>
                </w:p>
              </w:tc>
              <w:tc>
                <w:tcPr>
                  <w:tcW w:w="981" w:type="dxa"/>
                  <w:vAlign w:val="center"/>
                </w:tcPr>
                <w:p>
                  <w:pPr>
                    <w:jc w:val="center"/>
                    <w:rPr>
                      <w:szCs w:val="21"/>
                    </w:rPr>
                  </w:pPr>
                  <w:r>
                    <w:rPr>
                      <w:szCs w:val="21"/>
                    </w:rPr>
                    <w:t>70-80</w:t>
                  </w:r>
                </w:p>
              </w:tc>
            </w:tr>
          </w:tbl>
          <w:p>
            <w:pPr>
              <w:autoSpaceDE w:val="0"/>
              <w:autoSpaceDN w:val="0"/>
              <w:adjustRightInd w:val="0"/>
              <w:spacing w:line="360" w:lineRule="auto"/>
              <w:jc w:val="left"/>
              <w:rPr>
                <w:b/>
                <w:kern w:val="0"/>
                <w:sz w:val="24"/>
              </w:rPr>
            </w:pPr>
            <w:r>
              <w:rPr>
                <w:b/>
                <w:kern w:val="0"/>
                <w:sz w:val="24"/>
              </w:rPr>
              <w:t>（4）、固体废弃物</w:t>
            </w:r>
          </w:p>
          <w:p>
            <w:pPr>
              <w:autoSpaceDE w:val="0"/>
              <w:autoSpaceDN w:val="0"/>
              <w:adjustRightInd w:val="0"/>
              <w:spacing w:line="360" w:lineRule="auto"/>
              <w:ind w:firstLine="480" w:firstLineChars="200"/>
              <w:rPr>
                <w:kern w:val="0"/>
                <w:sz w:val="24"/>
              </w:rPr>
            </w:pPr>
            <w:r>
              <w:rPr>
                <w:kern w:val="0"/>
                <w:sz w:val="24"/>
              </w:rPr>
              <w:t>项目产生的固体废物主要为一般固废和危险废物</w:t>
            </w:r>
            <w:r>
              <w:rPr>
                <w:iCs/>
                <w:sz w:val="24"/>
              </w:rPr>
              <w:t>。</w:t>
            </w:r>
            <w:r>
              <w:rPr>
                <w:kern w:val="0"/>
                <w:sz w:val="24"/>
              </w:rPr>
              <w:t>其中一般固废主要为生活垃圾、内装、检修过程中更换的部件；危险废物主要为除锈除漆酸洗废液、检修收集的废润滑油。</w:t>
            </w:r>
          </w:p>
          <w:p>
            <w:pPr>
              <w:spacing w:line="360" w:lineRule="auto"/>
              <w:rPr>
                <w:b/>
                <w:bCs/>
                <w:sz w:val="24"/>
              </w:rPr>
            </w:pPr>
            <w:r>
              <w:rPr>
                <w:b/>
                <w:bCs/>
                <w:sz w:val="24"/>
              </w:rPr>
              <w:t>（5）运行期污染物汇总</w:t>
            </w:r>
          </w:p>
          <w:p>
            <w:pPr>
              <w:spacing w:line="360" w:lineRule="auto"/>
              <w:jc w:val="center"/>
              <w:rPr>
                <w:b/>
                <w:bCs/>
                <w:sz w:val="24"/>
              </w:rPr>
            </w:pPr>
            <w:r>
              <w:rPr>
                <w:rFonts w:eastAsiaTheme="minorEastAsia"/>
                <w:b/>
                <w:kern w:val="0"/>
                <w:sz w:val="24"/>
              </w:rPr>
              <w:t>表2-8 运行期近期污染物排放汇总表</w:t>
            </w:r>
          </w:p>
          <w:p>
            <w:pPr>
              <w:spacing w:line="360" w:lineRule="auto"/>
              <w:jc w:val="center"/>
              <w:rPr>
                <w:b/>
                <w:bCs/>
                <w:sz w:val="24"/>
              </w:rPr>
            </w:pPr>
          </w:p>
          <w:tbl>
            <w:tblPr>
              <w:tblStyle w:val="44"/>
              <w:tblpPr w:leftFromText="180" w:rightFromText="180" w:vertAnchor="text" w:horzAnchor="margin" w:tblpY="-268"/>
              <w:tblOverlap w:val="never"/>
              <w:tblW w:w="7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130"/>
              <w:gridCol w:w="3072"/>
              <w:gridCol w:w="2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Align w:val="center"/>
                </w:tcPr>
                <w:p>
                  <w:pPr>
                    <w:jc w:val="center"/>
                    <w:rPr>
                      <w:rFonts w:eastAsiaTheme="minorEastAsia"/>
                      <w:szCs w:val="21"/>
                    </w:rPr>
                  </w:pPr>
                  <w:r>
                    <w:rPr>
                      <w:rFonts w:eastAsiaTheme="minorEastAsia"/>
                      <w:szCs w:val="21"/>
                    </w:rPr>
                    <w:t>序号</w:t>
                  </w:r>
                </w:p>
              </w:tc>
              <w:tc>
                <w:tcPr>
                  <w:tcW w:w="1130" w:type="dxa"/>
                  <w:vAlign w:val="center"/>
                </w:tcPr>
                <w:p>
                  <w:pPr>
                    <w:jc w:val="center"/>
                    <w:rPr>
                      <w:rFonts w:eastAsiaTheme="minorEastAsia"/>
                      <w:szCs w:val="21"/>
                    </w:rPr>
                  </w:pPr>
                  <w:r>
                    <w:rPr>
                      <w:rFonts w:eastAsiaTheme="minorEastAsia"/>
                      <w:szCs w:val="21"/>
                    </w:rPr>
                    <w:t>污染物</w:t>
                  </w:r>
                </w:p>
              </w:tc>
              <w:tc>
                <w:tcPr>
                  <w:tcW w:w="3072" w:type="dxa"/>
                  <w:vAlign w:val="center"/>
                </w:tcPr>
                <w:p>
                  <w:pPr>
                    <w:jc w:val="center"/>
                    <w:rPr>
                      <w:rFonts w:eastAsiaTheme="minorEastAsia"/>
                      <w:szCs w:val="21"/>
                    </w:rPr>
                  </w:pPr>
                  <w:r>
                    <w:rPr>
                      <w:rFonts w:eastAsiaTheme="minorEastAsia"/>
                      <w:szCs w:val="21"/>
                    </w:rPr>
                    <w:t>污染源</w:t>
                  </w:r>
                </w:p>
              </w:tc>
              <w:tc>
                <w:tcPr>
                  <w:tcW w:w="2912" w:type="dxa"/>
                  <w:vAlign w:val="center"/>
                </w:tcPr>
                <w:p>
                  <w:pPr>
                    <w:jc w:val="center"/>
                    <w:rPr>
                      <w:rFonts w:eastAsiaTheme="minorEastAsia"/>
                      <w:szCs w:val="21"/>
                    </w:rPr>
                  </w:pPr>
                  <w:r>
                    <w:rPr>
                      <w:rFonts w:eastAsiaTheme="minorEastAsia"/>
                      <w:szCs w:val="21"/>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restart"/>
                  <w:vAlign w:val="center"/>
                </w:tcPr>
                <w:p>
                  <w:pPr>
                    <w:jc w:val="center"/>
                    <w:rPr>
                      <w:rFonts w:eastAsiaTheme="minorEastAsia"/>
                      <w:szCs w:val="21"/>
                    </w:rPr>
                  </w:pPr>
                  <w:r>
                    <w:rPr>
                      <w:rFonts w:eastAsiaTheme="minorEastAsia"/>
                      <w:szCs w:val="21"/>
                    </w:rPr>
                    <w:t>1</w:t>
                  </w:r>
                </w:p>
              </w:tc>
              <w:tc>
                <w:tcPr>
                  <w:tcW w:w="1130" w:type="dxa"/>
                  <w:vMerge w:val="restart"/>
                  <w:vAlign w:val="center"/>
                </w:tcPr>
                <w:p>
                  <w:pPr>
                    <w:jc w:val="center"/>
                    <w:rPr>
                      <w:rFonts w:eastAsiaTheme="minorEastAsia"/>
                      <w:szCs w:val="21"/>
                    </w:rPr>
                  </w:pPr>
                  <w:r>
                    <w:rPr>
                      <w:rFonts w:eastAsiaTheme="minorEastAsia"/>
                      <w:szCs w:val="21"/>
                    </w:rPr>
                    <w:t>废水</w:t>
                  </w:r>
                </w:p>
              </w:tc>
              <w:tc>
                <w:tcPr>
                  <w:tcW w:w="3072" w:type="dxa"/>
                  <w:vAlign w:val="center"/>
                </w:tcPr>
                <w:p>
                  <w:pPr>
                    <w:jc w:val="center"/>
                    <w:rPr>
                      <w:rFonts w:eastAsiaTheme="minorEastAsia"/>
                      <w:szCs w:val="21"/>
                    </w:rPr>
                  </w:pPr>
                  <w:r>
                    <w:rPr>
                      <w:rFonts w:eastAsiaTheme="minorEastAsia"/>
                      <w:szCs w:val="21"/>
                    </w:rPr>
                    <w:t>废水(m</w:t>
                  </w:r>
                  <w:r>
                    <w:rPr>
                      <w:rFonts w:eastAsiaTheme="minorEastAsia"/>
                      <w:szCs w:val="21"/>
                      <w:vertAlign w:val="superscript"/>
                    </w:rPr>
                    <w:t>3</w:t>
                  </w:r>
                  <w:r>
                    <w:rPr>
                      <w:rFonts w:eastAsiaTheme="minorEastAsia"/>
                      <w:szCs w:val="21"/>
                    </w:rPr>
                    <w:t>/a)</w:t>
                  </w:r>
                </w:p>
              </w:tc>
              <w:tc>
                <w:tcPr>
                  <w:tcW w:w="2912" w:type="dxa"/>
                  <w:vAlign w:val="center"/>
                </w:tcPr>
                <w:p>
                  <w:pPr>
                    <w:jc w:val="center"/>
                    <w:rPr>
                      <w:rFonts w:eastAsiaTheme="minorEastAsia"/>
                      <w:szCs w:val="21"/>
                    </w:rPr>
                  </w:pPr>
                  <w:r>
                    <w:rPr>
                      <w:rFonts w:hint="eastAsia" w:eastAsiaTheme="minor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vAlign w:val="center"/>
                </w:tcPr>
                <w:p>
                  <w:pPr>
                    <w:jc w:val="center"/>
                    <w:rPr>
                      <w:rFonts w:eastAsiaTheme="minorEastAsia"/>
                      <w:szCs w:val="21"/>
                    </w:rPr>
                  </w:pPr>
                  <w:r>
                    <w:rPr>
                      <w:rFonts w:eastAsiaTheme="minorEastAsia"/>
                      <w:szCs w:val="21"/>
                    </w:rPr>
                    <w:t>COD</w:t>
                  </w:r>
                  <w:r>
                    <w:rPr>
                      <w:rFonts w:eastAsiaTheme="minorEastAsia"/>
                      <w:szCs w:val="21"/>
                      <w:vertAlign w:val="subscript"/>
                    </w:rPr>
                    <w:t>Cr</w:t>
                  </w:r>
                  <w:r>
                    <w:rPr>
                      <w:rFonts w:eastAsiaTheme="minorEastAsia"/>
                      <w:szCs w:val="21"/>
                    </w:rPr>
                    <w:t>排放量(t/a)</w:t>
                  </w:r>
                </w:p>
              </w:tc>
              <w:tc>
                <w:tcPr>
                  <w:tcW w:w="2912" w:type="dxa"/>
                  <w:vAlign w:val="center"/>
                </w:tcPr>
                <w:p>
                  <w:pPr>
                    <w:jc w:val="center"/>
                    <w:rPr>
                      <w:rFonts w:eastAsiaTheme="minorEastAsia"/>
                      <w:szCs w:val="21"/>
                    </w:rPr>
                  </w:pPr>
                  <w:r>
                    <w:rPr>
                      <w:rFonts w:hint="eastAsia" w:eastAsiaTheme="minor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vAlign w:val="center"/>
                </w:tcPr>
                <w:p>
                  <w:pPr>
                    <w:jc w:val="center"/>
                    <w:rPr>
                      <w:rFonts w:eastAsiaTheme="minorEastAsia"/>
                      <w:szCs w:val="21"/>
                      <w:vertAlign w:val="subscript"/>
                    </w:rPr>
                  </w:pPr>
                  <w:r>
                    <w:rPr>
                      <w:rFonts w:eastAsiaTheme="minorEastAsia"/>
                      <w:szCs w:val="21"/>
                    </w:rPr>
                    <w:t>BOD</w:t>
                  </w:r>
                  <w:r>
                    <w:rPr>
                      <w:rFonts w:eastAsiaTheme="minorEastAsia"/>
                      <w:szCs w:val="21"/>
                      <w:vertAlign w:val="subscript"/>
                    </w:rPr>
                    <w:t>5</w:t>
                  </w:r>
                  <w:r>
                    <w:rPr>
                      <w:rFonts w:eastAsiaTheme="minorEastAsia"/>
                      <w:szCs w:val="21"/>
                    </w:rPr>
                    <w:t>排放量(t/a)</w:t>
                  </w:r>
                </w:p>
              </w:tc>
              <w:tc>
                <w:tcPr>
                  <w:tcW w:w="2912" w:type="dxa"/>
                  <w:vAlign w:val="center"/>
                </w:tcPr>
                <w:p>
                  <w:pPr>
                    <w:jc w:val="center"/>
                    <w:rPr>
                      <w:rFonts w:eastAsiaTheme="minorEastAsia"/>
                      <w:szCs w:val="21"/>
                    </w:rPr>
                  </w:pPr>
                  <w:r>
                    <w:rPr>
                      <w:rFonts w:hint="eastAsia" w:eastAsiaTheme="minor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vAlign w:val="center"/>
                </w:tcPr>
                <w:p>
                  <w:pPr>
                    <w:jc w:val="center"/>
                    <w:rPr>
                      <w:rFonts w:eastAsiaTheme="minorEastAsia"/>
                      <w:szCs w:val="21"/>
                    </w:rPr>
                  </w:pPr>
                  <w:r>
                    <w:rPr>
                      <w:rFonts w:eastAsiaTheme="minorEastAsia"/>
                      <w:szCs w:val="21"/>
                    </w:rPr>
                    <w:t>氨氮排放量(t/a)</w:t>
                  </w:r>
                </w:p>
              </w:tc>
              <w:tc>
                <w:tcPr>
                  <w:tcW w:w="2912" w:type="dxa"/>
                  <w:vAlign w:val="center"/>
                </w:tcPr>
                <w:p>
                  <w:pPr>
                    <w:jc w:val="center"/>
                    <w:rPr>
                      <w:rFonts w:eastAsiaTheme="minorEastAsia"/>
                      <w:szCs w:val="21"/>
                    </w:rPr>
                  </w:pPr>
                  <w:r>
                    <w:rPr>
                      <w:rFonts w:hint="eastAsia" w:eastAsiaTheme="minor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vAlign w:val="center"/>
                </w:tcPr>
                <w:p>
                  <w:pPr>
                    <w:jc w:val="center"/>
                    <w:rPr>
                      <w:rFonts w:eastAsiaTheme="minorEastAsia"/>
                      <w:szCs w:val="21"/>
                    </w:rPr>
                  </w:pPr>
                  <w:r>
                    <w:rPr>
                      <w:rFonts w:eastAsiaTheme="minorEastAsia"/>
                      <w:szCs w:val="21"/>
                    </w:rPr>
                    <w:t>动植物油排放量(t/a)</w:t>
                  </w:r>
                </w:p>
              </w:tc>
              <w:tc>
                <w:tcPr>
                  <w:tcW w:w="2912" w:type="dxa"/>
                  <w:vAlign w:val="center"/>
                </w:tcPr>
                <w:p>
                  <w:pPr>
                    <w:jc w:val="center"/>
                    <w:rPr>
                      <w:rFonts w:eastAsiaTheme="minorEastAsia"/>
                      <w:szCs w:val="21"/>
                    </w:rPr>
                  </w:pPr>
                  <w:r>
                    <w:rPr>
                      <w:rFonts w:hint="eastAsia" w:eastAsiaTheme="minor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vAlign w:val="center"/>
                </w:tcPr>
                <w:p>
                  <w:pPr>
                    <w:jc w:val="center"/>
                    <w:rPr>
                      <w:rFonts w:eastAsiaTheme="minorEastAsia"/>
                      <w:szCs w:val="21"/>
                    </w:rPr>
                  </w:pPr>
                  <w:r>
                    <w:rPr>
                      <w:rFonts w:eastAsiaTheme="minorEastAsia"/>
                      <w:szCs w:val="21"/>
                    </w:rPr>
                    <w:t>SS</w:t>
                  </w:r>
                </w:p>
              </w:tc>
              <w:tc>
                <w:tcPr>
                  <w:tcW w:w="2912" w:type="dxa"/>
                  <w:vAlign w:val="center"/>
                </w:tcPr>
                <w:p>
                  <w:pPr>
                    <w:jc w:val="center"/>
                    <w:rPr>
                      <w:rFonts w:eastAsiaTheme="minorEastAsia"/>
                      <w:szCs w:val="21"/>
                    </w:rPr>
                  </w:pPr>
                  <w:r>
                    <w:rPr>
                      <w:rFonts w:hint="eastAsia" w:eastAsiaTheme="minor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vAlign w:val="center"/>
                </w:tcPr>
                <w:p>
                  <w:pPr>
                    <w:jc w:val="center"/>
                    <w:rPr>
                      <w:rFonts w:eastAsiaTheme="minorEastAsia"/>
                      <w:szCs w:val="21"/>
                    </w:rPr>
                  </w:pPr>
                  <w:r>
                    <w:rPr>
                      <w:rFonts w:eastAsiaTheme="minorEastAsia"/>
                      <w:kern w:val="0"/>
                      <w:szCs w:val="21"/>
                    </w:rPr>
                    <w:t>磷酸盐</w:t>
                  </w:r>
                </w:p>
              </w:tc>
              <w:tc>
                <w:tcPr>
                  <w:tcW w:w="2912" w:type="dxa"/>
                  <w:vAlign w:val="center"/>
                </w:tcPr>
                <w:p>
                  <w:pPr>
                    <w:jc w:val="center"/>
                    <w:rPr>
                      <w:rFonts w:eastAsiaTheme="minorEastAsia"/>
                      <w:szCs w:val="21"/>
                    </w:rPr>
                  </w:pPr>
                  <w:r>
                    <w:rPr>
                      <w:rFonts w:hint="eastAsia" w:eastAsiaTheme="minor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restart"/>
                  <w:vAlign w:val="center"/>
                </w:tcPr>
                <w:p>
                  <w:pPr>
                    <w:jc w:val="center"/>
                    <w:rPr>
                      <w:rFonts w:eastAsiaTheme="minorEastAsia"/>
                      <w:szCs w:val="21"/>
                    </w:rPr>
                  </w:pPr>
                  <w:r>
                    <w:rPr>
                      <w:rFonts w:eastAsiaTheme="minorEastAsia"/>
                      <w:szCs w:val="21"/>
                    </w:rPr>
                    <w:t>2</w:t>
                  </w:r>
                </w:p>
              </w:tc>
              <w:tc>
                <w:tcPr>
                  <w:tcW w:w="1130" w:type="dxa"/>
                  <w:vMerge w:val="restart"/>
                  <w:vAlign w:val="center"/>
                </w:tcPr>
                <w:p>
                  <w:pPr>
                    <w:jc w:val="center"/>
                    <w:rPr>
                      <w:rFonts w:eastAsiaTheme="minorEastAsia"/>
                      <w:szCs w:val="21"/>
                    </w:rPr>
                  </w:pPr>
                  <w:r>
                    <w:rPr>
                      <w:rFonts w:eastAsiaTheme="minorEastAsia"/>
                      <w:szCs w:val="21"/>
                    </w:rPr>
                    <w:t>废气</w:t>
                  </w:r>
                </w:p>
              </w:tc>
              <w:tc>
                <w:tcPr>
                  <w:tcW w:w="3072" w:type="dxa"/>
                  <w:vAlign w:val="center"/>
                </w:tcPr>
                <w:p>
                  <w:pPr>
                    <w:jc w:val="center"/>
                    <w:rPr>
                      <w:rFonts w:eastAsiaTheme="minorEastAsia"/>
                      <w:szCs w:val="21"/>
                    </w:rPr>
                  </w:pPr>
                  <w:r>
                    <w:rPr>
                      <w:rFonts w:eastAsiaTheme="minorEastAsia"/>
                      <w:szCs w:val="21"/>
                    </w:rPr>
                    <w:t>烟气量(m</w:t>
                  </w:r>
                  <w:r>
                    <w:rPr>
                      <w:rFonts w:eastAsiaTheme="minorEastAsia"/>
                      <w:szCs w:val="21"/>
                      <w:vertAlign w:val="superscript"/>
                    </w:rPr>
                    <w:t>3</w:t>
                  </w:r>
                  <w:r>
                    <w:rPr>
                      <w:rFonts w:eastAsiaTheme="minorEastAsia"/>
                      <w:szCs w:val="21"/>
                    </w:rPr>
                    <w:t>/a)</w:t>
                  </w:r>
                </w:p>
              </w:tc>
              <w:tc>
                <w:tcPr>
                  <w:tcW w:w="2912" w:type="dxa"/>
                  <w:vAlign w:val="center"/>
                </w:tcPr>
                <w:p>
                  <w:pPr>
                    <w:jc w:val="center"/>
                    <w:rPr>
                      <w:rFonts w:eastAsiaTheme="minorEastAsia"/>
                      <w:szCs w:val="21"/>
                    </w:rPr>
                  </w:pPr>
                  <w:r>
                    <w:rPr>
                      <w:rFonts w:hint="eastAsia" w:eastAsiaTheme="minorEastAsia"/>
                      <w:szCs w:val="21"/>
                    </w:rPr>
                    <w:t>2</w:t>
                  </w:r>
                  <w:r>
                    <w:rPr>
                      <w:rFonts w:eastAsiaTheme="minorEastAsia"/>
                      <w:szCs w:val="21"/>
                    </w:rPr>
                    <w:t>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vAlign w:val="center"/>
                </w:tcPr>
                <w:p>
                  <w:pPr>
                    <w:jc w:val="center"/>
                    <w:rPr>
                      <w:rFonts w:eastAsiaTheme="minorEastAsia"/>
                      <w:szCs w:val="21"/>
                    </w:rPr>
                  </w:pPr>
                  <w:r>
                    <w:rPr>
                      <w:rFonts w:eastAsiaTheme="minorEastAsia"/>
                      <w:szCs w:val="21"/>
                    </w:rPr>
                    <w:t>SO</w:t>
                  </w:r>
                  <w:r>
                    <w:rPr>
                      <w:rFonts w:eastAsiaTheme="minorEastAsia"/>
                      <w:szCs w:val="21"/>
                      <w:vertAlign w:val="subscript"/>
                    </w:rPr>
                    <w:t>2</w:t>
                  </w:r>
                  <w:r>
                    <w:rPr>
                      <w:rFonts w:eastAsiaTheme="minorEastAsia"/>
                      <w:szCs w:val="21"/>
                    </w:rPr>
                    <w:t xml:space="preserve"> (g/a)</w:t>
                  </w:r>
                </w:p>
              </w:tc>
              <w:tc>
                <w:tcPr>
                  <w:tcW w:w="2912" w:type="dxa"/>
                  <w:vAlign w:val="center"/>
                </w:tcPr>
                <w:p>
                  <w:pPr>
                    <w:jc w:val="center"/>
                    <w:rPr>
                      <w:rFonts w:eastAsiaTheme="minorEastAsia"/>
                      <w:szCs w:val="21"/>
                    </w:rPr>
                  </w:pPr>
                  <w:r>
                    <w:rPr>
                      <w:rFonts w:hint="eastAsia" w:eastAsiaTheme="minorEastAsia"/>
                      <w:szCs w:val="21"/>
                    </w:rPr>
                    <w:t>1</w:t>
                  </w:r>
                  <w:r>
                    <w:rPr>
                      <w:rFonts w:eastAsiaTheme="minorEastAsia"/>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vAlign w:val="center"/>
                </w:tcPr>
                <w:p>
                  <w:pPr>
                    <w:jc w:val="center"/>
                    <w:rPr>
                      <w:rFonts w:eastAsiaTheme="minorEastAsia"/>
                      <w:szCs w:val="21"/>
                      <w:vertAlign w:val="subscript"/>
                    </w:rPr>
                  </w:pPr>
                  <w:r>
                    <w:rPr>
                      <w:rFonts w:eastAsiaTheme="minorEastAsia"/>
                      <w:szCs w:val="21"/>
                    </w:rPr>
                    <w:t>NO</w:t>
                  </w:r>
                  <w:r>
                    <w:rPr>
                      <w:rFonts w:eastAsiaTheme="minorEastAsia"/>
                      <w:szCs w:val="21"/>
                      <w:vertAlign w:val="subscript"/>
                    </w:rPr>
                    <w:t>X</w:t>
                  </w:r>
                  <w:r>
                    <w:rPr>
                      <w:rFonts w:eastAsiaTheme="minorEastAsia"/>
                      <w:szCs w:val="21"/>
                    </w:rPr>
                    <w:t>(g/a)</w:t>
                  </w:r>
                </w:p>
              </w:tc>
              <w:tc>
                <w:tcPr>
                  <w:tcW w:w="2912" w:type="dxa"/>
                  <w:vAlign w:val="center"/>
                </w:tcPr>
                <w:p>
                  <w:pPr>
                    <w:jc w:val="center"/>
                    <w:rPr>
                      <w:rFonts w:eastAsiaTheme="minorEastAsia"/>
                      <w:szCs w:val="21"/>
                    </w:rPr>
                  </w:pPr>
                  <w:r>
                    <w:rPr>
                      <w:rFonts w:eastAsiaTheme="minorEastAsia"/>
                      <w:szCs w:val="21"/>
                    </w:rPr>
                    <w:t>0.732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vAlign w:val="center"/>
                </w:tcPr>
                <w:p>
                  <w:pPr>
                    <w:jc w:val="center"/>
                    <w:rPr>
                      <w:rFonts w:eastAsiaTheme="minorEastAsia"/>
                      <w:szCs w:val="21"/>
                    </w:rPr>
                  </w:pPr>
                  <w:r>
                    <w:rPr>
                      <w:rFonts w:eastAsiaTheme="minorEastAsia"/>
                      <w:szCs w:val="21"/>
                    </w:rPr>
                    <w:t>CO(g/a)</w:t>
                  </w:r>
                </w:p>
              </w:tc>
              <w:tc>
                <w:tcPr>
                  <w:tcW w:w="2912" w:type="dxa"/>
                  <w:vAlign w:val="center"/>
                </w:tcPr>
                <w:p>
                  <w:pPr>
                    <w:jc w:val="center"/>
                    <w:rPr>
                      <w:rFonts w:eastAsiaTheme="minorEastAsia"/>
                      <w:szCs w:val="21"/>
                    </w:rPr>
                  </w:pPr>
                  <w:r>
                    <w:rPr>
                      <w:rFonts w:hint="eastAsia" w:eastAsiaTheme="minorEastAsia"/>
                      <w:szCs w:val="21"/>
                    </w:rPr>
                    <w:t>0</w:t>
                  </w:r>
                  <w:r>
                    <w:rPr>
                      <w:rFonts w:eastAsiaTheme="minorEastAsia"/>
                      <w:szCs w:val="21"/>
                    </w:rPr>
                    <w:t>.434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vAlign w:val="center"/>
                </w:tcPr>
                <w:p>
                  <w:pPr>
                    <w:jc w:val="center"/>
                    <w:rPr>
                      <w:rFonts w:eastAsiaTheme="minorEastAsia"/>
                      <w:szCs w:val="21"/>
                    </w:rPr>
                  </w:pPr>
                  <w:r>
                    <w:rPr>
                      <w:rFonts w:hint="eastAsia" w:eastAsiaTheme="minorEastAsia"/>
                      <w:szCs w:val="21"/>
                    </w:rPr>
                    <w:t>颗粒物</w:t>
                  </w:r>
                  <w:r>
                    <w:rPr>
                      <w:rFonts w:eastAsiaTheme="minorEastAsia"/>
                      <w:szCs w:val="21"/>
                    </w:rPr>
                    <w:t>（</w:t>
                  </w:r>
                  <w:r>
                    <w:rPr>
                      <w:rFonts w:hint="eastAsia" w:eastAsiaTheme="minorEastAsia"/>
                      <w:szCs w:val="21"/>
                    </w:rPr>
                    <w:t>t</w:t>
                  </w:r>
                  <w:r>
                    <w:rPr>
                      <w:rFonts w:eastAsiaTheme="minorEastAsia"/>
                      <w:szCs w:val="21"/>
                    </w:rPr>
                    <w:t>/a）</w:t>
                  </w:r>
                </w:p>
              </w:tc>
              <w:tc>
                <w:tcPr>
                  <w:tcW w:w="2912" w:type="dxa"/>
                  <w:vAlign w:val="center"/>
                </w:tcPr>
                <w:p>
                  <w:pPr>
                    <w:jc w:val="center"/>
                    <w:rPr>
                      <w:rFonts w:eastAsiaTheme="minorEastAsia"/>
                      <w:szCs w:val="21"/>
                    </w:rPr>
                  </w:pPr>
                  <w:r>
                    <w:rPr>
                      <w:rFonts w:hint="eastAsia" w:eastAsiaTheme="minorEastAsia"/>
                      <w:szCs w:val="21"/>
                    </w:rPr>
                    <w:t>0</w:t>
                  </w:r>
                  <w:r>
                    <w:rPr>
                      <w:rFonts w:eastAsiaTheme="minorEastAsia"/>
                      <w:szCs w:val="21"/>
                    </w:rPr>
                    <w:t>.1716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vAlign w:val="center"/>
                </w:tcPr>
                <w:p>
                  <w:pPr>
                    <w:jc w:val="center"/>
                    <w:rPr>
                      <w:rFonts w:eastAsiaTheme="minorEastAsia"/>
                      <w:szCs w:val="21"/>
                    </w:rPr>
                  </w:pPr>
                  <w:r>
                    <w:rPr>
                      <w:rFonts w:hint="eastAsia" w:eastAsiaTheme="minorEastAsia"/>
                      <w:szCs w:val="21"/>
                    </w:rPr>
                    <w:t>挥发性有机物</w:t>
                  </w:r>
                  <w:r>
                    <w:rPr>
                      <w:rFonts w:eastAsiaTheme="minorEastAsia"/>
                      <w:szCs w:val="21"/>
                    </w:rPr>
                    <w:t>（t/a）</w:t>
                  </w:r>
                </w:p>
              </w:tc>
              <w:tc>
                <w:tcPr>
                  <w:tcW w:w="2912" w:type="dxa"/>
                  <w:vAlign w:val="center"/>
                </w:tcPr>
                <w:p>
                  <w:pPr>
                    <w:jc w:val="center"/>
                    <w:rPr>
                      <w:rFonts w:eastAsiaTheme="minorEastAsia"/>
                      <w:szCs w:val="21"/>
                    </w:rPr>
                  </w:pPr>
                  <w:r>
                    <w:rPr>
                      <w:rFonts w:hint="eastAsia" w:eastAsiaTheme="minorEastAsia"/>
                      <w:szCs w:val="21"/>
                    </w:rPr>
                    <w:t>0</w:t>
                  </w:r>
                  <w:r>
                    <w:rPr>
                      <w:rFonts w:eastAsiaTheme="minorEastAsia"/>
                      <w:szCs w:val="21"/>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vAlign w:val="center"/>
                </w:tcPr>
                <w:p>
                  <w:pPr>
                    <w:jc w:val="center"/>
                    <w:rPr>
                      <w:rFonts w:eastAsiaTheme="minorEastAsia"/>
                      <w:szCs w:val="21"/>
                      <w:vertAlign w:val="subscript"/>
                    </w:rPr>
                  </w:pPr>
                  <w:r>
                    <w:rPr>
                      <w:rFonts w:eastAsiaTheme="minorEastAsia"/>
                      <w:szCs w:val="21"/>
                    </w:rPr>
                    <w:t>油烟（kg/a）</w:t>
                  </w:r>
                </w:p>
              </w:tc>
              <w:tc>
                <w:tcPr>
                  <w:tcW w:w="2912" w:type="dxa"/>
                  <w:vAlign w:val="center"/>
                </w:tcPr>
                <w:p>
                  <w:pPr>
                    <w:jc w:val="center"/>
                    <w:rPr>
                      <w:rFonts w:eastAsiaTheme="minorEastAsia"/>
                      <w:szCs w:val="21"/>
                    </w:rPr>
                  </w:pPr>
                  <w:r>
                    <w:rPr>
                      <w:rFonts w:hint="eastAsia" w:eastAsiaTheme="minorEastAsia"/>
                      <w:szCs w:val="21"/>
                    </w:rPr>
                    <w:t>3</w:t>
                  </w:r>
                  <w:r>
                    <w:rPr>
                      <w:rFonts w:eastAsiaTheme="minorEastAsia"/>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restart"/>
                  <w:vAlign w:val="center"/>
                </w:tcPr>
                <w:p>
                  <w:pPr>
                    <w:jc w:val="center"/>
                    <w:rPr>
                      <w:rFonts w:eastAsiaTheme="minorEastAsia"/>
                      <w:szCs w:val="21"/>
                    </w:rPr>
                  </w:pPr>
                  <w:r>
                    <w:rPr>
                      <w:rFonts w:eastAsiaTheme="minorEastAsia"/>
                      <w:szCs w:val="21"/>
                    </w:rPr>
                    <w:t>3</w:t>
                  </w:r>
                </w:p>
              </w:tc>
              <w:tc>
                <w:tcPr>
                  <w:tcW w:w="1130" w:type="dxa"/>
                  <w:vMerge w:val="restart"/>
                  <w:vAlign w:val="center"/>
                </w:tcPr>
                <w:p>
                  <w:pPr>
                    <w:jc w:val="center"/>
                    <w:rPr>
                      <w:rFonts w:eastAsiaTheme="minorEastAsia"/>
                      <w:szCs w:val="21"/>
                    </w:rPr>
                  </w:pPr>
                  <w:r>
                    <w:rPr>
                      <w:rFonts w:eastAsiaTheme="minorEastAsia"/>
                      <w:szCs w:val="21"/>
                    </w:rPr>
                    <w:t>固体废弃物</w:t>
                  </w:r>
                </w:p>
              </w:tc>
              <w:tc>
                <w:tcPr>
                  <w:tcW w:w="3072" w:type="dxa"/>
                </w:tcPr>
                <w:p>
                  <w:pPr>
                    <w:autoSpaceDE w:val="0"/>
                    <w:autoSpaceDN w:val="0"/>
                    <w:adjustRightInd w:val="0"/>
                    <w:jc w:val="center"/>
                    <w:rPr>
                      <w:rFonts w:eastAsiaTheme="minorEastAsia"/>
                      <w:szCs w:val="21"/>
                    </w:rPr>
                  </w:pPr>
                  <w:r>
                    <w:rPr>
                      <w:rFonts w:eastAsiaTheme="minorEastAsia"/>
                      <w:szCs w:val="21"/>
                    </w:rPr>
                    <w:t>生活垃圾（t/a）</w:t>
                  </w:r>
                </w:p>
              </w:tc>
              <w:tc>
                <w:tcPr>
                  <w:tcW w:w="2912" w:type="dxa"/>
                  <w:vAlign w:val="center"/>
                </w:tcPr>
                <w:p>
                  <w:pPr>
                    <w:ind w:left="-90"/>
                    <w:jc w:val="center"/>
                    <w:rPr>
                      <w:rFonts w:eastAsiaTheme="minorEastAsia"/>
                      <w:szCs w:val="21"/>
                    </w:rPr>
                  </w:pPr>
                  <w:r>
                    <w:rPr>
                      <w:rFonts w:hint="eastAsia" w:eastAsiaTheme="minorEastAsia"/>
                      <w:szCs w:val="21"/>
                    </w:rPr>
                    <w:t>1</w:t>
                  </w:r>
                  <w:r>
                    <w:rPr>
                      <w:rFonts w:eastAsiaTheme="minor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tcPr>
                <w:p>
                  <w:pPr>
                    <w:widowControl/>
                    <w:jc w:val="center"/>
                    <w:rPr>
                      <w:kern w:val="0"/>
                      <w:sz w:val="24"/>
                    </w:rPr>
                  </w:pPr>
                  <w:r>
                    <w:rPr>
                      <w:rFonts w:eastAsiaTheme="minorEastAsia"/>
                      <w:szCs w:val="21"/>
                    </w:rPr>
                    <w:t>泔水（t/a）</w:t>
                  </w:r>
                </w:p>
              </w:tc>
              <w:tc>
                <w:tcPr>
                  <w:tcW w:w="2912" w:type="dxa"/>
                  <w:vAlign w:val="center"/>
                </w:tcPr>
                <w:p>
                  <w:pPr>
                    <w:ind w:left="-90"/>
                    <w:jc w:val="center"/>
                    <w:rPr>
                      <w:rFonts w:eastAsiaTheme="minorEastAsia"/>
                      <w:szCs w:val="21"/>
                    </w:rPr>
                  </w:pPr>
                  <w:r>
                    <w:rPr>
                      <w:rFonts w:hint="eastAsia" w:eastAsiaTheme="minorEastAsia"/>
                      <w:szCs w:val="21"/>
                    </w:rPr>
                    <w:t>1</w:t>
                  </w:r>
                  <w:r>
                    <w:rPr>
                      <w:rFonts w:eastAsiaTheme="minor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tcPr>
                <w:p>
                  <w:pPr>
                    <w:widowControl/>
                    <w:jc w:val="center"/>
                    <w:rPr>
                      <w:kern w:val="0"/>
                      <w:sz w:val="24"/>
                    </w:rPr>
                  </w:pPr>
                  <w:r>
                    <w:rPr>
                      <w:rFonts w:hint="eastAsia" w:eastAsiaTheme="minorEastAsia"/>
                      <w:szCs w:val="21"/>
                    </w:rPr>
                    <w:t>喷砂废砂</w:t>
                  </w:r>
                  <w:r>
                    <w:rPr>
                      <w:rFonts w:eastAsiaTheme="minorEastAsia"/>
                      <w:szCs w:val="21"/>
                    </w:rPr>
                    <w:t>（</w:t>
                  </w:r>
                  <w:r>
                    <w:rPr>
                      <w:rFonts w:hint="eastAsia" w:eastAsiaTheme="minorEastAsia"/>
                      <w:szCs w:val="21"/>
                    </w:rPr>
                    <w:t>kg</w:t>
                  </w:r>
                  <w:r>
                    <w:rPr>
                      <w:rFonts w:eastAsiaTheme="minorEastAsia"/>
                      <w:szCs w:val="21"/>
                    </w:rPr>
                    <w:t>/a）</w:t>
                  </w:r>
                </w:p>
              </w:tc>
              <w:tc>
                <w:tcPr>
                  <w:tcW w:w="2912" w:type="dxa"/>
                  <w:vAlign w:val="center"/>
                </w:tcPr>
                <w:p>
                  <w:pPr>
                    <w:ind w:left="-90"/>
                    <w:jc w:val="center"/>
                    <w:rPr>
                      <w:rFonts w:eastAsiaTheme="minorEastAsia"/>
                      <w:szCs w:val="21"/>
                    </w:rPr>
                  </w:pPr>
                  <w:r>
                    <w:rPr>
                      <w:rFonts w:hint="eastAsia" w:eastAsiaTheme="minorEastAsia"/>
                      <w:szCs w:val="21"/>
                    </w:rPr>
                    <w:t>2</w:t>
                  </w:r>
                  <w:r>
                    <w:rPr>
                      <w:rFonts w:eastAsiaTheme="minorEastAsia"/>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tcPr>
                <w:p>
                  <w:pPr>
                    <w:widowControl/>
                    <w:jc w:val="center"/>
                    <w:rPr>
                      <w:kern w:val="0"/>
                      <w:sz w:val="24"/>
                    </w:rPr>
                  </w:pPr>
                  <w:r>
                    <w:rPr>
                      <w:rFonts w:hint="eastAsia" w:eastAsiaTheme="minorEastAsia"/>
                      <w:szCs w:val="21"/>
                    </w:rPr>
                    <w:t>包装桶</w:t>
                  </w:r>
                  <w:r>
                    <w:rPr>
                      <w:rFonts w:eastAsiaTheme="minorEastAsia"/>
                      <w:szCs w:val="21"/>
                    </w:rPr>
                    <w:t>（t/a）</w:t>
                  </w:r>
                </w:p>
              </w:tc>
              <w:tc>
                <w:tcPr>
                  <w:tcW w:w="2912" w:type="dxa"/>
                  <w:vAlign w:val="center"/>
                </w:tcPr>
                <w:p>
                  <w:pPr>
                    <w:ind w:left="-90"/>
                    <w:jc w:val="center"/>
                    <w:rPr>
                      <w:rFonts w:eastAsiaTheme="minorEastAsia"/>
                      <w:szCs w:val="21"/>
                    </w:rPr>
                  </w:pPr>
                  <w:r>
                    <w:rPr>
                      <w:rFonts w:hint="eastAsia" w:eastAsiaTheme="minorEastAsia"/>
                      <w:szCs w:val="21"/>
                    </w:rPr>
                    <w:t>0</w:t>
                  </w:r>
                  <w:r>
                    <w:rPr>
                      <w:rFonts w:eastAsiaTheme="minor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tcPr>
                <w:p>
                  <w:pPr>
                    <w:autoSpaceDE w:val="0"/>
                    <w:autoSpaceDN w:val="0"/>
                    <w:adjustRightInd w:val="0"/>
                    <w:jc w:val="center"/>
                    <w:rPr>
                      <w:rFonts w:eastAsiaTheme="minorEastAsia"/>
                      <w:szCs w:val="21"/>
                    </w:rPr>
                  </w:pPr>
                  <w:r>
                    <w:rPr>
                      <w:rFonts w:hint="eastAsia" w:eastAsiaTheme="minorEastAsia"/>
                      <w:szCs w:val="21"/>
                    </w:rPr>
                    <w:t>废过滤棉</w:t>
                  </w:r>
                  <w:r>
                    <w:rPr>
                      <w:rFonts w:eastAsiaTheme="minorEastAsia"/>
                      <w:szCs w:val="21"/>
                    </w:rPr>
                    <w:t>、废活性炭（t/a）</w:t>
                  </w:r>
                </w:p>
              </w:tc>
              <w:tc>
                <w:tcPr>
                  <w:tcW w:w="2912" w:type="dxa"/>
                  <w:vAlign w:val="center"/>
                </w:tcPr>
                <w:p>
                  <w:pPr>
                    <w:ind w:left="-90"/>
                    <w:jc w:val="center"/>
                    <w:rPr>
                      <w:rFonts w:eastAsiaTheme="minorEastAsia"/>
                      <w:szCs w:val="21"/>
                    </w:rPr>
                  </w:pPr>
                  <w:r>
                    <w:rPr>
                      <w:rFonts w:hint="eastAsia" w:eastAsiaTheme="minor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tcPr>
                <w:p>
                  <w:pPr>
                    <w:autoSpaceDE w:val="0"/>
                    <w:autoSpaceDN w:val="0"/>
                    <w:adjustRightInd w:val="0"/>
                    <w:jc w:val="center"/>
                    <w:rPr>
                      <w:rFonts w:eastAsiaTheme="minorEastAsia"/>
                      <w:szCs w:val="21"/>
                    </w:rPr>
                  </w:pPr>
                  <w:r>
                    <w:rPr>
                      <w:rFonts w:eastAsiaTheme="minorEastAsia"/>
                      <w:szCs w:val="21"/>
                    </w:rPr>
                    <w:t>隔油池废油、污泥（t/a）</w:t>
                  </w:r>
                </w:p>
              </w:tc>
              <w:tc>
                <w:tcPr>
                  <w:tcW w:w="2912" w:type="dxa"/>
                  <w:vAlign w:val="center"/>
                </w:tcPr>
                <w:p>
                  <w:pPr>
                    <w:ind w:left="-90"/>
                    <w:jc w:val="center"/>
                    <w:rPr>
                      <w:rFonts w:eastAsiaTheme="minorEastAsia"/>
                      <w:szCs w:val="21"/>
                    </w:rPr>
                  </w:pPr>
                  <w:r>
                    <w:rPr>
                      <w:rFonts w:hint="eastAsia" w:eastAsiaTheme="minorEastAsia"/>
                      <w:szCs w:val="21"/>
                    </w:rPr>
                    <w:t>0</w:t>
                  </w:r>
                  <w:r>
                    <w:rPr>
                      <w:rFonts w:eastAsiaTheme="minorEastAsia"/>
                      <w:szCs w:val="21"/>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tcPr>
                <w:p>
                  <w:pPr>
                    <w:autoSpaceDE w:val="0"/>
                    <w:autoSpaceDN w:val="0"/>
                    <w:adjustRightInd w:val="0"/>
                    <w:jc w:val="center"/>
                    <w:rPr>
                      <w:rFonts w:eastAsiaTheme="minorEastAsia"/>
                      <w:szCs w:val="21"/>
                    </w:rPr>
                  </w:pPr>
                  <w:r>
                    <w:rPr>
                      <w:rFonts w:eastAsiaTheme="minorEastAsia"/>
                      <w:szCs w:val="21"/>
                    </w:rPr>
                    <w:t>废机油（t/a）</w:t>
                  </w:r>
                </w:p>
              </w:tc>
              <w:tc>
                <w:tcPr>
                  <w:tcW w:w="2912" w:type="dxa"/>
                  <w:vAlign w:val="center"/>
                </w:tcPr>
                <w:p>
                  <w:pPr>
                    <w:ind w:left="-90"/>
                    <w:jc w:val="center"/>
                    <w:rPr>
                      <w:rFonts w:eastAsiaTheme="minorEastAsia"/>
                      <w:szCs w:val="21"/>
                    </w:rPr>
                  </w:pPr>
                  <w:r>
                    <w:rPr>
                      <w:rFonts w:hint="eastAsia" w:eastAsiaTheme="minorEastAsia"/>
                      <w:szCs w:val="21"/>
                    </w:rPr>
                    <w:t>0</w:t>
                  </w:r>
                  <w:r>
                    <w:rPr>
                      <w:rFonts w:eastAsiaTheme="minorEastAsia"/>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tcPr>
                <w:p>
                  <w:pPr>
                    <w:autoSpaceDE w:val="0"/>
                    <w:autoSpaceDN w:val="0"/>
                    <w:adjustRightInd w:val="0"/>
                    <w:jc w:val="center"/>
                    <w:rPr>
                      <w:rFonts w:eastAsiaTheme="minorEastAsia"/>
                      <w:szCs w:val="21"/>
                    </w:rPr>
                  </w:pPr>
                  <w:r>
                    <w:rPr>
                      <w:rFonts w:eastAsiaTheme="minorEastAsia"/>
                      <w:szCs w:val="21"/>
                    </w:rPr>
                    <w:t>打磨废料（t/a）</w:t>
                  </w:r>
                </w:p>
              </w:tc>
              <w:tc>
                <w:tcPr>
                  <w:tcW w:w="2912" w:type="dxa"/>
                  <w:vAlign w:val="center"/>
                </w:tcPr>
                <w:p>
                  <w:pPr>
                    <w:ind w:left="-90"/>
                    <w:jc w:val="center"/>
                    <w:rPr>
                      <w:rFonts w:eastAsiaTheme="minorEastAsia"/>
                      <w:szCs w:val="21"/>
                    </w:rPr>
                  </w:pPr>
                  <w:r>
                    <w:rPr>
                      <w:rFonts w:hint="eastAsia" w:eastAsiaTheme="minorEastAsia"/>
                      <w:szCs w:val="21"/>
                    </w:rPr>
                    <w:t>0</w:t>
                  </w:r>
                  <w:r>
                    <w:rPr>
                      <w:rFonts w:eastAsiaTheme="minorEastAsia"/>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tcPr>
                <w:p>
                  <w:pPr>
                    <w:autoSpaceDE w:val="0"/>
                    <w:autoSpaceDN w:val="0"/>
                    <w:adjustRightInd w:val="0"/>
                    <w:jc w:val="center"/>
                    <w:rPr>
                      <w:rFonts w:eastAsiaTheme="minorEastAsia"/>
                      <w:szCs w:val="21"/>
                    </w:rPr>
                  </w:pPr>
                  <w:r>
                    <w:rPr>
                      <w:rFonts w:eastAsiaTheme="minorEastAsia"/>
                      <w:szCs w:val="21"/>
                    </w:rPr>
                    <w:t>除锈废液（t/a）</w:t>
                  </w:r>
                </w:p>
              </w:tc>
              <w:tc>
                <w:tcPr>
                  <w:tcW w:w="2912" w:type="dxa"/>
                  <w:vAlign w:val="center"/>
                </w:tcPr>
                <w:p>
                  <w:pPr>
                    <w:ind w:left="-90"/>
                    <w:jc w:val="center"/>
                    <w:rPr>
                      <w:rFonts w:eastAsiaTheme="minorEastAsia"/>
                      <w:szCs w:val="21"/>
                    </w:rPr>
                  </w:pPr>
                  <w:r>
                    <w:rPr>
                      <w:rFonts w:hint="eastAsia" w:eastAsiaTheme="minorEastAsia"/>
                      <w:szCs w:val="21"/>
                    </w:rPr>
                    <w:t>2</w:t>
                  </w:r>
                </w:p>
              </w:tc>
            </w:tr>
          </w:tbl>
          <w:p>
            <w:pPr>
              <w:spacing w:line="360" w:lineRule="auto"/>
              <w:ind w:left="359" w:leftChars="171" w:firstLine="120" w:firstLineChars="50"/>
              <w:jc w:val="center"/>
              <w:rPr>
                <w:rFonts w:eastAsiaTheme="minorEastAsia"/>
                <w:b/>
                <w:kern w:val="0"/>
                <w:sz w:val="24"/>
              </w:rPr>
            </w:pPr>
          </w:p>
          <w:p>
            <w:pPr>
              <w:spacing w:line="360" w:lineRule="auto"/>
              <w:ind w:left="359" w:leftChars="171" w:firstLine="120" w:firstLineChars="50"/>
              <w:jc w:val="center"/>
              <w:rPr>
                <w:rFonts w:eastAsiaTheme="minorEastAsia"/>
                <w:b/>
                <w:kern w:val="0"/>
                <w:sz w:val="24"/>
              </w:rPr>
            </w:pPr>
            <w:r>
              <w:rPr>
                <w:rFonts w:eastAsiaTheme="minorEastAsia"/>
                <w:b/>
                <w:kern w:val="0"/>
                <w:sz w:val="24"/>
              </w:rPr>
              <w:t>表2-9 运行期</w:t>
            </w:r>
            <w:r>
              <w:rPr>
                <w:rFonts w:hint="eastAsia" w:eastAsiaTheme="minorEastAsia"/>
                <w:b/>
                <w:kern w:val="0"/>
                <w:sz w:val="24"/>
              </w:rPr>
              <w:t>远期</w:t>
            </w:r>
            <w:r>
              <w:rPr>
                <w:rFonts w:eastAsiaTheme="minorEastAsia"/>
                <w:b/>
                <w:kern w:val="0"/>
                <w:sz w:val="24"/>
              </w:rPr>
              <w:t>污染物排放汇总表</w:t>
            </w:r>
          </w:p>
          <w:tbl>
            <w:tblPr>
              <w:tblStyle w:val="44"/>
              <w:tblpPr w:leftFromText="180" w:rightFromText="180" w:vertAnchor="text" w:horzAnchor="margin" w:tblpY="-268"/>
              <w:tblOverlap w:val="never"/>
              <w:tblW w:w="7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130"/>
              <w:gridCol w:w="3072"/>
              <w:gridCol w:w="2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Align w:val="center"/>
                </w:tcPr>
                <w:p>
                  <w:pPr>
                    <w:jc w:val="center"/>
                    <w:rPr>
                      <w:rFonts w:eastAsiaTheme="minorEastAsia"/>
                      <w:szCs w:val="21"/>
                    </w:rPr>
                  </w:pPr>
                  <w:r>
                    <w:rPr>
                      <w:rFonts w:eastAsiaTheme="minorEastAsia"/>
                      <w:szCs w:val="21"/>
                    </w:rPr>
                    <w:t>序号</w:t>
                  </w:r>
                </w:p>
              </w:tc>
              <w:tc>
                <w:tcPr>
                  <w:tcW w:w="1130" w:type="dxa"/>
                  <w:vAlign w:val="center"/>
                </w:tcPr>
                <w:p>
                  <w:pPr>
                    <w:jc w:val="center"/>
                    <w:rPr>
                      <w:rFonts w:eastAsiaTheme="minorEastAsia"/>
                      <w:szCs w:val="21"/>
                    </w:rPr>
                  </w:pPr>
                  <w:r>
                    <w:rPr>
                      <w:rFonts w:eastAsiaTheme="minorEastAsia"/>
                      <w:szCs w:val="21"/>
                    </w:rPr>
                    <w:t>污染物</w:t>
                  </w:r>
                </w:p>
              </w:tc>
              <w:tc>
                <w:tcPr>
                  <w:tcW w:w="3072" w:type="dxa"/>
                  <w:vAlign w:val="center"/>
                </w:tcPr>
                <w:p>
                  <w:pPr>
                    <w:jc w:val="center"/>
                    <w:rPr>
                      <w:rFonts w:eastAsiaTheme="minorEastAsia"/>
                      <w:szCs w:val="21"/>
                    </w:rPr>
                  </w:pPr>
                  <w:r>
                    <w:rPr>
                      <w:rFonts w:eastAsiaTheme="minorEastAsia"/>
                      <w:szCs w:val="21"/>
                    </w:rPr>
                    <w:t>污染源</w:t>
                  </w:r>
                </w:p>
              </w:tc>
              <w:tc>
                <w:tcPr>
                  <w:tcW w:w="2912" w:type="dxa"/>
                  <w:vAlign w:val="center"/>
                </w:tcPr>
                <w:p>
                  <w:pPr>
                    <w:jc w:val="center"/>
                    <w:rPr>
                      <w:rFonts w:eastAsiaTheme="minorEastAsia"/>
                      <w:szCs w:val="21"/>
                    </w:rPr>
                  </w:pPr>
                  <w:r>
                    <w:rPr>
                      <w:rFonts w:eastAsiaTheme="minorEastAsia"/>
                      <w:szCs w:val="21"/>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restart"/>
                  <w:vAlign w:val="center"/>
                </w:tcPr>
                <w:p>
                  <w:pPr>
                    <w:jc w:val="center"/>
                    <w:rPr>
                      <w:rFonts w:eastAsiaTheme="minorEastAsia"/>
                      <w:szCs w:val="21"/>
                    </w:rPr>
                  </w:pPr>
                  <w:r>
                    <w:rPr>
                      <w:rFonts w:eastAsiaTheme="minorEastAsia"/>
                      <w:szCs w:val="21"/>
                    </w:rPr>
                    <w:t>1</w:t>
                  </w:r>
                </w:p>
              </w:tc>
              <w:tc>
                <w:tcPr>
                  <w:tcW w:w="1130" w:type="dxa"/>
                  <w:vMerge w:val="restart"/>
                  <w:vAlign w:val="center"/>
                </w:tcPr>
                <w:p>
                  <w:pPr>
                    <w:jc w:val="center"/>
                    <w:rPr>
                      <w:rFonts w:eastAsiaTheme="minorEastAsia"/>
                      <w:szCs w:val="21"/>
                    </w:rPr>
                  </w:pPr>
                  <w:r>
                    <w:rPr>
                      <w:rFonts w:eastAsiaTheme="minorEastAsia"/>
                      <w:szCs w:val="21"/>
                    </w:rPr>
                    <w:t>废水</w:t>
                  </w:r>
                </w:p>
              </w:tc>
              <w:tc>
                <w:tcPr>
                  <w:tcW w:w="3072" w:type="dxa"/>
                  <w:vAlign w:val="center"/>
                </w:tcPr>
                <w:p>
                  <w:pPr>
                    <w:jc w:val="center"/>
                    <w:rPr>
                      <w:rFonts w:eastAsiaTheme="minorEastAsia"/>
                      <w:szCs w:val="21"/>
                    </w:rPr>
                  </w:pPr>
                  <w:r>
                    <w:rPr>
                      <w:rFonts w:eastAsiaTheme="minorEastAsia"/>
                      <w:szCs w:val="21"/>
                    </w:rPr>
                    <w:t>废水(m</w:t>
                  </w:r>
                  <w:r>
                    <w:rPr>
                      <w:rFonts w:eastAsiaTheme="minorEastAsia"/>
                      <w:szCs w:val="21"/>
                      <w:vertAlign w:val="superscript"/>
                    </w:rPr>
                    <w:t>3</w:t>
                  </w:r>
                  <w:r>
                    <w:rPr>
                      <w:rFonts w:eastAsiaTheme="minorEastAsia"/>
                      <w:szCs w:val="21"/>
                    </w:rPr>
                    <w:t>/a)</w:t>
                  </w:r>
                </w:p>
              </w:tc>
              <w:tc>
                <w:tcPr>
                  <w:tcW w:w="2912" w:type="dxa"/>
                  <w:vAlign w:val="center"/>
                </w:tcPr>
                <w:p>
                  <w:pPr>
                    <w:jc w:val="center"/>
                    <w:rPr>
                      <w:rFonts w:eastAsiaTheme="minorEastAsia"/>
                      <w:szCs w:val="21"/>
                    </w:rPr>
                  </w:pPr>
                  <w:r>
                    <w:rPr>
                      <w:rFonts w:hint="eastAsia" w:eastAsiaTheme="minorEastAsia"/>
                      <w:szCs w:val="21"/>
                    </w:rPr>
                    <w:t>2</w:t>
                  </w:r>
                  <w:r>
                    <w:rPr>
                      <w:rFonts w:eastAsiaTheme="minorEastAsia"/>
                      <w:szCs w:val="21"/>
                    </w:rPr>
                    <w:t>836.682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vAlign w:val="center"/>
                </w:tcPr>
                <w:p>
                  <w:pPr>
                    <w:jc w:val="center"/>
                    <w:rPr>
                      <w:rFonts w:eastAsiaTheme="minorEastAsia"/>
                      <w:szCs w:val="21"/>
                    </w:rPr>
                  </w:pPr>
                  <w:r>
                    <w:rPr>
                      <w:rFonts w:eastAsiaTheme="minorEastAsia"/>
                      <w:szCs w:val="21"/>
                    </w:rPr>
                    <w:t>COD</w:t>
                  </w:r>
                  <w:r>
                    <w:rPr>
                      <w:rFonts w:eastAsiaTheme="minorEastAsia"/>
                      <w:szCs w:val="21"/>
                      <w:vertAlign w:val="subscript"/>
                    </w:rPr>
                    <w:t>Cr</w:t>
                  </w:r>
                  <w:r>
                    <w:rPr>
                      <w:rFonts w:eastAsiaTheme="minorEastAsia"/>
                      <w:szCs w:val="21"/>
                    </w:rPr>
                    <w:t>排放量(t/a)</w:t>
                  </w:r>
                </w:p>
              </w:tc>
              <w:tc>
                <w:tcPr>
                  <w:tcW w:w="2912" w:type="dxa"/>
                  <w:vAlign w:val="center"/>
                </w:tcPr>
                <w:p>
                  <w:pPr>
                    <w:jc w:val="center"/>
                    <w:rPr>
                      <w:rFonts w:eastAsiaTheme="minorEastAsia"/>
                      <w:szCs w:val="21"/>
                    </w:rPr>
                  </w:pPr>
                  <w:r>
                    <w:rPr>
                      <w:rFonts w:hint="eastAsia" w:eastAsiaTheme="minorEastAsia"/>
                      <w:szCs w:val="21"/>
                    </w:rPr>
                    <w:t>0</w:t>
                  </w:r>
                  <w:r>
                    <w:rPr>
                      <w:rFonts w:eastAsiaTheme="minorEastAsia"/>
                      <w:szCs w:val="21"/>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vAlign w:val="center"/>
                </w:tcPr>
                <w:p>
                  <w:pPr>
                    <w:jc w:val="center"/>
                    <w:rPr>
                      <w:rFonts w:eastAsiaTheme="minorEastAsia"/>
                      <w:szCs w:val="21"/>
                      <w:vertAlign w:val="subscript"/>
                    </w:rPr>
                  </w:pPr>
                  <w:r>
                    <w:rPr>
                      <w:rFonts w:eastAsiaTheme="minorEastAsia"/>
                      <w:szCs w:val="21"/>
                    </w:rPr>
                    <w:t>BOD</w:t>
                  </w:r>
                  <w:r>
                    <w:rPr>
                      <w:rFonts w:eastAsiaTheme="minorEastAsia"/>
                      <w:szCs w:val="21"/>
                      <w:vertAlign w:val="subscript"/>
                    </w:rPr>
                    <w:t>5</w:t>
                  </w:r>
                  <w:r>
                    <w:rPr>
                      <w:rFonts w:eastAsiaTheme="minorEastAsia"/>
                      <w:szCs w:val="21"/>
                    </w:rPr>
                    <w:t>排放量(t/a)</w:t>
                  </w:r>
                </w:p>
              </w:tc>
              <w:tc>
                <w:tcPr>
                  <w:tcW w:w="2912" w:type="dxa"/>
                  <w:vAlign w:val="center"/>
                </w:tcPr>
                <w:p>
                  <w:pPr>
                    <w:jc w:val="center"/>
                    <w:rPr>
                      <w:rFonts w:eastAsiaTheme="minorEastAsia"/>
                      <w:szCs w:val="21"/>
                    </w:rPr>
                  </w:pPr>
                  <w:r>
                    <w:rPr>
                      <w:rFonts w:hint="eastAsia" w:eastAsiaTheme="minorEastAsia"/>
                      <w:szCs w:val="21"/>
                    </w:rPr>
                    <w:t>0</w:t>
                  </w:r>
                  <w:r>
                    <w:rPr>
                      <w:rFonts w:eastAsiaTheme="minorEastAsia"/>
                      <w:szCs w:val="21"/>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vAlign w:val="center"/>
                </w:tcPr>
                <w:p>
                  <w:pPr>
                    <w:jc w:val="center"/>
                    <w:rPr>
                      <w:rFonts w:eastAsiaTheme="minorEastAsia"/>
                      <w:szCs w:val="21"/>
                    </w:rPr>
                  </w:pPr>
                  <w:r>
                    <w:rPr>
                      <w:rFonts w:eastAsiaTheme="minorEastAsia"/>
                      <w:szCs w:val="21"/>
                    </w:rPr>
                    <w:t>氨氮排放量(t/a)</w:t>
                  </w:r>
                </w:p>
              </w:tc>
              <w:tc>
                <w:tcPr>
                  <w:tcW w:w="2912" w:type="dxa"/>
                  <w:vAlign w:val="center"/>
                </w:tcPr>
                <w:p>
                  <w:pPr>
                    <w:jc w:val="center"/>
                    <w:rPr>
                      <w:rFonts w:eastAsiaTheme="minorEastAsia"/>
                      <w:szCs w:val="21"/>
                    </w:rPr>
                  </w:pPr>
                  <w:r>
                    <w:rPr>
                      <w:rFonts w:hint="eastAsia" w:eastAsiaTheme="minorEastAsia"/>
                      <w:szCs w:val="21"/>
                    </w:rPr>
                    <w:t>0</w:t>
                  </w:r>
                  <w:r>
                    <w:rPr>
                      <w:rFonts w:eastAsiaTheme="minorEastAsia"/>
                      <w:szCs w:val="21"/>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vAlign w:val="center"/>
                </w:tcPr>
                <w:p>
                  <w:pPr>
                    <w:jc w:val="center"/>
                    <w:rPr>
                      <w:rFonts w:eastAsiaTheme="minorEastAsia"/>
                      <w:szCs w:val="21"/>
                    </w:rPr>
                  </w:pPr>
                  <w:r>
                    <w:rPr>
                      <w:rFonts w:eastAsiaTheme="minorEastAsia"/>
                      <w:szCs w:val="21"/>
                    </w:rPr>
                    <w:t>动植物油排放量(t/a)</w:t>
                  </w:r>
                </w:p>
              </w:tc>
              <w:tc>
                <w:tcPr>
                  <w:tcW w:w="2912" w:type="dxa"/>
                  <w:vAlign w:val="center"/>
                </w:tcPr>
                <w:p>
                  <w:pPr>
                    <w:jc w:val="center"/>
                    <w:rPr>
                      <w:rFonts w:eastAsiaTheme="minorEastAsia"/>
                      <w:szCs w:val="21"/>
                    </w:rPr>
                  </w:pPr>
                  <w:r>
                    <w:rPr>
                      <w:rFonts w:hint="eastAsia" w:eastAsiaTheme="minorEastAsia"/>
                      <w:szCs w:val="21"/>
                    </w:rPr>
                    <w:t>0</w:t>
                  </w:r>
                  <w:r>
                    <w:rPr>
                      <w:rFonts w:eastAsiaTheme="minorEastAsia"/>
                      <w:szCs w:val="21"/>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vAlign w:val="center"/>
                </w:tcPr>
                <w:p>
                  <w:pPr>
                    <w:jc w:val="center"/>
                    <w:rPr>
                      <w:rFonts w:eastAsiaTheme="minorEastAsia"/>
                      <w:szCs w:val="21"/>
                    </w:rPr>
                  </w:pPr>
                  <w:r>
                    <w:rPr>
                      <w:rFonts w:eastAsiaTheme="minorEastAsia"/>
                      <w:szCs w:val="21"/>
                    </w:rPr>
                    <w:t>SS</w:t>
                  </w:r>
                </w:p>
              </w:tc>
              <w:tc>
                <w:tcPr>
                  <w:tcW w:w="2912" w:type="dxa"/>
                  <w:vAlign w:val="center"/>
                </w:tcPr>
                <w:p>
                  <w:pPr>
                    <w:jc w:val="center"/>
                    <w:rPr>
                      <w:rFonts w:eastAsiaTheme="minorEastAsia"/>
                      <w:szCs w:val="21"/>
                    </w:rPr>
                  </w:pPr>
                  <w:r>
                    <w:rPr>
                      <w:rFonts w:hint="eastAsia" w:eastAsiaTheme="minorEastAsia"/>
                      <w:szCs w:val="21"/>
                    </w:rPr>
                    <w:t>0</w:t>
                  </w:r>
                  <w:r>
                    <w:rPr>
                      <w:rFonts w:eastAsiaTheme="minorEastAsia"/>
                      <w:szCs w:val="21"/>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vAlign w:val="center"/>
                </w:tcPr>
                <w:p>
                  <w:pPr>
                    <w:jc w:val="center"/>
                    <w:rPr>
                      <w:rFonts w:eastAsiaTheme="minorEastAsia"/>
                      <w:szCs w:val="21"/>
                    </w:rPr>
                  </w:pPr>
                  <w:r>
                    <w:rPr>
                      <w:rFonts w:eastAsiaTheme="minorEastAsia"/>
                      <w:kern w:val="0"/>
                      <w:szCs w:val="21"/>
                    </w:rPr>
                    <w:t>磷酸盐</w:t>
                  </w:r>
                </w:p>
              </w:tc>
              <w:tc>
                <w:tcPr>
                  <w:tcW w:w="2912" w:type="dxa"/>
                  <w:vAlign w:val="center"/>
                </w:tcPr>
                <w:p>
                  <w:pPr>
                    <w:jc w:val="center"/>
                    <w:rPr>
                      <w:rFonts w:eastAsiaTheme="minorEastAsia"/>
                      <w:szCs w:val="21"/>
                    </w:rPr>
                  </w:pPr>
                  <w:r>
                    <w:rPr>
                      <w:rFonts w:hint="eastAsia" w:eastAsiaTheme="minorEastAsia"/>
                      <w:szCs w:val="21"/>
                    </w:rPr>
                    <w:t>0</w:t>
                  </w:r>
                  <w:r>
                    <w:rPr>
                      <w:rFonts w:eastAsiaTheme="minorEastAsia"/>
                      <w:szCs w:val="21"/>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restart"/>
                  <w:vAlign w:val="center"/>
                </w:tcPr>
                <w:p>
                  <w:pPr>
                    <w:jc w:val="center"/>
                    <w:rPr>
                      <w:rFonts w:eastAsiaTheme="minorEastAsia"/>
                      <w:szCs w:val="21"/>
                    </w:rPr>
                  </w:pPr>
                  <w:r>
                    <w:rPr>
                      <w:rFonts w:eastAsiaTheme="minorEastAsia"/>
                      <w:szCs w:val="21"/>
                    </w:rPr>
                    <w:t>2</w:t>
                  </w:r>
                </w:p>
              </w:tc>
              <w:tc>
                <w:tcPr>
                  <w:tcW w:w="1130" w:type="dxa"/>
                  <w:vMerge w:val="restart"/>
                  <w:vAlign w:val="center"/>
                </w:tcPr>
                <w:p>
                  <w:pPr>
                    <w:jc w:val="center"/>
                    <w:rPr>
                      <w:rFonts w:eastAsiaTheme="minorEastAsia"/>
                      <w:szCs w:val="21"/>
                    </w:rPr>
                  </w:pPr>
                  <w:r>
                    <w:rPr>
                      <w:rFonts w:eastAsiaTheme="minorEastAsia"/>
                      <w:szCs w:val="21"/>
                    </w:rPr>
                    <w:t>废气</w:t>
                  </w:r>
                </w:p>
              </w:tc>
              <w:tc>
                <w:tcPr>
                  <w:tcW w:w="3072" w:type="dxa"/>
                  <w:vAlign w:val="center"/>
                </w:tcPr>
                <w:p>
                  <w:pPr>
                    <w:jc w:val="center"/>
                    <w:rPr>
                      <w:rFonts w:eastAsiaTheme="minorEastAsia"/>
                      <w:szCs w:val="21"/>
                    </w:rPr>
                  </w:pPr>
                  <w:r>
                    <w:rPr>
                      <w:rFonts w:eastAsiaTheme="minorEastAsia"/>
                      <w:szCs w:val="21"/>
                    </w:rPr>
                    <w:t>烟气量(m</w:t>
                  </w:r>
                  <w:r>
                    <w:rPr>
                      <w:rFonts w:eastAsiaTheme="minorEastAsia"/>
                      <w:szCs w:val="21"/>
                      <w:vertAlign w:val="superscript"/>
                    </w:rPr>
                    <w:t>3</w:t>
                  </w:r>
                  <w:r>
                    <w:rPr>
                      <w:rFonts w:eastAsiaTheme="minorEastAsia"/>
                      <w:szCs w:val="21"/>
                    </w:rPr>
                    <w:t>/a)</w:t>
                  </w:r>
                </w:p>
              </w:tc>
              <w:tc>
                <w:tcPr>
                  <w:tcW w:w="2912" w:type="dxa"/>
                  <w:vAlign w:val="center"/>
                </w:tcPr>
                <w:p>
                  <w:pPr>
                    <w:jc w:val="center"/>
                    <w:rPr>
                      <w:rFonts w:eastAsiaTheme="minorEastAsia"/>
                      <w:szCs w:val="21"/>
                    </w:rPr>
                  </w:pPr>
                  <w:r>
                    <w:rPr>
                      <w:rFonts w:hint="eastAsia" w:eastAsiaTheme="minorEastAsia"/>
                      <w:szCs w:val="21"/>
                    </w:rPr>
                    <w:t>2</w:t>
                  </w:r>
                  <w:r>
                    <w:rPr>
                      <w:rFonts w:eastAsiaTheme="minorEastAsia"/>
                      <w:szCs w:val="21"/>
                    </w:rPr>
                    <w:t>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vAlign w:val="center"/>
                </w:tcPr>
                <w:p>
                  <w:pPr>
                    <w:jc w:val="center"/>
                    <w:rPr>
                      <w:rFonts w:eastAsiaTheme="minorEastAsia"/>
                      <w:szCs w:val="21"/>
                    </w:rPr>
                  </w:pPr>
                  <w:r>
                    <w:rPr>
                      <w:rFonts w:eastAsiaTheme="minorEastAsia"/>
                      <w:szCs w:val="21"/>
                    </w:rPr>
                    <w:t>SO</w:t>
                  </w:r>
                  <w:r>
                    <w:rPr>
                      <w:rFonts w:eastAsiaTheme="minorEastAsia"/>
                      <w:szCs w:val="21"/>
                      <w:vertAlign w:val="subscript"/>
                    </w:rPr>
                    <w:t>2</w:t>
                  </w:r>
                  <w:r>
                    <w:rPr>
                      <w:rFonts w:eastAsiaTheme="minorEastAsia"/>
                      <w:szCs w:val="21"/>
                    </w:rPr>
                    <w:t xml:space="preserve"> (g/a)</w:t>
                  </w:r>
                </w:p>
              </w:tc>
              <w:tc>
                <w:tcPr>
                  <w:tcW w:w="2912" w:type="dxa"/>
                  <w:vAlign w:val="center"/>
                </w:tcPr>
                <w:p>
                  <w:pPr>
                    <w:jc w:val="center"/>
                    <w:rPr>
                      <w:rFonts w:eastAsiaTheme="minorEastAsia"/>
                      <w:szCs w:val="21"/>
                    </w:rPr>
                  </w:pPr>
                  <w:r>
                    <w:rPr>
                      <w:rFonts w:hint="eastAsia" w:eastAsiaTheme="minorEastAsia"/>
                      <w:szCs w:val="21"/>
                    </w:rPr>
                    <w:t>1</w:t>
                  </w:r>
                  <w:r>
                    <w:rPr>
                      <w:rFonts w:eastAsiaTheme="minorEastAsia"/>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vAlign w:val="center"/>
                </w:tcPr>
                <w:p>
                  <w:pPr>
                    <w:jc w:val="center"/>
                    <w:rPr>
                      <w:rFonts w:eastAsiaTheme="minorEastAsia"/>
                      <w:szCs w:val="21"/>
                      <w:vertAlign w:val="subscript"/>
                    </w:rPr>
                  </w:pPr>
                  <w:r>
                    <w:rPr>
                      <w:rFonts w:eastAsiaTheme="minorEastAsia"/>
                      <w:szCs w:val="21"/>
                    </w:rPr>
                    <w:t>NO</w:t>
                  </w:r>
                  <w:r>
                    <w:rPr>
                      <w:rFonts w:eastAsiaTheme="minorEastAsia"/>
                      <w:szCs w:val="21"/>
                      <w:vertAlign w:val="subscript"/>
                    </w:rPr>
                    <w:t>X</w:t>
                  </w:r>
                  <w:r>
                    <w:rPr>
                      <w:rFonts w:eastAsiaTheme="minorEastAsia"/>
                      <w:szCs w:val="21"/>
                    </w:rPr>
                    <w:t>(g/a)</w:t>
                  </w:r>
                </w:p>
              </w:tc>
              <w:tc>
                <w:tcPr>
                  <w:tcW w:w="2912" w:type="dxa"/>
                  <w:vAlign w:val="center"/>
                </w:tcPr>
                <w:p>
                  <w:pPr>
                    <w:jc w:val="center"/>
                    <w:rPr>
                      <w:rFonts w:eastAsiaTheme="minorEastAsia"/>
                      <w:szCs w:val="21"/>
                    </w:rPr>
                  </w:pPr>
                  <w:r>
                    <w:rPr>
                      <w:rFonts w:eastAsiaTheme="minorEastAsia"/>
                      <w:szCs w:val="21"/>
                    </w:rPr>
                    <w:t>0.732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vAlign w:val="center"/>
                </w:tcPr>
                <w:p>
                  <w:pPr>
                    <w:jc w:val="center"/>
                    <w:rPr>
                      <w:rFonts w:eastAsiaTheme="minorEastAsia"/>
                      <w:szCs w:val="21"/>
                    </w:rPr>
                  </w:pPr>
                  <w:r>
                    <w:rPr>
                      <w:rFonts w:eastAsiaTheme="minorEastAsia"/>
                      <w:szCs w:val="21"/>
                    </w:rPr>
                    <w:t>CO(g/a)</w:t>
                  </w:r>
                </w:p>
              </w:tc>
              <w:tc>
                <w:tcPr>
                  <w:tcW w:w="2912" w:type="dxa"/>
                  <w:vAlign w:val="center"/>
                </w:tcPr>
                <w:p>
                  <w:pPr>
                    <w:jc w:val="center"/>
                    <w:rPr>
                      <w:rFonts w:eastAsiaTheme="minorEastAsia"/>
                      <w:szCs w:val="21"/>
                    </w:rPr>
                  </w:pPr>
                  <w:r>
                    <w:rPr>
                      <w:rFonts w:hint="eastAsia" w:eastAsiaTheme="minorEastAsia"/>
                      <w:szCs w:val="21"/>
                    </w:rPr>
                    <w:t>0</w:t>
                  </w:r>
                  <w:r>
                    <w:rPr>
                      <w:rFonts w:eastAsiaTheme="minorEastAsia"/>
                      <w:szCs w:val="21"/>
                    </w:rPr>
                    <w:t>.434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vAlign w:val="center"/>
                </w:tcPr>
                <w:p>
                  <w:pPr>
                    <w:jc w:val="center"/>
                    <w:rPr>
                      <w:rFonts w:eastAsiaTheme="minorEastAsia"/>
                      <w:szCs w:val="21"/>
                    </w:rPr>
                  </w:pPr>
                  <w:r>
                    <w:rPr>
                      <w:rFonts w:hint="eastAsia" w:eastAsiaTheme="minorEastAsia"/>
                      <w:szCs w:val="21"/>
                    </w:rPr>
                    <w:t>颗粒物</w:t>
                  </w:r>
                  <w:r>
                    <w:rPr>
                      <w:rFonts w:eastAsiaTheme="minorEastAsia"/>
                      <w:szCs w:val="21"/>
                    </w:rPr>
                    <w:t>（</w:t>
                  </w:r>
                  <w:r>
                    <w:rPr>
                      <w:rFonts w:hint="eastAsia" w:eastAsiaTheme="minorEastAsia"/>
                      <w:szCs w:val="21"/>
                    </w:rPr>
                    <w:t>t</w:t>
                  </w:r>
                  <w:r>
                    <w:rPr>
                      <w:rFonts w:eastAsiaTheme="minorEastAsia"/>
                      <w:szCs w:val="21"/>
                    </w:rPr>
                    <w:t>/a）</w:t>
                  </w:r>
                </w:p>
              </w:tc>
              <w:tc>
                <w:tcPr>
                  <w:tcW w:w="2912" w:type="dxa"/>
                  <w:vAlign w:val="center"/>
                </w:tcPr>
                <w:p>
                  <w:pPr>
                    <w:jc w:val="center"/>
                    <w:rPr>
                      <w:rFonts w:eastAsiaTheme="minorEastAsia"/>
                      <w:szCs w:val="21"/>
                    </w:rPr>
                  </w:pPr>
                  <w:r>
                    <w:rPr>
                      <w:rFonts w:hint="eastAsia" w:eastAsiaTheme="minorEastAsia"/>
                      <w:szCs w:val="21"/>
                    </w:rPr>
                    <w:t>0</w:t>
                  </w:r>
                  <w:r>
                    <w:rPr>
                      <w:rFonts w:eastAsiaTheme="minorEastAsia"/>
                      <w:szCs w:val="21"/>
                    </w:rPr>
                    <w:t>.1716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vAlign w:val="center"/>
                </w:tcPr>
                <w:p>
                  <w:pPr>
                    <w:jc w:val="center"/>
                    <w:rPr>
                      <w:rFonts w:eastAsiaTheme="minorEastAsia"/>
                      <w:szCs w:val="21"/>
                    </w:rPr>
                  </w:pPr>
                  <w:r>
                    <w:rPr>
                      <w:rFonts w:hint="eastAsia" w:eastAsiaTheme="minorEastAsia"/>
                      <w:szCs w:val="21"/>
                    </w:rPr>
                    <w:t>挥发性有机物</w:t>
                  </w:r>
                  <w:r>
                    <w:rPr>
                      <w:rFonts w:eastAsiaTheme="minorEastAsia"/>
                      <w:szCs w:val="21"/>
                    </w:rPr>
                    <w:t>（t/a）</w:t>
                  </w:r>
                </w:p>
              </w:tc>
              <w:tc>
                <w:tcPr>
                  <w:tcW w:w="2912" w:type="dxa"/>
                  <w:vAlign w:val="center"/>
                </w:tcPr>
                <w:p>
                  <w:pPr>
                    <w:jc w:val="center"/>
                    <w:rPr>
                      <w:rFonts w:eastAsiaTheme="minorEastAsia"/>
                      <w:szCs w:val="21"/>
                    </w:rPr>
                  </w:pPr>
                  <w:r>
                    <w:rPr>
                      <w:rFonts w:hint="eastAsia" w:eastAsiaTheme="minorEastAsia"/>
                      <w:szCs w:val="21"/>
                    </w:rPr>
                    <w:t>0</w:t>
                  </w:r>
                  <w:r>
                    <w:rPr>
                      <w:rFonts w:eastAsiaTheme="minorEastAsia"/>
                      <w:szCs w:val="21"/>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vAlign w:val="center"/>
                </w:tcPr>
                <w:p>
                  <w:pPr>
                    <w:jc w:val="center"/>
                    <w:rPr>
                      <w:rFonts w:eastAsiaTheme="minorEastAsia"/>
                      <w:szCs w:val="21"/>
                      <w:vertAlign w:val="subscript"/>
                    </w:rPr>
                  </w:pPr>
                  <w:r>
                    <w:rPr>
                      <w:rFonts w:eastAsiaTheme="minorEastAsia"/>
                      <w:szCs w:val="21"/>
                    </w:rPr>
                    <w:t>油烟（kg/a）</w:t>
                  </w:r>
                </w:p>
              </w:tc>
              <w:tc>
                <w:tcPr>
                  <w:tcW w:w="2912" w:type="dxa"/>
                  <w:vAlign w:val="center"/>
                </w:tcPr>
                <w:p>
                  <w:pPr>
                    <w:jc w:val="center"/>
                    <w:rPr>
                      <w:rFonts w:eastAsiaTheme="minorEastAsia"/>
                      <w:szCs w:val="21"/>
                    </w:rPr>
                  </w:pPr>
                  <w:r>
                    <w:rPr>
                      <w:rFonts w:hint="eastAsia" w:eastAsiaTheme="minorEastAsia"/>
                      <w:szCs w:val="21"/>
                    </w:rPr>
                    <w:t>3</w:t>
                  </w:r>
                  <w:r>
                    <w:rPr>
                      <w:rFonts w:eastAsiaTheme="minorEastAsia"/>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restart"/>
                  <w:vAlign w:val="center"/>
                </w:tcPr>
                <w:p>
                  <w:pPr>
                    <w:jc w:val="center"/>
                    <w:rPr>
                      <w:rFonts w:eastAsiaTheme="minorEastAsia"/>
                      <w:szCs w:val="21"/>
                    </w:rPr>
                  </w:pPr>
                  <w:r>
                    <w:rPr>
                      <w:rFonts w:eastAsiaTheme="minorEastAsia"/>
                      <w:szCs w:val="21"/>
                    </w:rPr>
                    <w:t>3</w:t>
                  </w:r>
                </w:p>
              </w:tc>
              <w:tc>
                <w:tcPr>
                  <w:tcW w:w="1130" w:type="dxa"/>
                  <w:vMerge w:val="restart"/>
                  <w:vAlign w:val="center"/>
                </w:tcPr>
                <w:p>
                  <w:pPr>
                    <w:jc w:val="center"/>
                    <w:rPr>
                      <w:rFonts w:eastAsiaTheme="minorEastAsia"/>
                      <w:szCs w:val="21"/>
                    </w:rPr>
                  </w:pPr>
                  <w:r>
                    <w:rPr>
                      <w:rFonts w:eastAsiaTheme="minorEastAsia"/>
                      <w:szCs w:val="21"/>
                    </w:rPr>
                    <w:t>固体废弃物</w:t>
                  </w:r>
                </w:p>
              </w:tc>
              <w:tc>
                <w:tcPr>
                  <w:tcW w:w="3072" w:type="dxa"/>
                </w:tcPr>
                <w:p>
                  <w:pPr>
                    <w:autoSpaceDE w:val="0"/>
                    <w:autoSpaceDN w:val="0"/>
                    <w:adjustRightInd w:val="0"/>
                    <w:jc w:val="center"/>
                    <w:rPr>
                      <w:rFonts w:eastAsiaTheme="minorEastAsia"/>
                      <w:szCs w:val="21"/>
                    </w:rPr>
                  </w:pPr>
                  <w:r>
                    <w:rPr>
                      <w:rFonts w:eastAsiaTheme="minorEastAsia"/>
                      <w:szCs w:val="21"/>
                    </w:rPr>
                    <w:t>生活垃圾（t/a）</w:t>
                  </w:r>
                </w:p>
              </w:tc>
              <w:tc>
                <w:tcPr>
                  <w:tcW w:w="2912" w:type="dxa"/>
                  <w:vAlign w:val="center"/>
                </w:tcPr>
                <w:p>
                  <w:pPr>
                    <w:ind w:left="-90"/>
                    <w:jc w:val="center"/>
                    <w:rPr>
                      <w:rFonts w:eastAsiaTheme="minorEastAsia"/>
                      <w:szCs w:val="21"/>
                    </w:rPr>
                  </w:pPr>
                  <w:r>
                    <w:rPr>
                      <w:rFonts w:hint="eastAsia" w:eastAsiaTheme="minorEastAsia"/>
                      <w:szCs w:val="21"/>
                    </w:rPr>
                    <w:t>1</w:t>
                  </w:r>
                  <w:r>
                    <w:rPr>
                      <w:rFonts w:eastAsiaTheme="minor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tcPr>
                <w:p>
                  <w:pPr>
                    <w:widowControl/>
                    <w:jc w:val="center"/>
                    <w:rPr>
                      <w:kern w:val="0"/>
                      <w:sz w:val="24"/>
                    </w:rPr>
                  </w:pPr>
                  <w:r>
                    <w:rPr>
                      <w:rFonts w:eastAsiaTheme="minorEastAsia"/>
                      <w:szCs w:val="21"/>
                    </w:rPr>
                    <w:t>泔水（t/a）</w:t>
                  </w:r>
                </w:p>
              </w:tc>
              <w:tc>
                <w:tcPr>
                  <w:tcW w:w="2912" w:type="dxa"/>
                  <w:vAlign w:val="center"/>
                </w:tcPr>
                <w:p>
                  <w:pPr>
                    <w:ind w:left="-90"/>
                    <w:jc w:val="center"/>
                    <w:rPr>
                      <w:rFonts w:eastAsiaTheme="minorEastAsia"/>
                      <w:szCs w:val="21"/>
                    </w:rPr>
                  </w:pPr>
                  <w:r>
                    <w:rPr>
                      <w:rFonts w:hint="eastAsia" w:eastAsiaTheme="minorEastAsia"/>
                      <w:szCs w:val="21"/>
                    </w:rPr>
                    <w:t>1</w:t>
                  </w:r>
                  <w:r>
                    <w:rPr>
                      <w:rFonts w:eastAsiaTheme="minor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tcPr>
                <w:p>
                  <w:pPr>
                    <w:widowControl/>
                    <w:jc w:val="center"/>
                    <w:rPr>
                      <w:kern w:val="0"/>
                      <w:sz w:val="24"/>
                    </w:rPr>
                  </w:pPr>
                  <w:r>
                    <w:rPr>
                      <w:rFonts w:hint="eastAsia" w:eastAsiaTheme="minorEastAsia"/>
                      <w:szCs w:val="21"/>
                    </w:rPr>
                    <w:t>喷砂废砂</w:t>
                  </w:r>
                  <w:r>
                    <w:rPr>
                      <w:rFonts w:eastAsiaTheme="minorEastAsia"/>
                      <w:szCs w:val="21"/>
                    </w:rPr>
                    <w:t>（</w:t>
                  </w:r>
                  <w:r>
                    <w:rPr>
                      <w:rFonts w:hint="eastAsia" w:eastAsiaTheme="minorEastAsia"/>
                      <w:szCs w:val="21"/>
                    </w:rPr>
                    <w:t>kg</w:t>
                  </w:r>
                  <w:r>
                    <w:rPr>
                      <w:rFonts w:eastAsiaTheme="minorEastAsia"/>
                      <w:szCs w:val="21"/>
                    </w:rPr>
                    <w:t>/a）</w:t>
                  </w:r>
                </w:p>
              </w:tc>
              <w:tc>
                <w:tcPr>
                  <w:tcW w:w="2912" w:type="dxa"/>
                  <w:vAlign w:val="center"/>
                </w:tcPr>
                <w:p>
                  <w:pPr>
                    <w:ind w:left="-90"/>
                    <w:jc w:val="center"/>
                    <w:rPr>
                      <w:rFonts w:eastAsiaTheme="minorEastAsia"/>
                      <w:szCs w:val="21"/>
                    </w:rPr>
                  </w:pPr>
                  <w:r>
                    <w:rPr>
                      <w:rFonts w:hint="eastAsia" w:eastAsiaTheme="minorEastAsia"/>
                      <w:szCs w:val="21"/>
                    </w:rPr>
                    <w:t>2</w:t>
                  </w:r>
                  <w:r>
                    <w:rPr>
                      <w:rFonts w:eastAsiaTheme="minorEastAsia"/>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tcPr>
                <w:p>
                  <w:pPr>
                    <w:widowControl/>
                    <w:jc w:val="center"/>
                    <w:rPr>
                      <w:kern w:val="0"/>
                      <w:sz w:val="24"/>
                    </w:rPr>
                  </w:pPr>
                  <w:r>
                    <w:rPr>
                      <w:rFonts w:hint="eastAsia" w:eastAsiaTheme="minorEastAsia"/>
                      <w:szCs w:val="21"/>
                    </w:rPr>
                    <w:t>包装桶</w:t>
                  </w:r>
                  <w:r>
                    <w:rPr>
                      <w:rFonts w:eastAsiaTheme="minorEastAsia"/>
                      <w:szCs w:val="21"/>
                    </w:rPr>
                    <w:t>（t/a）</w:t>
                  </w:r>
                </w:p>
              </w:tc>
              <w:tc>
                <w:tcPr>
                  <w:tcW w:w="2912" w:type="dxa"/>
                  <w:vAlign w:val="center"/>
                </w:tcPr>
                <w:p>
                  <w:pPr>
                    <w:ind w:left="-90"/>
                    <w:jc w:val="center"/>
                    <w:rPr>
                      <w:rFonts w:eastAsiaTheme="minorEastAsia"/>
                      <w:szCs w:val="21"/>
                    </w:rPr>
                  </w:pPr>
                  <w:r>
                    <w:rPr>
                      <w:rFonts w:hint="eastAsia" w:eastAsiaTheme="minorEastAsia"/>
                      <w:szCs w:val="21"/>
                    </w:rPr>
                    <w:t>0</w:t>
                  </w:r>
                  <w:r>
                    <w:rPr>
                      <w:rFonts w:eastAsiaTheme="minor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tcPr>
                <w:p>
                  <w:pPr>
                    <w:autoSpaceDE w:val="0"/>
                    <w:autoSpaceDN w:val="0"/>
                    <w:adjustRightInd w:val="0"/>
                    <w:jc w:val="center"/>
                    <w:rPr>
                      <w:rFonts w:eastAsiaTheme="minorEastAsia"/>
                      <w:szCs w:val="21"/>
                    </w:rPr>
                  </w:pPr>
                  <w:r>
                    <w:rPr>
                      <w:rFonts w:hint="eastAsia" w:eastAsiaTheme="minorEastAsia"/>
                      <w:szCs w:val="21"/>
                    </w:rPr>
                    <w:t>废过滤棉</w:t>
                  </w:r>
                  <w:r>
                    <w:rPr>
                      <w:rFonts w:eastAsiaTheme="minorEastAsia"/>
                      <w:szCs w:val="21"/>
                    </w:rPr>
                    <w:t>、废活性炭（t/a）</w:t>
                  </w:r>
                </w:p>
              </w:tc>
              <w:tc>
                <w:tcPr>
                  <w:tcW w:w="2912" w:type="dxa"/>
                  <w:vAlign w:val="center"/>
                </w:tcPr>
                <w:p>
                  <w:pPr>
                    <w:ind w:left="-90"/>
                    <w:jc w:val="center"/>
                    <w:rPr>
                      <w:rFonts w:eastAsiaTheme="minorEastAsia"/>
                      <w:szCs w:val="21"/>
                    </w:rPr>
                  </w:pPr>
                  <w:r>
                    <w:rPr>
                      <w:rFonts w:hint="eastAsia" w:eastAsiaTheme="minor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tcPr>
                <w:p>
                  <w:pPr>
                    <w:autoSpaceDE w:val="0"/>
                    <w:autoSpaceDN w:val="0"/>
                    <w:adjustRightInd w:val="0"/>
                    <w:jc w:val="center"/>
                    <w:rPr>
                      <w:rFonts w:eastAsiaTheme="minorEastAsia"/>
                      <w:szCs w:val="21"/>
                    </w:rPr>
                  </w:pPr>
                  <w:r>
                    <w:rPr>
                      <w:rFonts w:eastAsiaTheme="minorEastAsia"/>
                      <w:szCs w:val="21"/>
                    </w:rPr>
                    <w:t>隔油池废油、污泥（t/a）</w:t>
                  </w:r>
                </w:p>
              </w:tc>
              <w:tc>
                <w:tcPr>
                  <w:tcW w:w="2912" w:type="dxa"/>
                  <w:vAlign w:val="center"/>
                </w:tcPr>
                <w:p>
                  <w:pPr>
                    <w:ind w:left="-90"/>
                    <w:jc w:val="center"/>
                    <w:rPr>
                      <w:rFonts w:eastAsiaTheme="minorEastAsia"/>
                      <w:szCs w:val="21"/>
                    </w:rPr>
                  </w:pPr>
                  <w:r>
                    <w:rPr>
                      <w:rFonts w:hint="eastAsia" w:eastAsiaTheme="minorEastAsia"/>
                      <w:szCs w:val="21"/>
                    </w:rPr>
                    <w:t>0</w:t>
                  </w:r>
                  <w:r>
                    <w:rPr>
                      <w:rFonts w:eastAsiaTheme="minorEastAsia"/>
                      <w:szCs w:val="21"/>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tcPr>
                <w:p>
                  <w:pPr>
                    <w:autoSpaceDE w:val="0"/>
                    <w:autoSpaceDN w:val="0"/>
                    <w:adjustRightInd w:val="0"/>
                    <w:jc w:val="center"/>
                    <w:rPr>
                      <w:rFonts w:eastAsiaTheme="minorEastAsia"/>
                      <w:szCs w:val="21"/>
                    </w:rPr>
                  </w:pPr>
                  <w:r>
                    <w:rPr>
                      <w:rFonts w:eastAsiaTheme="minorEastAsia"/>
                      <w:szCs w:val="21"/>
                    </w:rPr>
                    <w:t>废机油（t/a）</w:t>
                  </w:r>
                </w:p>
              </w:tc>
              <w:tc>
                <w:tcPr>
                  <w:tcW w:w="2912" w:type="dxa"/>
                  <w:vAlign w:val="center"/>
                </w:tcPr>
                <w:p>
                  <w:pPr>
                    <w:ind w:left="-90"/>
                    <w:jc w:val="center"/>
                    <w:rPr>
                      <w:rFonts w:eastAsiaTheme="minorEastAsia"/>
                      <w:szCs w:val="21"/>
                    </w:rPr>
                  </w:pPr>
                  <w:r>
                    <w:rPr>
                      <w:rFonts w:hint="eastAsia" w:eastAsiaTheme="minorEastAsia"/>
                      <w:szCs w:val="21"/>
                    </w:rPr>
                    <w:t>0</w:t>
                  </w:r>
                  <w:r>
                    <w:rPr>
                      <w:rFonts w:eastAsiaTheme="minorEastAsia"/>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tcPr>
                <w:p>
                  <w:pPr>
                    <w:autoSpaceDE w:val="0"/>
                    <w:autoSpaceDN w:val="0"/>
                    <w:adjustRightInd w:val="0"/>
                    <w:jc w:val="center"/>
                    <w:rPr>
                      <w:rFonts w:eastAsiaTheme="minorEastAsia"/>
                      <w:szCs w:val="21"/>
                    </w:rPr>
                  </w:pPr>
                  <w:r>
                    <w:rPr>
                      <w:rFonts w:eastAsiaTheme="minorEastAsia"/>
                      <w:szCs w:val="21"/>
                    </w:rPr>
                    <w:t>打磨废料（t/a）</w:t>
                  </w:r>
                </w:p>
              </w:tc>
              <w:tc>
                <w:tcPr>
                  <w:tcW w:w="2912" w:type="dxa"/>
                  <w:vAlign w:val="center"/>
                </w:tcPr>
                <w:p>
                  <w:pPr>
                    <w:ind w:left="-90"/>
                    <w:jc w:val="center"/>
                    <w:rPr>
                      <w:rFonts w:eastAsiaTheme="minorEastAsia"/>
                      <w:szCs w:val="21"/>
                    </w:rPr>
                  </w:pPr>
                  <w:r>
                    <w:rPr>
                      <w:rFonts w:hint="eastAsia" w:eastAsiaTheme="minorEastAsia"/>
                      <w:szCs w:val="21"/>
                    </w:rPr>
                    <w:t>0</w:t>
                  </w:r>
                  <w:r>
                    <w:rPr>
                      <w:rFonts w:eastAsiaTheme="minorEastAsia"/>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trPr>
              <w:tc>
                <w:tcPr>
                  <w:tcW w:w="821" w:type="dxa"/>
                  <w:vMerge w:val="continue"/>
                  <w:vAlign w:val="center"/>
                </w:tcPr>
                <w:p>
                  <w:pPr>
                    <w:jc w:val="center"/>
                    <w:rPr>
                      <w:rFonts w:eastAsiaTheme="minorEastAsia"/>
                      <w:szCs w:val="21"/>
                    </w:rPr>
                  </w:pPr>
                </w:p>
              </w:tc>
              <w:tc>
                <w:tcPr>
                  <w:tcW w:w="1130" w:type="dxa"/>
                  <w:vMerge w:val="continue"/>
                  <w:vAlign w:val="center"/>
                </w:tcPr>
                <w:p>
                  <w:pPr>
                    <w:jc w:val="center"/>
                    <w:rPr>
                      <w:rFonts w:eastAsiaTheme="minorEastAsia"/>
                      <w:szCs w:val="21"/>
                    </w:rPr>
                  </w:pPr>
                </w:p>
              </w:tc>
              <w:tc>
                <w:tcPr>
                  <w:tcW w:w="3072" w:type="dxa"/>
                </w:tcPr>
                <w:p>
                  <w:pPr>
                    <w:autoSpaceDE w:val="0"/>
                    <w:autoSpaceDN w:val="0"/>
                    <w:adjustRightInd w:val="0"/>
                    <w:jc w:val="center"/>
                    <w:rPr>
                      <w:rFonts w:eastAsiaTheme="minorEastAsia"/>
                      <w:szCs w:val="21"/>
                    </w:rPr>
                  </w:pPr>
                  <w:r>
                    <w:rPr>
                      <w:rFonts w:eastAsiaTheme="minorEastAsia"/>
                      <w:szCs w:val="21"/>
                    </w:rPr>
                    <w:t>除锈废液（t/a）</w:t>
                  </w:r>
                </w:p>
              </w:tc>
              <w:tc>
                <w:tcPr>
                  <w:tcW w:w="2912" w:type="dxa"/>
                  <w:vAlign w:val="center"/>
                </w:tcPr>
                <w:p>
                  <w:pPr>
                    <w:ind w:left="-90"/>
                    <w:jc w:val="center"/>
                    <w:rPr>
                      <w:rFonts w:eastAsiaTheme="minorEastAsia"/>
                      <w:szCs w:val="21"/>
                    </w:rPr>
                  </w:pPr>
                  <w:r>
                    <w:rPr>
                      <w:rFonts w:hint="eastAsia" w:eastAsiaTheme="minorEastAsia"/>
                      <w:szCs w:val="21"/>
                    </w:rPr>
                    <w:t>2</w:t>
                  </w:r>
                </w:p>
              </w:tc>
            </w:tr>
          </w:tbl>
          <w:p>
            <w:pPr>
              <w:spacing w:line="360" w:lineRule="auto"/>
              <w:rPr>
                <w:b/>
                <w:bCs/>
                <w:sz w:val="24"/>
              </w:rPr>
            </w:pPr>
          </w:p>
          <w:p>
            <w:pPr>
              <w:spacing w:line="360" w:lineRule="auto"/>
              <w:rPr>
                <w:b/>
                <w:bCs/>
                <w:sz w:val="24"/>
              </w:rPr>
            </w:pPr>
          </w:p>
          <w:p>
            <w:pPr>
              <w:spacing w:line="360" w:lineRule="auto"/>
              <w:rPr>
                <w:b/>
                <w:bCs/>
                <w:sz w:val="24"/>
              </w:rPr>
            </w:pPr>
          </w:p>
          <w:p>
            <w:pPr>
              <w:spacing w:line="360" w:lineRule="auto"/>
              <w:ind w:firstLine="480" w:firstLineChars="200"/>
              <w:rPr>
                <w:rFonts w:eastAsiaTheme="minorEastAsia"/>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19" w:hRule="atLeast"/>
          <w:jc w:val="center"/>
        </w:trPr>
        <w:tc>
          <w:tcPr>
            <w:tcW w:w="823" w:type="dxa"/>
            <w:vAlign w:val="center"/>
          </w:tcPr>
          <w:p>
            <w:pPr>
              <w:pStyle w:val="39"/>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 w:val="21"/>
                <w:szCs w:val="21"/>
              </w:rPr>
              <w:t>与项目有关的原有环境污染问题</w:t>
            </w:r>
          </w:p>
        </w:tc>
        <w:tc>
          <w:tcPr>
            <w:tcW w:w="8161" w:type="dxa"/>
          </w:tcPr>
          <w:p>
            <w:pPr>
              <w:adjustRightInd w:val="0"/>
              <w:snapToGrid w:val="0"/>
              <w:spacing w:line="360" w:lineRule="auto"/>
              <w:ind w:firstLine="480" w:firstLineChars="200"/>
              <w:rPr>
                <w:bCs/>
                <w:sz w:val="24"/>
              </w:rPr>
            </w:pPr>
            <w:r>
              <w:rPr>
                <w:bCs/>
                <w:sz w:val="24"/>
              </w:rPr>
              <w:t>一、一期项目污染源</w:t>
            </w:r>
          </w:p>
          <w:p>
            <w:pPr>
              <w:adjustRightInd w:val="0"/>
              <w:snapToGrid w:val="0"/>
              <w:spacing w:line="360" w:lineRule="auto"/>
              <w:rPr>
                <w:bCs/>
                <w:sz w:val="24"/>
              </w:rPr>
            </w:pPr>
            <w:r>
              <w:rPr>
                <w:bCs/>
                <w:sz w:val="24"/>
              </w:rPr>
              <w:t xml:space="preserve">  2010年9月，原昆明南车城市轨道车辆有限公司委托昆明市环境科学研究院对昆明南车城市轨道装备基地项目一期工程进行了环境影响评价，编制完成《昆明南车城市轨道装备基地建设项目环境影响报告书》，2010年10月29日，云南省环境保护厅以云环审[2010]252号文对该环境影响报告书进行了批复，同意项目建设。根据《昆明南车城市轨道装备基地建设项目环境影响报告书》及批复，一期项目位于晋宁县晋城镇富有村，占地面积27.3hm²（包含二期预留用地），主要建设铁路试车线，联合生产厂房等主体工程，配套建设相应办公和生活设施，生产能力为年产城轨200辆。</w:t>
            </w:r>
          </w:p>
          <w:p>
            <w:pPr>
              <w:adjustRightInd w:val="0"/>
              <w:snapToGrid w:val="0"/>
              <w:spacing w:line="360" w:lineRule="auto"/>
              <w:ind w:firstLine="480" w:firstLineChars="200"/>
              <w:rPr>
                <w:bCs/>
                <w:sz w:val="24"/>
              </w:rPr>
            </w:pPr>
            <w:r>
              <w:rPr>
                <w:bCs/>
                <w:sz w:val="24"/>
              </w:rPr>
              <w:t>一期项目于2011年4月开工建设，至2011年底土建及主体工程安装完工。2012年10月12日，昆明市环境保护局以昆环保复[2012]462号文《关于昆明南车城市轨道车辆有限公司城轨装备基地建设项目试运行申请的批复》同意一期项目进行试生产。2012年3月27日，玉溪市环境保护局以玉环试[2012]14号文《关于昆明南车城市轨道车辆有限公司城轨装备基地建设项目延期试生产的批复》同意该项目试生产延期。</w:t>
            </w:r>
          </w:p>
          <w:p>
            <w:pPr>
              <w:adjustRightInd w:val="0"/>
              <w:snapToGrid w:val="0"/>
              <w:spacing w:line="360" w:lineRule="auto"/>
              <w:ind w:firstLine="480" w:firstLineChars="200"/>
              <w:rPr>
                <w:bCs/>
                <w:sz w:val="24"/>
              </w:rPr>
            </w:pPr>
            <w:r>
              <w:rPr>
                <w:bCs/>
                <w:sz w:val="24"/>
              </w:rPr>
              <w:t>项目实施过程中，在整个项目产能及工艺条件不变的情况下，对部分尾气排放设施进行了部分变更，2014年6月5日，云南省环境保护厅以云环审[2014]134号文对该项目补充报告进行了批复，同意一期项目变更。一期项目项目于2015年2月26日通过了原云南省环境保护厅组织的竣工环境保护验收。根据《昆明南车城市轨道车辆有限公司城轨装备基地建设项目竣工环保验收监测报告》，该项目总占地面积272673.64㎡（409.01亩），包含二期项目预留用地，项目年产城轨车辆200。</w:t>
            </w:r>
          </w:p>
          <w:p>
            <w:pPr>
              <w:adjustRightInd w:val="0"/>
              <w:snapToGrid w:val="0"/>
              <w:spacing w:line="360" w:lineRule="auto"/>
              <w:ind w:firstLine="480" w:firstLineChars="200"/>
              <w:rPr>
                <w:bCs/>
                <w:sz w:val="24"/>
              </w:rPr>
            </w:pPr>
            <w:r>
              <w:rPr>
                <w:bCs/>
                <w:sz w:val="24"/>
              </w:rPr>
              <w:t>（1）一期项目主要建设内容</w:t>
            </w:r>
          </w:p>
          <w:p>
            <w:pPr>
              <w:adjustRightInd w:val="0"/>
              <w:snapToGrid w:val="0"/>
              <w:spacing w:line="360" w:lineRule="auto"/>
              <w:ind w:firstLine="480" w:firstLineChars="200"/>
              <w:rPr>
                <w:bCs/>
                <w:sz w:val="24"/>
              </w:rPr>
            </w:pPr>
            <w:r>
              <w:rPr>
                <w:bCs/>
                <w:sz w:val="24"/>
              </w:rPr>
              <w:t>一期项目总占地面积为272673.64m</w:t>
            </w:r>
            <w:r>
              <w:rPr>
                <w:bCs/>
                <w:sz w:val="24"/>
                <w:vertAlign w:val="superscript"/>
              </w:rPr>
              <w:t>2</w:t>
            </w:r>
            <w:r>
              <w:rPr>
                <w:bCs/>
                <w:sz w:val="24"/>
              </w:rPr>
              <w:t>（409.01亩），包括项目一期用地及二期预留用地。</w:t>
            </w:r>
          </w:p>
          <w:p>
            <w:pPr>
              <w:adjustRightInd w:val="0"/>
              <w:snapToGrid w:val="0"/>
              <w:spacing w:line="360" w:lineRule="auto"/>
              <w:ind w:firstLine="480" w:firstLineChars="200"/>
              <w:rPr>
                <w:bCs/>
                <w:sz w:val="24"/>
              </w:rPr>
            </w:pPr>
            <w:r>
              <w:rPr>
                <w:bCs/>
                <w:sz w:val="24"/>
              </w:rPr>
              <w:t>拟建用地规划分为四个主要功能区：铁路专用线区、生产厂房区、办公生活区及辅助设施区。</w:t>
            </w:r>
          </w:p>
          <w:p>
            <w:pPr>
              <w:adjustRightInd w:val="0"/>
              <w:snapToGrid w:val="0"/>
              <w:spacing w:line="360" w:lineRule="auto"/>
              <w:ind w:firstLine="480" w:firstLineChars="200"/>
              <w:rPr>
                <w:bCs/>
                <w:sz w:val="24"/>
              </w:rPr>
            </w:pPr>
            <w:r>
              <w:rPr>
                <w:bCs/>
                <w:sz w:val="24"/>
              </w:rPr>
              <w:t>铁路专用线区：位于用地东面，铁路试车线（接入线）从厂区北面的昆明车辆段试车线并排接入，厂区内铁路专用线布置动调线一条、淋雨试车线一条、存车线二条、静调线二条。项目运营早期，动调线与轨道公司车辆段共用，并通过动调线与轨道公司车辆段和社会城轨接轨。项目留有增加一条动调线用地。</w:t>
            </w:r>
          </w:p>
          <w:p>
            <w:pPr>
              <w:adjustRightInd w:val="0"/>
              <w:snapToGrid w:val="0"/>
              <w:spacing w:line="360" w:lineRule="auto"/>
              <w:ind w:firstLine="480" w:firstLineChars="200"/>
              <w:rPr>
                <w:bCs/>
                <w:sz w:val="24"/>
              </w:rPr>
            </w:pPr>
            <w:r>
              <w:rPr>
                <w:bCs/>
                <w:sz w:val="24"/>
              </w:rPr>
              <w:t>生产厂房区：位于用地中部，铁路线的西面，规划布置联合厂房、二期预留库房、二期大修厂房、新造扩能区厂房及两栋规划厂房，主干道形成十字形的道路网布局。本次新建联合厂房，外形尺寸为203 m×141m，建筑面积31117m2。</w:t>
            </w:r>
          </w:p>
          <w:p>
            <w:pPr>
              <w:adjustRightInd w:val="0"/>
              <w:snapToGrid w:val="0"/>
              <w:spacing w:line="360" w:lineRule="auto"/>
              <w:ind w:firstLine="480" w:firstLineChars="200"/>
              <w:rPr>
                <w:bCs/>
                <w:sz w:val="24"/>
              </w:rPr>
            </w:pPr>
            <w:r>
              <w:rPr>
                <w:bCs/>
                <w:sz w:val="24"/>
              </w:rPr>
              <w:t>办公生活区：位于用地西北角，紧临南北大道。规划办公大楼为四层建筑，建筑面积6000 m</w:t>
            </w:r>
            <w:r>
              <w:rPr>
                <w:bCs/>
                <w:sz w:val="24"/>
                <w:vertAlign w:val="superscript"/>
              </w:rPr>
              <w:t>2</w:t>
            </w:r>
            <w:r>
              <w:rPr>
                <w:bCs/>
                <w:sz w:val="24"/>
              </w:rPr>
              <w:t>，布置在用地靠南北大道的中部，面向南北大道形成厂前区主广场、主大门及主要人流出入口，办公大楼及厂前广场北面布置集中大型停车场，满足员工及外来人员的停车需求。停车场的北面、用地的西北角布置员工倒班宿舍及食堂，围合成一个整体建筑；本次新建靠北面的五层倒班宿舍，建筑面积4000 m</w:t>
            </w:r>
            <w:r>
              <w:rPr>
                <w:bCs/>
                <w:sz w:val="24"/>
                <w:vertAlign w:val="superscript"/>
              </w:rPr>
              <w:t>2</w:t>
            </w:r>
            <w:r>
              <w:rPr>
                <w:bCs/>
                <w:sz w:val="24"/>
              </w:rPr>
              <w:t>。</w:t>
            </w:r>
          </w:p>
          <w:p>
            <w:pPr>
              <w:adjustRightInd w:val="0"/>
              <w:snapToGrid w:val="0"/>
              <w:spacing w:line="360" w:lineRule="auto"/>
              <w:ind w:firstLine="480" w:firstLineChars="200"/>
              <w:rPr>
                <w:bCs/>
                <w:sz w:val="24"/>
              </w:rPr>
            </w:pPr>
            <w:r>
              <w:rPr>
                <w:bCs/>
                <w:sz w:val="24"/>
              </w:rPr>
              <w:t>辅助设施区：主要位于用地南端（本次新建联合厂房的南端），布置本次新建的空压站（含配电房）、油漆库；本次新建的泵房及水池就近布置在淋雨试车线东面，本次新建的中心变电站及动调站布置在用地的东北角处，靠负荷较近的车辆试车线；地埋式污水处理站主要为处理生活污水，布置在倒班宿舍附近。</w:t>
            </w:r>
          </w:p>
          <w:p>
            <w:pPr>
              <w:adjustRightInd w:val="0"/>
              <w:snapToGrid w:val="0"/>
              <w:spacing w:line="360" w:lineRule="auto"/>
              <w:ind w:firstLine="480" w:firstLineChars="200"/>
              <w:rPr>
                <w:bCs/>
                <w:sz w:val="24"/>
              </w:rPr>
            </w:pPr>
            <w:r>
              <w:rPr>
                <w:bCs/>
                <w:sz w:val="24"/>
              </w:rPr>
              <w:t>基地靠南北大道布置三个出入口，西南角及西北角分别为主、次物流出入口，中部为主要人流出入口，本次新建中部人流出入口及西南角主要物流出入口。</w:t>
            </w:r>
          </w:p>
          <w:p>
            <w:pPr>
              <w:adjustRightInd w:val="0"/>
              <w:snapToGrid w:val="0"/>
              <w:spacing w:line="360" w:lineRule="auto"/>
              <w:ind w:firstLine="480" w:firstLineChars="200"/>
              <w:rPr>
                <w:bCs/>
                <w:sz w:val="24"/>
              </w:rPr>
            </w:pPr>
            <w:r>
              <w:rPr>
                <w:bCs/>
                <w:sz w:val="24"/>
              </w:rPr>
              <w:t>一期项目主要生产规模为新造200辆城轨车辆的生产能力。</w:t>
            </w:r>
          </w:p>
          <w:p>
            <w:pPr>
              <w:spacing w:line="360" w:lineRule="auto"/>
              <w:ind w:firstLine="1899" w:firstLineChars="788"/>
              <w:rPr>
                <w:b/>
                <w:sz w:val="24"/>
              </w:rPr>
            </w:pPr>
            <w:r>
              <w:rPr>
                <w:b/>
                <w:sz w:val="24"/>
              </w:rPr>
              <w:t>表2-10   项目实际建设内容及规模一览表</w:t>
            </w:r>
          </w:p>
          <w:tbl>
            <w:tblPr>
              <w:tblStyle w:val="44"/>
              <w:tblW w:w="78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73"/>
              <w:gridCol w:w="1022"/>
              <w:gridCol w:w="740"/>
              <w:gridCol w:w="933"/>
              <w:gridCol w:w="886"/>
              <w:gridCol w:w="3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11" w:hRule="atLeast"/>
                <w:jc w:val="center"/>
              </w:trPr>
              <w:tc>
                <w:tcPr>
                  <w:tcW w:w="473"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分类</w:t>
                  </w:r>
                </w:p>
              </w:tc>
              <w:tc>
                <w:tcPr>
                  <w:tcW w:w="1022"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名称</w:t>
                  </w:r>
                </w:p>
              </w:tc>
              <w:tc>
                <w:tcPr>
                  <w:tcW w:w="740"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层数</w:t>
                  </w:r>
                </w:p>
              </w:tc>
              <w:tc>
                <w:tcPr>
                  <w:tcW w:w="933"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占地面积(m</w:t>
                  </w:r>
                  <w:r>
                    <w:rPr>
                      <w:kern w:val="0"/>
                      <w:sz w:val="22"/>
                      <w:szCs w:val="22"/>
                      <w:vertAlign w:val="superscript"/>
                    </w:rPr>
                    <w:t>2</w:t>
                  </w:r>
                  <w:r>
                    <w:rPr>
                      <w:kern w:val="0"/>
                      <w:sz w:val="22"/>
                      <w:szCs w:val="22"/>
                    </w:rPr>
                    <w:t>)</w:t>
                  </w:r>
                </w:p>
              </w:tc>
              <w:tc>
                <w:tcPr>
                  <w:tcW w:w="886"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建筑面积(m</w:t>
                  </w:r>
                  <w:r>
                    <w:rPr>
                      <w:kern w:val="0"/>
                      <w:sz w:val="22"/>
                      <w:szCs w:val="22"/>
                      <w:vertAlign w:val="superscript"/>
                    </w:rPr>
                    <w:t>2</w:t>
                  </w:r>
                  <w:r>
                    <w:rPr>
                      <w:kern w:val="0"/>
                      <w:sz w:val="22"/>
                      <w:szCs w:val="22"/>
                    </w:rPr>
                    <w:t>)</w:t>
                  </w:r>
                </w:p>
              </w:tc>
              <w:tc>
                <w:tcPr>
                  <w:tcW w:w="3824"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31" w:hRule="atLeast"/>
                <w:jc w:val="center"/>
              </w:trPr>
              <w:tc>
                <w:tcPr>
                  <w:tcW w:w="473" w:type="dxa"/>
                  <w:vMerge w:val="restart"/>
                  <w:vAlign w:val="center"/>
                </w:tcPr>
                <w:p>
                  <w:pPr>
                    <w:autoSpaceDE w:val="0"/>
                    <w:autoSpaceDN w:val="0"/>
                    <w:adjustRightInd w:val="0"/>
                    <w:spacing w:line="320" w:lineRule="atLeast"/>
                    <w:textAlignment w:val="baseline"/>
                    <w:rPr>
                      <w:kern w:val="0"/>
                      <w:sz w:val="22"/>
                      <w:szCs w:val="22"/>
                    </w:rPr>
                  </w:pPr>
                  <w:r>
                    <w:rPr>
                      <w:kern w:val="0"/>
                      <w:sz w:val="22"/>
                      <w:szCs w:val="22"/>
                    </w:rPr>
                    <w:t>主体工程</w:t>
                  </w:r>
                </w:p>
              </w:tc>
              <w:tc>
                <w:tcPr>
                  <w:tcW w:w="1022"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联合厂房</w:t>
                  </w:r>
                </w:p>
              </w:tc>
              <w:tc>
                <w:tcPr>
                  <w:tcW w:w="740"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主体1层，局部2层</w:t>
                  </w:r>
                </w:p>
              </w:tc>
              <w:tc>
                <w:tcPr>
                  <w:tcW w:w="933"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28623</w:t>
                  </w:r>
                </w:p>
              </w:tc>
              <w:tc>
                <w:tcPr>
                  <w:tcW w:w="886"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31117</w:t>
                  </w:r>
                </w:p>
              </w:tc>
              <w:tc>
                <w:tcPr>
                  <w:tcW w:w="3824" w:type="dxa"/>
                  <w:vAlign w:val="center"/>
                </w:tcPr>
                <w:p>
                  <w:pPr>
                    <w:autoSpaceDE w:val="0"/>
                    <w:autoSpaceDN w:val="0"/>
                    <w:adjustRightInd w:val="0"/>
                    <w:spacing w:line="320" w:lineRule="atLeast"/>
                    <w:textAlignment w:val="baseline"/>
                    <w:rPr>
                      <w:kern w:val="0"/>
                      <w:sz w:val="22"/>
                      <w:szCs w:val="22"/>
                    </w:rPr>
                  </w:pPr>
                  <w:r>
                    <w:rPr>
                      <w:kern w:val="0"/>
                      <w:sz w:val="22"/>
                      <w:szCs w:val="22"/>
                    </w:rPr>
                    <w:t>厂房内布置车体车间辅助间、车体组焊车间、组装仓库、总成车间、静调车间、涂装车间辅助间、涂装表面处理车间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557" w:hRule="atLeast"/>
                <w:jc w:val="center"/>
              </w:trPr>
              <w:tc>
                <w:tcPr>
                  <w:tcW w:w="473" w:type="dxa"/>
                  <w:vMerge w:val="continue"/>
                  <w:vAlign w:val="center"/>
                </w:tcPr>
                <w:p>
                  <w:pPr>
                    <w:autoSpaceDE w:val="0"/>
                    <w:autoSpaceDN w:val="0"/>
                    <w:adjustRightInd w:val="0"/>
                    <w:spacing w:line="320" w:lineRule="atLeast"/>
                    <w:ind w:firstLine="601"/>
                    <w:textAlignment w:val="baseline"/>
                    <w:rPr>
                      <w:kern w:val="0"/>
                      <w:sz w:val="22"/>
                      <w:szCs w:val="22"/>
                    </w:rPr>
                  </w:pPr>
                </w:p>
              </w:tc>
              <w:tc>
                <w:tcPr>
                  <w:tcW w:w="1022"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铁路专用线区</w:t>
                  </w:r>
                </w:p>
              </w:tc>
              <w:tc>
                <w:tcPr>
                  <w:tcW w:w="740"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w:t>
                  </w:r>
                </w:p>
              </w:tc>
              <w:tc>
                <w:tcPr>
                  <w:tcW w:w="933"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22210</w:t>
                  </w:r>
                </w:p>
              </w:tc>
              <w:tc>
                <w:tcPr>
                  <w:tcW w:w="886"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w:t>
                  </w:r>
                </w:p>
              </w:tc>
              <w:tc>
                <w:tcPr>
                  <w:tcW w:w="3824" w:type="dxa"/>
                  <w:vAlign w:val="center"/>
                </w:tcPr>
                <w:p>
                  <w:pPr>
                    <w:autoSpaceDE w:val="0"/>
                    <w:autoSpaceDN w:val="0"/>
                    <w:adjustRightInd w:val="0"/>
                    <w:spacing w:line="320" w:lineRule="atLeast"/>
                    <w:textAlignment w:val="baseline"/>
                    <w:rPr>
                      <w:kern w:val="0"/>
                      <w:sz w:val="22"/>
                      <w:szCs w:val="22"/>
                    </w:rPr>
                  </w:pPr>
                  <w:r>
                    <w:rPr>
                      <w:kern w:val="0"/>
                      <w:sz w:val="22"/>
                      <w:szCs w:val="22"/>
                    </w:rPr>
                    <w:t>位于用地南面，铁路试车线（接入线）从厂区东北面的昆明车辆段试车线（未建设）并排接入，厂区内铁路专用线布置动调线一条、淋雨试车线一条、存车线二条、静调线二条。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26" w:hRule="atLeast"/>
                <w:jc w:val="center"/>
              </w:trPr>
              <w:tc>
                <w:tcPr>
                  <w:tcW w:w="473" w:type="dxa"/>
                  <w:vMerge w:val="restart"/>
                  <w:vAlign w:val="center"/>
                </w:tcPr>
                <w:p>
                  <w:pPr>
                    <w:autoSpaceDE w:val="0"/>
                    <w:autoSpaceDN w:val="0"/>
                    <w:adjustRightInd w:val="0"/>
                    <w:spacing w:line="320" w:lineRule="atLeast"/>
                    <w:textAlignment w:val="baseline"/>
                    <w:rPr>
                      <w:kern w:val="0"/>
                      <w:sz w:val="22"/>
                      <w:szCs w:val="22"/>
                    </w:rPr>
                  </w:pPr>
                  <w:r>
                    <w:rPr>
                      <w:kern w:val="0"/>
                      <w:sz w:val="22"/>
                      <w:szCs w:val="22"/>
                    </w:rPr>
                    <w:t>辅助工程</w:t>
                  </w:r>
                </w:p>
              </w:tc>
              <w:tc>
                <w:tcPr>
                  <w:tcW w:w="1022"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车间办公楼</w:t>
                  </w:r>
                </w:p>
              </w:tc>
              <w:tc>
                <w:tcPr>
                  <w:tcW w:w="740"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2层</w:t>
                  </w:r>
                </w:p>
              </w:tc>
              <w:tc>
                <w:tcPr>
                  <w:tcW w:w="933"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w:t>
                  </w:r>
                </w:p>
              </w:tc>
              <w:tc>
                <w:tcPr>
                  <w:tcW w:w="886"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2448</w:t>
                  </w:r>
                </w:p>
              </w:tc>
              <w:tc>
                <w:tcPr>
                  <w:tcW w:w="3824" w:type="dxa"/>
                  <w:vAlign w:val="center"/>
                </w:tcPr>
                <w:p>
                  <w:pPr>
                    <w:autoSpaceDE w:val="0"/>
                    <w:autoSpaceDN w:val="0"/>
                    <w:adjustRightInd w:val="0"/>
                    <w:spacing w:line="320" w:lineRule="atLeast"/>
                    <w:textAlignment w:val="baseline"/>
                    <w:rPr>
                      <w:kern w:val="0"/>
                      <w:sz w:val="22"/>
                      <w:szCs w:val="22"/>
                    </w:rPr>
                  </w:pPr>
                  <w:r>
                    <w:rPr>
                      <w:kern w:val="0"/>
                      <w:sz w:val="22"/>
                      <w:szCs w:val="22"/>
                    </w:rPr>
                    <w:t>位于项目联合厂房内、车间辅助间上面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31" w:hRule="atLeast"/>
                <w:jc w:val="center"/>
              </w:trPr>
              <w:tc>
                <w:tcPr>
                  <w:tcW w:w="473" w:type="dxa"/>
                  <w:vMerge w:val="continue"/>
                  <w:vAlign w:val="center"/>
                </w:tcPr>
                <w:p>
                  <w:pPr>
                    <w:autoSpaceDE w:val="0"/>
                    <w:autoSpaceDN w:val="0"/>
                    <w:adjustRightInd w:val="0"/>
                    <w:spacing w:line="320" w:lineRule="atLeast"/>
                    <w:ind w:firstLine="601"/>
                    <w:textAlignment w:val="baseline"/>
                    <w:rPr>
                      <w:kern w:val="0"/>
                      <w:sz w:val="22"/>
                      <w:szCs w:val="22"/>
                    </w:rPr>
                  </w:pPr>
                </w:p>
              </w:tc>
              <w:tc>
                <w:tcPr>
                  <w:tcW w:w="1022"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倒班宿舍及食堂</w:t>
                  </w:r>
                </w:p>
              </w:tc>
              <w:tc>
                <w:tcPr>
                  <w:tcW w:w="740"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4层</w:t>
                  </w:r>
                </w:p>
              </w:tc>
              <w:tc>
                <w:tcPr>
                  <w:tcW w:w="933"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834</w:t>
                  </w:r>
                </w:p>
              </w:tc>
              <w:tc>
                <w:tcPr>
                  <w:tcW w:w="886"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4000</w:t>
                  </w:r>
                </w:p>
              </w:tc>
              <w:tc>
                <w:tcPr>
                  <w:tcW w:w="3824" w:type="dxa"/>
                  <w:vAlign w:val="center"/>
                </w:tcPr>
                <w:p>
                  <w:pPr>
                    <w:autoSpaceDE w:val="0"/>
                    <w:autoSpaceDN w:val="0"/>
                    <w:adjustRightInd w:val="0"/>
                    <w:spacing w:line="320" w:lineRule="atLeast"/>
                    <w:textAlignment w:val="baseline"/>
                    <w:rPr>
                      <w:kern w:val="0"/>
                      <w:sz w:val="22"/>
                      <w:szCs w:val="22"/>
                    </w:rPr>
                  </w:pPr>
                  <w:r>
                    <w:rPr>
                      <w:kern w:val="0"/>
                      <w:sz w:val="22"/>
                      <w:szCs w:val="22"/>
                    </w:rPr>
                    <w:t>倒班宿舍1层设置职工食堂，每天提供三餐，就餐人数约为400人；倒班宿舍2～4层设置职工宿舍，约350名职工住宿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60" w:hRule="atLeast"/>
                <w:jc w:val="center"/>
              </w:trPr>
              <w:tc>
                <w:tcPr>
                  <w:tcW w:w="473" w:type="dxa"/>
                  <w:vMerge w:val="continue"/>
                  <w:vAlign w:val="center"/>
                </w:tcPr>
                <w:p>
                  <w:pPr>
                    <w:autoSpaceDE w:val="0"/>
                    <w:autoSpaceDN w:val="0"/>
                    <w:adjustRightInd w:val="0"/>
                    <w:spacing w:line="320" w:lineRule="atLeast"/>
                    <w:ind w:firstLine="601"/>
                    <w:textAlignment w:val="baseline"/>
                    <w:rPr>
                      <w:kern w:val="0"/>
                      <w:sz w:val="22"/>
                      <w:szCs w:val="22"/>
                    </w:rPr>
                  </w:pPr>
                </w:p>
              </w:tc>
              <w:tc>
                <w:tcPr>
                  <w:tcW w:w="1022"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空压站（含配电房）</w:t>
                  </w:r>
                </w:p>
              </w:tc>
              <w:tc>
                <w:tcPr>
                  <w:tcW w:w="740"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1层</w:t>
                  </w:r>
                </w:p>
              </w:tc>
              <w:tc>
                <w:tcPr>
                  <w:tcW w:w="933"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281</w:t>
                  </w:r>
                </w:p>
              </w:tc>
              <w:tc>
                <w:tcPr>
                  <w:tcW w:w="886"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281</w:t>
                  </w:r>
                </w:p>
              </w:tc>
              <w:tc>
                <w:tcPr>
                  <w:tcW w:w="3824" w:type="dxa"/>
                  <w:vAlign w:val="center"/>
                </w:tcPr>
                <w:p>
                  <w:pPr>
                    <w:spacing w:line="320" w:lineRule="atLeast"/>
                    <w:rPr>
                      <w:sz w:val="22"/>
                      <w:szCs w:val="22"/>
                    </w:rPr>
                  </w:pPr>
                  <w:r>
                    <w:rPr>
                      <w:sz w:val="22"/>
                      <w:szCs w:val="22"/>
                    </w:rPr>
                    <w:t>位于用地西南面（联合厂房的西面）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26" w:hRule="atLeast"/>
                <w:jc w:val="center"/>
              </w:trPr>
              <w:tc>
                <w:tcPr>
                  <w:tcW w:w="473" w:type="dxa"/>
                  <w:vMerge w:val="continue"/>
                  <w:vAlign w:val="center"/>
                </w:tcPr>
                <w:p>
                  <w:pPr>
                    <w:autoSpaceDE w:val="0"/>
                    <w:autoSpaceDN w:val="0"/>
                    <w:adjustRightInd w:val="0"/>
                    <w:spacing w:line="320" w:lineRule="atLeast"/>
                    <w:ind w:firstLine="601"/>
                    <w:textAlignment w:val="baseline"/>
                    <w:rPr>
                      <w:kern w:val="0"/>
                      <w:sz w:val="22"/>
                      <w:szCs w:val="22"/>
                    </w:rPr>
                  </w:pPr>
                </w:p>
              </w:tc>
              <w:tc>
                <w:tcPr>
                  <w:tcW w:w="1022"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油漆库</w:t>
                  </w:r>
                </w:p>
              </w:tc>
              <w:tc>
                <w:tcPr>
                  <w:tcW w:w="740"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1层</w:t>
                  </w:r>
                </w:p>
              </w:tc>
              <w:tc>
                <w:tcPr>
                  <w:tcW w:w="933"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210</w:t>
                  </w:r>
                </w:p>
              </w:tc>
              <w:tc>
                <w:tcPr>
                  <w:tcW w:w="886"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210</w:t>
                  </w:r>
                </w:p>
              </w:tc>
              <w:tc>
                <w:tcPr>
                  <w:tcW w:w="3824" w:type="dxa"/>
                  <w:vAlign w:val="center"/>
                </w:tcPr>
                <w:p>
                  <w:pPr>
                    <w:autoSpaceDE w:val="0"/>
                    <w:autoSpaceDN w:val="0"/>
                    <w:adjustRightInd w:val="0"/>
                    <w:spacing w:line="320" w:lineRule="atLeast"/>
                    <w:textAlignment w:val="baseline"/>
                    <w:rPr>
                      <w:kern w:val="0"/>
                      <w:sz w:val="22"/>
                      <w:szCs w:val="22"/>
                    </w:rPr>
                  </w:pPr>
                  <w:r>
                    <w:rPr>
                      <w:kern w:val="0"/>
                      <w:sz w:val="22"/>
                      <w:szCs w:val="22"/>
                    </w:rPr>
                    <w:t>位于用地西南面（联合厂房的西南面）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26" w:hRule="atLeast"/>
                <w:jc w:val="center"/>
              </w:trPr>
              <w:tc>
                <w:tcPr>
                  <w:tcW w:w="473" w:type="dxa"/>
                  <w:vMerge w:val="continue"/>
                  <w:vAlign w:val="center"/>
                </w:tcPr>
                <w:p>
                  <w:pPr>
                    <w:autoSpaceDE w:val="0"/>
                    <w:autoSpaceDN w:val="0"/>
                    <w:adjustRightInd w:val="0"/>
                    <w:spacing w:line="320" w:lineRule="atLeast"/>
                    <w:ind w:firstLine="601"/>
                    <w:textAlignment w:val="baseline"/>
                    <w:rPr>
                      <w:kern w:val="0"/>
                      <w:sz w:val="22"/>
                      <w:szCs w:val="22"/>
                    </w:rPr>
                  </w:pPr>
                </w:p>
              </w:tc>
              <w:tc>
                <w:tcPr>
                  <w:tcW w:w="1022"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天燃气调压站</w:t>
                  </w:r>
                </w:p>
              </w:tc>
              <w:tc>
                <w:tcPr>
                  <w:tcW w:w="740"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1层</w:t>
                  </w:r>
                </w:p>
              </w:tc>
              <w:tc>
                <w:tcPr>
                  <w:tcW w:w="933"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120</w:t>
                  </w:r>
                </w:p>
              </w:tc>
              <w:tc>
                <w:tcPr>
                  <w:tcW w:w="886"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w:t>
                  </w:r>
                </w:p>
              </w:tc>
              <w:tc>
                <w:tcPr>
                  <w:tcW w:w="3824" w:type="dxa"/>
                  <w:vAlign w:val="center"/>
                </w:tcPr>
                <w:p>
                  <w:pPr>
                    <w:autoSpaceDE w:val="0"/>
                    <w:autoSpaceDN w:val="0"/>
                    <w:adjustRightInd w:val="0"/>
                    <w:spacing w:line="320" w:lineRule="atLeast"/>
                    <w:textAlignment w:val="baseline"/>
                    <w:rPr>
                      <w:kern w:val="0"/>
                      <w:sz w:val="22"/>
                      <w:szCs w:val="22"/>
                    </w:rPr>
                  </w:pPr>
                  <w:r>
                    <w:rPr>
                      <w:kern w:val="0"/>
                      <w:sz w:val="22"/>
                      <w:szCs w:val="22"/>
                    </w:rPr>
                    <w:t>目前已经建设完成，因市政配套供气管道建设滞后，未使用。为确保本项目如期投入生产，委托华润燃气在项目内建设了临时供应站。位于预留新造扩用地内，供应站的运行及维护由华润燃气公司承担。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26" w:hRule="atLeast"/>
                <w:jc w:val="center"/>
              </w:trPr>
              <w:tc>
                <w:tcPr>
                  <w:tcW w:w="473" w:type="dxa"/>
                  <w:vMerge w:val="continue"/>
                  <w:vAlign w:val="center"/>
                </w:tcPr>
                <w:p>
                  <w:pPr>
                    <w:autoSpaceDE w:val="0"/>
                    <w:autoSpaceDN w:val="0"/>
                    <w:adjustRightInd w:val="0"/>
                    <w:spacing w:line="320" w:lineRule="atLeast"/>
                    <w:ind w:firstLine="601"/>
                    <w:textAlignment w:val="baseline"/>
                    <w:rPr>
                      <w:kern w:val="0"/>
                      <w:sz w:val="22"/>
                      <w:szCs w:val="22"/>
                    </w:rPr>
                  </w:pPr>
                </w:p>
              </w:tc>
              <w:tc>
                <w:tcPr>
                  <w:tcW w:w="1022"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泵房</w:t>
                  </w:r>
                </w:p>
              </w:tc>
              <w:tc>
                <w:tcPr>
                  <w:tcW w:w="740"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w:t>
                  </w:r>
                </w:p>
              </w:tc>
              <w:tc>
                <w:tcPr>
                  <w:tcW w:w="933"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w:t>
                  </w:r>
                </w:p>
              </w:tc>
              <w:tc>
                <w:tcPr>
                  <w:tcW w:w="886"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w:t>
                  </w:r>
                </w:p>
              </w:tc>
              <w:tc>
                <w:tcPr>
                  <w:tcW w:w="3824" w:type="dxa"/>
                  <w:vAlign w:val="center"/>
                </w:tcPr>
                <w:p>
                  <w:pPr>
                    <w:autoSpaceDE w:val="0"/>
                    <w:autoSpaceDN w:val="0"/>
                    <w:adjustRightInd w:val="0"/>
                    <w:spacing w:line="320" w:lineRule="atLeast"/>
                    <w:textAlignment w:val="baseline"/>
                    <w:rPr>
                      <w:kern w:val="0"/>
                      <w:sz w:val="22"/>
                      <w:szCs w:val="22"/>
                    </w:rPr>
                  </w:pPr>
                  <w:r>
                    <w:rPr>
                      <w:kern w:val="0"/>
                      <w:sz w:val="22"/>
                      <w:szCs w:val="22"/>
                    </w:rPr>
                    <w:t>位于联合厂房东面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31" w:hRule="atLeast"/>
                <w:jc w:val="center"/>
              </w:trPr>
              <w:tc>
                <w:tcPr>
                  <w:tcW w:w="473" w:type="dxa"/>
                  <w:vAlign w:val="center"/>
                </w:tcPr>
                <w:p>
                  <w:pPr>
                    <w:autoSpaceDE w:val="0"/>
                    <w:autoSpaceDN w:val="0"/>
                    <w:adjustRightInd w:val="0"/>
                    <w:spacing w:line="320" w:lineRule="atLeast"/>
                    <w:textAlignment w:val="baseline"/>
                    <w:rPr>
                      <w:kern w:val="0"/>
                      <w:sz w:val="22"/>
                      <w:szCs w:val="22"/>
                    </w:rPr>
                  </w:pPr>
                  <w:r>
                    <w:rPr>
                      <w:kern w:val="0"/>
                      <w:sz w:val="22"/>
                      <w:szCs w:val="22"/>
                    </w:rPr>
                    <w:t>公用工程</w:t>
                  </w:r>
                </w:p>
              </w:tc>
              <w:tc>
                <w:tcPr>
                  <w:tcW w:w="1022"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中心变电站及动调站</w:t>
                  </w:r>
                </w:p>
              </w:tc>
              <w:tc>
                <w:tcPr>
                  <w:tcW w:w="740"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1层</w:t>
                  </w:r>
                </w:p>
              </w:tc>
              <w:tc>
                <w:tcPr>
                  <w:tcW w:w="933"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312</w:t>
                  </w:r>
                </w:p>
              </w:tc>
              <w:tc>
                <w:tcPr>
                  <w:tcW w:w="886"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312</w:t>
                  </w:r>
                </w:p>
              </w:tc>
              <w:tc>
                <w:tcPr>
                  <w:tcW w:w="3824" w:type="dxa"/>
                  <w:vAlign w:val="center"/>
                </w:tcPr>
                <w:p>
                  <w:pPr>
                    <w:spacing w:line="320" w:lineRule="atLeast"/>
                    <w:rPr>
                      <w:sz w:val="22"/>
                      <w:szCs w:val="22"/>
                    </w:rPr>
                  </w:pPr>
                  <w:r>
                    <w:rPr>
                      <w:sz w:val="22"/>
                      <w:szCs w:val="22"/>
                    </w:rPr>
                    <w:t>中心变电站及动调站设置于项目东面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70" w:hRule="atLeast"/>
                <w:jc w:val="center"/>
              </w:trPr>
              <w:tc>
                <w:tcPr>
                  <w:tcW w:w="473" w:type="dxa"/>
                  <w:vMerge w:val="restart"/>
                  <w:vAlign w:val="center"/>
                </w:tcPr>
                <w:p>
                  <w:pPr>
                    <w:autoSpaceDE w:val="0"/>
                    <w:autoSpaceDN w:val="0"/>
                    <w:adjustRightInd w:val="0"/>
                    <w:spacing w:line="320" w:lineRule="atLeast"/>
                    <w:textAlignment w:val="baseline"/>
                    <w:rPr>
                      <w:kern w:val="0"/>
                      <w:sz w:val="22"/>
                      <w:szCs w:val="22"/>
                    </w:rPr>
                  </w:pPr>
                  <w:r>
                    <w:rPr>
                      <w:kern w:val="0"/>
                      <w:sz w:val="22"/>
                      <w:szCs w:val="22"/>
                    </w:rPr>
                    <w:t>环保工程</w:t>
                  </w:r>
                </w:p>
              </w:tc>
              <w:tc>
                <w:tcPr>
                  <w:tcW w:w="1022"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地埋式污水处理站</w:t>
                  </w:r>
                </w:p>
              </w:tc>
              <w:tc>
                <w:tcPr>
                  <w:tcW w:w="740"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w:t>
                  </w:r>
                </w:p>
              </w:tc>
              <w:tc>
                <w:tcPr>
                  <w:tcW w:w="933"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230</w:t>
                  </w:r>
                </w:p>
              </w:tc>
              <w:tc>
                <w:tcPr>
                  <w:tcW w:w="886"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w:t>
                  </w:r>
                </w:p>
              </w:tc>
              <w:tc>
                <w:tcPr>
                  <w:tcW w:w="3824" w:type="dxa"/>
                  <w:vAlign w:val="center"/>
                </w:tcPr>
                <w:p>
                  <w:pPr>
                    <w:autoSpaceDE w:val="0"/>
                    <w:autoSpaceDN w:val="0"/>
                    <w:adjustRightInd w:val="0"/>
                    <w:spacing w:line="320" w:lineRule="atLeast"/>
                    <w:textAlignment w:val="baseline"/>
                    <w:rPr>
                      <w:kern w:val="0"/>
                      <w:sz w:val="22"/>
                      <w:szCs w:val="22"/>
                    </w:rPr>
                  </w:pPr>
                  <w:r>
                    <w:rPr>
                      <w:kern w:val="0"/>
                      <w:sz w:val="22"/>
                      <w:szCs w:val="22"/>
                    </w:rPr>
                    <w:t>位于倒班宿舍的西南面，处理工艺采用二级生化+深度处理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20" w:hRule="atLeast"/>
                <w:jc w:val="center"/>
              </w:trPr>
              <w:tc>
                <w:tcPr>
                  <w:tcW w:w="473" w:type="dxa"/>
                  <w:vMerge w:val="continue"/>
                  <w:vAlign w:val="center"/>
                </w:tcPr>
                <w:p>
                  <w:pPr>
                    <w:autoSpaceDE w:val="0"/>
                    <w:autoSpaceDN w:val="0"/>
                    <w:adjustRightInd w:val="0"/>
                    <w:spacing w:line="320" w:lineRule="atLeast"/>
                    <w:ind w:firstLine="601"/>
                    <w:textAlignment w:val="baseline"/>
                    <w:rPr>
                      <w:kern w:val="0"/>
                      <w:sz w:val="22"/>
                      <w:szCs w:val="22"/>
                    </w:rPr>
                  </w:pPr>
                </w:p>
              </w:tc>
              <w:tc>
                <w:tcPr>
                  <w:tcW w:w="1022"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循环水池</w:t>
                  </w:r>
                </w:p>
              </w:tc>
              <w:tc>
                <w:tcPr>
                  <w:tcW w:w="740"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w:t>
                  </w:r>
                </w:p>
              </w:tc>
              <w:tc>
                <w:tcPr>
                  <w:tcW w:w="933"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w:t>
                  </w:r>
                </w:p>
              </w:tc>
              <w:tc>
                <w:tcPr>
                  <w:tcW w:w="886" w:type="dxa"/>
                  <w:vAlign w:val="center"/>
                </w:tcPr>
                <w:p>
                  <w:pPr>
                    <w:autoSpaceDE w:val="0"/>
                    <w:autoSpaceDN w:val="0"/>
                    <w:adjustRightInd w:val="0"/>
                    <w:spacing w:line="320" w:lineRule="atLeast"/>
                    <w:jc w:val="center"/>
                    <w:textAlignment w:val="baseline"/>
                    <w:rPr>
                      <w:kern w:val="0"/>
                      <w:sz w:val="22"/>
                      <w:szCs w:val="22"/>
                    </w:rPr>
                  </w:pPr>
                  <w:r>
                    <w:rPr>
                      <w:kern w:val="0"/>
                      <w:sz w:val="22"/>
                      <w:szCs w:val="22"/>
                    </w:rPr>
                    <w:t>---</w:t>
                  </w:r>
                </w:p>
              </w:tc>
              <w:tc>
                <w:tcPr>
                  <w:tcW w:w="3824" w:type="dxa"/>
                  <w:vAlign w:val="center"/>
                </w:tcPr>
                <w:p>
                  <w:pPr>
                    <w:autoSpaceDE w:val="0"/>
                    <w:autoSpaceDN w:val="0"/>
                    <w:adjustRightInd w:val="0"/>
                    <w:spacing w:line="320" w:lineRule="atLeast"/>
                    <w:textAlignment w:val="baseline"/>
                    <w:rPr>
                      <w:kern w:val="0"/>
                      <w:sz w:val="22"/>
                      <w:szCs w:val="22"/>
                    </w:rPr>
                  </w:pPr>
                  <w:r>
                    <w:rPr>
                      <w:kern w:val="0"/>
                      <w:sz w:val="22"/>
                      <w:szCs w:val="22"/>
                    </w:rPr>
                    <w:t>51m</w:t>
                  </w:r>
                  <w:r>
                    <w:rPr>
                      <w:kern w:val="0"/>
                      <w:sz w:val="22"/>
                      <w:szCs w:val="22"/>
                      <w:vertAlign w:val="superscript"/>
                    </w:rPr>
                    <w:t>3</w:t>
                  </w:r>
                </w:p>
              </w:tc>
            </w:tr>
          </w:tbl>
          <w:p>
            <w:pPr>
              <w:adjustRightInd w:val="0"/>
              <w:snapToGrid w:val="0"/>
              <w:spacing w:line="360" w:lineRule="auto"/>
              <w:jc w:val="center"/>
              <w:rPr>
                <w:b/>
                <w:sz w:val="24"/>
              </w:rPr>
            </w:pPr>
            <w:r>
              <w:rPr>
                <w:b/>
                <w:sz w:val="24"/>
              </w:rPr>
              <w:t>表2-11  项目实际主要设备表</w:t>
            </w:r>
          </w:p>
          <w:tbl>
            <w:tblPr>
              <w:tblStyle w:val="44"/>
              <w:tblW w:w="76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357"/>
              <w:gridCol w:w="2547"/>
              <w:gridCol w:w="918"/>
              <w:gridCol w:w="2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587" w:type="dxa"/>
                </w:tcPr>
                <w:p>
                  <w:pPr>
                    <w:spacing w:line="340" w:lineRule="atLeast"/>
                    <w:jc w:val="center"/>
                    <w:rPr>
                      <w:sz w:val="22"/>
                      <w:szCs w:val="22"/>
                    </w:rPr>
                  </w:pPr>
                  <w:r>
                    <w:rPr>
                      <w:sz w:val="22"/>
                      <w:szCs w:val="22"/>
                    </w:rPr>
                    <w:t>序号</w:t>
                  </w:r>
                </w:p>
              </w:tc>
              <w:tc>
                <w:tcPr>
                  <w:tcW w:w="1357" w:type="dxa"/>
                </w:tcPr>
                <w:p>
                  <w:pPr>
                    <w:spacing w:line="340" w:lineRule="atLeast"/>
                    <w:jc w:val="center"/>
                    <w:rPr>
                      <w:sz w:val="22"/>
                      <w:szCs w:val="22"/>
                    </w:rPr>
                  </w:pPr>
                  <w:r>
                    <w:rPr>
                      <w:sz w:val="22"/>
                      <w:szCs w:val="22"/>
                    </w:rPr>
                    <w:t>名称</w:t>
                  </w:r>
                </w:p>
              </w:tc>
              <w:tc>
                <w:tcPr>
                  <w:tcW w:w="2547" w:type="dxa"/>
                </w:tcPr>
                <w:p>
                  <w:pPr>
                    <w:spacing w:line="340" w:lineRule="atLeast"/>
                    <w:jc w:val="center"/>
                    <w:rPr>
                      <w:sz w:val="22"/>
                      <w:szCs w:val="22"/>
                    </w:rPr>
                  </w:pPr>
                  <w:r>
                    <w:rPr>
                      <w:sz w:val="22"/>
                      <w:szCs w:val="22"/>
                    </w:rPr>
                    <w:t>设备名称</w:t>
                  </w:r>
                </w:p>
              </w:tc>
              <w:tc>
                <w:tcPr>
                  <w:tcW w:w="918" w:type="dxa"/>
                </w:tcPr>
                <w:p>
                  <w:pPr>
                    <w:spacing w:line="340" w:lineRule="atLeast"/>
                    <w:jc w:val="center"/>
                    <w:rPr>
                      <w:sz w:val="22"/>
                      <w:szCs w:val="22"/>
                    </w:rPr>
                  </w:pPr>
                  <w:r>
                    <w:rPr>
                      <w:sz w:val="22"/>
                      <w:szCs w:val="22"/>
                    </w:rPr>
                    <w:t>单位</w:t>
                  </w:r>
                </w:p>
              </w:tc>
              <w:tc>
                <w:tcPr>
                  <w:tcW w:w="2257" w:type="dxa"/>
                </w:tcPr>
                <w:p>
                  <w:pPr>
                    <w:spacing w:line="340" w:lineRule="atLeast"/>
                    <w:jc w:val="center"/>
                    <w:rPr>
                      <w:sz w:val="22"/>
                      <w:szCs w:val="22"/>
                    </w:rPr>
                  </w:pPr>
                  <w:r>
                    <w:rPr>
                      <w:sz w:val="22"/>
                      <w:szCs w:val="2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87" w:type="dxa"/>
                </w:tcPr>
                <w:p>
                  <w:pPr>
                    <w:spacing w:line="340" w:lineRule="atLeast"/>
                    <w:jc w:val="center"/>
                    <w:rPr>
                      <w:sz w:val="22"/>
                      <w:szCs w:val="22"/>
                    </w:rPr>
                  </w:pPr>
                  <w:r>
                    <w:rPr>
                      <w:sz w:val="22"/>
                      <w:szCs w:val="22"/>
                    </w:rPr>
                    <w:t>1</w:t>
                  </w:r>
                </w:p>
              </w:tc>
              <w:tc>
                <w:tcPr>
                  <w:tcW w:w="1357" w:type="dxa"/>
                </w:tcPr>
                <w:p>
                  <w:pPr>
                    <w:spacing w:line="340" w:lineRule="atLeast"/>
                    <w:jc w:val="center"/>
                    <w:rPr>
                      <w:sz w:val="22"/>
                      <w:szCs w:val="22"/>
                    </w:rPr>
                  </w:pPr>
                  <w:r>
                    <w:rPr>
                      <w:sz w:val="22"/>
                      <w:szCs w:val="22"/>
                    </w:rPr>
                    <w:t>表面处理车间</w:t>
                  </w:r>
                </w:p>
              </w:tc>
              <w:tc>
                <w:tcPr>
                  <w:tcW w:w="2547" w:type="dxa"/>
                </w:tcPr>
                <w:p>
                  <w:pPr>
                    <w:spacing w:line="340" w:lineRule="atLeast"/>
                    <w:jc w:val="center"/>
                    <w:rPr>
                      <w:sz w:val="22"/>
                      <w:szCs w:val="22"/>
                    </w:rPr>
                  </w:pPr>
                  <w:r>
                    <w:rPr>
                      <w:sz w:val="22"/>
                      <w:szCs w:val="22"/>
                    </w:rPr>
                    <w:t>打磨系统</w:t>
                  </w:r>
                </w:p>
              </w:tc>
              <w:tc>
                <w:tcPr>
                  <w:tcW w:w="918" w:type="dxa"/>
                </w:tcPr>
                <w:p>
                  <w:pPr>
                    <w:spacing w:line="340" w:lineRule="atLeast"/>
                    <w:jc w:val="center"/>
                    <w:rPr>
                      <w:sz w:val="22"/>
                      <w:szCs w:val="22"/>
                    </w:rPr>
                  </w:pPr>
                  <w:r>
                    <w:rPr>
                      <w:sz w:val="22"/>
                      <w:szCs w:val="22"/>
                    </w:rPr>
                    <w:t>套</w:t>
                  </w:r>
                </w:p>
              </w:tc>
              <w:tc>
                <w:tcPr>
                  <w:tcW w:w="2257" w:type="dxa"/>
                </w:tcPr>
                <w:p>
                  <w:pPr>
                    <w:spacing w:line="340" w:lineRule="atLeast"/>
                    <w:jc w:val="center"/>
                    <w:rPr>
                      <w:sz w:val="22"/>
                      <w:szCs w:val="22"/>
                    </w:rPr>
                  </w:pPr>
                  <w:r>
                    <w:rPr>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587" w:type="dxa"/>
                </w:tcPr>
                <w:p>
                  <w:pPr>
                    <w:spacing w:line="340" w:lineRule="atLeast"/>
                    <w:jc w:val="center"/>
                    <w:rPr>
                      <w:sz w:val="22"/>
                      <w:szCs w:val="22"/>
                    </w:rPr>
                  </w:pPr>
                  <w:r>
                    <w:rPr>
                      <w:sz w:val="22"/>
                      <w:szCs w:val="22"/>
                    </w:rPr>
                    <w:t>2</w:t>
                  </w:r>
                </w:p>
              </w:tc>
              <w:tc>
                <w:tcPr>
                  <w:tcW w:w="1357" w:type="dxa"/>
                </w:tcPr>
                <w:p>
                  <w:pPr>
                    <w:spacing w:line="340" w:lineRule="atLeast"/>
                    <w:jc w:val="center"/>
                    <w:rPr>
                      <w:sz w:val="22"/>
                      <w:szCs w:val="22"/>
                    </w:rPr>
                  </w:pPr>
                </w:p>
              </w:tc>
              <w:tc>
                <w:tcPr>
                  <w:tcW w:w="2547" w:type="dxa"/>
                </w:tcPr>
                <w:p>
                  <w:pPr>
                    <w:spacing w:line="340" w:lineRule="atLeast"/>
                    <w:jc w:val="center"/>
                    <w:rPr>
                      <w:sz w:val="22"/>
                      <w:szCs w:val="22"/>
                    </w:rPr>
                  </w:pPr>
                  <w:r>
                    <w:rPr>
                      <w:sz w:val="22"/>
                      <w:szCs w:val="22"/>
                    </w:rPr>
                    <w:t>喷砂系统</w:t>
                  </w:r>
                </w:p>
              </w:tc>
              <w:tc>
                <w:tcPr>
                  <w:tcW w:w="918" w:type="dxa"/>
                </w:tcPr>
                <w:p>
                  <w:pPr>
                    <w:spacing w:line="340" w:lineRule="atLeast"/>
                    <w:jc w:val="center"/>
                    <w:rPr>
                      <w:sz w:val="22"/>
                      <w:szCs w:val="22"/>
                    </w:rPr>
                  </w:pPr>
                  <w:r>
                    <w:rPr>
                      <w:sz w:val="22"/>
                      <w:szCs w:val="22"/>
                    </w:rPr>
                    <w:t>套</w:t>
                  </w:r>
                </w:p>
              </w:tc>
              <w:tc>
                <w:tcPr>
                  <w:tcW w:w="2257" w:type="dxa"/>
                </w:tcPr>
                <w:p>
                  <w:pPr>
                    <w:spacing w:line="340" w:lineRule="atLeast"/>
                    <w:jc w:val="center"/>
                    <w:rPr>
                      <w:sz w:val="22"/>
                      <w:szCs w:val="22"/>
                    </w:rPr>
                  </w:pPr>
                  <w:r>
                    <w:rPr>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587" w:type="dxa"/>
                </w:tcPr>
                <w:p>
                  <w:pPr>
                    <w:spacing w:line="340" w:lineRule="atLeast"/>
                    <w:jc w:val="center"/>
                    <w:rPr>
                      <w:sz w:val="22"/>
                      <w:szCs w:val="22"/>
                    </w:rPr>
                  </w:pPr>
                  <w:r>
                    <w:rPr>
                      <w:sz w:val="22"/>
                      <w:szCs w:val="22"/>
                    </w:rPr>
                    <w:t>3</w:t>
                  </w:r>
                </w:p>
              </w:tc>
              <w:tc>
                <w:tcPr>
                  <w:tcW w:w="1357" w:type="dxa"/>
                </w:tcPr>
                <w:p>
                  <w:pPr>
                    <w:spacing w:line="340" w:lineRule="atLeast"/>
                    <w:jc w:val="center"/>
                    <w:rPr>
                      <w:sz w:val="22"/>
                      <w:szCs w:val="22"/>
                    </w:rPr>
                  </w:pPr>
                </w:p>
              </w:tc>
              <w:tc>
                <w:tcPr>
                  <w:tcW w:w="2547" w:type="dxa"/>
                </w:tcPr>
                <w:p>
                  <w:pPr>
                    <w:spacing w:line="340" w:lineRule="atLeast"/>
                    <w:jc w:val="center"/>
                    <w:rPr>
                      <w:sz w:val="22"/>
                      <w:szCs w:val="22"/>
                    </w:rPr>
                  </w:pPr>
                  <w:r>
                    <w:rPr>
                      <w:sz w:val="22"/>
                      <w:szCs w:val="22"/>
                    </w:rPr>
                    <w:t>腻子烘房</w:t>
                  </w:r>
                </w:p>
              </w:tc>
              <w:tc>
                <w:tcPr>
                  <w:tcW w:w="918" w:type="dxa"/>
                </w:tcPr>
                <w:p>
                  <w:pPr>
                    <w:spacing w:line="340" w:lineRule="atLeast"/>
                    <w:jc w:val="center"/>
                    <w:rPr>
                      <w:sz w:val="22"/>
                      <w:szCs w:val="22"/>
                    </w:rPr>
                  </w:pPr>
                  <w:r>
                    <w:rPr>
                      <w:sz w:val="22"/>
                      <w:szCs w:val="22"/>
                    </w:rPr>
                    <w:t>套</w:t>
                  </w:r>
                </w:p>
              </w:tc>
              <w:tc>
                <w:tcPr>
                  <w:tcW w:w="2257" w:type="dxa"/>
                </w:tcPr>
                <w:p>
                  <w:pPr>
                    <w:spacing w:line="340" w:lineRule="atLeast"/>
                    <w:jc w:val="center"/>
                    <w:rPr>
                      <w:sz w:val="22"/>
                      <w:szCs w:val="22"/>
                    </w:rPr>
                  </w:pPr>
                  <w:r>
                    <w:rPr>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87" w:type="dxa"/>
                </w:tcPr>
                <w:p>
                  <w:pPr>
                    <w:spacing w:line="340" w:lineRule="atLeast"/>
                    <w:jc w:val="center"/>
                    <w:rPr>
                      <w:sz w:val="22"/>
                      <w:szCs w:val="22"/>
                    </w:rPr>
                  </w:pPr>
                  <w:r>
                    <w:rPr>
                      <w:sz w:val="22"/>
                      <w:szCs w:val="22"/>
                    </w:rPr>
                    <w:t>4</w:t>
                  </w:r>
                </w:p>
              </w:tc>
              <w:tc>
                <w:tcPr>
                  <w:tcW w:w="1357" w:type="dxa"/>
                </w:tcPr>
                <w:p>
                  <w:pPr>
                    <w:spacing w:line="340" w:lineRule="atLeast"/>
                    <w:jc w:val="center"/>
                    <w:rPr>
                      <w:sz w:val="22"/>
                      <w:szCs w:val="22"/>
                    </w:rPr>
                  </w:pPr>
                </w:p>
              </w:tc>
              <w:tc>
                <w:tcPr>
                  <w:tcW w:w="2547" w:type="dxa"/>
                </w:tcPr>
                <w:p>
                  <w:pPr>
                    <w:spacing w:line="340" w:lineRule="atLeast"/>
                    <w:jc w:val="center"/>
                    <w:rPr>
                      <w:sz w:val="22"/>
                      <w:szCs w:val="22"/>
                    </w:rPr>
                  </w:pPr>
                  <w:r>
                    <w:rPr>
                      <w:sz w:val="22"/>
                      <w:szCs w:val="22"/>
                    </w:rPr>
                    <w:t>漆喷烘房</w:t>
                  </w:r>
                </w:p>
              </w:tc>
              <w:tc>
                <w:tcPr>
                  <w:tcW w:w="918" w:type="dxa"/>
                </w:tcPr>
                <w:p>
                  <w:pPr>
                    <w:spacing w:line="340" w:lineRule="atLeast"/>
                    <w:jc w:val="center"/>
                    <w:rPr>
                      <w:sz w:val="22"/>
                      <w:szCs w:val="22"/>
                    </w:rPr>
                  </w:pPr>
                  <w:r>
                    <w:rPr>
                      <w:sz w:val="22"/>
                      <w:szCs w:val="22"/>
                    </w:rPr>
                    <w:t>套</w:t>
                  </w:r>
                </w:p>
              </w:tc>
              <w:tc>
                <w:tcPr>
                  <w:tcW w:w="2257" w:type="dxa"/>
                </w:tcPr>
                <w:p>
                  <w:pPr>
                    <w:spacing w:line="340" w:lineRule="atLeast"/>
                    <w:jc w:val="center"/>
                    <w:rPr>
                      <w:sz w:val="22"/>
                      <w:szCs w:val="22"/>
                    </w:rPr>
                  </w:pPr>
                  <w:r>
                    <w:rPr>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587" w:type="dxa"/>
                </w:tcPr>
                <w:p>
                  <w:pPr>
                    <w:spacing w:line="340" w:lineRule="atLeast"/>
                    <w:jc w:val="center"/>
                    <w:rPr>
                      <w:sz w:val="22"/>
                      <w:szCs w:val="22"/>
                    </w:rPr>
                  </w:pPr>
                  <w:r>
                    <w:rPr>
                      <w:sz w:val="22"/>
                      <w:szCs w:val="22"/>
                    </w:rPr>
                    <w:t>5</w:t>
                  </w:r>
                </w:p>
              </w:tc>
              <w:tc>
                <w:tcPr>
                  <w:tcW w:w="1357" w:type="dxa"/>
                </w:tcPr>
                <w:p>
                  <w:pPr>
                    <w:spacing w:line="340" w:lineRule="atLeast"/>
                    <w:jc w:val="center"/>
                    <w:rPr>
                      <w:sz w:val="22"/>
                      <w:szCs w:val="22"/>
                    </w:rPr>
                  </w:pPr>
                </w:p>
              </w:tc>
              <w:tc>
                <w:tcPr>
                  <w:tcW w:w="2547" w:type="dxa"/>
                </w:tcPr>
                <w:p>
                  <w:pPr>
                    <w:spacing w:line="340" w:lineRule="atLeast"/>
                    <w:jc w:val="center"/>
                    <w:rPr>
                      <w:sz w:val="22"/>
                      <w:szCs w:val="22"/>
                    </w:rPr>
                  </w:pPr>
                  <w:r>
                    <w:rPr>
                      <w:kern w:val="0"/>
                      <w:sz w:val="22"/>
                      <w:szCs w:val="22"/>
                    </w:rPr>
                    <w:t>混气喷涂机</w:t>
                  </w:r>
                </w:p>
              </w:tc>
              <w:tc>
                <w:tcPr>
                  <w:tcW w:w="918" w:type="dxa"/>
                </w:tcPr>
                <w:p>
                  <w:pPr>
                    <w:spacing w:line="340" w:lineRule="atLeast"/>
                    <w:jc w:val="center"/>
                    <w:rPr>
                      <w:kern w:val="0"/>
                      <w:sz w:val="22"/>
                      <w:szCs w:val="22"/>
                    </w:rPr>
                  </w:pPr>
                  <w:r>
                    <w:rPr>
                      <w:kern w:val="0"/>
                      <w:sz w:val="22"/>
                      <w:szCs w:val="22"/>
                    </w:rPr>
                    <w:t>台</w:t>
                  </w:r>
                </w:p>
              </w:tc>
              <w:tc>
                <w:tcPr>
                  <w:tcW w:w="2257" w:type="dxa"/>
                </w:tcPr>
                <w:p>
                  <w:pPr>
                    <w:spacing w:line="340" w:lineRule="atLeast"/>
                    <w:jc w:val="center"/>
                    <w:rPr>
                      <w:sz w:val="22"/>
                      <w:szCs w:val="22"/>
                    </w:rPr>
                  </w:pPr>
                  <w:r>
                    <w:rPr>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587" w:type="dxa"/>
                </w:tcPr>
                <w:p>
                  <w:pPr>
                    <w:spacing w:line="340" w:lineRule="atLeast"/>
                    <w:jc w:val="center"/>
                    <w:rPr>
                      <w:sz w:val="22"/>
                      <w:szCs w:val="22"/>
                    </w:rPr>
                  </w:pPr>
                  <w:r>
                    <w:rPr>
                      <w:sz w:val="22"/>
                      <w:szCs w:val="22"/>
                    </w:rPr>
                    <w:t>6</w:t>
                  </w:r>
                </w:p>
              </w:tc>
              <w:tc>
                <w:tcPr>
                  <w:tcW w:w="1357" w:type="dxa"/>
                </w:tcPr>
                <w:p>
                  <w:pPr>
                    <w:spacing w:line="340" w:lineRule="atLeast"/>
                    <w:jc w:val="center"/>
                    <w:rPr>
                      <w:sz w:val="22"/>
                      <w:szCs w:val="22"/>
                    </w:rPr>
                  </w:pPr>
                </w:p>
              </w:tc>
              <w:tc>
                <w:tcPr>
                  <w:tcW w:w="2547" w:type="dxa"/>
                </w:tcPr>
                <w:p>
                  <w:pPr>
                    <w:spacing w:line="340" w:lineRule="atLeast"/>
                    <w:jc w:val="center"/>
                    <w:rPr>
                      <w:kern w:val="0"/>
                      <w:sz w:val="22"/>
                      <w:szCs w:val="22"/>
                    </w:rPr>
                  </w:pPr>
                  <w:r>
                    <w:rPr>
                      <w:kern w:val="0"/>
                      <w:sz w:val="22"/>
                      <w:szCs w:val="22"/>
                    </w:rPr>
                    <w:t>高粘度喷涂机</w:t>
                  </w:r>
                </w:p>
              </w:tc>
              <w:tc>
                <w:tcPr>
                  <w:tcW w:w="918" w:type="dxa"/>
                </w:tcPr>
                <w:p>
                  <w:pPr>
                    <w:spacing w:line="340" w:lineRule="atLeast"/>
                    <w:jc w:val="center"/>
                    <w:rPr>
                      <w:kern w:val="0"/>
                      <w:sz w:val="22"/>
                      <w:szCs w:val="22"/>
                    </w:rPr>
                  </w:pPr>
                  <w:r>
                    <w:rPr>
                      <w:kern w:val="0"/>
                      <w:sz w:val="22"/>
                      <w:szCs w:val="22"/>
                    </w:rPr>
                    <w:t>台</w:t>
                  </w:r>
                </w:p>
              </w:tc>
              <w:tc>
                <w:tcPr>
                  <w:tcW w:w="2257" w:type="dxa"/>
                </w:tcPr>
                <w:p>
                  <w:pPr>
                    <w:spacing w:line="340" w:lineRule="atLeast"/>
                    <w:jc w:val="center"/>
                    <w:rPr>
                      <w:sz w:val="22"/>
                      <w:szCs w:val="22"/>
                    </w:rPr>
                  </w:pPr>
                  <w:r>
                    <w:rPr>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87" w:type="dxa"/>
                </w:tcPr>
                <w:p>
                  <w:pPr>
                    <w:spacing w:line="340" w:lineRule="atLeast"/>
                    <w:jc w:val="center"/>
                    <w:rPr>
                      <w:sz w:val="22"/>
                      <w:szCs w:val="22"/>
                    </w:rPr>
                  </w:pPr>
                  <w:r>
                    <w:rPr>
                      <w:sz w:val="22"/>
                      <w:szCs w:val="22"/>
                    </w:rPr>
                    <w:t>7</w:t>
                  </w:r>
                </w:p>
              </w:tc>
              <w:tc>
                <w:tcPr>
                  <w:tcW w:w="1357" w:type="dxa"/>
                </w:tcPr>
                <w:p>
                  <w:pPr>
                    <w:spacing w:line="340" w:lineRule="atLeast"/>
                    <w:jc w:val="center"/>
                    <w:rPr>
                      <w:sz w:val="22"/>
                      <w:szCs w:val="22"/>
                    </w:rPr>
                  </w:pPr>
                </w:p>
              </w:tc>
              <w:tc>
                <w:tcPr>
                  <w:tcW w:w="2547" w:type="dxa"/>
                </w:tcPr>
                <w:p>
                  <w:pPr>
                    <w:spacing w:line="340" w:lineRule="atLeast"/>
                    <w:jc w:val="center"/>
                    <w:rPr>
                      <w:kern w:val="0"/>
                      <w:sz w:val="22"/>
                      <w:szCs w:val="22"/>
                    </w:rPr>
                  </w:pPr>
                  <w:r>
                    <w:rPr>
                      <w:kern w:val="0"/>
                      <w:sz w:val="22"/>
                      <w:szCs w:val="22"/>
                    </w:rPr>
                    <w:t>高压无气喷涂机</w:t>
                  </w:r>
                </w:p>
              </w:tc>
              <w:tc>
                <w:tcPr>
                  <w:tcW w:w="918" w:type="dxa"/>
                </w:tcPr>
                <w:p>
                  <w:pPr>
                    <w:spacing w:line="340" w:lineRule="atLeast"/>
                    <w:jc w:val="center"/>
                    <w:rPr>
                      <w:kern w:val="0"/>
                      <w:sz w:val="22"/>
                      <w:szCs w:val="22"/>
                    </w:rPr>
                  </w:pPr>
                  <w:r>
                    <w:rPr>
                      <w:kern w:val="0"/>
                      <w:sz w:val="22"/>
                      <w:szCs w:val="22"/>
                    </w:rPr>
                    <w:t>台</w:t>
                  </w:r>
                </w:p>
              </w:tc>
              <w:tc>
                <w:tcPr>
                  <w:tcW w:w="2257" w:type="dxa"/>
                </w:tcPr>
                <w:p>
                  <w:pPr>
                    <w:spacing w:line="340" w:lineRule="atLeast"/>
                    <w:jc w:val="center"/>
                    <w:rPr>
                      <w:sz w:val="22"/>
                      <w:szCs w:val="22"/>
                    </w:rPr>
                  </w:pPr>
                  <w:r>
                    <w:rPr>
                      <w:kern w:val="0"/>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587" w:type="dxa"/>
                </w:tcPr>
                <w:p>
                  <w:pPr>
                    <w:spacing w:line="340" w:lineRule="atLeast"/>
                    <w:jc w:val="center"/>
                    <w:rPr>
                      <w:sz w:val="22"/>
                      <w:szCs w:val="22"/>
                    </w:rPr>
                  </w:pPr>
                  <w:r>
                    <w:rPr>
                      <w:sz w:val="22"/>
                      <w:szCs w:val="22"/>
                    </w:rPr>
                    <w:t>8</w:t>
                  </w:r>
                </w:p>
              </w:tc>
              <w:tc>
                <w:tcPr>
                  <w:tcW w:w="1357" w:type="dxa"/>
                </w:tcPr>
                <w:p>
                  <w:pPr>
                    <w:spacing w:line="340" w:lineRule="atLeast"/>
                    <w:jc w:val="center"/>
                    <w:rPr>
                      <w:sz w:val="22"/>
                      <w:szCs w:val="22"/>
                    </w:rPr>
                  </w:pPr>
                </w:p>
              </w:tc>
              <w:tc>
                <w:tcPr>
                  <w:tcW w:w="2547" w:type="dxa"/>
                </w:tcPr>
                <w:p>
                  <w:pPr>
                    <w:spacing w:line="340" w:lineRule="atLeast"/>
                    <w:jc w:val="center"/>
                    <w:rPr>
                      <w:kern w:val="0"/>
                      <w:sz w:val="22"/>
                      <w:szCs w:val="22"/>
                    </w:rPr>
                  </w:pPr>
                  <w:r>
                    <w:rPr>
                      <w:kern w:val="0"/>
                      <w:sz w:val="22"/>
                      <w:szCs w:val="22"/>
                    </w:rPr>
                    <w:t>中央集尘打磨系统</w:t>
                  </w:r>
                </w:p>
              </w:tc>
              <w:tc>
                <w:tcPr>
                  <w:tcW w:w="918" w:type="dxa"/>
                </w:tcPr>
                <w:p>
                  <w:pPr>
                    <w:spacing w:line="340" w:lineRule="atLeast"/>
                    <w:jc w:val="center"/>
                    <w:rPr>
                      <w:kern w:val="0"/>
                      <w:sz w:val="22"/>
                      <w:szCs w:val="22"/>
                    </w:rPr>
                  </w:pPr>
                  <w:r>
                    <w:rPr>
                      <w:sz w:val="22"/>
                      <w:szCs w:val="22"/>
                    </w:rPr>
                    <w:t>套</w:t>
                  </w:r>
                </w:p>
              </w:tc>
              <w:tc>
                <w:tcPr>
                  <w:tcW w:w="2257" w:type="dxa"/>
                </w:tcPr>
                <w:p>
                  <w:pPr>
                    <w:spacing w:line="340" w:lineRule="atLeast"/>
                    <w:jc w:val="center"/>
                    <w:rPr>
                      <w:kern w:val="0"/>
                      <w:sz w:val="22"/>
                      <w:szCs w:val="22"/>
                    </w:rPr>
                  </w:pPr>
                  <w:r>
                    <w:rPr>
                      <w:kern w:val="0"/>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587" w:type="dxa"/>
                </w:tcPr>
                <w:p>
                  <w:pPr>
                    <w:spacing w:line="340" w:lineRule="atLeast"/>
                    <w:jc w:val="center"/>
                    <w:rPr>
                      <w:sz w:val="22"/>
                      <w:szCs w:val="22"/>
                    </w:rPr>
                  </w:pPr>
                  <w:r>
                    <w:rPr>
                      <w:sz w:val="22"/>
                      <w:szCs w:val="22"/>
                    </w:rPr>
                    <w:t>9</w:t>
                  </w:r>
                </w:p>
              </w:tc>
              <w:tc>
                <w:tcPr>
                  <w:tcW w:w="1357" w:type="dxa"/>
                </w:tcPr>
                <w:p>
                  <w:pPr>
                    <w:spacing w:line="340" w:lineRule="atLeast"/>
                    <w:jc w:val="center"/>
                    <w:rPr>
                      <w:sz w:val="22"/>
                      <w:szCs w:val="22"/>
                    </w:rPr>
                  </w:pPr>
                  <w:r>
                    <w:rPr>
                      <w:sz w:val="22"/>
                      <w:szCs w:val="22"/>
                    </w:rPr>
                    <w:t>总成车间</w:t>
                  </w:r>
                </w:p>
              </w:tc>
              <w:tc>
                <w:tcPr>
                  <w:tcW w:w="2547" w:type="dxa"/>
                </w:tcPr>
                <w:p>
                  <w:pPr>
                    <w:spacing w:line="340" w:lineRule="atLeast"/>
                    <w:jc w:val="center"/>
                    <w:rPr>
                      <w:sz w:val="22"/>
                      <w:szCs w:val="22"/>
                    </w:rPr>
                  </w:pPr>
                  <w:r>
                    <w:rPr>
                      <w:sz w:val="22"/>
                      <w:szCs w:val="22"/>
                    </w:rPr>
                    <w:t>落车台位架车机</w:t>
                  </w:r>
                </w:p>
              </w:tc>
              <w:tc>
                <w:tcPr>
                  <w:tcW w:w="918" w:type="dxa"/>
                </w:tcPr>
                <w:p>
                  <w:pPr>
                    <w:spacing w:line="340" w:lineRule="atLeast"/>
                    <w:jc w:val="center"/>
                    <w:rPr>
                      <w:sz w:val="22"/>
                      <w:szCs w:val="22"/>
                    </w:rPr>
                  </w:pPr>
                  <w:r>
                    <w:rPr>
                      <w:sz w:val="22"/>
                      <w:szCs w:val="22"/>
                    </w:rPr>
                    <w:t>套</w:t>
                  </w:r>
                </w:p>
              </w:tc>
              <w:tc>
                <w:tcPr>
                  <w:tcW w:w="2257" w:type="dxa"/>
                </w:tcPr>
                <w:p>
                  <w:pPr>
                    <w:spacing w:line="340" w:lineRule="atLeast"/>
                    <w:jc w:val="center"/>
                    <w:rPr>
                      <w:sz w:val="22"/>
                      <w:szCs w:val="22"/>
                    </w:rPr>
                  </w:pPr>
                  <w:r>
                    <w:rPr>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87" w:type="dxa"/>
                </w:tcPr>
                <w:p>
                  <w:pPr>
                    <w:spacing w:line="340" w:lineRule="atLeast"/>
                    <w:jc w:val="center"/>
                    <w:rPr>
                      <w:sz w:val="22"/>
                      <w:szCs w:val="22"/>
                    </w:rPr>
                  </w:pPr>
                  <w:r>
                    <w:rPr>
                      <w:sz w:val="22"/>
                      <w:szCs w:val="22"/>
                    </w:rPr>
                    <w:t>10</w:t>
                  </w:r>
                </w:p>
              </w:tc>
              <w:tc>
                <w:tcPr>
                  <w:tcW w:w="1357" w:type="dxa"/>
                </w:tcPr>
                <w:p>
                  <w:pPr>
                    <w:spacing w:line="340" w:lineRule="atLeast"/>
                    <w:jc w:val="center"/>
                    <w:rPr>
                      <w:sz w:val="22"/>
                      <w:szCs w:val="22"/>
                    </w:rPr>
                  </w:pPr>
                </w:p>
              </w:tc>
              <w:tc>
                <w:tcPr>
                  <w:tcW w:w="2547" w:type="dxa"/>
                </w:tcPr>
                <w:p>
                  <w:pPr>
                    <w:spacing w:line="340" w:lineRule="atLeast"/>
                    <w:jc w:val="center"/>
                    <w:rPr>
                      <w:sz w:val="22"/>
                      <w:szCs w:val="22"/>
                    </w:rPr>
                  </w:pPr>
                  <w:r>
                    <w:rPr>
                      <w:sz w:val="22"/>
                      <w:szCs w:val="22"/>
                    </w:rPr>
                    <w:t>静态车辆称重台</w:t>
                  </w:r>
                </w:p>
              </w:tc>
              <w:tc>
                <w:tcPr>
                  <w:tcW w:w="918" w:type="dxa"/>
                </w:tcPr>
                <w:p>
                  <w:pPr>
                    <w:spacing w:line="340" w:lineRule="atLeast"/>
                    <w:jc w:val="center"/>
                    <w:rPr>
                      <w:sz w:val="22"/>
                      <w:szCs w:val="22"/>
                    </w:rPr>
                  </w:pPr>
                  <w:r>
                    <w:rPr>
                      <w:sz w:val="22"/>
                      <w:szCs w:val="22"/>
                    </w:rPr>
                    <w:t>套</w:t>
                  </w:r>
                </w:p>
              </w:tc>
              <w:tc>
                <w:tcPr>
                  <w:tcW w:w="2257" w:type="dxa"/>
                </w:tcPr>
                <w:p>
                  <w:pPr>
                    <w:spacing w:line="340" w:lineRule="atLeast"/>
                    <w:jc w:val="center"/>
                    <w:rPr>
                      <w:sz w:val="22"/>
                      <w:szCs w:val="22"/>
                    </w:rPr>
                  </w:pPr>
                  <w:r>
                    <w:rPr>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587" w:type="dxa"/>
                </w:tcPr>
                <w:p>
                  <w:pPr>
                    <w:spacing w:line="340" w:lineRule="atLeast"/>
                    <w:jc w:val="center"/>
                    <w:rPr>
                      <w:sz w:val="22"/>
                      <w:szCs w:val="22"/>
                    </w:rPr>
                  </w:pPr>
                  <w:r>
                    <w:rPr>
                      <w:sz w:val="22"/>
                      <w:szCs w:val="22"/>
                    </w:rPr>
                    <w:t>11</w:t>
                  </w:r>
                </w:p>
              </w:tc>
              <w:tc>
                <w:tcPr>
                  <w:tcW w:w="1357" w:type="dxa"/>
                </w:tcPr>
                <w:p>
                  <w:pPr>
                    <w:spacing w:line="340" w:lineRule="atLeast"/>
                    <w:jc w:val="center"/>
                    <w:rPr>
                      <w:sz w:val="22"/>
                      <w:szCs w:val="22"/>
                    </w:rPr>
                  </w:pPr>
                </w:p>
              </w:tc>
              <w:tc>
                <w:tcPr>
                  <w:tcW w:w="2547" w:type="dxa"/>
                </w:tcPr>
                <w:p>
                  <w:pPr>
                    <w:spacing w:line="340" w:lineRule="atLeast"/>
                    <w:jc w:val="center"/>
                    <w:rPr>
                      <w:sz w:val="22"/>
                      <w:szCs w:val="22"/>
                    </w:rPr>
                  </w:pPr>
                  <w:r>
                    <w:rPr>
                      <w:sz w:val="22"/>
                      <w:szCs w:val="22"/>
                    </w:rPr>
                    <w:t>气垫车</w:t>
                  </w:r>
                </w:p>
              </w:tc>
              <w:tc>
                <w:tcPr>
                  <w:tcW w:w="918" w:type="dxa"/>
                </w:tcPr>
                <w:p>
                  <w:pPr>
                    <w:spacing w:line="340" w:lineRule="atLeast"/>
                    <w:jc w:val="center"/>
                    <w:rPr>
                      <w:sz w:val="22"/>
                      <w:szCs w:val="22"/>
                    </w:rPr>
                  </w:pPr>
                  <w:r>
                    <w:rPr>
                      <w:sz w:val="22"/>
                      <w:szCs w:val="22"/>
                    </w:rPr>
                    <w:t>套</w:t>
                  </w:r>
                </w:p>
              </w:tc>
              <w:tc>
                <w:tcPr>
                  <w:tcW w:w="2257" w:type="dxa"/>
                </w:tcPr>
                <w:p>
                  <w:pPr>
                    <w:spacing w:line="340" w:lineRule="atLeast"/>
                    <w:jc w:val="center"/>
                    <w:rPr>
                      <w:sz w:val="22"/>
                      <w:szCs w:val="22"/>
                    </w:rPr>
                  </w:pPr>
                  <w:r>
                    <w:rPr>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587" w:type="dxa"/>
                </w:tcPr>
                <w:p>
                  <w:pPr>
                    <w:spacing w:line="340" w:lineRule="atLeast"/>
                    <w:jc w:val="center"/>
                    <w:rPr>
                      <w:sz w:val="22"/>
                      <w:szCs w:val="22"/>
                    </w:rPr>
                  </w:pPr>
                  <w:r>
                    <w:rPr>
                      <w:sz w:val="22"/>
                      <w:szCs w:val="22"/>
                    </w:rPr>
                    <w:t>12</w:t>
                  </w:r>
                </w:p>
              </w:tc>
              <w:tc>
                <w:tcPr>
                  <w:tcW w:w="1357" w:type="dxa"/>
                </w:tcPr>
                <w:p>
                  <w:pPr>
                    <w:spacing w:line="340" w:lineRule="atLeast"/>
                    <w:jc w:val="center"/>
                    <w:rPr>
                      <w:sz w:val="22"/>
                      <w:szCs w:val="22"/>
                    </w:rPr>
                  </w:pPr>
                </w:p>
              </w:tc>
              <w:tc>
                <w:tcPr>
                  <w:tcW w:w="2547" w:type="dxa"/>
                </w:tcPr>
                <w:p>
                  <w:pPr>
                    <w:spacing w:line="340" w:lineRule="atLeast"/>
                    <w:jc w:val="center"/>
                    <w:rPr>
                      <w:sz w:val="22"/>
                      <w:szCs w:val="22"/>
                    </w:rPr>
                  </w:pPr>
                  <w:r>
                    <w:rPr>
                      <w:sz w:val="22"/>
                      <w:szCs w:val="22"/>
                    </w:rPr>
                    <w:t>单梁起重机</w:t>
                  </w:r>
                </w:p>
              </w:tc>
              <w:tc>
                <w:tcPr>
                  <w:tcW w:w="918" w:type="dxa"/>
                </w:tcPr>
                <w:p>
                  <w:pPr>
                    <w:spacing w:line="340" w:lineRule="atLeast"/>
                    <w:jc w:val="center"/>
                    <w:rPr>
                      <w:sz w:val="22"/>
                      <w:szCs w:val="22"/>
                    </w:rPr>
                  </w:pPr>
                  <w:r>
                    <w:rPr>
                      <w:kern w:val="0"/>
                      <w:sz w:val="22"/>
                      <w:szCs w:val="22"/>
                    </w:rPr>
                    <w:t>台</w:t>
                  </w:r>
                </w:p>
              </w:tc>
              <w:tc>
                <w:tcPr>
                  <w:tcW w:w="2257" w:type="dxa"/>
                </w:tcPr>
                <w:p>
                  <w:pPr>
                    <w:spacing w:line="340" w:lineRule="atLeast"/>
                    <w:jc w:val="center"/>
                    <w:rPr>
                      <w:sz w:val="22"/>
                      <w:szCs w:val="22"/>
                    </w:rPr>
                  </w:pPr>
                  <w:r>
                    <w:rPr>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87" w:type="dxa"/>
                </w:tcPr>
                <w:p>
                  <w:pPr>
                    <w:spacing w:line="340" w:lineRule="atLeast"/>
                    <w:jc w:val="center"/>
                    <w:rPr>
                      <w:sz w:val="22"/>
                      <w:szCs w:val="22"/>
                    </w:rPr>
                  </w:pPr>
                  <w:r>
                    <w:rPr>
                      <w:sz w:val="22"/>
                      <w:szCs w:val="22"/>
                    </w:rPr>
                    <w:t>13</w:t>
                  </w:r>
                </w:p>
              </w:tc>
              <w:tc>
                <w:tcPr>
                  <w:tcW w:w="1357" w:type="dxa"/>
                </w:tcPr>
                <w:p>
                  <w:pPr>
                    <w:spacing w:line="340" w:lineRule="atLeast"/>
                    <w:jc w:val="center"/>
                    <w:rPr>
                      <w:sz w:val="22"/>
                      <w:szCs w:val="22"/>
                    </w:rPr>
                  </w:pPr>
                </w:p>
              </w:tc>
              <w:tc>
                <w:tcPr>
                  <w:tcW w:w="2547" w:type="dxa"/>
                </w:tcPr>
                <w:p>
                  <w:pPr>
                    <w:spacing w:line="340" w:lineRule="atLeast"/>
                    <w:jc w:val="center"/>
                    <w:rPr>
                      <w:sz w:val="22"/>
                      <w:szCs w:val="22"/>
                    </w:rPr>
                  </w:pPr>
                  <w:r>
                    <w:rPr>
                      <w:sz w:val="22"/>
                      <w:szCs w:val="22"/>
                    </w:rPr>
                    <w:t>移动式架车机</w:t>
                  </w:r>
                </w:p>
              </w:tc>
              <w:tc>
                <w:tcPr>
                  <w:tcW w:w="918" w:type="dxa"/>
                </w:tcPr>
                <w:p>
                  <w:pPr>
                    <w:spacing w:line="340" w:lineRule="atLeast"/>
                    <w:jc w:val="center"/>
                    <w:rPr>
                      <w:sz w:val="22"/>
                      <w:szCs w:val="22"/>
                    </w:rPr>
                  </w:pPr>
                  <w:r>
                    <w:rPr>
                      <w:kern w:val="0"/>
                      <w:sz w:val="22"/>
                      <w:szCs w:val="22"/>
                    </w:rPr>
                    <w:t>台</w:t>
                  </w:r>
                </w:p>
              </w:tc>
              <w:tc>
                <w:tcPr>
                  <w:tcW w:w="2257" w:type="dxa"/>
                </w:tcPr>
                <w:p>
                  <w:pPr>
                    <w:spacing w:line="340" w:lineRule="atLeast"/>
                    <w:jc w:val="center"/>
                    <w:rPr>
                      <w:sz w:val="22"/>
                      <w:szCs w:val="22"/>
                    </w:rPr>
                  </w:pPr>
                  <w:r>
                    <w:rPr>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587" w:type="dxa"/>
                </w:tcPr>
                <w:p>
                  <w:pPr>
                    <w:spacing w:line="340" w:lineRule="atLeast"/>
                    <w:jc w:val="center"/>
                    <w:rPr>
                      <w:sz w:val="22"/>
                      <w:szCs w:val="22"/>
                    </w:rPr>
                  </w:pPr>
                  <w:r>
                    <w:rPr>
                      <w:sz w:val="22"/>
                      <w:szCs w:val="22"/>
                    </w:rPr>
                    <w:t>14</w:t>
                  </w:r>
                </w:p>
              </w:tc>
              <w:tc>
                <w:tcPr>
                  <w:tcW w:w="1357" w:type="dxa"/>
                </w:tcPr>
                <w:p>
                  <w:pPr>
                    <w:spacing w:line="340" w:lineRule="atLeast"/>
                    <w:jc w:val="center"/>
                    <w:rPr>
                      <w:sz w:val="22"/>
                      <w:szCs w:val="22"/>
                    </w:rPr>
                  </w:pPr>
                </w:p>
              </w:tc>
              <w:tc>
                <w:tcPr>
                  <w:tcW w:w="2547" w:type="dxa"/>
                </w:tcPr>
                <w:p>
                  <w:pPr>
                    <w:spacing w:line="340" w:lineRule="atLeast"/>
                    <w:jc w:val="center"/>
                    <w:rPr>
                      <w:sz w:val="22"/>
                      <w:szCs w:val="22"/>
                    </w:rPr>
                  </w:pPr>
                  <w:r>
                    <w:rPr>
                      <w:sz w:val="22"/>
                      <w:szCs w:val="22"/>
                    </w:rPr>
                    <w:t>高大空间空调机组</w:t>
                  </w:r>
                </w:p>
              </w:tc>
              <w:tc>
                <w:tcPr>
                  <w:tcW w:w="918" w:type="dxa"/>
                </w:tcPr>
                <w:p>
                  <w:pPr>
                    <w:spacing w:line="340" w:lineRule="atLeast"/>
                    <w:jc w:val="center"/>
                    <w:rPr>
                      <w:sz w:val="22"/>
                      <w:szCs w:val="22"/>
                    </w:rPr>
                  </w:pPr>
                  <w:r>
                    <w:rPr>
                      <w:sz w:val="22"/>
                      <w:szCs w:val="22"/>
                    </w:rPr>
                    <w:t>套</w:t>
                  </w:r>
                </w:p>
              </w:tc>
              <w:tc>
                <w:tcPr>
                  <w:tcW w:w="2257" w:type="dxa"/>
                </w:tcPr>
                <w:p>
                  <w:pPr>
                    <w:spacing w:line="340" w:lineRule="atLeast"/>
                    <w:jc w:val="center"/>
                    <w:rPr>
                      <w:sz w:val="22"/>
                      <w:szCs w:val="22"/>
                    </w:rPr>
                  </w:pPr>
                  <w:r>
                    <w:rPr>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587" w:type="dxa"/>
                </w:tcPr>
                <w:p>
                  <w:pPr>
                    <w:spacing w:line="340" w:lineRule="atLeast"/>
                    <w:jc w:val="center"/>
                    <w:rPr>
                      <w:sz w:val="22"/>
                      <w:szCs w:val="22"/>
                    </w:rPr>
                  </w:pPr>
                  <w:r>
                    <w:rPr>
                      <w:sz w:val="22"/>
                      <w:szCs w:val="22"/>
                    </w:rPr>
                    <w:t>15</w:t>
                  </w:r>
                </w:p>
              </w:tc>
              <w:tc>
                <w:tcPr>
                  <w:tcW w:w="1357" w:type="dxa"/>
                </w:tcPr>
                <w:p>
                  <w:pPr>
                    <w:spacing w:line="340" w:lineRule="atLeast"/>
                    <w:jc w:val="center"/>
                    <w:rPr>
                      <w:sz w:val="22"/>
                      <w:szCs w:val="22"/>
                    </w:rPr>
                  </w:pPr>
                </w:p>
              </w:tc>
              <w:tc>
                <w:tcPr>
                  <w:tcW w:w="2547" w:type="dxa"/>
                </w:tcPr>
                <w:p>
                  <w:pPr>
                    <w:spacing w:line="340" w:lineRule="atLeast"/>
                    <w:jc w:val="center"/>
                    <w:rPr>
                      <w:sz w:val="22"/>
                      <w:szCs w:val="22"/>
                    </w:rPr>
                  </w:pPr>
                  <w:r>
                    <w:rPr>
                      <w:sz w:val="22"/>
                      <w:szCs w:val="22"/>
                    </w:rPr>
                    <w:t>液压升降式搬运小车</w:t>
                  </w:r>
                </w:p>
              </w:tc>
              <w:tc>
                <w:tcPr>
                  <w:tcW w:w="918" w:type="dxa"/>
                </w:tcPr>
                <w:p>
                  <w:pPr>
                    <w:spacing w:line="340" w:lineRule="atLeast"/>
                    <w:jc w:val="center"/>
                    <w:rPr>
                      <w:sz w:val="22"/>
                      <w:szCs w:val="22"/>
                    </w:rPr>
                  </w:pPr>
                  <w:r>
                    <w:rPr>
                      <w:sz w:val="22"/>
                      <w:szCs w:val="22"/>
                    </w:rPr>
                    <w:t>辆</w:t>
                  </w:r>
                </w:p>
              </w:tc>
              <w:tc>
                <w:tcPr>
                  <w:tcW w:w="2257" w:type="dxa"/>
                </w:tcPr>
                <w:p>
                  <w:pPr>
                    <w:spacing w:line="340" w:lineRule="atLeast"/>
                    <w:jc w:val="center"/>
                    <w:rPr>
                      <w:sz w:val="22"/>
                      <w:szCs w:val="22"/>
                    </w:rPr>
                  </w:pPr>
                  <w:r>
                    <w:rPr>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87" w:type="dxa"/>
                </w:tcPr>
                <w:p>
                  <w:pPr>
                    <w:spacing w:line="340" w:lineRule="atLeast"/>
                    <w:jc w:val="center"/>
                    <w:rPr>
                      <w:sz w:val="22"/>
                      <w:szCs w:val="22"/>
                    </w:rPr>
                  </w:pPr>
                  <w:r>
                    <w:rPr>
                      <w:sz w:val="22"/>
                      <w:szCs w:val="22"/>
                    </w:rPr>
                    <w:t>16</w:t>
                  </w:r>
                </w:p>
              </w:tc>
              <w:tc>
                <w:tcPr>
                  <w:tcW w:w="1357" w:type="dxa"/>
                </w:tcPr>
                <w:p>
                  <w:pPr>
                    <w:spacing w:line="340" w:lineRule="atLeast"/>
                    <w:jc w:val="center"/>
                    <w:rPr>
                      <w:sz w:val="22"/>
                      <w:szCs w:val="22"/>
                    </w:rPr>
                  </w:pPr>
                </w:p>
              </w:tc>
              <w:tc>
                <w:tcPr>
                  <w:tcW w:w="2547" w:type="dxa"/>
                </w:tcPr>
                <w:p>
                  <w:pPr>
                    <w:spacing w:line="340" w:lineRule="atLeast"/>
                    <w:jc w:val="center"/>
                    <w:rPr>
                      <w:sz w:val="22"/>
                      <w:szCs w:val="22"/>
                    </w:rPr>
                  </w:pPr>
                  <w:r>
                    <w:rPr>
                      <w:sz w:val="22"/>
                      <w:szCs w:val="22"/>
                    </w:rPr>
                    <w:t>卡套预装机</w:t>
                  </w:r>
                </w:p>
              </w:tc>
              <w:tc>
                <w:tcPr>
                  <w:tcW w:w="918" w:type="dxa"/>
                </w:tcPr>
                <w:p>
                  <w:pPr>
                    <w:spacing w:line="340" w:lineRule="atLeast"/>
                    <w:jc w:val="center"/>
                    <w:rPr>
                      <w:sz w:val="22"/>
                      <w:szCs w:val="22"/>
                    </w:rPr>
                  </w:pPr>
                  <w:r>
                    <w:rPr>
                      <w:kern w:val="0"/>
                      <w:sz w:val="22"/>
                      <w:szCs w:val="22"/>
                    </w:rPr>
                    <w:t>台</w:t>
                  </w:r>
                </w:p>
              </w:tc>
              <w:tc>
                <w:tcPr>
                  <w:tcW w:w="2257" w:type="dxa"/>
                </w:tcPr>
                <w:p>
                  <w:pPr>
                    <w:spacing w:line="340" w:lineRule="atLeast"/>
                    <w:jc w:val="center"/>
                    <w:rPr>
                      <w:sz w:val="22"/>
                      <w:szCs w:val="22"/>
                    </w:rPr>
                  </w:pPr>
                  <w:r>
                    <w:rPr>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587" w:type="dxa"/>
                </w:tcPr>
                <w:p>
                  <w:pPr>
                    <w:spacing w:line="340" w:lineRule="atLeast"/>
                    <w:jc w:val="center"/>
                    <w:rPr>
                      <w:sz w:val="22"/>
                      <w:szCs w:val="22"/>
                    </w:rPr>
                  </w:pPr>
                  <w:r>
                    <w:rPr>
                      <w:sz w:val="22"/>
                      <w:szCs w:val="22"/>
                    </w:rPr>
                    <w:t>17</w:t>
                  </w:r>
                </w:p>
              </w:tc>
              <w:tc>
                <w:tcPr>
                  <w:tcW w:w="1357" w:type="dxa"/>
                </w:tcPr>
                <w:p>
                  <w:pPr>
                    <w:spacing w:line="340" w:lineRule="atLeast"/>
                    <w:jc w:val="center"/>
                    <w:rPr>
                      <w:sz w:val="22"/>
                      <w:szCs w:val="22"/>
                    </w:rPr>
                  </w:pPr>
                  <w:r>
                    <w:rPr>
                      <w:sz w:val="22"/>
                      <w:szCs w:val="22"/>
                    </w:rPr>
                    <w:t>组装仓库</w:t>
                  </w:r>
                </w:p>
              </w:tc>
              <w:tc>
                <w:tcPr>
                  <w:tcW w:w="2547" w:type="dxa"/>
                </w:tcPr>
                <w:p>
                  <w:pPr>
                    <w:spacing w:line="340" w:lineRule="atLeast"/>
                    <w:jc w:val="center"/>
                    <w:rPr>
                      <w:sz w:val="22"/>
                      <w:szCs w:val="22"/>
                    </w:rPr>
                  </w:pPr>
                  <w:r>
                    <w:rPr>
                      <w:sz w:val="22"/>
                      <w:szCs w:val="22"/>
                    </w:rPr>
                    <w:t>双梁桥式起重机</w:t>
                  </w:r>
                </w:p>
              </w:tc>
              <w:tc>
                <w:tcPr>
                  <w:tcW w:w="918" w:type="dxa"/>
                </w:tcPr>
                <w:p>
                  <w:pPr>
                    <w:spacing w:line="340" w:lineRule="atLeast"/>
                    <w:jc w:val="center"/>
                    <w:rPr>
                      <w:sz w:val="22"/>
                      <w:szCs w:val="22"/>
                    </w:rPr>
                  </w:pPr>
                  <w:r>
                    <w:rPr>
                      <w:kern w:val="0"/>
                      <w:sz w:val="22"/>
                      <w:szCs w:val="22"/>
                    </w:rPr>
                    <w:t>台</w:t>
                  </w:r>
                </w:p>
              </w:tc>
              <w:tc>
                <w:tcPr>
                  <w:tcW w:w="2257" w:type="dxa"/>
                </w:tcPr>
                <w:p>
                  <w:pPr>
                    <w:spacing w:line="340" w:lineRule="atLeast"/>
                    <w:jc w:val="center"/>
                    <w:rPr>
                      <w:sz w:val="22"/>
                      <w:szCs w:val="22"/>
                    </w:rPr>
                  </w:pPr>
                  <w:r>
                    <w:rPr>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587" w:type="dxa"/>
                </w:tcPr>
                <w:p>
                  <w:pPr>
                    <w:spacing w:line="340" w:lineRule="atLeast"/>
                    <w:jc w:val="center"/>
                    <w:rPr>
                      <w:sz w:val="22"/>
                      <w:szCs w:val="22"/>
                    </w:rPr>
                  </w:pPr>
                  <w:r>
                    <w:rPr>
                      <w:sz w:val="22"/>
                      <w:szCs w:val="22"/>
                    </w:rPr>
                    <w:t>18</w:t>
                  </w:r>
                </w:p>
              </w:tc>
              <w:tc>
                <w:tcPr>
                  <w:tcW w:w="1357" w:type="dxa"/>
                </w:tcPr>
                <w:p>
                  <w:pPr>
                    <w:spacing w:line="340" w:lineRule="atLeast"/>
                    <w:jc w:val="center"/>
                    <w:rPr>
                      <w:sz w:val="22"/>
                      <w:szCs w:val="22"/>
                    </w:rPr>
                  </w:pPr>
                </w:p>
              </w:tc>
              <w:tc>
                <w:tcPr>
                  <w:tcW w:w="2547" w:type="dxa"/>
                </w:tcPr>
                <w:p>
                  <w:pPr>
                    <w:spacing w:line="340" w:lineRule="atLeast"/>
                    <w:jc w:val="center"/>
                    <w:rPr>
                      <w:sz w:val="22"/>
                      <w:szCs w:val="22"/>
                    </w:rPr>
                  </w:pPr>
                  <w:r>
                    <w:rPr>
                      <w:sz w:val="22"/>
                      <w:szCs w:val="22"/>
                    </w:rPr>
                    <w:t>电动叉车</w:t>
                  </w:r>
                </w:p>
              </w:tc>
              <w:tc>
                <w:tcPr>
                  <w:tcW w:w="918" w:type="dxa"/>
                </w:tcPr>
                <w:p>
                  <w:pPr>
                    <w:spacing w:line="340" w:lineRule="atLeast"/>
                    <w:jc w:val="center"/>
                    <w:rPr>
                      <w:sz w:val="22"/>
                      <w:szCs w:val="22"/>
                    </w:rPr>
                  </w:pPr>
                  <w:r>
                    <w:rPr>
                      <w:kern w:val="0"/>
                      <w:sz w:val="22"/>
                      <w:szCs w:val="22"/>
                    </w:rPr>
                    <w:t>台</w:t>
                  </w:r>
                </w:p>
              </w:tc>
              <w:tc>
                <w:tcPr>
                  <w:tcW w:w="2257" w:type="dxa"/>
                </w:tcPr>
                <w:p>
                  <w:pPr>
                    <w:spacing w:line="340" w:lineRule="atLeast"/>
                    <w:jc w:val="center"/>
                    <w:rPr>
                      <w:sz w:val="22"/>
                      <w:szCs w:val="22"/>
                    </w:rPr>
                  </w:pPr>
                  <w:r>
                    <w:rPr>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87" w:type="dxa"/>
                </w:tcPr>
                <w:p>
                  <w:pPr>
                    <w:spacing w:line="340" w:lineRule="atLeast"/>
                    <w:jc w:val="center"/>
                    <w:rPr>
                      <w:sz w:val="22"/>
                      <w:szCs w:val="22"/>
                    </w:rPr>
                  </w:pPr>
                  <w:r>
                    <w:rPr>
                      <w:sz w:val="22"/>
                      <w:szCs w:val="22"/>
                    </w:rPr>
                    <w:t>19</w:t>
                  </w:r>
                </w:p>
              </w:tc>
              <w:tc>
                <w:tcPr>
                  <w:tcW w:w="1357" w:type="dxa"/>
                </w:tcPr>
                <w:p>
                  <w:pPr>
                    <w:spacing w:line="340" w:lineRule="atLeast"/>
                    <w:jc w:val="center"/>
                    <w:rPr>
                      <w:sz w:val="22"/>
                      <w:szCs w:val="22"/>
                    </w:rPr>
                  </w:pPr>
                </w:p>
              </w:tc>
              <w:tc>
                <w:tcPr>
                  <w:tcW w:w="2547" w:type="dxa"/>
                </w:tcPr>
                <w:p>
                  <w:pPr>
                    <w:spacing w:line="340" w:lineRule="atLeast"/>
                    <w:jc w:val="center"/>
                    <w:rPr>
                      <w:sz w:val="22"/>
                      <w:szCs w:val="22"/>
                    </w:rPr>
                  </w:pPr>
                  <w:r>
                    <w:rPr>
                      <w:sz w:val="22"/>
                      <w:szCs w:val="22"/>
                    </w:rPr>
                    <w:t>单梁起重机</w:t>
                  </w:r>
                </w:p>
              </w:tc>
              <w:tc>
                <w:tcPr>
                  <w:tcW w:w="918" w:type="dxa"/>
                </w:tcPr>
                <w:p>
                  <w:pPr>
                    <w:spacing w:line="340" w:lineRule="atLeast"/>
                    <w:jc w:val="center"/>
                    <w:rPr>
                      <w:sz w:val="22"/>
                      <w:szCs w:val="22"/>
                    </w:rPr>
                  </w:pPr>
                  <w:r>
                    <w:rPr>
                      <w:kern w:val="0"/>
                      <w:sz w:val="22"/>
                      <w:szCs w:val="22"/>
                    </w:rPr>
                    <w:t>台</w:t>
                  </w:r>
                </w:p>
              </w:tc>
              <w:tc>
                <w:tcPr>
                  <w:tcW w:w="2257" w:type="dxa"/>
                </w:tcPr>
                <w:p>
                  <w:pPr>
                    <w:spacing w:line="340" w:lineRule="atLeast"/>
                    <w:jc w:val="center"/>
                    <w:rPr>
                      <w:sz w:val="22"/>
                      <w:szCs w:val="22"/>
                    </w:rPr>
                  </w:pPr>
                  <w:r>
                    <w:rPr>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587" w:type="dxa"/>
                </w:tcPr>
                <w:p>
                  <w:pPr>
                    <w:spacing w:line="340" w:lineRule="atLeast"/>
                    <w:jc w:val="center"/>
                    <w:rPr>
                      <w:sz w:val="22"/>
                      <w:szCs w:val="22"/>
                    </w:rPr>
                  </w:pPr>
                  <w:r>
                    <w:rPr>
                      <w:sz w:val="22"/>
                      <w:szCs w:val="22"/>
                    </w:rPr>
                    <w:t>20</w:t>
                  </w:r>
                </w:p>
              </w:tc>
              <w:tc>
                <w:tcPr>
                  <w:tcW w:w="1357" w:type="dxa"/>
                </w:tcPr>
                <w:p>
                  <w:pPr>
                    <w:spacing w:line="340" w:lineRule="atLeast"/>
                    <w:jc w:val="center"/>
                    <w:rPr>
                      <w:sz w:val="22"/>
                      <w:szCs w:val="22"/>
                    </w:rPr>
                  </w:pPr>
                  <w:r>
                    <w:rPr>
                      <w:sz w:val="22"/>
                      <w:szCs w:val="22"/>
                    </w:rPr>
                    <w:t>车体组焊车间</w:t>
                  </w:r>
                </w:p>
              </w:tc>
              <w:tc>
                <w:tcPr>
                  <w:tcW w:w="2547" w:type="dxa"/>
                </w:tcPr>
                <w:p>
                  <w:pPr>
                    <w:spacing w:line="340" w:lineRule="atLeast"/>
                    <w:jc w:val="center"/>
                    <w:rPr>
                      <w:sz w:val="22"/>
                      <w:szCs w:val="22"/>
                    </w:rPr>
                  </w:pPr>
                  <w:r>
                    <w:rPr>
                      <w:sz w:val="22"/>
                      <w:szCs w:val="22"/>
                    </w:rPr>
                    <w:t>MIG/MAG多动能焊机</w:t>
                  </w:r>
                </w:p>
              </w:tc>
              <w:tc>
                <w:tcPr>
                  <w:tcW w:w="918" w:type="dxa"/>
                </w:tcPr>
                <w:p>
                  <w:pPr>
                    <w:spacing w:line="340" w:lineRule="atLeast"/>
                    <w:jc w:val="center"/>
                    <w:rPr>
                      <w:sz w:val="22"/>
                      <w:szCs w:val="22"/>
                    </w:rPr>
                  </w:pPr>
                  <w:r>
                    <w:rPr>
                      <w:kern w:val="0"/>
                      <w:sz w:val="22"/>
                      <w:szCs w:val="22"/>
                    </w:rPr>
                    <w:t>台</w:t>
                  </w:r>
                </w:p>
              </w:tc>
              <w:tc>
                <w:tcPr>
                  <w:tcW w:w="2257" w:type="dxa"/>
                </w:tcPr>
                <w:p>
                  <w:pPr>
                    <w:spacing w:line="340" w:lineRule="atLeast"/>
                    <w:jc w:val="center"/>
                    <w:rPr>
                      <w:sz w:val="22"/>
                      <w:szCs w:val="22"/>
                    </w:rPr>
                  </w:pPr>
                  <w:r>
                    <w:rPr>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87" w:type="dxa"/>
                </w:tcPr>
                <w:p>
                  <w:pPr>
                    <w:spacing w:line="340" w:lineRule="atLeast"/>
                    <w:jc w:val="center"/>
                    <w:rPr>
                      <w:sz w:val="22"/>
                      <w:szCs w:val="22"/>
                    </w:rPr>
                  </w:pPr>
                  <w:r>
                    <w:rPr>
                      <w:sz w:val="22"/>
                      <w:szCs w:val="22"/>
                    </w:rPr>
                    <w:t>21</w:t>
                  </w:r>
                </w:p>
              </w:tc>
              <w:tc>
                <w:tcPr>
                  <w:tcW w:w="1357" w:type="dxa"/>
                </w:tcPr>
                <w:p>
                  <w:pPr>
                    <w:spacing w:line="340" w:lineRule="atLeast"/>
                    <w:jc w:val="center"/>
                    <w:rPr>
                      <w:sz w:val="22"/>
                      <w:szCs w:val="22"/>
                    </w:rPr>
                  </w:pPr>
                </w:p>
              </w:tc>
              <w:tc>
                <w:tcPr>
                  <w:tcW w:w="2547" w:type="dxa"/>
                </w:tcPr>
                <w:p>
                  <w:pPr>
                    <w:spacing w:line="340" w:lineRule="atLeast"/>
                    <w:jc w:val="center"/>
                    <w:rPr>
                      <w:sz w:val="22"/>
                      <w:szCs w:val="22"/>
                    </w:rPr>
                  </w:pPr>
                  <w:r>
                    <w:rPr>
                      <w:sz w:val="22"/>
                      <w:szCs w:val="22"/>
                    </w:rPr>
                    <w:t>空调机</w:t>
                  </w:r>
                </w:p>
              </w:tc>
              <w:tc>
                <w:tcPr>
                  <w:tcW w:w="918" w:type="dxa"/>
                </w:tcPr>
                <w:p>
                  <w:pPr>
                    <w:spacing w:line="340" w:lineRule="atLeast"/>
                    <w:jc w:val="center"/>
                    <w:rPr>
                      <w:sz w:val="22"/>
                      <w:szCs w:val="22"/>
                    </w:rPr>
                  </w:pPr>
                  <w:r>
                    <w:rPr>
                      <w:sz w:val="22"/>
                      <w:szCs w:val="22"/>
                    </w:rPr>
                    <w:t>套</w:t>
                  </w:r>
                </w:p>
              </w:tc>
              <w:tc>
                <w:tcPr>
                  <w:tcW w:w="2257" w:type="dxa"/>
                </w:tcPr>
                <w:p>
                  <w:pPr>
                    <w:spacing w:line="340" w:lineRule="atLeast"/>
                    <w:jc w:val="center"/>
                    <w:rPr>
                      <w:sz w:val="22"/>
                      <w:szCs w:val="22"/>
                    </w:rPr>
                  </w:pPr>
                  <w:r>
                    <w:rPr>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587" w:type="dxa"/>
                </w:tcPr>
                <w:p>
                  <w:pPr>
                    <w:spacing w:line="340" w:lineRule="atLeast"/>
                    <w:jc w:val="center"/>
                    <w:rPr>
                      <w:sz w:val="22"/>
                      <w:szCs w:val="22"/>
                    </w:rPr>
                  </w:pPr>
                  <w:r>
                    <w:rPr>
                      <w:sz w:val="22"/>
                      <w:szCs w:val="22"/>
                    </w:rPr>
                    <w:t>22</w:t>
                  </w:r>
                </w:p>
              </w:tc>
              <w:tc>
                <w:tcPr>
                  <w:tcW w:w="1357" w:type="dxa"/>
                </w:tcPr>
                <w:p>
                  <w:pPr>
                    <w:spacing w:line="340" w:lineRule="atLeast"/>
                    <w:jc w:val="center"/>
                    <w:rPr>
                      <w:sz w:val="22"/>
                      <w:szCs w:val="22"/>
                    </w:rPr>
                  </w:pPr>
                </w:p>
              </w:tc>
              <w:tc>
                <w:tcPr>
                  <w:tcW w:w="2547" w:type="dxa"/>
                </w:tcPr>
                <w:p>
                  <w:pPr>
                    <w:spacing w:line="340" w:lineRule="atLeast"/>
                    <w:jc w:val="center"/>
                    <w:rPr>
                      <w:sz w:val="22"/>
                      <w:szCs w:val="22"/>
                    </w:rPr>
                  </w:pPr>
                  <w:r>
                    <w:rPr>
                      <w:sz w:val="22"/>
                      <w:szCs w:val="22"/>
                    </w:rPr>
                    <w:t>制冷系统</w:t>
                  </w:r>
                </w:p>
              </w:tc>
              <w:tc>
                <w:tcPr>
                  <w:tcW w:w="918" w:type="dxa"/>
                </w:tcPr>
                <w:p>
                  <w:pPr>
                    <w:spacing w:line="340" w:lineRule="atLeast"/>
                    <w:jc w:val="center"/>
                    <w:rPr>
                      <w:sz w:val="22"/>
                      <w:szCs w:val="22"/>
                    </w:rPr>
                  </w:pPr>
                  <w:r>
                    <w:rPr>
                      <w:sz w:val="22"/>
                      <w:szCs w:val="22"/>
                    </w:rPr>
                    <w:t>套</w:t>
                  </w:r>
                </w:p>
              </w:tc>
              <w:tc>
                <w:tcPr>
                  <w:tcW w:w="2257" w:type="dxa"/>
                </w:tcPr>
                <w:p>
                  <w:pPr>
                    <w:spacing w:line="340" w:lineRule="atLeast"/>
                    <w:jc w:val="center"/>
                    <w:rPr>
                      <w:sz w:val="22"/>
                      <w:szCs w:val="22"/>
                    </w:rPr>
                  </w:pPr>
                  <w:r>
                    <w:rPr>
                      <w:sz w:val="22"/>
                      <w:szCs w:val="22"/>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587" w:type="dxa"/>
                </w:tcPr>
                <w:p>
                  <w:pPr>
                    <w:spacing w:line="340" w:lineRule="atLeast"/>
                    <w:jc w:val="center"/>
                    <w:rPr>
                      <w:sz w:val="22"/>
                      <w:szCs w:val="22"/>
                    </w:rPr>
                  </w:pPr>
                  <w:r>
                    <w:rPr>
                      <w:sz w:val="22"/>
                      <w:szCs w:val="22"/>
                    </w:rPr>
                    <w:t>23</w:t>
                  </w:r>
                </w:p>
              </w:tc>
              <w:tc>
                <w:tcPr>
                  <w:tcW w:w="1357" w:type="dxa"/>
                </w:tcPr>
                <w:p>
                  <w:pPr>
                    <w:spacing w:line="340" w:lineRule="atLeast"/>
                    <w:jc w:val="center"/>
                    <w:rPr>
                      <w:sz w:val="22"/>
                      <w:szCs w:val="22"/>
                    </w:rPr>
                  </w:pPr>
                </w:p>
              </w:tc>
              <w:tc>
                <w:tcPr>
                  <w:tcW w:w="2547" w:type="dxa"/>
                </w:tcPr>
                <w:p>
                  <w:pPr>
                    <w:spacing w:line="340" w:lineRule="atLeast"/>
                    <w:jc w:val="center"/>
                    <w:rPr>
                      <w:sz w:val="22"/>
                      <w:szCs w:val="22"/>
                    </w:rPr>
                  </w:pPr>
                  <w:r>
                    <w:rPr>
                      <w:sz w:val="22"/>
                      <w:szCs w:val="22"/>
                    </w:rPr>
                    <w:t>送风系统</w:t>
                  </w:r>
                </w:p>
              </w:tc>
              <w:tc>
                <w:tcPr>
                  <w:tcW w:w="918" w:type="dxa"/>
                </w:tcPr>
                <w:p>
                  <w:pPr>
                    <w:spacing w:line="340" w:lineRule="atLeast"/>
                    <w:jc w:val="center"/>
                    <w:rPr>
                      <w:sz w:val="22"/>
                      <w:szCs w:val="22"/>
                    </w:rPr>
                  </w:pPr>
                  <w:r>
                    <w:rPr>
                      <w:sz w:val="22"/>
                      <w:szCs w:val="22"/>
                    </w:rPr>
                    <w:t>套</w:t>
                  </w:r>
                </w:p>
              </w:tc>
              <w:tc>
                <w:tcPr>
                  <w:tcW w:w="2257" w:type="dxa"/>
                </w:tcPr>
                <w:p>
                  <w:pPr>
                    <w:spacing w:line="340" w:lineRule="atLeast"/>
                    <w:jc w:val="center"/>
                    <w:rPr>
                      <w:sz w:val="22"/>
                      <w:szCs w:val="22"/>
                    </w:rPr>
                  </w:pPr>
                  <w:r>
                    <w:rPr>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87" w:type="dxa"/>
                </w:tcPr>
                <w:p>
                  <w:pPr>
                    <w:spacing w:line="340" w:lineRule="atLeast"/>
                    <w:jc w:val="center"/>
                    <w:rPr>
                      <w:sz w:val="22"/>
                      <w:szCs w:val="22"/>
                    </w:rPr>
                  </w:pPr>
                  <w:r>
                    <w:rPr>
                      <w:sz w:val="22"/>
                      <w:szCs w:val="22"/>
                    </w:rPr>
                    <w:t>24</w:t>
                  </w:r>
                </w:p>
              </w:tc>
              <w:tc>
                <w:tcPr>
                  <w:tcW w:w="1357" w:type="dxa"/>
                </w:tcPr>
                <w:p>
                  <w:pPr>
                    <w:spacing w:line="340" w:lineRule="atLeast"/>
                    <w:jc w:val="center"/>
                    <w:rPr>
                      <w:sz w:val="22"/>
                      <w:szCs w:val="22"/>
                    </w:rPr>
                  </w:pPr>
                </w:p>
              </w:tc>
              <w:tc>
                <w:tcPr>
                  <w:tcW w:w="2547" w:type="dxa"/>
                </w:tcPr>
                <w:p>
                  <w:pPr>
                    <w:spacing w:line="340" w:lineRule="atLeast"/>
                    <w:jc w:val="center"/>
                    <w:rPr>
                      <w:sz w:val="22"/>
                      <w:szCs w:val="22"/>
                    </w:rPr>
                  </w:pPr>
                  <w:r>
                    <w:rPr>
                      <w:sz w:val="22"/>
                      <w:szCs w:val="22"/>
                    </w:rPr>
                    <w:t>冷凝热回收</w:t>
                  </w:r>
                </w:p>
              </w:tc>
              <w:tc>
                <w:tcPr>
                  <w:tcW w:w="918" w:type="dxa"/>
                </w:tcPr>
                <w:p>
                  <w:pPr>
                    <w:spacing w:line="340" w:lineRule="atLeast"/>
                    <w:jc w:val="center"/>
                    <w:rPr>
                      <w:sz w:val="22"/>
                      <w:szCs w:val="22"/>
                    </w:rPr>
                  </w:pPr>
                  <w:r>
                    <w:rPr>
                      <w:sz w:val="22"/>
                      <w:szCs w:val="22"/>
                    </w:rPr>
                    <w:t>套</w:t>
                  </w:r>
                </w:p>
              </w:tc>
              <w:tc>
                <w:tcPr>
                  <w:tcW w:w="2257" w:type="dxa"/>
                </w:tcPr>
                <w:p>
                  <w:pPr>
                    <w:spacing w:line="340" w:lineRule="atLeast"/>
                    <w:jc w:val="center"/>
                    <w:rPr>
                      <w:sz w:val="22"/>
                      <w:szCs w:val="22"/>
                    </w:rPr>
                  </w:pPr>
                  <w:r>
                    <w:rPr>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587" w:type="dxa"/>
                </w:tcPr>
                <w:p>
                  <w:pPr>
                    <w:spacing w:line="340" w:lineRule="atLeast"/>
                    <w:jc w:val="center"/>
                    <w:rPr>
                      <w:sz w:val="22"/>
                      <w:szCs w:val="22"/>
                    </w:rPr>
                  </w:pPr>
                  <w:r>
                    <w:rPr>
                      <w:sz w:val="22"/>
                      <w:szCs w:val="22"/>
                    </w:rPr>
                    <w:t>25</w:t>
                  </w:r>
                </w:p>
              </w:tc>
              <w:tc>
                <w:tcPr>
                  <w:tcW w:w="1357" w:type="dxa"/>
                </w:tcPr>
                <w:p>
                  <w:pPr>
                    <w:spacing w:line="340" w:lineRule="atLeast"/>
                    <w:jc w:val="center"/>
                    <w:rPr>
                      <w:sz w:val="22"/>
                      <w:szCs w:val="22"/>
                    </w:rPr>
                  </w:pPr>
                  <w:r>
                    <w:rPr>
                      <w:sz w:val="22"/>
                      <w:szCs w:val="22"/>
                    </w:rPr>
                    <w:t>静调车间</w:t>
                  </w:r>
                </w:p>
              </w:tc>
              <w:tc>
                <w:tcPr>
                  <w:tcW w:w="2547" w:type="dxa"/>
                </w:tcPr>
                <w:p>
                  <w:pPr>
                    <w:spacing w:line="340" w:lineRule="atLeast"/>
                    <w:jc w:val="center"/>
                    <w:rPr>
                      <w:sz w:val="22"/>
                      <w:szCs w:val="22"/>
                    </w:rPr>
                  </w:pPr>
                  <w:r>
                    <w:rPr>
                      <w:sz w:val="22"/>
                      <w:szCs w:val="22"/>
                    </w:rPr>
                    <w:t>静调电源设备</w:t>
                  </w:r>
                </w:p>
              </w:tc>
              <w:tc>
                <w:tcPr>
                  <w:tcW w:w="918" w:type="dxa"/>
                </w:tcPr>
                <w:p>
                  <w:pPr>
                    <w:spacing w:line="340" w:lineRule="atLeast"/>
                    <w:jc w:val="center"/>
                    <w:rPr>
                      <w:sz w:val="22"/>
                      <w:szCs w:val="22"/>
                    </w:rPr>
                  </w:pPr>
                  <w:r>
                    <w:rPr>
                      <w:sz w:val="22"/>
                      <w:szCs w:val="22"/>
                    </w:rPr>
                    <w:t>套</w:t>
                  </w:r>
                </w:p>
              </w:tc>
              <w:tc>
                <w:tcPr>
                  <w:tcW w:w="2257" w:type="dxa"/>
                </w:tcPr>
                <w:p>
                  <w:pPr>
                    <w:spacing w:line="340" w:lineRule="atLeast"/>
                    <w:jc w:val="center"/>
                    <w:rPr>
                      <w:sz w:val="22"/>
                      <w:szCs w:val="22"/>
                    </w:rPr>
                  </w:pPr>
                  <w:r>
                    <w:rPr>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587" w:type="dxa"/>
                </w:tcPr>
                <w:p>
                  <w:pPr>
                    <w:spacing w:line="340" w:lineRule="atLeast"/>
                    <w:jc w:val="center"/>
                    <w:rPr>
                      <w:sz w:val="22"/>
                      <w:szCs w:val="22"/>
                    </w:rPr>
                  </w:pPr>
                  <w:r>
                    <w:rPr>
                      <w:sz w:val="22"/>
                      <w:szCs w:val="22"/>
                    </w:rPr>
                    <w:t>26</w:t>
                  </w:r>
                </w:p>
              </w:tc>
              <w:tc>
                <w:tcPr>
                  <w:tcW w:w="1357" w:type="dxa"/>
                </w:tcPr>
                <w:p>
                  <w:pPr>
                    <w:spacing w:line="340" w:lineRule="atLeast"/>
                    <w:jc w:val="center"/>
                    <w:rPr>
                      <w:sz w:val="22"/>
                      <w:szCs w:val="22"/>
                    </w:rPr>
                  </w:pPr>
                </w:p>
              </w:tc>
              <w:tc>
                <w:tcPr>
                  <w:tcW w:w="2547" w:type="dxa"/>
                </w:tcPr>
                <w:p>
                  <w:pPr>
                    <w:spacing w:line="340" w:lineRule="atLeast"/>
                    <w:jc w:val="center"/>
                    <w:rPr>
                      <w:sz w:val="22"/>
                      <w:szCs w:val="22"/>
                    </w:rPr>
                  </w:pPr>
                  <w:r>
                    <w:rPr>
                      <w:sz w:val="22"/>
                      <w:szCs w:val="22"/>
                    </w:rPr>
                    <w:t>电源供电及安全联锁系统</w:t>
                  </w:r>
                </w:p>
              </w:tc>
              <w:tc>
                <w:tcPr>
                  <w:tcW w:w="918" w:type="dxa"/>
                </w:tcPr>
                <w:p>
                  <w:pPr>
                    <w:spacing w:line="340" w:lineRule="atLeast"/>
                    <w:jc w:val="center"/>
                    <w:rPr>
                      <w:sz w:val="22"/>
                      <w:szCs w:val="22"/>
                    </w:rPr>
                  </w:pPr>
                  <w:r>
                    <w:rPr>
                      <w:sz w:val="22"/>
                      <w:szCs w:val="22"/>
                    </w:rPr>
                    <w:t>套</w:t>
                  </w:r>
                </w:p>
              </w:tc>
              <w:tc>
                <w:tcPr>
                  <w:tcW w:w="2257" w:type="dxa"/>
                </w:tcPr>
                <w:p>
                  <w:pPr>
                    <w:spacing w:line="340" w:lineRule="atLeast"/>
                    <w:jc w:val="center"/>
                    <w:rPr>
                      <w:sz w:val="22"/>
                      <w:szCs w:val="22"/>
                    </w:rPr>
                  </w:pPr>
                  <w:r>
                    <w:rPr>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87" w:type="dxa"/>
                </w:tcPr>
                <w:p>
                  <w:pPr>
                    <w:spacing w:line="340" w:lineRule="atLeast"/>
                    <w:jc w:val="center"/>
                    <w:rPr>
                      <w:sz w:val="22"/>
                      <w:szCs w:val="22"/>
                    </w:rPr>
                  </w:pPr>
                  <w:r>
                    <w:rPr>
                      <w:sz w:val="22"/>
                      <w:szCs w:val="22"/>
                    </w:rPr>
                    <w:t>27</w:t>
                  </w:r>
                </w:p>
              </w:tc>
              <w:tc>
                <w:tcPr>
                  <w:tcW w:w="1357" w:type="dxa"/>
                </w:tcPr>
                <w:p>
                  <w:pPr>
                    <w:spacing w:line="340" w:lineRule="atLeast"/>
                    <w:jc w:val="center"/>
                    <w:rPr>
                      <w:sz w:val="22"/>
                      <w:szCs w:val="22"/>
                    </w:rPr>
                  </w:pPr>
                </w:p>
              </w:tc>
              <w:tc>
                <w:tcPr>
                  <w:tcW w:w="2547" w:type="dxa"/>
                </w:tcPr>
                <w:p>
                  <w:pPr>
                    <w:spacing w:line="340" w:lineRule="atLeast"/>
                    <w:jc w:val="center"/>
                    <w:rPr>
                      <w:sz w:val="22"/>
                      <w:szCs w:val="22"/>
                    </w:rPr>
                  </w:pPr>
                  <w:r>
                    <w:rPr>
                      <w:sz w:val="22"/>
                      <w:szCs w:val="22"/>
                    </w:rPr>
                    <w:t>移动式车架</w:t>
                  </w:r>
                </w:p>
              </w:tc>
              <w:tc>
                <w:tcPr>
                  <w:tcW w:w="918" w:type="dxa"/>
                </w:tcPr>
                <w:p>
                  <w:pPr>
                    <w:spacing w:line="340" w:lineRule="atLeast"/>
                    <w:jc w:val="center"/>
                    <w:rPr>
                      <w:sz w:val="22"/>
                      <w:szCs w:val="22"/>
                    </w:rPr>
                  </w:pPr>
                  <w:r>
                    <w:rPr>
                      <w:sz w:val="22"/>
                      <w:szCs w:val="22"/>
                    </w:rPr>
                    <w:t>套</w:t>
                  </w:r>
                </w:p>
              </w:tc>
              <w:tc>
                <w:tcPr>
                  <w:tcW w:w="2257" w:type="dxa"/>
                </w:tcPr>
                <w:p>
                  <w:pPr>
                    <w:spacing w:line="340" w:lineRule="atLeast"/>
                    <w:jc w:val="center"/>
                    <w:rPr>
                      <w:sz w:val="22"/>
                      <w:szCs w:val="22"/>
                    </w:rPr>
                  </w:pPr>
                  <w:r>
                    <w:rPr>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587" w:type="dxa"/>
                </w:tcPr>
                <w:p>
                  <w:pPr>
                    <w:spacing w:line="340" w:lineRule="atLeast"/>
                    <w:jc w:val="center"/>
                    <w:rPr>
                      <w:sz w:val="22"/>
                      <w:szCs w:val="22"/>
                    </w:rPr>
                  </w:pPr>
                  <w:r>
                    <w:rPr>
                      <w:sz w:val="22"/>
                      <w:szCs w:val="22"/>
                    </w:rPr>
                    <w:t>28</w:t>
                  </w:r>
                </w:p>
              </w:tc>
              <w:tc>
                <w:tcPr>
                  <w:tcW w:w="1357" w:type="dxa"/>
                </w:tcPr>
                <w:p>
                  <w:pPr>
                    <w:spacing w:line="340" w:lineRule="atLeast"/>
                    <w:jc w:val="center"/>
                    <w:rPr>
                      <w:sz w:val="22"/>
                      <w:szCs w:val="22"/>
                    </w:rPr>
                  </w:pPr>
                </w:p>
              </w:tc>
              <w:tc>
                <w:tcPr>
                  <w:tcW w:w="2547" w:type="dxa"/>
                </w:tcPr>
                <w:p>
                  <w:pPr>
                    <w:spacing w:line="340" w:lineRule="atLeast"/>
                    <w:jc w:val="center"/>
                    <w:rPr>
                      <w:sz w:val="22"/>
                      <w:szCs w:val="22"/>
                    </w:rPr>
                  </w:pPr>
                  <w:r>
                    <w:rPr>
                      <w:sz w:val="22"/>
                      <w:szCs w:val="22"/>
                    </w:rPr>
                    <w:t>活动接触网</w:t>
                  </w:r>
                </w:p>
              </w:tc>
              <w:tc>
                <w:tcPr>
                  <w:tcW w:w="918" w:type="dxa"/>
                </w:tcPr>
                <w:p>
                  <w:pPr>
                    <w:spacing w:line="340" w:lineRule="atLeast"/>
                    <w:jc w:val="center"/>
                    <w:rPr>
                      <w:sz w:val="22"/>
                      <w:szCs w:val="22"/>
                    </w:rPr>
                  </w:pPr>
                  <w:r>
                    <w:rPr>
                      <w:sz w:val="22"/>
                      <w:szCs w:val="22"/>
                    </w:rPr>
                    <w:t>套</w:t>
                  </w:r>
                </w:p>
              </w:tc>
              <w:tc>
                <w:tcPr>
                  <w:tcW w:w="2257" w:type="dxa"/>
                </w:tcPr>
                <w:p>
                  <w:pPr>
                    <w:spacing w:line="340" w:lineRule="atLeast"/>
                    <w:jc w:val="center"/>
                    <w:rPr>
                      <w:sz w:val="22"/>
                      <w:szCs w:val="22"/>
                    </w:rPr>
                  </w:pPr>
                  <w:r>
                    <w:rPr>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587" w:type="dxa"/>
                </w:tcPr>
                <w:p>
                  <w:pPr>
                    <w:spacing w:line="340" w:lineRule="atLeast"/>
                    <w:jc w:val="center"/>
                    <w:rPr>
                      <w:sz w:val="22"/>
                      <w:szCs w:val="22"/>
                    </w:rPr>
                  </w:pPr>
                  <w:r>
                    <w:rPr>
                      <w:sz w:val="22"/>
                      <w:szCs w:val="22"/>
                    </w:rPr>
                    <w:t>29</w:t>
                  </w:r>
                </w:p>
              </w:tc>
              <w:tc>
                <w:tcPr>
                  <w:tcW w:w="1357" w:type="dxa"/>
                </w:tcPr>
                <w:p>
                  <w:pPr>
                    <w:spacing w:line="340" w:lineRule="atLeast"/>
                    <w:jc w:val="center"/>
                    <w:rPr>
                      <w:sz w:val="22"/>
                      <w:szCs w:val="22"/>
                    </w:rPr>
                  </w:pPr>
                </w:p>
              </w:tc>
              <w:tc>
                <w:tcPr>
                  <w:tcW w:w="2547" w:type="dxa"/>
                </w:tcPr>
                <w:p>
                  <w:pPr>
                    <w:spacing w:line="340" w:lineRule="atLeast"/>
                    <w:jc w:val="center"/>
                    <w:rPr>
                      <w:sz w:val="22"/>
                      <w:szCs w:val="22"/>
                    </w:rPr>
                  </w:pPr>
                  <w:r>
                    <w:rPr>
                      <w:kern w:val="0"/>
                      <w:sz w:val="22"/>
                      <w:szCs w:val="22"/>
                    </w:rPr>
                    <w:t>单梁起重机</w:t>
                  </w:r>
                </w:p>
              </w:tc>
              <w:tc>
                <w:tcPr>
                  <w:tcW w:w="918" w:type="dxa"/>
                </w:tcPr>
                <w:p>
                  <w:pPr>
                    <w:spacing w:line="340" w:lineRule="atLeast"/>
                    <w:jc w:val="center"/>
                    <w:rPr>
                      <w:sz w:val="22"/>
                      <w:szCs w:val="22"/>
                    </w:rPr>
                  </w:pPr>
                  <w:r>
                    <w:rPr>
                      <w:sz w:val="22"/>
                      <w:szCs w:val="22"/>
                    </w:rPr>
                    <w:t>台</w:t>
                  </w:r>
                </w:p>
              </w:tc>
              <w:tc>
                <w:tcPr>
                  <w:tcW w:w="2257" w:type="dxa"/>
                </w:tcPr>
                <w:p>
                  <w:pPr>
                    <w:spacing w:line="340" w:lineRule="atLeast"/>
                    <w:jc w:val="center"/>
                    <w:rPr>
                      <w:sz w:val="22"/>
                      <w:szCs w:val="22"/>
                    </w:rPr>
                  </w:pPr>
                  <w:r>
                    <w:rPr>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587" w:type="dxa"/>
                </w:tcPr>
                <w:p>
                  <w:pPr>
                    <w:spacing w:line="340" w:lineRule="atLeast"/>
                    <w:jc w:val="center"/>
                    <w:rPr>
                      <w:sz w:val="22"/>
                      <w:szCs w:val="22"/>
                    </w:rPr>
                  </w:pPr>
                  <w:r>
                    <w:rPr>
                      <w:sz w:val="22"/>
                      <w:szCs w:val="22"/>
                    </w:rPr>
                    <w:t>30</w:t>
                  </w:r>
                </w:p>
              </w:tc>
              <w:tc>
                <w:tcPr>
                  <w:tcW w:w="1357" w:type="dxa"/>
                </w:tcPr>
                <w:p>
                  <w:pPr>
                    <w:spacing w:line="340" w:lineRule="atLeast"/>
                    <w:jc w:val="center"/>
                    <w:rPr>
                      <w:sz w:val="22"/>
                      <w:szCs w:val="22"/>
                    </w:rPr>
                  </w:pPr>
                </w:p>
              </w:tc>
              <w:tc>
                <w:tcPr>
                  <w:tcW w:w="2547" w:type="dxa"/>
                </w:tcPr>
                <w:p>
                  <w:pPr>
                    <w:spacing w:line="340" w:lineRule="atLeast"/>
                    <w:jc w:val="center"/>
                    <w:rPr>
                      <w:kern w:val="0"/>
                      <w:sz w:val="22"/>
                      <w:szCs w:val="22"/>
                    </w:rPr>
                  </w:pPr>
                  <w:r>
                    <w:rPr>
                      <w:kern w:val="0"/>
                      <w:sz w:val="22"/>
                      <w:szCs w:val="22"/>
                    </w:rPr>
                    <w:t>耐压性实验设备</w:t>
                  </w:r>
                </w:p>
              </w:tc>
              <w:tc>
                <w:tcPr>
                  <w:tcW w:w="918" w:type="dxa"/>
                </w:tcPr>
                <w:p>
                  <w:pPr>
                    <w:spacing w:line="340" w:lineRule="atLeast"/>
                    <w:jc w:val="center"/>
                    <w:rPr>
                      <w:kern w:val="0"/>
                      <w:sz w:val="22"/>
                      <w:szCs w:val="22"/>
                    </w:rPr>
                  </w:pPr>
                  <w:r>
                    <w:rPr>
                      <w:kern w:val="0"/>
                      <w:sz w:val="22"/>
                      <w:szCs w:val="22"/>
                    </w:rPr>
                    <w:t>套</w:t>
                  </w:r>
                </w:p>
              </w:tc>
              <w:tc>
                <w:tcPr>
                  <w:tcW w:w="2257" w:type="dxa"/>
                </w:tcPr>
                <w:p>
                  <w:pPr>
                    <w:spacing w:line="340" w:lineRule="atLeast"/>
                    <w:jc w:val="center"/>
                    <w:rPr>
                      <w:sz w:val="22"/>
                      <w:szCs w:val="22"/>
                    </w:rPr>
                  </w:pPr>
                  <w:r>
                    <w:rPr>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587" w:type="dxa"/>
                </w:tcPr>
                <w:p>
                  <w:pPr>
                    <w:spacing w:line="340" w:lineRule="atLeast"/>
                    <w:jc w:val="center"/>
                    <w:rPr>
                      <w:sz w:val="22"/>
                      <w:szCs w:val="22"/>
                    </w:rPr>
                  </w:pPr>
                  <w:r>
                    <w:rPr>
                      <w:sz w:val="22"/>
                      <w:szCs w:val="22"/>
                    </w:rPr>
                    <w:t>31</w:t>
                  </w:r>
                </w:p>
              </w:tc>
              <w:tc>
                <w:tcPr>
                  <w:tcW w:w="1357" w:type="dxa"/>
                </w:tcPr>
                <w:p>
                  <w:pPr>
                    <w:spacing w:line="340" w:lineRule="atLeast"/>
                    <w:jc w:val="center"/>
                    <w:rPr>
                      <w:sz w:val="22"/>
                      <w:szCs w:val="22"/>
                    </w:rPr>
                  </w:pPr>
                  <w:r>
                    <w:rPr>
                      <w:sz w:val="22"/>
                      <w:szCs w:val="22"/>
                    </w:rPr>
                    <w:t>空压站</w:t>
                  </w:r>
                </w:p>
              </w:tc>
              <w:tc>
                <w:tcPr>
                  <w:tcW w:w="2547" w:type="dxa"/>
                </w:tcPr>
                <w:p>
                  <w:pPr>
                    <w:spacing w:line="340" w:lineRule="atLeast"/>
                    <w:jc w:val="center"/>
                    <w:rPr>
                      <w:sz w:val="22"/>
                      <w:szCs w:val="22"/>
                    </w:rPr>
                  </w:pPr>
                  <w:r>
                    <w:rPr>
                      <w:sz w:val="22"/>
                      <w:szCs w:val="22"/>
                    </w:rPr>
                    <w:t>空压机组</w:t>
                  </w:r>
                </w:p>
              </w:tc>
              <w:tc>
                <w:tcPr>
                  <w:tcW w:w="918" w:type="dxa"/>
                </w:tcPr>
                <w:p>
                  <w:pPr>
                    <w:spacing w:line="340" w:lineRule="atLeast"/>
                    <w:jc w:val="center"/>
                    <w:rPr>
                      <w:sz w:val="22"/>
                      <w:szCs w:val="22"/>
                    </w:rPr>
                  </w:pPr>
                  <w:r>
                    <w:rPr>
                      <w:sz w:val="22"/>
                      <w:szCs w:val="22"/>
                    </w:rPr>
                    <w:t>套</w:t>
                  </w:r>
                </w:p>
              </w:tc>
              <w:tc>
                <w:tcPr>
                  <w:tcW w:w="2257" w:type="dxa"/>
                </w:tcPr>
                <w:p>
                  <w:pPr>
                    <w:spacing w:line="340" w:lineRule="atLeast"/>
                    <w:jc w:val="center"/>
                    <w:rPr>
                      <w:sz w:val="22"/>
                      <w:szCs w:val="22"/>
                    </w:rPr>
                  </w:pPr>
                  <w:r>
                    <w:rPr>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7" w:hRule="atLeast"/>
                <w:jc w:val="center"/>
              </w:trPr>
              <w:tc>
                <w:tcPr>
                  <w:tcW w:w="587" w:type="dxa"/>
                </w:tcPr>
                <w:p>
                  <w:pPr>
                    <w:spacing w:line="340" w:lineRule="atLeast"/>
                    <w:jc w:val="center"/>
                    <w:rPr>
                      <w:sz w:val="22"/>
                      <w:szCs w:val="22"/>
                    </w:rPr>
                  </w:pPr>
                  <w:r>
                    <w:rPr>
                      <w:sz w:val="22"/>
                      <w:szCs w:val="22"/>
                    </w:rPr>
                    <w:t>32</w:t>
                  </w:r>
                </w:p>
              </w:tc>
              <w:tc>
                <w:tcPr>
                  <w:tcW w:w="1357" w:type="dxa"/>
                </w:tcPr>
                <w:p>
                  <w:pPr>
                    <w:spacing w:line="340" w:lineRule="atLeast"/>
                    <w:jc w:val="center"/>
                    <w:rPr>
                      <w:sz w:val="22"/>
                      <w:szCs w:val="22"/>
                    </w:rPr>
                  </w:pPr>
                  <w:r>
                    <w:rPr>
                      <w:sz w:val="22"/>
                      <w:szCs w:val="22"/>
                    </w:rPr>
                    <w:t>中心变电站及动调站</w:t>
                  </w:r>
                </w:p>
              </w:tc>
              <w:tc>
                <w:tcPr>
                  <w:tcW w:w="2547" w:type="dxa"/>
                </w:tcPr>
                <w:p>
                  <w:pPr>
                    <w:spacing w:line="340" w:lineRule="atLeast"/>
                    <w:jc w:val="center"/>
                    <w:rPr>
                      <w:sz w:val="22"/>
                      <w:szCs w:val="22"/>
                    </w:rPr>
                  </w:pPr>
                  <w:r>
                    <w:rPr>
                      <w:sz w:val="22"/>
                      <w:szCs w:val="22"/>
                    </w:rPr>
                    <w:t>低压抽屉柜</w:t>
                  </w:r>
                </w:p>
              </w:tc>
              <w:tc>
                <w:tcPr>
                  <w:tcW w:w="918" w:type="dxa"/>
                </w:tcPr>
                <w:p>
                  <w:pPr>
                    <w:spacing w:line="340" w:lineRule="atLeast"/>
                    <w:jc w:val="center"/>
                    <w:rPr>
                      <w:sz w:val="22"/>
                      <w:szCs w:val="22"/>
                    </w:rPr>
                  </w:pPr>
                  <w:r>
                    <w:rPr>
                      <w:sz w:val="22"/>
                      <w:szCs w:val="22"/>
                    </w:rPr>
                    <w:t>套</w:t>
                  </w:r>
                </w:p>
              </w:tc>
              <w:tc>
                <w:tcPr>
                  <w:tcW w:w="2257" w:type="dxa"/>
                </w:tcPr>
                <w:p>
                  <w:pPr>
                    <w:spacing w:line="340" w:lineRule="atLeast"/>
                    <w:jc w:val="center"/>
                    <w:rPr>
                      <w:sz w:val="22"/>
                      <w:szCs w:val="22"/>
                    </w:rPr>
                  </w:pPr>
                  <w:r>
                    <w:rPr>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587" w:type="dxa"/>
                </w:tcPr>
                <w:p>
                  <w:pPr>
                    <w:spacing w:line="340" w:lineRule="atLeast"/>
                    <w:jc w:val="center"/>
                    <w:rPr>
                      <w:sz w:val="22"/>
                      <w:szCs w:val="22"/>
                    </w:rPr>
                  </w:pPr>
                  <w:r>
                    <w:rPr>
                      <w:sz w:val="22"/>
                      <w:szCs w:val="22"/>
                    </w:rPr>
                    <w:t>33</w:t>
                  </w:r>
                </w:p>
              </w:tc>
              <w:tc>
                <w:tcPr>
                  <w:tcW w:w="1357" w:type="dxa"/>
                </w:tcPr>
                <w:p>
                  <w:pPr>
                    <w:spacing w:line="340" w:lineRule="atLeast"/>
                    <w:jc w:val="center"/>
                    <w:rPr>
                      <w:sz w:val="22"/>
                      <w:szCs w:val="22"/>
                    </w:rPr>
                  </w:pPr>
                </w:p>
              </w:tc>
              <w:tc>
                <w:tcPr>
                  <w:tcW w:w="2547" w:type="dxa"/>
                </w:tcPr>
                <w:p>
                  <w:pPr>
                    <w:spacing w:line="340" w:lineRule="atLeast"/>
                    <w:jc w:val="center"/>
                    <w:rPr>
                      <w:sz w:val="22"/>
                      <w:szCs w:val="22"/>
                    </w:rPr>
                  </w:pPr>
                  <w:r>
                    <w:rPr>
                      <w:sz w:val="22"/>
                      <w:szCs w:val="22"/>
                    </w:rPr>
                    <w:t>高压环网柜</w:t>
                  </w:r>
                </w:p>
              </w:tc>
              <w:tc>
                <w:tcPr>
                  <w:tcW w:w="918" w:type="dxa"/>
                </w:tcPr>
                <w:p>
                  <w:pPr>
                    <w:spacing w:line="340" w:lineRule="atLeast"/>
                    <w:jc w:val="center"/>
                    <w:rPr>
                      <w:sz w:val="22"/>
                      <w:szCs w:val="22"/>
                    </w:rPr>
                  </w:pPr>
                  <w:r>
                    <w:rPr>
                      <w:sz w:val="22"/>
                      <w:szCs w:val="22"/>
                    </w:rPr>
                    <w:t>套</w:t>
                  </w:r>
                </w:p>
              </w:tc>
              <w:tc>
                <w:tcPr>
                  <w:tcW w:w="2257" w:type="dxa"/>
                </w:tcPr>
                <w:p>
                  <w:pPr>
                    <w:spacing w:line="340" w:lineRule="atLeast"/>
                    <w:jc w:val="center"/>
                    <w:rPr>
                      <w:sz w:val="22"/>
                      <w:szCs w:val="22"/>
                    </w:rPr>
                  </w:pPr>
                  <w:r>
                    <w:rPr>
                      <w:sz w:val="22"/>
                      <w:szCs w:val="22"/>
                    </w:rPr>
                    <w:t>1</w:t>
                  </w:r>
                </w:p>
              </w:tc>
            </w:tr>
          </w:tbl>
          <w:p>
            <w:pPr>
              <w:adjustRightInd w:val="0"/>
              <w:snapToGrid w:val="0"/>
              <w:spacing w:line="360" w:lineRule="auto"/>
              <w:ind w:firstLine="480" w:firstLineChars="200"/>
              <w:rPr>
                <w:bCs/>
                <w:sz w:val="24"/>
              </w:rPr>
            </w:pPr>
            <w:r>
              <w:rPr>
                <w:bCs/>
                <w:sz w:val="24"/>
              </w:rPr>
              <w:t>（2）一期项目主要生产工艺及污染流程</w:t>
            </w:r>
          </w:p>
          <w:p>
            <w:pPr>
              <w:adjustRightInd w:val="0"/>
              <w:snapToGrid w:val="0"/>
              <w:spacing w:line="360" w:lineRule="auto"/>
              <w:ind w:firstLine="480" w:firstLineChars="200"/>
              <w:rPr>
                <w:bCs/>
                <w:sz w:val="24"/>
              </w:rPr>
            </w:pPr>
            <w:r>
              <w:rPr>
                <w:bCs/>
                <w:sz w:val="24"/>
              </w:rPr>
              <w:t>1、车体焊接车间</w:t>
            </w:r>
          </w:p>
          <w:p>
            <w:pPr>
              <w:tabs>
                <w:tab w:val="left" w:pos="993"/>
              </w:tabs>
              <w:spacing w:line="500" w:lineRule="atLeast"/>
              <w:ind w:firstLine="484" w:firstLineChars="202"/>
              <w:rPr>
                <w:sz w:val="24"/>
              </w:rPr>
            </w:pPr>
            <w:r>
              <w:rPr>
                <w:sz w:val="24"/>
              </w:rPr>
              <w:t>车体车间主要是将外购的车体大部件进行焊接、打磨、检验后加工形成车体。工艺流程见图2-5。</w:t>
            </w:r>
          </w:p>
          <w:p>
            <w:pPr>
              <w:tabs>
                <w:tab w:val="left" w:pos="993"/>
              </w:tabs>
              <w:spacing w:line="500" w:lineRule="atLeast"/>
              <w:ind w:firstLine="484" w:firstLineChars="202"/>
              <w:rPr>
                <w:sz w:val="24"/>
              </w:rPr>
            </w:pPr>
          </w:p>
          <w:p>
            <w:pPr>
              <w:tabs>
                <w:tab w:val="left" w:pos="993"/>
              </w:tabs>
              <w:spacing w:line="500" w:lineRule="atLeast"/>
              <w:ind w:firstLine="484" w:firstLineChars="202"/>
              <w:rPr>
                <w:sz w:val="24"/>
              </w:rPr>
            </w:pPr>
          </w:p>
          <w:p>
            <w:pPr>
              <w:tabs>
                <w:tab w:val="left" w:pos="993"/>
              </w:tabs>
              <w:spacing w:line="500" w:lineRule="atLeast"/>
              <w:ind w:firstLine="484" w:firstLineChars="202"/>
              <w:rPr>
                <w:sz w:val="24"/>
              </w:rPr>
            </w:pPr>
          </w:p>
          <w:p>
            <w:pPr>
              <w:tabs>
                <w:tab w:val="left" w:pos="993"/>
              </w:tabs>
              <w:spacing w:line="500" w:lineRule="atLeast"/>
              <w:ind w:firstLine="484" w:firstLineChars="202"/>
              <w:rPr>
                <w:sz w:val="24"/>
              </w:rPr>
            </w:pPr>
          </w:p>
          <w:p>
            <w:pPr>
              <w:tabs>
                <w:tab w:val="left" w:pos="993"/>
              </w:tabs>
              <w:spacing w:line="500" w:lineRule="atLeast"/>
              <w:ind w:firstLine="484" w:firstLineChars="202"/>
              <w:rPr>
                <w:sz w:val="24"/>
              </w:rPr>
            </w:pPr>
          </w:p>
          <w:p>
            <w:pPr>
              <w:tabs>
                <w:tab w:val="left" w:pos="993"/>
              </w:tabs>
              <w:spacing w:line="500" w:lineRule="atLeast"/>
              <w:ind w:firstLine="484" w:firstLineChars="202"/>
              <w:rPr>
                <w:sz w:val="24"/>
              </w:rPr>
            </w:pPr>
          </w:p>
          <w:p>
            <w:pPr>
              <w:tabs>
                <w:tab w:val="left" w:pos="993"/>
              </w:tabs>
              <w:spacing w:line="500" w:lineRule="atLeast"/>
              <w:ind w:firstLine="484" w:firstLineChars="202"/>
              <w:rPr>
                <w:sz w:val="24"/>
              </w:rPr>
            </w:pPr>
          </w:p>
          <w:p>
            <w:pPr>
              <w:tabs>
                <w:tab w:val="left" w:pos="993"/>
              </w:tabs>
              <w:spacing w:line="500" w:lineRule="atLeast"/>
              <w:ind w:firstLine="484" w:firstLineChars="202"/>
              <w:rPr>
                <w:sz w:val="24"/>
              </w:rPr>
            </w:pPr>
          </w:p>
          <w:p>
            <w:pPr>
              <w:tabs>
                <w:tab w:val="left" w:pos="993"/>
              </w:tabs>
              <w:spacing w:line="500" w:lineRule="atLeast"/>
              <w:ind w:firstLine="484" w:firstLineChars="202"/>
              <w:rPr>
                <w:sz w:val="24"/>
              </w:rPr>
            </w:pPr>
          </w:p>
          <w:p>
            <w:pPr>
              <w:tabs>
                <w:tab w:val="left" w:pos="993"/>
              </w:tabs>
              <w:spacing w:line="500" w:lineRule="atLeast"/>
              <w:ind w:firstLine="484" w:firstLineChars="202"/>
              <w:rPr>
                <w:sz w:val="24"/>
              </w:rPr>
            </w:pPr>
          </w:p>
          <w:p>
            <w:pPr>
              <w:tabs>
                <w:tab w:val="left" w:pos="993"/>
              </w:tabs>
              <w:spacing w:line="500" w:lineRule="atLeast"/>
              <w:ind w:firstLine="484" w:firstLineChars="202"/>
              <w:rPr>
                <w:sz w:val="24"/>
              </w:rPr>
            </w:pPr>
          </w:p>
          <w:p>
            <w:pPr>
              <w:tabs>
                <w:tab w:val="left" w:pos="993"/>
              </w:tabs>
              <w:spacing w:line="640" w:lineRule="atLeast"/>
              <w:ind w:firstLine="565" w:firstLineChars="202"/>
              <w:rPr>
                <w:sz w:val="28"/>
                <w:szCs w:val="28"/>
              </w:rPr>
            </w:pPr>
            <w:r>
              <w:rPr>
                <w:sz w:val="28"/>
                <w:szCs w:val="28"/>
              </w:rPr>
              <mc:AlternateContent>
                <mc:Choice Requires="wpg">
                  <w:drawing>
                    <wp:anchor distT="0" distB="0" distL="114300" distR="114300" simplePos="0" relativeHeight="251660288" behindDoc="0" locked="0" layoutInCell="1" allowOverlap="1">
                      <wp:simplePos x="0" y="0"/>
                      <wp:positionH relativeFrom="column">
                        <wp:posOffset>52705</wp:posOffset>
                      </wp:positionH>
                      <wp:positionV relativeFrom="paragraph">
                        <wp:posOffset>231140</wp:posOffset>
                      </wp:positionV>
                      <wp:extent cx="4724400" cy="3736340"/>
                      <wp:effectExtent l="0" t="0" r="0" b="0"/>
                      <wp:wrapNone/>
                      <wp:docPr id="7" name="组合 7"/>
                      <wp:cNvGraphicFramePr/>
                      <a:graphic xmlns:a="http://schemas.openxmlformats.org/drawingml/2006/main">
                        <a:graphicData uri="http://schemas.microsoft.com/office/word/2010/wordprocessingGroup">
                          <wpg:wgp>
                            <wpg:cNvGrpSpPr/>
                            <wpg:grpSpPr>
                              <a:xfrm>
                                <a:off x="0" y="0"/>
                                <a:ext cx="4724400" cy="3736340"/>
                                <a:chOff x="0" y="0"/>
                                <a:chExt cx="8784" cy="6831"/>
                              </a:xfrm>
                            </wpg:grpSpPr>
                            <wps:wsp>
                              <wps:cNvPr id="8" name="Text Box 52"/>
                              <wps:cNvSpPr txBox="1">
                                <a:spLocks noChangeArrowheads="1"/>
                              </wps:cNvSpPr>
                              <wps:spPr bwMode="auto">
                                <a:xfrm>
                                  <a:off x="0" y="6363"/>
                                  <a:ext cx="2160" cy="468"/>
                                </a:xfrm>
                                <a:prstGeom prst="rect">
                                  <a:avLst/>
                                </a:prstGeom>
                                <a:solidFill>
                                  <a:srgbClr val="FFFFFF"/>
                                </a:solidFill>
                                <a:ln>
                                  <a:noFill/>
                                </a:ln>
                              </wps:spPr>
                              <wps:txbx>
                                <w:txbxContent>
                                  <w:p>
                                    <w:pPr>
                                      <w:jc w:val="center"/>
                                      <w:rPr>
                                        <w:sz w:val="24"/>
                                      </w:rPr>
                                    </w:pPr>
                                    <w:r>
                                      <w:rPr>
                                        <w:rFonts w:hint="eastAsia"/>
                                        <w:sz w:val="24"/>
                                      </w:rPr>
                                      <w:t>送表面处理车间</w:t>
                                    </w:r>
                                  </w:p>
                                </w:txbxContent>
                              </wps:txbx>
                              <wps:bodyPr rot="0" vert="horz" wrap="square" lIns="91440" tIns="45720" rIns="91440" bIns="45720" anchor="t" anchorCtr="0" upright="1">
                                <a:noAutofit/>
                              </wps:bodyPr>
                            </wps:wsp>
                            <wpg:grpSp>
                              <wpg:cNvPr id="9" name="Group 53"/>
                              <wpg:cNvGrpSpPr/>
                              <wpg:grpSpPr>
                                <a:xfrm>
                                  <a:off x="0" y="0"/>
                                  <a:ext cx="8784" cy="6524"/>
                                  <a:chOff x="0" y="0"/>
                                  <a:chExt cx="8784" cy="6524"/>
                                </a:xfrm>
                              </wpg:grpSpPr>
                              <wps:wsp>
                                <wps:cNvPr id="10" name="Text Box 54"/>
                                <wps:cNvSpPr txBox="1">
                                  <a:spLocks noChangeArrowheads="1"/>
                                </wps:cNvSpPr>
                                <wps:spPr bwMode="auto">
                                  <a:xfrm>
                                    <a:off x="0" y="0"/>
                                    <a:ext cx="2160" cy="468"/>
                                  </a:xfrm>
                                  <a:prstGeom prst="rect">
                                    <a:avLst/>
                                  </a:prstGeom>
                                  <a:solidFill>
                                    <a:srgbClr val="FFFFFF"/>
                                  </a:solidFill>
                                  <a:ln>
                                    <a:noFill/>
                                  </a:ln>
                                </wps:spPr>
                                <wps:txbx>
                                  <w:txbxContent>
                                    <w:p>
                                      <w:pPr>
                                        <w:jc w:val="center"/>
                                        <w:rPr>
                                          <w:sz w:val="24"/>
                                        </w:rPr>
                                      </w:pPr>
                                      <w:r>
                                        <w:rPr>
                                          <w:rFonts w:hint="eastAsia"/>
                                          <w:sz w:val="24"/>
                                        </w:rPr>
                                        <w:t>车体大部件</w:t>
                                      </w:r>
                                    </w:p>
                                  </w:txbxContent>
                                </wps:txbx>
                                <wps:bodyPr rot="0" vert="horz" wrap="square" lIns="91440" tIns="45720" rIns="91440" bIns="45720" anchor="t" anchorCtr="0" upright="1">
                                  <a:noAutofit/>
                                </wps:bodyPr>
                              </wps:wsp>
                              <wps:wsp>
                                <wps:cNvPr id="11" name="Text Box 55"/>
                                <wps:cNvSpPr txBox="1">
                                  <a:spLocks noChangeArrowheads="1"/>
                                </wps:cNvSpPr>
                                <wps:spPr bwMode="auto">
                                  <a:xfrm>
                                    <a:off x="0" y="936"/>
                                    <a:ext cx="2160" cy="468"/>
                                  </a:xfrm>
                                  <a:prstGeom prst="rect">
                                    <a:avLst/>
                                  </a:prstGeom>
                                  <a:solidFill>
                                    <a:srgbClr val="FFFFFF"/>
                                  </a:solidFill>
                                  <a:ln w="9525" cmpd="sng">
                                    <a:solidFill>
                                      <a:srgbClr val="000000"/>
                                    </a:solidFill>
                                    <a:miter lim="800000"/>
                                  </a:ln>
                                </wps:spPr>
                                <wps:txbx>
                                  <w:txbxContent>
                                    <w:p>
                                      <w:pPr>
                                        <w:jc w:val="center"/>
                                        <w:rPr>
                                          <w:sz w:val="24"/>
                                        </w:rPr>
                                      </w:pPr>
                                      <w:r>
                                        <w:rPr>
                                          <w:rFonts w:hint="eastAsia"/>
                                          <w:sz w:val="24"/>
                                        </w:rPr>
                                        <w:t>台位准备</w:t>
                                      </w:r>
                                    </w:p>
                                    <w:p>
                                      <w:pPr>
                                        <w:jc w:val="center"/>
                                      </w:pPr>
                                    </w:p>
                                  </w:txbxContent>
                                </wps:txbx>
                                <wps:bodyPr rot="0" vert="horz" wrap="square" lIns="91440" tIns="45720" rIns="91440" bIns="45720" anchor="t" anchorCtr="0" upright="1">
                                  <a:noAutofit/>
                                </wps:bodyPr>
                              </wps:wsp>
                              <wps:wsp>
                                <wps:cNvPr id="12" name="Line 56"/>
                                <wps:cNvCnPr>
                                  <a:cxnSpLocks noChangeShapeType="1"/>
                                </wps:cNvCnPr>
                                <wps:spPr bwMode="auto">
                                  <a:xfrm>
                                    <a:off x="1080" y="468"/>
                                    <a:ext cx="0" cy="454"/>
                                  </a:xfrm>
                                  <a:prstGeom prst="line">
                                    <a:avLst/>
                                  </a:prstGeom>
                                  <a:noFill/>
                                  <a:ln w="9525" cmpd="sng">
                                    <a:solidFill>
                                      <a:srgbClr val="000000"/>
                                    </a:solidFill>
                                    <a:round/>
                                    <a:tailEnd type="triangle" w="med" len="med"/>
                                  </a:ln>
                                </wps:spPr>
                                <wps:bodyPr/>
                              </wps:wsp>
                              <wps:wsp>
                                <wps:cNvPr id="13" name="Line 57"/>
                                <wps:cNvCnPr>
                                  <a:cxnSpLocks noChangeShapeType="1"/>
                                </wps:cNvCnPr>
                                <wps:spPr bwMode="auto">
                                  <a:xfrm>
                                    <a:off x="1080" y="1420"/>
                                    <a:ext cx="0" cy="624"/>
                                  </a:xfrm>
                                  <a:prstGeom prst="line">
                                    <a:avLst/>
                                  </a:prstGeom>
                                  <a:noFill/>
                                  <a:ln w="9525" cmpd="sng">
                                    <a:solidFill>
                                      <a:srgbClr val="000000"/>
                                    </a:solidFill>
                                    <a:round/>
                                    <a:tailEnd type="triangle" w="med" len="med"/>
                                  </a:ln>
                                </wps:spPr>
                                <wps:bodyPr/>
                              </wps:wsp>
                              <wps:wsp>
                                <wps:cNvPr id="14" name="Text Box 58"/>
                                <wps:cNvSpPr txBox="1">
                                  <a:spLocks noChangeArrowheads="1"/>
                                </wps:cNvSpPr>
                                <wps:spPr bwMode="auto">
                                  <a:xfrm>
                                    <a:off x="0" y="2060"/>
                                    <a:ext cx="2088" cy="468"/>
                                  </a:xfrm>
                                  <a:prstGeom prst="rect">
                                    <a:avLst/>
                                  </a:prstGeom>
                                  <a:solidFill>
                                    <a:srgbClr val="FFFFFF"/>
                                  </a:solidFill>
                                  <a:ln w="9525" cmpd="sng">
                                    <a:solidFill>
                                      <a:srgbClr val="000000"/>
                                    </a:solidFill>
                                    <a:miter lim="800000"/>
                                  </a:ln>
                                </wps:spPr>
                                <wps:txbx>
                                  <w:txbxContent>
                                    <w:p>
                                      <w:pPr>
                                        <w:jc w:val="center"/>
                                        <w:rPr>
                                          <w:sz w:val="24"/>
                                        </w:rPr>
                                      </w:pPr>
                                      <w:r>
                                        <w:rPr>
                                          <w:rFonts w:hint="eastAsia"/>
                                          <w:sz w:val="24"/>
                                        </w:rPr>
                                        <w:t>车体总组焊</w:t>
                                      </w:r>
                                    </w:p>
                                  </w:txbxContent>
                                </wps:txbx>
                                <wps:bodyPr rot="0" vert="horz" wrap="square" lIns="91440" tIns="45720" rIns="91440" bIns="45720" anchor="t" anchorCtr="0" upright="1">
                                  <a:noAutofit/>
                                </wps:bodyPr>
                              </wps:wsp>
                              <wps:wsp>
                                <wps:cNvPr id="15" name="Line 59"/>
                                <wps:cNvCnPr>
                                  <a:cxnSpLocks noChangeShapeType="1"/>
                                </wps:cNvCnPr>
                                <wps:spPr bwMode="auto">
                                  <a:xfrm>
                                    <a:off x="1080" y="2528"/>
                                    <a:ext cx="0" cy="624"/>
                                  </a:xfrm>
                                  <a:prstGeom prst="line">
                                    <a:avLst/>
                                  </a:prstGeom>
                                  <a:noFill/>
                                  <a:ln w="9525" cmpd="sng">
                                    <a:solidFill>
                                      <a:srgbClr val="000000"/>
                                    </a:solidFill>
                                    <a:round/>
                                    <a:tailEnd type="triangle" w="med" len="med"/>
                                  </a:ln>
                                </wps:spPr>
                                <wps:bodyPr/>
                              </wps:wsp>
                              <wps:wsp>
                                <wps:cNvPr id="17" name="Text Box 60"/>
                                <wps:cNvSpPr txBox="1">
                                  <a:spLocks noChangeArrowheads="1"/>
                                </wps:cNvSpPr>
                                <wps:spPr bwMode="auto">
                                  <a:xfrm>
                                    <a:off x="0" y="3168"/>
                                    <a:ext cx="2088" cy="468"/>
                                  </a:xfrm>
                                  <a:prstGeom prst="rect">
                                    <a:avLst/>
                                  </a:prstGeom>
                                  <a:solidFill>
                                    <a:srgbClr val="FFFFFF"/>
                                  </a:solidFill>
                                  <a:ln w="9525" cmpd="sng">
                                    <a:solidFill>
                                      <a:srgbClr val="000000"/>
                                    </a:solidFill>
                                    <a:miter lim="800000"/>
                                  </a:ln>
                                </wps:spPr>
                                <wps:txbx>
                                  <w:txbxContent>
                                    <w:p>
                                      <w:pPr>
                                        <w:jc w:val="center"/>
                                        <w:rPr>
                                          <w:sz w:val="24"/>
                                        </w:rPr>
                                      </w:pPr>
                                      <w:r>
                                        <w:rPr>
                                          <w:sz w:val="24"/>
                                        </w:rPr>
                                        <w:t>车体</w:t>
                                      </w:r>
                                      <w:r>
                                        <w:rPr>
                                          <w:rFonts w:hint="eastAsia"/>
                                          <w:sz w:val="24"/>
                                        </w:rPr>
                                        <w:t>附件焊接</w:t>
                                      </w:r>
                                    </w:p>
                                  </w:txbxContent>
                                </wps:txbx>
                                <wps:bodyPr rot="0" vert="horz" wrap="square" lIns="91440" tIns="45720" rIns="91440" bIns="45720" anchor="t" anchorCtr="0" upright="1">
                                  <a:noAutofit/>
                                </wps:bodyPr>
                              </wps:wsp>
                              <wps:wsp>
                                <wps:cNvPr id="18" name="Line 61"/>
                                <wps:cNvCnPr>
                                  <a:cxnSpLocks noChangeShapeType="1"/>
                                </wps:cNvCnPr>
                                <wps:spPr bwMode="auto">
                                  <a:xfrm>
                                    <a:off x="1080" y="3652"/>
                                    <a:ext cx="0" cy="624"/>
                                  </a:xfrm>
                                  <a:prstGeom prst="line">
                                    <a:avLst/>
                                  </a:prstGeom>
                                  <a:noFill/>
                                  <a:ln w="9525" cmpd="sng">
                                    <a:solidFill>
                                      <a:srgbClr val="000000"/>
                                    </a:solidFill>
                                    <a:round/>
                                    <a:tailEnd type="triangle" w="med" len="med"/>
                                  </a:ln>
                                </wps:spPr>
                                <wps:bodyPr/>
                              </wps:wsp>
                              <wps:wsp>
                                <wps:cNvPr id="19" name="Text Box 62"/>
                                <wps:cNvSpPr txBox="1">
                                  <a:spLocks noChangeArrowheads="1"/>
                                </wps:cNvSpPr>
                                <wps:spPr bwMode="auto">
                                  <a:xfrm>
                                    <a:off x="0" y="4292"/>
                                    <a:ext cx="2160" cy="468"/>
                                  </a:xfrm>
                                  <a:prstGeom prst="rect">
                                    <a:avLst/>
                                  </a:prstGeom>
                                  <a:solidFill>
                                    <a:srgbClr val="FFFFFF"/>
                                  </a:solidFill>
                                  <a:ln w="9525" cmpd="sng">
                                    <a:solidFill>
                                      <a:srgbClr val="000000"/>
                                    </a:solidFill>
                                    <a:miter lim="800000"/>
                                  </a:ln>
                                </wps:spPr>
                                <wps:txbx>
                                  <w:txbxContent>
                                    <w:p>
                                      <w:pPr>
                                        <w:jc w:val="center"/>
                                        <w:rPr>
                                          <w:sz w:val="24"/>
                                        </w:rPr>
                                      </w:pPr>
                                      <w:r>
                                        <w:rPr>
                                          <w:rFonts w:hint="eastAsia"/>
                                          <w:sz w:val="24"/>
                                        </w:rPr>
                                        <w:t>打磨</w:t>
                                      </w:r>
                                    </w:p>
                                  </w:txbxContent>
                                </wps:txbx>
                                <wps:bodyPr rot="0" vert="horz" wrap="square" lIns="91440" tIns="45720" rIns="91440" bIns="45720" anchor="t" anchorCtr="0" upright="1">
                                  <a:noAutofit/>
                                </wps:bodyPr>
                              </wps:wsp>
                              <wps:wsp>
                                <wps:cNvPr id="22" name="Line 63"/>
                                <wps:cNvCnPr>
                                  <a:cxnSpLocks noChangeShapeType="1"/>
                                </wps:cNvCnPr>
                                <wps:spPr bwMode="auto">
                                  <a:xfrm>
                                    <a:off x="1080" y="4776"/>
                                    <a:ext cx="0" cy="624"/>
                                  </a:xfrm>
                                  <a:prstGeom prst="line">
                                    <a:avLst/>
                                  </a:prstGeom>
                                  <a:noFill/>
                                  <a:ln w="9525" cmpd="sng">
                                    <a:solidFill>
                                      <a:srgbClr val="000000"/>
                                    </a:solidFill>
                                    <a:round/>
                                    <a:tailEnd type="triangle" w="med" len="med"/>
                                  </a:ln>
                                </wps:spPr>
                                <wps:bodyPr/>
                              </wps:wsp>
                              <wps:wsp>
                                <wps:cNvPr id="23" name="Text Box 64"/>
                                <wps:cNvSpPr txBox="1">
                                  <a:spLocks noChangeArrowheads="1"/>
                                </wps:cNvSpPr>
                                <wps:spPr bwMode="auto">
                                  <a:xfrm>
                                    <a:off x="0" y="5416"/>
                                    <a:ext cx="2160" cy="468"/>
                                  </a:xfrm>
                                  <a:prstGeom prst="rect">
                                    <a:avLst/>
                                  </a:prstGeom>
                                  <a:solidFill>
                                    <a:srgbClr val="FFFFFF"/>
                                  </a:solidFill>
                                  <a:ln w="9525" cmpd="sng">
                                    <a:solidFill>
                                      <a:srgbClr val="000000"/>
                                    </a:solidFill>
                                    <a:miter lim="800000"/>
                                  </a:ln>
                                </wps:spPr>
                                <wps:txbx>
                                  <w:txbxContent>
                                    <w:p>
                                      <w:pPr>
                                        <w:jc w:val="center"/>
                                        <w:rPr>
                                          <w:sz w:val="24"/>
                                        </w:rPr>
                                      </w:pPr>
                                      <w:r>
                                        <w:rPr>
                                          <w:rFonts w:hint="eastAsia"/>
                                          <w:sz w:val="24"/>
                                        </w:rPr>
                                        <w:t>检验</w:t>
                                      </w:r>
                                    </w:p>
                                  </w:txbxContent>
                                </wps:txbx>
                                <wps:bodyPr rot="0" vert="horz" wrap="square" lIns="91440" tIns="45720" rIns="91440" bIns="45720" anchor="t" anchorCtr="0" upright="1">
                                  <a:noAutofit/>
                                </wps:bodyPr>
                              </wps:wsp>
                              <wps:wsp>
                                <wps:cNvPr id="25" name="Line 65"/>
                                <wps:cNvCnPr>
                                  <a:cxnSpLocks noChangeShapeType="1"/>
                                </wps:cNvCnPr>
                                <wps:spPr bwMode="auto">
                                  <a:xfrm>
                                    <a:off x="1080" y="5900"/>
                                    <a:ext cx="0" cy="624"/>
                                  </a:xfrm>
                                  <a:prstGeom prst="line">
                                    <a:avLst/>
                                  </a:prstGeom>
                                  <a:noFill/>
                                  <a:ln w="9525" cmpd="sng">
                                    <a:solidFill>
                                      <a:srgbClr val="000000"/>
                                    </a:solidFill>
                                    <a:round/>
                                    <a:tailEnd type="triangle" w="med" len="med"/>
                                  </a:ln>
                                </wps:spPr>
                                <wps:bodyPr/>
                              </wps:wsp>
                              <wps:wsp>
                                <wps:cNvPr id="26" name="Line 66"/>
                                <wps:cNvCnPr>
                                  <a:cxnSpLocks noChangeShapeType="1"/>
                                </wps:cNvCnPr>
                                <wps:spPr bwMode="auto">
                                  <a:xfrm flipH="1">
                                    <a:off x="2100" y="2216"/>
                                    <a:ext cx="720" cy="0"/>
                                  </a:xfrm>
                                  <a:prstGeom prst="line">
                                    <a:avLst/>
                                  </a:prstGeom>
                                  <a:noFill/>
                                  <a:ln w="9525" cmpd="sng">
                                    <a:solidFill>
                                      <a:srgbClr val="000000"/>
                                    </a:solidFill>
                                    <a:round/>
                                  </a:ln>
                                </wps:spPr>
                                <wps:bodyPr/>
                              </wps:wsp>
                              <wps:wsp>
                                <wps:cNvPr id="27" name="Line 67"/>
                                <wps:cNvCnPr>
                                  <a:cxnSpLocks noChangeShapeType="1"/>
                                </wps:cNvCnPr>
                                <wps:spPr bwMode="auto">
                                  <a:xfrm flipH="1">
                                    <a:off x="2100" y="3464"/>
                                    <a:ext cx="720" cy="0"/>
                                  </a:xfrm>
                                  <a:prstGeom prst="line">
                                    <a:avLst/>
                                  </a:prstGeom>
                                  <a:noFill/>
                                  <a:ln w="9525" cmpd="sng">
                                    <a:solidFill>
                                      <a:srgbClr val="000000"/>
                                    </a:solidFill>
                                    <a:round/>
                                  </a:ln>
                                </wps:spPr>
                                <wps:bodyPr/>
                              </wps:wsp>
                              <wps:wsp>
                                <wps:cNvPr id="30" name="Line 68"/>
                                <wps:cNvCnPr>
                                  <a:cxnSpLocks noChangeShapeType="1"/>
                                </wps:cNvCnPr>
                                <wps:spPr bwMode="auto">
                                  <a:xfrm>
                                    <a:off x="2820" y="2216"/>
                                    <a:ext cx="0" cy="1248"/>
                                  </a:xfrm>
                                  <a:prstGeom prst="line">
                                    <a:avLst/>
                                  </a:prstGeom>
                                  <a:noFill/>
                                  <a:ln w="9525" cmpd="sng">
                                    <a:solidFill>
                                      <a:srgbClr val="000000"/>
                                    </a:solidFill>
                                    <a:round/>
                                  </a:ln>
                                </wps:spPr>
                                <wps:bodyPr/>
                              </wps:wsp>
                              <wps:wsp>
                                <wps:cNvPr id="31" name="Line 69"/>
                                <wps:cNvCnPr>
                                  <a:cxnSpLocks noChangeShapeType="1"/>
                                </wps:cNvCnPr>
                                <wps:spPr bwMode="auto">
                                  <a:xfrm>
                                    <a:off x="2832" y="2805"/>
                                    <a:ext cx="850" cy="0"/>
                                  </a:xfrm>
                                  <a:prstGeom prst="line">
                                    <a:avLst/>
                                  </a:prstGeom>
                                  <a:noFill/>
                                  <a:ln w="9525" cmpd="sng">
                                    <a:solidFill>
                                      <a:srgbClr val="000000"/>
                                    </a:solidFill>
                                    <a:round/>
                                    <a:tailEnd type="triangle" w="med" len="med"/>
                                  </a:ln>
                                </wps:spPr>
                                <wps:bodyPr/>
                              </wps:wsp>
                              <wps:wsp>
                                <wps:cNvPr id="226" name="Text Box 70"/>
                                <wps:cNvSpPr txBox="1">
                                  <a:spLocks noChangeArrowheads="1"/>
                                </wps:cNvSpPr>
                                <wps:spPr bwMode="auto">
                                  <a:xfrm>
                                    <a:off x="3768" y="2516"/>
                                    <a:ext cx="1080" cy="556"/>
                                  </a:xfrm>
                                  <a:prstGeom prst="rect">
                                    <a:avLst/>
                                  </a:prstGeom>
                                  <a:solidFill>
                                    <a:srgbClr val="FFFFFF"/>
                                  </a:solidFill>
                                  <a:ln w="9525" cmpd="sng">
                                    <a:solidFill>
                                      <a:srgbClr val="000000"/>
                                    </a:solidFill>
                                    <a:miter lim="800000"/>
                                  </a:ln>
                                </wps:spPr>
                                <wps:txbx>
                                  <w:txbxContent>
                                    <w:p>
                                      <w:pPr>
                                        <w:spacing w:line="240" w:lineRule="exact"/>
                                      </w:pPr>
                                      <w:r>
                                        <w:t>移动式焊接烟尘净化</w:t>
                                      </w:r>
                                    </w:p>
                                  </w:txbxContent>
                                </wps:txbx>
                                <wps:bodyPr rot="0" vert="horz" wrap="square" lIns="0" tIns="0" rIns="0" bIns="0" anchor="t" anchorCtr="0" upright="1">
                                  <a:noAutofit/>
                                </wps:bodyPr>
                              </wps:wsp>
                              <wps:wsp>
                                <wps:cNvPr id="227" name="Line 71"/>
                                <wps:cNvCnPr>
                                  <a:cxnSpLocks noChangeShapeType="1"/>
                                </wps:cNvCnPr>
                                <wps:spPr bwMode="auto">
                                  <a:xfrm>
                                    <a:off x="6444" y="2805"/>
                                    <a:ext cx="720" cy="0"/>
                                  </a:xfrm>
                                  <a:prstGeom prst="line">
                                    <a:avLst/>
                                  </a:prstGeom>
                                  <a:noFill/>
                                  <a:ln w="9525" cmpd="sng">
                                    <a:solidFill>
                                      <a:srgbClr val="000000"/>
                                    </a:solidFill>
                                    <a:round/>
                                    <a:tailEnd type="triangle" w="med" len="med"/>
                                  </a:ln>
                                </wps:spPr>
                                <wps:bodyPr/>
                              </wps:wsp>
                              <wps:wsp>
                                <wps:cNvPr id="228" name="Text Box 72"/>
                                <wps:cNvSpPr txBox="1">
                                  <a:spLocks noChangeArrowheads="1"/>
                                </wps:cNvSpPr>
                                <wps:spPr bwMode="auto">
                                  <a:xfrm>
                                    <a:off x="7167" y="2604"/>
                                    <a:ext cx="1617" cy="624"/>
                                  </a:xfrm>
                                  <a:prstGeom prst="rect">
                                    <a:avLst/>
                                  </a:prstGeom>
                                  <a:solidFill>
                                    <a:srgbClr val="FFFFFF"/>
                                  </a:solidFill>
                                  <a:ln>
                                    <a:noFill/>
                                  </a:ln>
                                </wps:spPr>
                                <wps:txbx>
                                  <w:txbxContent>
                                    <w:p>
                                      <w:pPr>
                                        <w:rPr>
                                          <w:sz w:val="24"/>
                                        </w:rPr>
                                      </w:pPr>
                                      <w:r>
                                        <w:rPr>
                                          <w:rFonts w:hint="eastAsia"/>
                                          <w:sz w:val="22"/>
                                          <w:szCs w:val="22"/>
                                        </w:rPr>
                                        <w:t>车间内排放G1</w:t>
                                      </w:r>
                                    </w:p>
                                  </w:txbxContent>
                                </wps:txbx>
                                <wps:bodyPr rot="0" vert="horz" wrap="square" lIns="0" tIns="45720" rIns="0" bIns="45720" anchor="t" anchorCtr="0" upright="1">
                                  <a:noAutofit/>
                                </wps:bodyPr>
                              </wps:wsp>
                              <wps:wsp>
                                <wps:cNvPr id="229" name="Line 73"/>
                                <wps:cNvCnPr>
                                  <a:cxnSpLocks noChangeShapeType="1"/>
                                </wps:cNvCnPr>
                                <wps:spPr bwMode="auto">
                                  <a:xfrm flipV="1">
                                    <a:off x="6084" y="2191"/>
                                    <a:ext cx="0" cy="312"/>
                                  </a:xfrm>
                                  <a:prstGeom prst="line">
                                    <a:avLst/>
                                  </a:prstGeom>
                                  <a:noFill/>
                                  <a:ln w="9525" cmpd="sng">
                                    <a:solidFill>
                                      <a:srgbClr val="000000"/>
                                    </a:solidFill>
                                    <a:round/>
                                    <a:tailEnd type="triangle" w="med" len="med"/>
                                  </a:ln>
                                </wps:spPr>
                                <wps:bodyPr/>
                              </wps:wsp>
                              <wps:wsp>
                                <wps:cNvPr id="230" name="Text Box 74"/>
                                <wps:cNvSpPr txBox="1">
                                  <a:spLocks noChangeArrowheads="1"/>
                                </wps:cNvSpPr>
                                <wps:spPr bwMode="auto">
                                  <a:xfrm>
                                    <a:off x="2520" y="1560"/>
                                    <a:ext cx="900" cy="312"/>
                                  </a:xfrm>
                                  <a:prstGeom prst="rect">
                                    <a:avLst/>
                                  </a:prstGeom>
                                  <a:solidFill>
                                    <a:srgbClr val="FFFFFF"/>
                                  </a:solidFill>
                                  <a:ln>
                                    <a:noFill/>
                                  </a:ln>
                                </wps:spPr>
                                <wps:txbx>
                                  <w:txbxContent>
                                    <w:p>
                                      <w:pPr>
                                        <w:rPr>
                                          <w:sz w:val="24"/>
                                        </w:rPr>
                                      </w:pPr>
                                      <w:r>
                                        <w:rPr>
                                          <w:rFonts w:hint="eastAsia"/>
                                          <w:sz w:val="22"/>
                                          <w:szCs w:val="22"/>
                                        </w:rPr>
                                        <w:t>噪声N1</w:t>
                                      </w:r>
                                    </w:p>
                                  </w:txbxContent>
                                </wps:txbx>
                                <wps:bodyPr rot="0" vert="horz" wrap="square" lIns="0" tIns="0" rIns="0" bIns="0" anchor="t" anchorCtr="0" upright="1">
                                  <a:noAutofit/>
                                </wps:bodyPr>
                              </wps:wsp>
                              <wps:wsp>
                                <wps:cNvPr id="231" name="Text Box 75"/>
                                <wps:cNvSpPr txBox="1">
                                  <a:spLocks noChangeArrowheads="1"/>
                                </wps:cNvSpPr>
                                <wps:spPr bwMode="auto">
                                  <a:xfrm>
                                    <a:off x="5700" y="2508"/>
                                    <a:ext cx="720" cy="624"/>
                                  </a:xfrm>
                                  <a:prstGeom prst="rect">
                                    <a:avLst/>
                                  </a:prstGeom>
                                  <a:solidFill>
                                    <a:srgbClr val="FFFFFF"/>
                                  </a:solidFill>
                                  <a:ln w="9525" cmpd="sng">
                                    <a:solidFill>
                                      <a:srgbClr val="000000"/>
                                    </a:solidFill>
                                    <a:miter lim="800000"/>
                                  </a:ln>
                                </wps:spPr>
                                <wps:txbx>
                                  <w:txbxContent>
                                    <w:p>
                                      <w:pPr>
                                        <w:jc w:val="center"/>
                                      </w:pPr>
                                      <w:r>
                                        <w:rPr>
                                          <w:rFonts w:hint="eastAsia"/>
                                        </w:rPr>
                                        <w:t>滤筒式过滤器</w:t>
                                      </w:r>
                                    </w:p>
                                  </w:txbxContent>
                                </wps:txbx>
                                <wps:bodyPr rot="0" vert="horz" wrap="square" lIns="0" tIns="0" rIns="0" bIns="0" anchor="t" anchorCtr="0" upright="1">
                                  <a:noAutofit/>
                                </wps:bodyPr>
                              </wps:wsp>
                              <wps:wsp>
                                <wps:cNvPr id="232" name="Line 76"/>
                                <wps:cNvCnPr>
                                  <a:cxnSpLocks noChangeShapeType="1"/>
                                </wps:cNvCnPr>
                                <wps:spPr bwMode="auto">
                                  <a:xfrm>
                                    <a:off x="4872" y="2808"/>
                                    <a:ext cx="850" cy="0"/>
                                  </a:xfrm>
                                  <a:prstGeom prst="line">
                                    <a:avLst/>
                                  </a:prstGeom>
                                  <a:noFill/>
                                  <a:ln w="9525" cmpd="sng">
                                    <a:solidFill>
                                      <a:srgbClr val="000000"/>
                                    </a:solidFill>
                                    <a:round/>
                                    <a:tailEnd type="triangle" w="med" len="med"/>
                                  </a:ln>
                                </wps:spPr>
                                <wps:bodyPr/>
                              </wps:wsp>
                              <wps:wsp>
                                <wps:cNvPr id="233" name="Text Box 77"/>
                                <wps:cNvSpPr txBox="1">
                                  <a:spLocks noChangeArrowheads="1"/>
                                </wps:cNvSpPr>
                                <wps:spPr bwMode="auto">
                                  <a:xfrm>
                                    <a:off x="2748" y="2484"/>
                                    <a:ext cx="900" cy="312"/>
                                  </a:xfrm>
                                  <a:prstGeom prst="rect">
                                    <a:avLst/>
                                  </a:prstGeom>
                                  <a:noFill/>
                                  <a:ln>
                                    <a:noFill/>
                                  </a:ln>
                                </wps:spPr>
                                <wps:txbx>
                                  <w:txbxContent>
                                    <w:p>
                                      <w:pPr>
                                        <w:jc w:val="center"/>
                                      </w:pPr>
                                      <w:r>
                                        <w:rPr>
                                          <w:rFonts w:hint="eastAsia"/>
                                        </w:rPr>
                                        <w:t>烟尘</w:t>
                                      </w:r>
                                    </w:p>
                                  </w:txbxContent>
                                </wps:txbx>
                                <wps:bodyPr rot="0" vert="horz" wrap="square" lIns="0" tIns="0" rIns="0" bIns="0" anchor="t" anchorCtr="0" upright="1">
                                  <a:noAutofit/>
                                </wps:bodyPr>
                              </wps:wsp>
                              <wps:wsp>
                                <wps:cNvPr id="234" name="Text Box 78"/>
                                <wps:cNvSpPr txBox="1">
                                  <a:spLocks noChangeArrowheads="1"/>
                                </wps:cNvSpPr>
                                <wps:spPr bwMode="auto">
                                  <a:xfrm>
                                    <a:off x="4824" y="2448"/>
                                    <a:ext cx="900" cy="312"/>
                                  </a:xfrm>
                                  <a:prstGeom prst="rect">
                                    <a:avLst/>
                                  </a:prstGeom>
                                  <a:noFill/>
                                  <a:ln>
                                    <a:noFill/>
                                  </a:ln>
                                </wps:spPr>
                                <wps:txbx>
                                  <w:txbxContent>
                                    <w:p>
                                      <w:pPr>
                                        <w:jc w:val="center"/>
                                      </w:pPr>
                                      <w:r>
                                        <w:rPr>
                                          <w:rFonts w:hint="eastAsia"/>
                                        </w:rPr>
                                        <w:t>烟尘</w:t>
                                      </w:r>
                                    </w:p>
                                  </w:txbxContent>
                                </wps:txbx>
                                <wps:bodyPr rot="0" vert="horz" wrap="square" lIns="0" tIns="0" rIns="0" bIns="0" anchor="t" anchorCtr="0" upright="1">
                                  <a:noAutofit/>
                                </wps:bodyPr>
                              </wps:wsp>
                              <wps:wsp>
                                <wps:cNvPr id="235" name="Line 79"/>
                                <wps:cNvCnPr>
                                  <a:cxnSpLocks noChangeShapeType="1"/>
                                </wps:cNvCnPr>
                                <wps:spPr bwMode="auto">
                                  <a:xfrm>
                                    <a:off x="2172" y="4524"/>
                                    <a:ext cx="3960" cy="0"/>
                                  </a:xfrm>
                                  <a:prstGeom prst="line">
                                    <a:avLst/>
                                  </a:prstGeom>
                                  <a:noFill/>
                                  <a:ln w="9525" cmpd="sng">
                                    <a:solidFill>
                                      <a:srgbClr val="000000"/>
                                    </a:solidFill>
                                    <a:round/>
                                  </a:ln>
                                </wps:spPr>
                                <wps:bodyPr/>
                              </wps:wsp>
                              <wps:wsp>
                                <wps:cNvPr id="236" name="Line 80"/>
                                <wps:cNvCnPr>
                                  <a:cxnSpLocks noChangeShapeType="1"/>
                                </wps:cNvCnPr>
                                <wps:spPr bwMode="auto">
                                  <a:xfrm flipV="1">
                                    <a:off x="6120" y="3120"/>
                                    <a:ext cx="0" cy="1404"/>
                                  </a:xfrm>
                                  <a:prstGeom prst="line">
                                    <a:avLst/>
                                  </a:prstGeom>
                                  <a:noFill/>
                                  <a:ln w="9525" cmpd="sng">
                                    <a:solidFill>
                                      <a:srgbClr val="000000"/>
                                    </a:solidFill>
                                    <a:round/>
                                    <a:tailEnd type="triangle" w="med" len="med"/>
                                  </a:ln>
                                </wps:spPr>
                                <wps:bodyPr/>
                              </wps:wsp>
                              <wps:wsp>
                                <wps:cNvPr id="237" name="Text Box 81"/>
                                <wps:cNvSpPr txBox="1">
                                  <a:spLocks noChangeArrowheads="1"/>
                                </wps:cNvSpPr>
                                <wps:spPr bwMode="auto">
                                  <a:xfrm>
                                    <a:off x="3408" y="4164"/>
                                    <a:ext cx="1416" cy="348"/>
                                  </a:xfrm>
                                  <a:prstGeom prst="rect">
                                    <a:avLst/>
                                  </a:prstGeom>
                                  <a:solidFill>
                                    <a:srgbClr val="FFFFFF"/>
                                  </a:solidFill>
                                  <a:ln>
                                    <a:noFill/>
                                  </a:ln>
                                </wps:spPr>
                                <wps:txbx>
                                  <w:txbxContent>
                                    <w:p>
                                      <w:pPr>
                                        <w:rPr>
                                          <w:sz w:val="24"/>
                                        </w:rPr>
                                      </w:pPr>
                                      <w:r>
                                        <w:rPr>
                                          <w:rFonts w:hint="eastAsia"/>
                                          <w:sz w:val="24"/>
                                        </w:rPr>
                                        <w:t>打磨粉尘</w:t>
                                      </w:r>
                                    </w:p>
                                  </w:txbxContent>
                                </wps:txbx>
                                <wps:bodyPr rot="0" vert="horz" wrap="square" lIns="0" tIns="0" rIns="0" bIns="0" anchor="t" anchorCtr="0" upright="1">
                                  <a:noAutofit/>
                                </wps:bodyPr>
                              </wps:wsp>
                              <wps:wsp>
                                <wps:cNvPr id="238" name="Line 82"/>
                                <wps:cNvCnPr>
                                  <a:cxnSpLocks noChangeShapeType="1"/>
                                </wps:cNvCnPr>
                                <wps:spPr bwMode="auto">
                                  <a:xfrm flipV="1">
                                    <a:off x="2076" y="1752"/>
                                    <a:ext cx="360" cy="312"/>
                                  </a:xfrm>
                                  <a:prstGeom prst="line">
                                    <a:avLst/>
                                  </a:prstGeom>
                                  <a:noFill/>
                                  <a:ln w="9525" cmpd="sng">
                                    <a:solidFill>
                                      <a:srgbClr val="000000"/>
                                    </a:solidFill>
                                    <a:round/>
                                    <a:tailEnd type="triangle" w="med" len="med"/>
                                  </a:ln>
                                </wps:spPr>
                                <wps:bodyPr/>
                              </wps:wsp>
                              <wps:wsp>
                                <wps:cNvPr id="239" name="Text Box 83"/>
                                <wps:cNvSpPr txBox="1">
                                  <a:spLocks noChangeArrowheads="1"/>
                                </wps:cNvSpPr>
                                <wps:spPr bwMode="auto">
                                  <a:xfrm>
                                    <a:off x="1908" y="2688"/>
                                    <a:ext cx="900" cy="384"/>
                                  </a:xfrm>
                                  <a:prstGeom prst="rect">
                                    <a:avLst/>
                                  </a:prstGeom>
                                  <a:solidFill>
                                    <a:srgbClr val="FFFFFF"/>
                                  </a:solidFill>
                                  <a:ln>
                                    <a:noFill/>
                                  </a:ln>
                                </wps:spPr>
                                <wps:txbx>
                                  <w:txbxContent>
                                    <w:p>
                                      <w:pPr>
                                        <w:rPr>
                                          <w:sz w:val="24"/>
                                        </w:rPr>
                                      </w:pPr>
                                      <w:r>
                                        <w:rPr>
                                          <w:rFonts w:hint="eastAsia"/>
                                          <w:sz w:val="22"/>
                                          <w:szCs w:val="22"/>
                                        </w:rPr>
                                        <w:t>噪声N2</w:t>
                                      </w:r>
                                    </w:p>
                                  </w:txbxContent>
                                </wps:txbx>
                                <wps:bodyPr rot="0" vert="horz" wrap="square" lIns="0" tIns="0" rIns="0" bIns="0" anchor="t" anchorCtr="0" upright="1">
                                  <a:noAutofit/>
                                </wps:bodyPr>
                              </wps:wsp>
                              <wps:wsp>
                                <wps:cNvPr id="240" name="Line 84"/>
                                <wps:cNvCnPr>
                                  <a:cxnSpLocks noChangeShapeType="1"/>
                                </wps:cNvCnPr>
                                <wps:spPr bwMode="auto">
                                  <a:xfrm flipV="1">
                                    <a:off x="1464" y="2856"/>
                                    <a:ext cx="360" cy="312"/>
                                  </a:xfrm>
                                  <a:prstGeom prst="line">
                                    <a:avLst/>
                                  </a:prstGeom>
                                  <a:noFill/>
                                  <a:ln w="9525" cmpd="sng">
                                    <a:solidFill>
                                      <a:srgbClr val="000000"/>
                                    </a:solidFill>
                                    <a:round/>
                                    <a:tailEnd type="triangle" w="med" len="med"/>
                                  </a:ln>
                                </wps:spPr>
                                <wps:bodyPr/>
                              </wps:wsp>
                              <wps:wsp>
                                <wps:cNvPr id="241" name="Text Box 85"/>
                                <wps:cNvSpPr txBox="1">
                                  <a:spLocks noChangeArrowheads="1"/>
                                </wps:cNvSpPr>
                                <wps:spPr bwMode="auto">
                                  <a:xfrm>
                                    <a:off x="2208" y="3852"/>
                                    <a:ext cx="816" cy="336"/>
                                  </a:xfrm>
                                  <a:prstGeom prst="rect">
                                    <a:avLst/>
                                  </a:prstGeom>
                                  <a:solidFill>
                                    <a:srgbClr val="FFFFFF"/>
                                  </a:solidFill>
                                  <a:ln>
                                    <a:noFill/>
                                  </a:ln>
                                </wps:spPr>
                                <wps:txbx>
                                  <w:txbxContent>
                                    <w:p>
                                      <w:pPr>
                                        <w:rPr>
                                          <w:sz w:val="24"/>
                                        </w:rPr>
                                      </w:pPr>
                                      <w:r>
                                        <w:rPr>
                                          <w:rFonts w:hint="eastAsia"/>
                                          <w:sz w:val="22"/>
                                          <w:szCs w:val="22"/>
                                        </w:rPr>
                                        <w:t>噪声N3</w:t>
                                      </w:r>
                                    </w:p>
                                  </w:txbxContent>
                                </wps:txbx>
                                <wps:bodyPr rot="0" vert="horz" wrap="square" lIns="0" tIns="0" rIns="0" bIns="0" anchor="t" anchorCtr="0" upright="1">
                                  <a:noAutofit/>
                                </wps:bodyPr>
                              </wps:wsp>
                              <wps:wsp>
                                <wps:cNvPr id="242" name="Line 86"/>
                                <wps:cNvCnPr>
                                  <a:cxnSpLocks noChangeShapeType="1"/>
                                </wps:cNvCnPr>
                                <wps:spPr bwMode="auto">
                                  <a:xfrm flipV="1">
                                    <a:off x="1764" y="3972"/>
                                    <a:ext cx="360" cy="312"/>
                                  </a:xfrm>
                                  <a:prstGeom prst="line">
                                    <a:avLst/>
                                  </a:prstGeom>
                                  <a:noFill/>
                                  <a:ln w="9525" cmpd="sng">
                                    <a:solidFill>
                                      <a:srgbClr val="000000"/>
                                    </a:solidFill>
                                    <a:round/>
                                    <a:tailEnd type="triangle" w="med" len="med"/>
                                  </a:ln>
                                </wps:spPr>
                                <wps:bodyPr/>
                              </wps:wsp>
                              <wps:wsp>
                                <wps:cNvPr id="243" name="Line 87"/>
                                <wps:cNvCnPr>
                                  <a:cxnSpLocks noChangeShapeType="1"/>
                                </wps:cNvCnPr>
                                <wps:spPr bwMode="auto">
                                  <a:xfrm flipV="1">
                                    <a:off x="4284" y="2191"/>
                                    <a:ext cx="0" cy="312"/>
                                  </a:xfrm>
                                  <a:prstGeom prst="line">
                                    <a:avLst/>
                                  </a:prstGeom>
                                  <a:noFill/>
                                  <a:ln w="9525" cmpd="sng">
                                    <a:solidFill>
                                      <a:srgbClr val="000000"/>
                                    </a:solidFill>
                                    <a:round/>
                                    <a:tailEnd type="triangle" w="med" len="med"/>
                                  </a:ln>
                                </wps:spPr>
                                <wps:bodyPr/>
                              </wps:wsp>
                              <wps:wsp>
                                <wps:cNvPr id="244" name="Text Box 88"/>
                                <wps:cNvSpPr txBox="1">
                                  <a:spLocks noChangeArrowheads="1"/>
                                </wps:cNvSpPr>
                                <wps:spPr bwMode="auto">
                                  <a:xfrm>
                                    <a:off x="3684" y="1939"/>
                                    <a:ext cx="1417" cy="288"/>
                                  </a:xfrm>
                                  <a:prstGeom prst="rect">
                                    <a:avLst/>
                                  </a:prstGeom>
                                  <a:noFill/>
                                  <a:ln>
                                    <a:noFill/>
                                  </a:ln>
                                </wps:spPr>
                                <wps:txbx>
                                  <w:txbxContent>
                                    <w:p>
                                      <w:pPr>
                                        <w:rPr>
                                          <w:sz w:val="24"/>
                                        </w:rPr>
                                      </w:pPr>
                                      <w:r>
                                        <w:rPr>
                                          <w:rFonts w:hint="eastAsia"/>
                                          <w:sz w:val="22"/>
                                          <w:szCs w:val="22"/>
                                        </w:rPr>
                                        <w:t>焊接废渣S1</w:t>
                                      </w:r>
                                    </w:p>
                                  </w:txbxContent>
                                </wps:txbx>
                                <wps:bodyPr rot="0" vert="horz" wrap="square" lIns="0" tIns="0" rIns="0" bIns="0" anchor="t" anchorCtr="0" upright="1">
                                  <a:noAutofit/>
                                </wps:bodyPr>
                              </wps:wsp>
                              <wps:wsp>
                                <wps:cNvPr id="245" name="Text Box 89"/>
                                <wps:cNvSpPr txBox="1">
                                  <a:spLocks noChangeArrowheads="1"/>
                                </wps:cNvSpPr>
                                <wps:spPr bwMode="auto">
                                  <a:xfrm>
                                    <a:off x="5472" y="1951"/>
                                    <a:ext cx="1417" cy="288"/>
                                  </a:xfrm>
                                  <a:prstGeom prst="rect">
                                    <a:avLst/>
                                  </a:prstGeom>
                                  <a:noFill/>
                                  <a:ln>
                                    <a:noFill/>
                                  </a:ln>
                                </wps:spPr>
                                <wps:txbx>
                                  <w:txbxContent>
                                    <w:p>
                                      <w:pPr>
                                        <w:rPr>
                                          <w:sz w:val="24"/>
                                        </w:rPr>
                                      </w:pPr>
                                      <w:r>
                                        <w:rPr>
                                          <w:rFonts w:hint="eastAsia"/>
                                          <w:sz w:val="22"/>
                                          <w:szCs w:val="22"/>
                                        </w:rPr>
                                        <w:t>焊接废渣S2</w:t>
                                      </w:r>
                                    </w:p>
                                  </w:txbxContent>
                                </wps:txbx>
                                <wps:bodyPr rot="0" vert="horz" wrap="square" lIns="0" tIns="0" rIns="0" bIns="0" anchor="t" anchorCtr="0" upright="1">
                                  <a:noAutofit/>
                                </wps:bodyPr>
                              </wps:wsp>
                            </wpg:grpSp>
                          </wpg:wgp>
                        </a:graphicData>
                      </a:graphic>
                    </wp:anchor>
                  </w:drawing>
                </mc:Choice>
                <mc:Fallback>
                  <w:pict>
                    <v:group id="_x0000_s1026" o:spid="_x0000_s1026" o:spt="203" style="position:absolute;left:0pt;margin-left:4.15pt;margin-top:18.2pt;height:294.2pt;width:372pt;z-index:251660288;mso-width-relative:page;mso-height-relative:page;" coordsize="8784,6831" o:gfxdata="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">
                      <o:lock v:ext="edit" aspectratio="f"/>
                      <v:shape id="Text Box 52" o:spid="_x0000_s1026" o:spt="202" type="#_x0000_t202" style="position:absolute;left:0;top:6363;height:468;width:2160;" fillcolor="#FFFFFF" filled="t" stroked="f" coordsize="21600,21600" o:gfxdata="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V/wAbUAAADaAAAADwAA&#10;AAAAAAABACAAAAAiAAAAZHJzL2Rvd25yZXYueG1sUEsBAhQAFAAAAAgAh07iQDMvBZ47AAAAOQAA&#10;ABAAAAAAAAAAAQAgAAAABAEAAGRycy9zaGFwZXhtbC54bWxQSwUGAAAAAAYABgBbAQAArgMAAAAA&#10;">
                        <v:fill on="t" focussize="0,0"/>
                        <v:stroke on="f"/>
                        <v:imagedata o:title=""/>
                        <o:lock v:ext="edit" aspectratio="f"/>
                        <v:textbox>
                          <w:txbxContent>
                            <w:p>
                              <w:pPr>
                                <w:jc w:val="center"/>
                                <w:rPr>
                                  <w:sz w:val="24"/>
                                </w:rPr>
                              </w:pPr>
                              <w:r>
                                <w:rPr>
                                  <w:rFonts w:hint="eastAsia"/>
                                  <w:sz w:val="24"/>
                                </w:rPr>
                                <w:t>送表面处理车间</w:t>
                              </w:r>
                            </w:p>
                          </w:txbxContent>
                        </v:textbox>
                      </v:shape>
                      <v:group id="Group 53" o:spid="_x0000_s1026" o:spt="203" style="position:absolute;left:0;top:0;height:6524;width:8784;" coordsize="8784,6524"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Text Box 54" o:spid="_x0000_s1026" o:spt="202" type="#_x0000_t202" style="position:absolute;left:0;top:0;height:468;width:2160;" fillcolor="#FFFFFF" filled="t" stroked="f" coordsize="21600,21600" o:gfxdata="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Uqhy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center"/>
                                  <w:rPr>
                                    <w:sz w:val="24"/>
                                  </w:rPr>
                                </w:pPr>
                                <w:r>
                                  <w:rPr>
                                    <w:rFonts w:hint="eastAsia"/>
                                    <w:sz w:val="24"/>
                                  </w:rPr>
                                  <w:t>车体大部件</w:t>
                                </w:r>
                              </w:p>
                            </w:txbxContent>
                          </v:textbox>
                        </v:shape>
                        <v:shape id="Text Box 55" o:spid="_x0000_s1026" o:spt="202" type="#_x0000_t202" style="position:absolute;left:0;top:936;height:468;width:2160;" fillcolor="#FFFFFF" filled="t" stroked="t" coordsize="21600,21600" o:gfxdata="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h6Q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sz w:val="24"/>
                                  </w:rPr>
                                </w:pPr>
                                <w:r>
                                  <w:rPr>
                                    <w:rFonts w:hint="eastAsia"/>
                                    <w:sz w:val="24"/>
                                  </w:rPr>
                                  <w:t>台位准备</w:t>
                                </w:r>
                              </w:p>
                              <w:p>
                                <w:pPr>
                                  <w:jc w:val="center"/>
                                </w:pPr>
                              </w:p>
                            </w:txbxContent>
                          </v:textbox>
                        </v:shape>
                        <v:line id="Line 56" o:spid="_x0000_s1026" o:spt="20" style="position:absolute;left:1080;top:468;height:454;width:0;" filled="f" stroked="t" coordsize="21600,21600" o:gfxdata="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fH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57" o:spid="_x0000_s1026" o:spt="20" style="position:absolute;left:1080;top:1420;height:624;width:0;"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Text Box 58" o:spid="_x0000_s1026" o:spt="202" type="#_x0000_t202" style="position:absolute;left:0;top:2060;height:468;width:2088;"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sz w:val="24"/>
                                  </w:rPr>
                                </w:pPr>
                                <w:r>
                                  <w:rPr>
                                    <w:rFonts w:hint="eastAsia"/>
                                    <w:sz w:val="24"/>
                                  </w:rPr>
                                  <w:t>车体总组焊</w:t>
                                </w:r>
                              </w:p>
                            </w:txbxContent>
                          </v:textbox>
                        </v:shape>
                        <v:line id="Line 59" o:spid="_x0000_s1026" o:spt="20" style="position:absolute;left:1080;top:2528;height:624;width:0;"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Text Box 60" o:spid="_x0000_s1026" o:spt="202" type="#_x0000_t202" style="position:absolute;left:0;top:3168;height:468;width:2088;" fillcolor="#FFFFFF" filled="t" stroked="t" coordsize="21600,21600" o:gfxdata="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tR62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sz w:val="24"/>
                                  </w:rPr>
                                </w:pPr>
                                <w:r>
                                  <w:rPr>
                                    <w:sz w:val="24"/>
                                  </w:rPr>
                                  <w:t>车体</w:t>
                                </w:r>
                                <w:r>
                                  <w:rPr>
                                    <w:rFonts w:hint="eastAsia"/>
                                    <w:sz w:val="24"/>
                                  </w:rPr>
                                  <w:t>附件焊接</w:t>
                                </w:r>
                              </w:p>
                            </w:txbxContent>
                          </v:textbox>
                        </v:shape>
                        <v:line id="Line 61" o:spid="_x0000_s1026" o:spt="20" style="position:absolute;left:1080;top:3652;height:624;width:0;" filled="f" stroked="t" coordsize="21600,21600" o:gfxdata="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f8K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62" o:spid="_x0000_s1026" o:spt="202" type="#_x0000_t202" style="position:absolute;left:0;top:4292;height:468;width:2160;" fillcolor="#FFFFFF" filled="t" stroked="t" coordsize="21600,21600"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sz w:val="24"/>
                                  </w:rPr>
                                </w:pPr>
                                <w:r>
                                  <w:rPr>
                                    <w:rFonts w:hint="eastAsia"/>
                                    <w:sz w:val="24"/>
                                  </w:rPr>
                                  <w:t>打磨</w:t>
                                </w:r>
                              </w:p>
                            </w:txbxContent>
                          </v:textbox>
                        </v:shape>
                        <v:line id="Line 63" o:spid="_x0000_s1026" o:spt="20" style="position:absolute;left:1080;top:4776;height:624;width:0;" filled="f" stroked="t" coordsize="21600,21600" o:gfxdata="UEsDBAoAAAAAAIdO4kAAAAAAAAAAAAAAAAAEAAAAZHJzL1BLAwQUAAAACACHTuJAOFsN+r8AAADb&#10;AAAADwAAAGRycy9kb3ducmV2LnhtbEWPzWrDMBCE74G8g9hAb4lsH4pxouRQcAg4bckPpbkt1sY2&#10;tVZGUhL37atCocdhZr5hVpvR9OJOzneWFaSLBARxbXXHjYLzqZznIHxA1thbJgXf5GGznk5WWGj7&#10;4APdj6EREcK+QAVtCEMhpa9bMugXdiCO3tU6gyFK10jt8BHhppdZkjxL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bDf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64" o:spid="_x0000_s1026" o:spt="202" type="#_x0000_t202" style="position:absolute;left:0;top:5416;height:468;width:2160;" fillcolor="#FFFFFF" filled="t" stroked="t" coordsize="21600,21600"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sz w:val="24"/>
                                  </w:rPr>
                                </w:pPr>
                                <w:r>
                                  <w:rPr>
                                    <w:rFonts w:hint="eastAsia"/>
                                    <w:sz w:val="24"/>
                                  </w:rPr>
                                  <w:t>检验</w:t>
                                </w:r>
                              </w:p>
                            </w:txbxContent>
                          </v:textbox>
                        </v:shape>
                        <v:line id="Line 65" o:spid="_x0000_s1026" o:spt="20" style="position:absolute;left:1080;top:5900;height:624;width:0;" filled="f" stroked="t" coordsize="21600,21600" o:gfxdata="UEsDBAoAAAAAAIdO4kAAAAAAAAAAAAAAAAAEAAAAZHJzL1BLAwQUAAAACACHTuJAt7KVjr8AAADb&#10;AAAADwAAAGRycy9kb3ducmV2LnhtbEWPT2vCQBTE7wW/w/IEb3UTw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ylY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6" o:spid="_x0000_s1026" o:spt="20" style="position:absolute;left:2100;top:2216;flip:x;height:0;width:720;" filled="f" stroked="t"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7" o:spid="_x0000_s1026" o:spt="20" style="position:absolute;left:2100;top:3464;flip:x;height:0;width:720;" filled="f" stroked="t" coordsize="21600,21600" o:gfxdata="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7x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8" o:spid="_x0000_s1026" o:spt="20" style="position:absolute;left:2820;top:2216;height:1248;width:0;" filled="f" stroked="t" coordsize="21600,21600" o:gfxdata="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JjMi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69" o:spid="_x0000_s1026" o:spt="20" style="position:absolute;left:2832;top:2805;height:0;width:850;" filled="f" stroked="t" coordsize="21600,21600" o:gfxdata="UEsDBAoAAAAAAIdO4kAAAAAAAAAAAAAAAAAEAAAAZHJzL1BLAwQUAAAACACHTuJATVAFUL4AAADb&#10;AAAADwAAAGRycy9kb3ducmV2LnhtbEWPQWvCQBSE7wX/w/IEb3UTh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AFU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70" o:spid="_x0000_s1026" o:spt="202" type="#_x0000_t202" style="position:absolute;left:3768;top:2516;height:556;width:1080;" fillcolor="#FFFFFF" filled="t" stroked="t" coordsize="21600,21600" o:gfxdata="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axz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spacing w:line="240" w:lineRule="exact"/>
                                </w:pPr>
                                <w:r>
                                  <w:t>移动式焊接烟尘净化</w:t>
                                </w:r>
                              </w:p>
                            </w:txbxContent>
                          </v:textbox>
                        </v:shape>
                        <v:line id="Line 71" o:spid="_x0000_s1026" o:spt="20" style="position:absolute;left:6444;top:2805;height:0;width:720;" filled="f" stroked="t" coordsize="21600,21600" o:gfxdata="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xFv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72" o:spid="_x0000_s1026" o:spt="202" type="#_x0000_t202" style="position:absolute;left:7167;top:2604;height:624;width:1617;" fillcolor="#FFFFFF" filled="t" stroked="f" coordsize="21600,21600" o:gfxdata="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m0GMugAAANwA&#10;AAAPAAAAAAAAAAEAIAAAACIAAABkcnMvZG93bnJldi54bWxQSwECFAAUAAAACACHTuJAMy8FnjsA&#10;AAA5AAAAEAAAAAAAAAABACAAAAAJAQAAZHJzL3NoYXBleG1sLnhtbFBLBQYAAAAABgAGAFsBAACz&#10;AwAAAAA=&#10;">
                          <v:fill on="t" focussize="0,0"/>
                          <v:stroke on="f"/>
                          <v:imagedata o:title=""/>
                          <o:lock v:ext="edit" aspectratio="f"/>
                          <v:textbox inset="0mm,1.27mm,0mm,1.27mm">
                            <w:txbxContent>
                              <w:p>
                                <w:pPr>
                                  <w:rPr>
                                    <w:sz w:val="24"/>
                                  </w:rPr>
                                </w:pPr>
                                <w:r>
                                  <w:rPr>
                                    <w:rFonts w:hint="eastAsia"/>
                                    <w:sz w:val="22"/>
                                    <w:szCs w:val="22"/>
                                  </w:rPr>
                                  <w:t>车间内排放G1</w:t>
                                </w:r>
                              </w:p>
                            </w:txbxContent>
                          </v:textbox>
                        </v:shape>
                        <v:line id="Line 73" o:spid="_x0000_s1026" o:spt="20" style="position:absolute;left:6084;top:2191;flip:y;height:312;width:0;" filled="f" stroked="t" coordsize="21600,21600" o:gfxdata="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qWa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74" o:spid="_x0000_s1026" o:spt="202" type="#_x0000_t202" style="position:absolute;left:2520;top:1560;height:312;width:900;" fillcolor="#FFFFFF" filled="t" stroked="f" coordsize="21600,21600" o:gfxdata="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wGke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sz w:val="24"/>
                                  </w:rPr>
                                </w:pPr>
                                <w:r>
                                  <w:rPr>
                                    <w:rFonts w:hint="eastAsia"/>
                                    <w:sz w:val="22"/>
                                    <w:szCs w:val="22"/>
                                  </w:rPr>
                                  <w:t>噪声N1</w:t>
                                </w:r>
                              </w:p>
                            </w:txbxContent>
                          </v:textbox>
                        </v:shape>
                        <v:shape id="Text Box 75" o:spid="_x0000_s1026" o:spt="202" type="#_x0000_t202" style="position:absolute;left:5700;top:2508;height:624;width:720;" fillcolor="#FFFFFF" filled="t" stroked="t" coordsize="21600,21600" o:gfxdata="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vaLa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jc w:val="center"/>
                                </w:pPr>
                                <w:r>
                                  <w:rPr>
                                    <w:rFonts w:hint="eastAsia"/>
                                  </w:rPr>
                                  <w:t>滤筒式过滤器</w:t>
                                </w:r>
                              </w:p>
                            </w:txbxContent>
                          </v:textbox>
                        </v:shape>
                        <v:line id="Line 76" o:spid="_x0000_s1026" o:spt="20" style="position:absolute;left:4872;top:2808;height:0;width:850;" filled="f" stroked="t" coordsize="21600,21600" o:gfxdata="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am6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77" o:spid="_x0000_s1026" o:spt="202" type="#_x0000_t202" style="position:absolute;left:2748;top:2484;height:312;width:900;" filled="f" stroked="f" coordsize="21600,21600" o:gfxdata="UEsDBAoAAAAAAIdO4kAAAAAAAAAAAAAAAAAEAAAAZHJzL1BLAwQUAAAACACHTuJAQhtj1L4AAADc&#10;AAAADwAAAGRycy9kb3ducmV2LnhtbEWPT2sCMRTE7wW/Q3hCbzVRQe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tj1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pPr>
                                <w:r>
                                  <w:rPr>
                                    <w:rFonts w:hint="eastAsia"/>
                                  </w:rPr>
                                  <w:t>烟尘</w:t>
                                </w:r>
                              </w:p>
                            </w:txbxContent>
                          </v:textbox>
                        </v:shape>
                        <v:shape id="Text Box 78" o:spid="_x0000_s1026" o:spt="202" type="#_x0000_t202" style="position:absolute;left:4824;top:2448;height:312;width:900;" filled="f" stroked="f" coordsize="21600,21600" o:gfxdata="UEsDBAoAAAAAAIdO4kAAAAAAAAAAAAAAAAAEAAAAZHJzL1BLAwQUAAAACACHTuJAzfL7oL8AAADc&#10;AAAADwAAAGRycy9kb3ducmV2LnhtbEWPT2sCMRTE70K/Q3gFb5qoRe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y+6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pPr>
                                <w:r>
                                  <w:rPr>
                                    <w:rFonts w:hint="eastAsia"/>
                                  </w:rPr>
                                  <w:t>烟尘</w:t>
                                </w:r>
                              </w:p>
                            </w:txbxContent>
                          </v:textbox>
                        </v:shape>
                        <v:line id="Line 79" o:spid="_x0000_s1026" o:spt="20" style="position:absolute;left:2172;top:4524;height:0;width:3960;" filled="f" stroked="t" coordsize="21600,21600" o:gfxdata="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w5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0" o:spid="_x0000_s1026" o:spt="20" style="position:absolute;left:6120;top:3120;flip:y;height:1404;width:0;" filled="f" stroked="t" coordsize="21600,21600" o:gfxdata="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72Q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81" o:spid="_x0000_s1026" o:spt="202" type="#_x0000_t202" style="position:absolute;left:3408;top:4164;height:348;width:1416;" fillcolor="#FFFFFF" filled="t" stroked="f" coordsize="21600,21600" o:gfxdata="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mYIz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rPr>
                                    <w:sz w:val="24"/>
                                  </w:rPr>
                                </w:pPr>
                                <w:r>
                                  <w:rPr>
                                    <w:rFonts w:hint="eastAsia"/>
                                    <w:sz w:val="24"/>
                                  </w:rPr>
                                  <w:t>打磨粉尘</w:t>
                                </w:r>
                              </w:p>
                            </w:txbxContent>
                          </v:textbox>
                        </v:shape>
                        <v:line id="Line 82" o:spid="_x0000_s1026" o:spt="20" style="position:absolute;left:2076;top:1752;flip:y;height:312;width:360;" filled="f" stroked="t" coordsize="21600,21600" o:gfxdata="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PFX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83" o:spid="_x0000_s1026" o:spt="202" type="#_x0000_t202" style="position:absolute;left:1908;top:2688;height:384;width:900;" fillcolor="#FFFFFF" filled="t" stroked="f" coordsize="21600,21600" o:gfxdata="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SrPa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rPr>
                                    <w:sz w:val="24"/>
                                  </w:rPr>
                                </w:pPr>
                                <w:r>
                                  <w:rPr>
                                    <w:rFonts w:hint="eastAsia"/>
                                    <w:sz w:val="22"/>
                                    <w:szCs w:val="22"/>
                                  </w:rPr>
                                  <w:t>噪声N2</w:t>
                                </w:r>
                              </w:p>
                            </w:txbxContent>
                          </v:textbox>
                        </v:shape>
                        <v:line id="Line 84" o:spid="_x0000_s1026" o:spt="20" style="position:absolute;left:1464;top:2856;flip:y;height:312;width:360;" filled="f" stroked="t" coordsize="21600,21600" o:gfxdata="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MKr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Text Box 85" o:spid="_x0000_s1026" o:spt="202" type="#_x0000_t202" style="position:absolute;left:2208;top:3852;height:336;width:816;" fillcolor="#FFFFFF" filled="t" stroked="f" coordsize="21600,21600" o:gfxdata="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6zKG/&#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rPr>
                                    <w:sz w:val="24"/>
                                  </w:rPr>
                                </w:pPr>
                                <w:r>
                                  <w:rPr>
                                    <w:rFonts w:hint="eastAsia"/>
                                    <w:sz w:val="22"/>
                                    <w:szCs w:val="22"/>
                                  </w:rPr>
                                  <w:t>噪声N3</w:t>
                                </w:r>
                              </w:p>
                            </w:txbxContent>
                          </v:textbox>
                        </v:shape>
                        <v:line id="Line 86" o:spid="_x0000_s1026" o:spt="20" style="position:absolute;left:1764;top:3972;flip:y;height:312;width:360;" filled="f" stroked="t" coordsize="21600,21600" o:gfxdata="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0hF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87" o:spid="_x0000_s1026" o:spt="20" style="position:absolute;left:4284;top:2191;flip:y;height:312;width:0;" filled="f" stroked="t" coordsize="21600,21600" o:gfxdata="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nrT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88" o:spid="_x0000_s1026" o:spt="202" type="#_x0000_t202" style="position:absolute;left:3684;top:1939;height:288;width:1417;" filled="f" stroked="f" coordsize="21600,21600" o:gfxdata="UEsDBAoAAAAAAIdO4kAAAAAAAAAAAAAAAAAEAAAAZHJzL1BLAwQUAAAACACHTuJAlfSI3b4AAADc&#10;AAAADwAAAGRycy9kb3ducmV2LnhtbEWPT2sCMRTE7wW/Q3hCbzVRRO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SI3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24"/>
                                  </w:rPr>
                                </w:pPr>
                                <w:r>
                                  <w:rPr>
                                    <w:rFonts w:hint="eastAsia"/>
                                    <w:sz w:val="22"/>
                                    <w:szCs w:val="22"/>
                                  </w:rPr>
                                  <w:t>焊接废渣S1</w:t>
                                </w:r>
                              </w:p>
                            </w:txbxContent>
                          </v:textbox>
                        </v:shape>
                        <v:shape id="Text Box 89" o:spid="_x0000_s1026" o:spt="202" type="#_x0000_t202" style="position:absolute;left:5472;top:1951;height:288;width:1417;" filled="f" stroked="f" coordsize="21600,21600" o:gfxdata="UEsDBAoAAAAAAIdO4kAAAAAAAAAAAAAAAAAEAAAAZHJzL1BLAwQUAAAACACHTuJA+rgtRr8AAADc&#10;AAAADwAAAGRycy9kb3ducmV2LnhtbEWPT2sCMRTE70K/Q3gFb5ooVu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4LU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24"/>
                                  </w:rPr>
                                </w:pPr>
                                <w:r>
                                  <w:rPr>
                                    <w:rFonts w:hint="eastAsia"/>
                                    <w:sz w:val="22"/>
                                    <w:szCs w:val="22"/>
                                  </w:rPr>
                                  <w:t>焊接废渣S2</w:t>
                                </w:r>
                              </w:p>
                            </w:txbxContent>
                          </v:textbox>
                        </v:shape>
                      </v:group>
                    </v:group>
                  </w:pict>
                </mc:Fallback>
              </mc:AlternateContent>
            </w:r>
          </w:p>
          <w:p>
            <w:pPr>
              <w:tabs>
                <w:tab w:val="left" w:pos="993"/>
              </w:tabs>
              <w:spacing w:line="640" w:lineRule="atLeast"/>
              <w:ind w:firstLine="565" w:firstLineChars="202"/>
              <w:rPr>
                <w:sz w:val="28"/>
                <w:szCs w:val="28"/>
              </w:rPr>
            </w:pPr>
          </w:p>
          <w:p>
            <w:pPr>
              <w:tabs>
                <w:tab w:val="left" w:pos="993"/>
              </w:tabs>
              <w:spacing w:line="640" w:lineRule="atLeast"/>
              <w:ind w:firstLine="565" w:firstLineChars="202"/>
              <w:rPr>
                <w:sz w:val="28"/>
                <w:szCs w:val="28"/>
              </w:rPr>
            </w:pPr>
          </w:p>
          <w:p>
            <w:pPr>
              <w:tabs>
                <w:tab w:val="left" w:pos="993"/>
              </w:tabs>
              <w:spacing w:line="640" w:lineRule="atLeast"/>
              <w:ind w:firstLine="565" w:firstLineChars="202"/>
              <w:rPr>
                <w:sz w:val="28"/>
                <w:szCs w:val="28"/>
              </w:rPr>
            </w:pPr>
          </w:p>
          <w:p>
            <w:pPr>
              <w:tabs>
                <w:tab w:val="left" w:pos="993"/>
              </w:tabs>
              <w:spacing w:line="640" w:lineRule="atLeast"/>
              <w:ind w:firstLine="565" w:firstLineChars="202"/>
              <w:rPr>
                <w:sz w:val="28"/>
                <w:szCs w:val="28"/>
              </w:rPr>
            </w:pPr>
          </w:p>
          <w:p>
            <w:pPr>
              <w:tabs>
                <w:tab w:val="left" w:pos="993"/>
              </w:tabs>
              <w:spacing w:line="640" w:lineRule="atLeast"/>
              <w:ind w:firstLine="565" w:firstLineChars="202"/>
              <w:rPr>
                <w:sz w:val="28"/>
                <w:szCs w:val="28"/>
              </w:rPr>
            </w:pPr>
          </w:p>
          <w:p>
            <w:pPr>
              <w:tabs>
                <w:tab w:val="left" w:pos="993"/>
              </w:tabs>
              <w:spacing w:line="640" w:lineRule="atLeast"/>
              <w:ind w:firstLine="565" w:firstLineChars="202"/>
              <w:rPr>
                <w:sz w:val="28"/>
                <w:szCs w:val="28"/>
              </w:rPr>
            </w:pPr>
          </w:p>
          <w:p>
            <w:pPr>
              <w:tabs>
                <w:tab w:val="left" w:pos="993"/>
              </w:tabs>
              <w:spacing w:line="640" w:lineRule="atLeast"/>
              <w:ind w:firstLine="565" w:firstLineChars="202"/>
              <w:rPr>
                <w:sz w:val="28"/>
                <w:szCs w:val="28"/>
              </w:rPr>
            </w:pPr>
          </w:p>
          <w:p>
            <w:pPr>
              <w:tabs>
                <w:tab w:val="left" w:pos="993"/>
              </w:tabs>
              <w:spacing w:line="640" w:lineRule="atLeast"/>
              <w:ind w:firstLine="565" w:firstLineChars="202"/>
              <w:rPr>
                <w:sz w:val="28"/>
                <w:szCs w:val="28"/>
              </w:rPr>
            </w:pPr>
            <w:r>
              <w:rPr>
                <w:sz w:val="28"/>
                <w:szCs w:val="28"/>
              </w:rPr>
              <mc:AlternateContent>
                <mc:Choice Requires="wps">
                  <w:drawing>
                    <wp:anchor distT="0" distB="0" distL="114300" distR="114300" simplePos="0" relativeHeight="251659264" behindDoc="0" locked="0" layoutInCell="1" allowOverlap="1">
                      <wp:simplePos x="0" y="0"/>
                      <wp:positionH relativeFrom="column">
                        <wp:posOffset>852170</wp:posOffset>
                      </wp:positionH>
                      <wp:positionV relativeFrom="paragraph">
                        <wp:posOffset>139065</wp:posOffset>
                      </wp:positionV>
                      <wp:extent cx="2981325" cy="297180"/>
                      <wp:effectExtent l="0" t="0" r="9525" b="762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981325" cy="297180"/>
                              </a:xfrm>
                              <a:prstGeom prst="rect">
                                <a:avLst/>
                              </a:prstGeom>
                              <a:solidFill>
                                <a:srgbClr val="FFFFFF"/>
                              </a:solidFill>
                              <a:ln>
                                <a:noFill/>
                              </a:ln>
                            </wps:spPr>
                            <wps:txbx>
                              <w:txbxContent>
                                <w:p>
                                  <w:pPr>
                                    <w:jc w:val="center"/>
                                    <w:rPr>
                                      <w:b/>
                                      <w:sz w:val="24"/>
                                    </w:rPr>
                                  </w:pPr>
                                  <w:r>
                                    <w:rPr>
                                      <w:rFonts w:eastAsiaTheme="minorEastAsia"/>
                                      <w:b/>
                                      <w:sz w:val="24"/>
                                    </w:rPr>
                                    <w:t>图2-5车体车间生产工艺流</w:t>
                                  </w:r>
                                  <w:r>
                                    <w:rPr>
                                      <w:rFonts w:hint="eastAsia"/>
                                      <w:b/>
                                      <w:sz w:val="24"/>
                                    </w:rPr>
                                    <w:t>程图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7.1pt;margin-top:10.95pt;height:23.4pt;width:234.75pt;z-index:251659264;mso-width-relative:page;mso-height-relative:page;" fillcolor="#FFFFFF" filled="t" stroked="f" coordsize="21600,21600" o:gfxdata="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zPXMtcAAAAJAQAADwAAAAAAAAAB&#10;ACAAAAAiAAAAZHJzL2Rvd25yZXYueG1sUEsBAhQAFAAAAAgAh07iQFuhXNIRAgAA8AMAAA4AAAAA&#10;AAAAAQAgAAAAJgEAAGRycy9lMm9Eb2MueG1sUEsFBgAAAAAGAAYAWQEAAKkFAAAAAA==&#10;">
                      <v:fill on="t" focussize="0,0"/>
                      <v:stroke on="f"/>
                      <v:imagedata o:title=""/>
                      <o:lock v:ext="edit" aspectratio="f"/>
                      <v:textbox>
                        <w:txbxContent>
                          <w:p>
                            <w:pPr>
                              <w:jc w:val="center"/>
                              <w:rPr>
                                <w:b/>
                                <w:sz w:val="24"/>
                              </w:rPr>
                            </w:pPr>
                            <w:r>
                              <w:rPr>
                                <w:rFonts w:eastAsiaTheme="minorEastAsia"/>
                                <w:b/>
                                <w:sz w:val="24"/>
                              </w:rPr>
                              <w:t>图2-5车体车间生产工艺流</w:t>
                            </w:r>
                            <w:r>
                              <w:rPr>
                                <w:rFonts w:hint="eastAsia"/>
                                <w:b/>
                                <w:sz w:val="24"/>
                              </w:rPr>
                              <w:t>程图</w:t>
                            </w:r>
                          </w:p>
                        </w:txbxContent>
                      </v:textbox>
                    </v:shape>
                  </w:pict>
                </mc:Fallback>
              </mc:AlternateContent>
            </w:r>
          </w:p>
          <w:p>
            <w:pPr>
              <w:spacing w:line="514" w:lineRule="atLeast"/>
              <w:ind w:firstLine="480" w:firstLineChars="200"/>
              <w:rPr>
                <w:sz w:val="24"/>
              </w:rPr>
            </w:pPr>
            <w:r>
              <w:rPr>
                <w:sz w:val="24"/>
              </w:rPr>
              <w:t>2、车体表面处理车间</w:t>
            </w:r>
          </w:p>
          <w:p>
            <w:pPr>
              <w:spacing w:line="514" w:lineRule="atLeast"/>
              <w:ind w:firstLine="480" w:firstLineChars="200"/>
              <w:rPr>
                <w:sz w:val="24"/>
              </w:rPr>
            </w:pPr>
            <w:r>
              <w:rPr>
                <w:sz w:val="24"/>
              </w:rPr>
              <w:t>项目表面处理车间主要是对车体进行喷砂、刮腻子、打磨和油漆喷涂，不进行酸洗、碱洗和电镀等工艺。工艺流程见图2-6，工艺流程中的中涂喷烘在面漆房内完成，打磨工序均在打磨房内完成。</w:t>
            </w:r>
          </w:p>
          <w:p>
            <w:pPr>
              <w:spacing w:line="514" w:lineRule="atLeast"/>
              <w:ind w:firstLine="480" w:firstLineChars="200"/>
              <w:rPr>
                <w:sz w:val="24"/>
              </w:rPr>
            </w:pPr>
          </w:p>
          <w:p>
            <w:pPr>
              <w:spacing w:line="514" w:lineRule="atLeast"/>
              <w:ind w:firstLine="480" w:firstLineChars="200"/>
              <w:rPr>
                <w:sz w:val="24"/>
              </w:rPr>
            </w:pPr>
          </w:p>
          <w:p>
            <w:pPr>
              <w:spacing w:line="514" w:lineRule="atLeast"/>
              <w:ind w:firstLine="480" w:firstLineChars="200"/>
              <w:rPr>
                <w:sz w:val="24"/>
              </w:rPr>
            </w:pPr>
          </w:p>
          <w:p>
            <w:pPr>
              <w:spacing w:line="514" w:lineRule="atLeast"/>
              <w:ind w:firstLine="480" w:firstLineChars="200"/>
              <w:rPr>
                <w:sz w:val="24"/>
              </w:rPr>
            </w:pPr>
          </w:p>
          <w:p>
            <w:pPr>
              <w:spacing w:line="514" w:lineRule="atLeast"/>
              <w:ind w:firstLine="480" w:firstLineChars="200"/>
              <w:rPr>
                <w:sz w:val="24"/>
              </w:rPr>
            </w:pPr>
          </w:p>
          <w:p>
            <w:pPr>
              <w:spacing w:line="514" w:lineRule="atLeast"/>
              <w:ind w:firstLine="480" w:firstLineChars="200"/>
              <w:rPr>
                <w:sz w:val="24"/>
              </w:rPr>
            </w:pPr>
          </w:p>
          <w:p>
            <w:pPr>
              <w:spacing w:line="514" w:lineRule="atLeast"/>
              <w:ind w:firstLine="480" w:firstLineChars="200"/>
              <w:rPr>
                <w:sz w:val="24"/>
              </w:rPr>
            </w:pPr>
          </w:p>
          <w:p>
            <w:pPr>
              <w:spacing w:line="514" w:lineRule="atLeast"/>
              <w:ind w:firstLine="480" w:firstLineChars="200"/>
              <w:rPr>
                <w:sz w:val="24"/>
              </w:rPr>
            </w:pPr>
          </w:p>
          <w:p>
            <w:pPr>
              <w:spacing w:line="514" w:lineRule="atLeast"/>
              <w:ind w:firstLine="480" w:firstLineChars="200"/>
              <w:rPr>
                <w:sz w:val="24"/>
              </w:rPr>
            </w:pPr>
          </w:p>
          <w:p>
            <w:pPr>
              <w:spacing w:line="514" w:lineRule="atLeast"/>
              <w:ind w:firstLine="480" w:firstLineChars="200"/>
              <w:rPr>
                <w:sz w:val="24"/>
              </w:rPr>
            </w:pPr>
          </w:p>
          <w:p>
            <w:pPr>
              <w:spacing w:line="514" w:lineRule="atLeast"/>
              <w:ind w:firstLine="480" w:firstLineChars="200"/>
              <w:rPr>
                <w:sz w:val="24"/>
              </w:rPr>
            </w:pPr>
          </w:p>
          <w:p>
            <w:pPr>
              <w:tabs>
                <w:tab w:val="left" w:pos="993"/>
              </w:tabs>
              <w:spacing w:line="480" w:lineRule="atLeast"/>
              <w:ind w:firstLine="480" w:firstLineChars="200"/>
              <w:rPr>
                <w:sz w:val="24"/>
              </w:rPr>
            </w:pPr>
            <w:r>
              <w:rPr>
                <w:sz w:val="24"/>
              </w:rPr>
              <mc:AlternateContent>
                <mc:Choice Requires="wpg">
                  <w:drawing>
                    <wp:anchor distT="0" distB="0" distL="114300" distR="114300" simplePos="0" relativeHeight="251663360" behindDoc="0" locked="0" layoutInCell="1" allowOverlap="1">
                      <wp:simplePos x="0" y="0"/>
                      <wp:positionH relativeFrom="column">
                        <wp:posOffset>186055</wp:posOffset>
                      </wp:positionH>
                      <wp:positionV relativeFrom="paragraph">
                        <wp:posOffset>31115</wp:posOffset>
                      </wp:positionV>
                      <wp:extent cx="4686300" cy="6200775"/>
                      <wp:effectExtent l="0" t="0" r="0" b="9525"/>
                      <wp:wrapNone/>
                      <wp:docPr id="247" name="组合 247"/>
                      <wp:cNvGraphicFramePr/>
                      <a:graphic xmlns:a="http://schemas.openxmlformats.org/drawingml/2006/main">
                        <a:graphicData uri="http://schemas.microsoft.com/office/word/2010/wordprocessingGroup">
                          <wpg:wgp>
                            <wpg:cNvGrpSpPr/>
                            <wpg:grpSpPr>
                              <a:xfrm>
                                <a:off x="0" y="0"/>
                                <a:ext cx="4686300" cy="6200775"/>
                                <a:chOff x="0" y="0"/>
                                <a:chExt cx="9096" cy="11088"/>
                              </a:xfrm>
                            </wpg:grpSpPr>
                            <wps:wsp>
                              <wps:cNvPr id="248" name="Text Box 92"/>
                              <wps:cNvSpPr txBox="1">
                                <a:spLocks noChangeArrowheads="1"/>
                              </wps:cNvSpPr>
                              <wps:spPr bwMode="auto">
                                <a:xfrm>
                                  <a:off x="1932" y="0"/>
                                  <a:ext cx="2268" cy="468"/>
                                </a:xfrm>
                                <a:prstGeom prst="rect">
                                  <a:avLst/>
                                </a:prstGeom>
                                <a:solidFill>
                                  <a:srgbClr val="FFFFFF"/>
                                </a:solidFill>
                                <a:ln>
                                  <a:noFill/>
                                </a:ln>
                              </wps:spPr>
                              <wps:txbx>
                                <w:txbxContent>
                                  <w:p>
                                    <w:pPr>
                                      <w:jc w:val="center"/>
                                      <w:rPr>
                                        <w:sz w:val="24"/>
                                      </w:rPr>
                                    </w:pPr>
                                    <w:r>
                                      <w:rPr>
                                        <w:rFonts w:hint="eastAsia"/>
                                        <w:sz w:val="24"/>
                                      </w:rPr>
                                      <w:t>车体车间加工车体</w:t>
                                    </w:r>
                                  </w:p>
                                </w:txbxContent>
                              </wps:txbx>
                              <wps:bodyPr rot="0" vert="horz" wrap="square" lIns="91440" tIns="45720" rIns="91440" bIns="45720" anchor="t" anchorCtr="0" upright="1">
                                <a:noAutofit/>
                              </wps:bodyPr>
                            </wps:wsp>
                            <wps:wsp>
                              <wps:cNvPr id="249" name="Text Box 93"/>
                              <wps:cNvSpPr txBox="1">
                                <a:spLocks noChangeArrowheads="1"/>
                              </wps:cNvSpPr>
                              <wps:spPr bwMode="auto">
                                <a:xfrm>
                                  <a:off x="1932" y="864"/>
                                  <a:ext cx="2160" cy="468"/>
                                </a:xfrm>
                                <a:prstGeom prst="rect">
                                  <a:avLst/>
                                </a:prstGeom>
                                <a:solidFill>
                                  <a:srgbClr val="FFFFFF"/>
                                </a:solidFill>
                                <a:ln w="9525" cmpd="sng">
                                  <a:solidFill>
                                    <a:srgbClr val="000000"/>
                                  </a:solidFill>
                                  <a:miter lim="800000"/>
                                </a:ln>
                              </wps:spPr>
                              <wps:txbx>
                                <w:txbxContent>
                                  <w:p>
                                    <w:pPr>
                                      <w:jc w:val="center"/>
                                      <w:rPr>
                                        <w:sz w:val="24"/>
                                      </w:rPr>
                                    </w:pPr>
                                    <w:r>
                                      <w:rPr>
                                        <w:rFonts w:hint="eastAsia"/>
                                        <w:sz w:val="24"/>
                                      </w:rPr>
                                      <w:t>准 备</w:t>
                                    </w:r>
                                  </w:p>
                                  <w:p>
                                    <w:pPr>
                                      <w:jc w:val="center"/>
                                    </w:pPr>
                                  </w:p>
                                </w:txbxContent>
                              </wps:txbx>
                              <wps:bodyPr rot="0" vert="horz" wrap="square" lIns="91440" tIns="45720" rIns="91440" bIns="45720" anchor="t" anchorCtr="0" upright="1">
                                <a:noAutofit/>
                              </wps:bodyPr>
                            </wps:wsp>
                            <wps:wsp>
                              <wps:cNvPr id="250" name="Line 94"/>
                              <wps:cNvCnPr>
                                <a:cxnSpLocks noChangeShapeType="1"/>
                              </wps:cNvCnPr>
                              <wps:spPr bwMode="auto">
                                <a:xfrm>
                                  <a:off x="3012" y="398"/>
                                  <a:ext cx="0" cy="454"/>
                                </a:xfrm>
                                <a:prstGeom prst="line">
                                  <a:avLst/>
                                </a:prstGeom>
                                <a:noFill/>
                                <a:ln w="9525" cmpd="sng">
                                  <a:solidFill>
                                    <a:srgbClr val="000000"/>
                                  </a:solidFill>
                                  <a:round/>
                                  <a:tailEnd type="triangle" w="med" len="med"/>
                                </a:ln>
                              </wps:spPr>
                              <wps:bodyPr/>
                            </wps:wsp>
                            <wps:wsp>
                              <wps:cNvPr id="251" name="Line 95"/>
                              <wps:cNvCnPr>
                                <a:cxnSpLocks noChangeShapeType="1"/>
                              </wps:cNvCnPr>
                              <wps:spPr bwMode="auto">
                                <a:xfrm>
                                  <a:off x="3012" y="1344"/>
                                  <a:ext cx="0" cy="624"/>
                                </a:xfrm>
                                <a:prstGeom prst="line">
                                  <a:avLst/>
                                </a:prstGeom>
                                <a:noFill/>
                                <a:ln w="9525" cmpd="sng">
                                  <a:solidFill>
                                    <a:srgbClr val="000000"/>
                                  </a:solidFill>
                                  <a:round/>
                                  <a:tailEnd type="triangle" w="med" len="med"/>
                                </a:ln>
                              </wps:spPr>
                              <wps:bodyPr/>
                            </wps:wsp>
                            <wps:wsp>
                              <wps:cNvPr id="252" name="Text Box 96"/>
                              <wps:cNvSpPr txBox="1">
                                <a:spLocks noChangeArrowheads="1"/>
                              </wps:cNvSpPr>
                              <wps:spPr bwMode="auto">
                                <a:xfrm>
                                  <a:off x="1932" y="1992"/>
                                  <a:ext cx="2160" cy="468"/>
                                </a:xfrm>
                                <a:prstGeom prst="rect">
                                  <a:avLst/>
                                </a:prstGeom>
                                <a:solidFill>
                                  <a:srgbClr val="FFFFFF"/>
                                </a:solidFill>
                                <a:ln w="9525" cmpd="sng">
                                  <a:solidFill>
                                    <a:srgbClr val="000000"/>
                                  </a:solidFill>
                                  <a:miter lim="800000"/>
                                </a:ln>
                              </wps:spPr>
                              <wps:txbx>
                                <w:txbxContent>
                                  <w:p>
                                    <w:pPr>
                                      <w:jc w:val="center"/>
                                      <w:rPr>
                                        <w:sz w:val="24"/>
                                      </w:rPr>
                                    </w:pPr>
                                    <w:r>
                                      <w:rPr>
                                        <w:rFonts w:hint="eastAsia"/>
                                        <w:sz w:val="24"/>
                                      </w:rPr>
                                      <w:t>喷 砂</w:t>
                                    </w:r>
                                  </w:p>
                                </w:txbxContent>
                              </wps:txbx>
                              <wps:bodyPr rot="0" vert="horz" wrap="square" lIns="91440" tIns="45720" rIns="91440" bIns="45720" anchor="t" anchorCtr="0" upright="1">
                                <a:noAutofit/>
                              </wps:bodyPr>
                            </wps:wsp>
                            <wps:wsp>
                              <wps:cNvPr id="253" name="Line 97"/>
                              <wps:cNvCnPr>
                                <a:cxnSpLocks noChangeShapeType="1"/>
                              </wps:cNvCnPr>
                              <wps:spPr bwMode="auto">
                                <a:xfrm>
                                  <a:off x="3012" y="2472"/>
                                  <a:ext cx="0" cy="624"/>
                                </a:xfrm>
                                <a:prstGeom prst="line">
                                  <a:avLst/>
                                </a:prstGeom>
                                <a:noFill/>
                                <a:ln w="9525" cmpd="sng">
                                  <a:solidFill>
                                    <a:srgbClr val="000000"/>
                                  </a:solidFill>
                                  <a:round/>
                                  <a:tailEnd type="triangle" w="med" len="med"/>
                                </a:ln>
                              </wps:spPr>
                              <wps:bodyPr/>
                            </wps:wsp>
                            <wps:wsp>
                              <wps:cNvPr id="254" name="Text Box 98"/>
                              <wps:cNvSpPr txBox="1">
                                <a:spLocks noChangeArrowheads="1"/>
                              </wps:cNvSpPr>
                              <wps:spPr bwMode="auto">
                                <a:xfrm>
                                  <a:off x="1932" y="3108"/>
                                  <a:ext cx="2160" cy="468"/>
                                </a:xfrm>
                                <a:prstGeom prst="rect">
                                  <a:avLst/>
                                </a:prstGeom>
                                <a:solidFill>
                                  <a:srgbClr val="FFFFFF"/>
                                </a:solidFill>
                                <a:ln w="9525" cmpd="sng">
                                  <a:solidFill>
                                    <a:srgbClr val="000000"/>
                                  </a:solidFill>
                                  <a:miter lim="800000"/>
                                </a:ln>
                              </wps:spPr>
                              <wps:txbx>
                                <w:txbxContent>
                                  <w:p>
                                    <w:pPr>
                                      <w:jc w:val="center"/>
                                      <w:rPr>
                                        <w:sz w:val="24"/>
                                      </w:rPr>
                                    </w:pPr>
                                    <w:r>
                                      <w:rPr>
                                        <w:rFonts w:hint="eastAsia"/>
                                        <w:sz w:val="24"/>
                                      </w:rPr>
                                      <w:t>底漆喷烘</w:t>
                                    </w:r>
                                  </w:p>
                                </w:txbxContent>
                              </wps:txbx>
                              <wps:bodyPr rot="0" vert="horz" wrap="square" lIns="91440" tIns="45720" rIns="91440" bIns="45720" anchor="t" anchorCtr="0" upright="1">
                                <a:noAutofit/>
                              </wps:bodyPr>
                            </wps:wsp>
                            <wps:wsp>
                              <wps:cNvPr id="255" name="Line 99"/>
                              <wps:cNvCnPr>
                                <a:cxnSpLocks noChangeShapeType="1"/>
                              </wps:cNvCnPr>
                              <wps:spPr bwMode="auto">
                                <a:xfrm>
                                  <a:off x="3012" y="3588"/>
                                  <a:ext cx="0" cy="624"/>
                                </a:xfrm>
                                <a:prstGeom prst="line">
                                  <a:avLst/>
                                </a:prstGeom>
                                <a:noFill/>
                                <a:ln w="9525" cmpd="sng">
                                  <a:solidFill>
                                    <a:srgbClr val="000000"/>
                                  </a:solidFill>
                                  <a:round/>
                                  <a:tailEnd type="triangle" w="med" len="med"/>
                                </a:ln>
                              </wps:spPr>
                              <wps:bodyPr/>
                            </wps:wsp>
                            <wps:wsp>
                              <wps:cNvPr id="256" name="Text Box 100"/>
                              <wps:cNvSpPr txBox="1">
                                <a:spLocks noChangeArrowheads="1"/>
                              </wps:cNvSpPr>
                              <wps:spPr bwMode="auto">
                                <a:xfrm>
                                  <a:off x="1932" y="4224"/>
                                  <a:ext cx="2160" cy="468"/>
                                </a:xfrm>
                                <a:prstGeom prst="rect">
                                  <a:avLst/>
                                </a:prstGeom>
                                <a:solidFill>
                                  <a:srgbClr val="FFFFFF"/>
                                </a:solidFill>
                                <a:ln w="9525" cmpd="sng">
                                  <a:solidFill>
                                    <a:srgbClr val="000000"/>
                                  </a:solidFill>
                                  <a:miter lim="800000"/>
                                </a:ln>
                              </wps:spPr>
                              <wps:txbx>
                                <w:txbxContent>
                                  <w:p>
                                    <w:pPr>
                                      <w:jc w:val="center"/>
                                      <w:rPr>
                                        <w:sz w:val="24"/>
                                      </w:rPr>
                                    </w:pPr>
                                    <w:r>
                                      <w:rPr>
                                        <w:rFonts w:hint="eastAsia"/>
                                        <w:sz w:val="24"/>
                                      </w:rPr>
                                      <w:t>刮腻子</w:t>
                                    </w:r>
                                  </w:p>
                                </w:txbxContent>
                              </wps:txbx>
                              <wps:bodyPr rot="0" vert="horz" wrap="square" lIns="91440" tIns="45720" rIns="91440" bIns="45720" anchor="t" anchorCtr="0" upright="1">
                                <a:noAutofit/>
                              </wps:bodyPr>
                            </wps:wsp>
                            <wps:wsp>
                              <wps:cNvPr id="257" name="Line 101"/>
                              <wps:cNvCnPr>
                                <a:cxnSpLocks noChangeShapeType="1"/>
                              </wps:cNvCnPr>
                              <wps:spPr bwMode="auto">
                                <a:xfrm>
                                  <a:off x="3012" y="4704"/>
                                  <a:ext cx="0" cy="624"/>
                                </a:xfrm>
                                <a:prstGeom prst="line">
                                  <a:avLst/>
                                </a:prstGeom>
                                <a:noFill/>
                                <a:ln w="9525" cmpd="sng">
                                  <a:solidFill>
                                    <a:srgbClr val="000000"/>
                                  </a:solidFill>
                                  <a:round/>
                                  <a:tailEnd type="triangle" w="med" len="med"/>
                                </a:ln>
                              </wps:spPr>
                              <wps:bodyPr/>
                            </wps:wsp>
                            <wps:wsp>
                              <wps:cNvPr id="258" name="Text Box 102"/>
                              <wps:cNvSpPr txBox="1">
                                <a:spLocks noChangeArrowheads="1"/>
                              </wps:cNvSpPr>
                              <wps:spPr bwMode="auto">
                                <a:xfrm>
                                  <a:off x="1932" y="5352"/>
                                  <a:ext cx="2160" cy="468"/>
                                </a:xfrm>
                                <a:prstGeom prst="rect">
                                  <a:avLst/>
                                </a:prstGeom>
                                <a:solidFill>
                                  <a:srgbClr val="FFFFFF"/>
                                </a:solidFill>
                                <a:ln w="9525" cmpd="sng">
                                  <a:solidFill>
                                    <a:srgbClr val="000000"/>
                                  </a:solidFill>
                                  <a:miter lim="800000"/>
                                </a:ln>
                              </wps:spPr>
                              <wps:txbx>
                                <w:txbxContent>
                                  <w:p>
                                    <w:pPr>
                                      <w:jc w:val="center"/>
                                      <w:rPr>
                                        <w:sz w:val="24"/>
                                      </w:rPr>
                                    </w:pPr>
                                    <w:r>
                                      <w:rPr>
                                        <w:rFonts w:hint="eastAsia"/>
                                        <w:sz w:val="24"/>
                                      </w:rPr>
                                      <w:t>打 磨</w:t>
                                    </w:r>
                                  </w:p>
                                </w:txbxContent>
                              </wps:txbx>
                              <wps:bodyPr rot="0" vert="horz" wrap="square" lIns="91440" tIns="45720" rIns="91440" bIns="45720" anchor="t" anchorCtr="0" upright="1">
                                <a:noAutofit/>
                              </wps:bodyPr>
                            </wps:wsp>
                            <wps:wsp>
                              <wps:cNvPr id="259" name="Line 103"/>
                              <wps:cNvCnPr>
                                <a:cxnSpLocks noChangeShapeType="1"/>
                              </wps:cNvCnPr>
                              <wps:spPr bwMode="auto">
                                <a:xfrm>
                                  <a:off x="3012" y="5832"/>
                                  <a:ext cx="0" cy="624"/>
                                </a:xfrm>
                                <a:prstGeom prst="line">
                                  <a:avLst/>
                                </a:prstGeom>
                                <a:noFill/>
                                <a:ln w="9525" cmpd="sng">
                                  <a:solidFill>
                                    <a:srgbClr val="000000"/>
                                  </a:solidFill>
                                  <a:round/>
                                  <a:tailEnd type="triangle" w="med" len="med"/>
                                </a:ln>
                              </wps:spPr>
                              <wps:bodyPr/>
                            </wps:wsp>
                            <wps:wsp>
                              <wps:cNvPr id="260" name="Text Box 104"/>
                              <wps:cNvSpPr txBox="1">
                                <a:spLocks noChangeArrowheads="1"/>
                              </wps:cNvSpPr>
                              <wps:spPr bwMode="auto">
                                <a:xfrm>
                                  <a:off x="492" y="1992"/>
                                  <a:ext cx="900" cy="468"/>
                                </a:xfrm>
                                <a:prstGeom prst="rect">
                                  <a:avLst/>
                                </a:prstGeom>
                                <a:solidFill>
                                  <a:srgbClr val="FFFFFF"/>
                                </a:solidFill>
                                <a:ln>
                                  <a:noFill/>
                                </a:ln>
                              </wps:spPr>
                              <wps:txbx>
                                <w:txbxContent>
                                  <w:p>
                                    <w:pPr>
                                      <w:jc w:val="center"/>
                                      <w:rPr>
                                        <w:sz w:val="24"/>
                                      </w:rPr>
                                    </w:pPr>
                                    <w:r>
                                      <w:rPr>
                                        <w:rFonts w:hint="eastAsia"/>
                                        <w:sz w:val="24"/>
                                      </w:rPr>
                                      <w:t>磨料</w:t>
                                    </w:r>
                                  </w:p>
                                </w:txbxContent>
                              </wps:txbx>
                              <wps:bodyPr rot="0" vert="horz" wrap="square" lIns="91440" tIns="45720" rIns="91440" bIns="45720" anchor="t" anchorCtr="0" upright="1">
                                <a:noAutofit/>
                              </wps:bodyPr>
                            </wps:wsp>
                            <wps:wsp>
                              <wps:cNvPr id="261" name="Line 105"/>
                              <wps:cNvCnPr>
                                <a:cxnSpLocks noChangeShapeType="1"/>
                              </wps:cNvCnPr>
                              <wps:spPr bwMode="auto">
                                <a:xfrm>
                                  <a:off x="1212" y="2220"/>
                                  <a:ext cx="720" cy="0"/>
                                </a:xfrm>
                                <a:prstGeom prst="line">
                                  <a:avLst/>
                                </a:prstGeom>
                                <a:noFill/>
                                <a:ln w="9525" cmpd="sng">
                                  <a:solidFill>
                                    <a:srgbClr val="000000"/>
                                  </a:solidFill>
                                  <a:round/>
                                  <a:tailEnd type="triangle" w="med" len="med"/>
                                </a:ln>
                              </wps:spPr>
                              <wps:bodyPr/>
                            </wps:wsp>
                            <wps:wsp>
                              <wps:cNvPr id="262" name="Line 106"/>
                              <wps:cNvCnPr>
                                <a:cxnSpLocks noChangeShapeType="1"/>
                              </wps:cNvCnPr>
                              <wps:spPr bwMode="auto">
                                <a:xfrm>
                                  <a:off x="4092" y="2220"/>
                                  <a:ext cx="1020" cy="0"/>
                                </a:xfrm>
                                <a:prstGeom prst="line">
                                  <a:avLst/>
                                </a:prstGeom>
                                <a:noFill/>
                                <a:ln w="9525" cmpd="sng">
                                  <a:solidFill>
                                    <a:srgbClr val="000000"/>
                                  </a:solidFill>
                                  <a:round/>
                                  <a:tailEnd type="triangle" w="med" len="med"/>
                                </a:ln>
                              </wps:spPr>
                              <wps:bodyPr/>
                            </wps:wsp>
                            <wps:wsp>
                              <wps:cNvPr id="263" name="Text Box 107"/>
                              <wps:cNvSpPr txBox="1">
                                <a:spLocks noChangeArrowheads="1"/>
                              </wps:cNvSpPr>
                              <wps:spPr bwMode="auto">
                                <a:xfrm>
                                  <a:off x="5160" y="1920"/>
                                  <a:ext cx="1368" cy="583"/>
                                </a:xfrm>
                                <a:prstGeom prst="rect">
                                  <a:avLst/>
                                </a:prstGeom>
                                <a:solidFill>
                                  <a:srgbClr val="FFFFFF"/>
                                </a:solidFill>
                                <a:ln w="9525" cmpd="sng">
                                  <a:solidFill>
                                    <a:srgbClr val="000000"/>
                                  </a:solidFill>
                                  <a:miter lim="800000"/>
                                </a:ln>
                              </wps:spPr>
                              <wps:txbx>
                                <w:txbxContent>
                                  <w:p>
                                    <w:pPr>
                                      <w:jc w:val="center"/>
                                      <w:rPr>
                                        <w:sz w:val="24"/>
                                      </w:rPr>
                                    </w:pPr>
                                    <w:r>
                                      <w:rPr>
                                        <w:rFonts w:hint="eastAsia"/>
                                      </w:rPr>
                                      <w:t>滤筒干式过滤除尘装置</w:t>
                                    </w:r>
                                  </w:p>
                                </w:txbxContent>
                              </wps:txbx>
                              <wps:bodyPr rot="0" vert="horz" wrap="square" lIns="0" tIns="0" rIns="0" bIns="0" anchor="t" anchorCtr="0" upright="1">
                                <a:noAutofit/>
                              </wps:bodyPr>
                            </wps:wsp>
                            <wps:wsp>
                              <wps:cNvPr id="264" name="Line 108"/>
                              <wps:cNvCnPr>
                                <a:cxnSpLocks noChangeShapeType="1"/>
                              </wps:cNvCnPr>
                              <wps:spPr bwMode="auto">
                                <a:xfrm>
                                  <a:off x="6540" y="2220"/>
                                  <a:ext cx="1020" cy="0"/>
                                </a:xfrm>
                                <a:prstGeom prst="line">
                                  <a:avLst/>
                                </a:prstGeom>
                                <a:noFill/>
                                <a:ln w="9525" cmpd="sng">
                                  <a:solidFill>
                                    <a:srgbClr val="000000"/>
                                  </a:solidFill>
                                  <a:round/>
                                  <a:tailEnd type="triangle" w="med" len="med"/>
                                </a:ln>
                              </wps:spPr>
                              <wps:bodyPr/>
                            </wps:wsp>
                            <wps:wsp>
                              <wps:cNvPr id="265" name="Text Box 109"/>
                              <wps:cNvSpPr txBox="1">
                                <a:spLocks noChangeArrowheads="1"/>
                              </wps:cNvSpPr>
                              <wps:spPr bwMode="auto">
                                <a:xfrm>
                                  <a:off x="6624" y="1639"/>
                                  <a:ext cx="816" cy="576"/>
                                </a:xfrm>
                                <a:prstGeom prst="rect">
                                  <a:avLst/>
                                </a:prstGeom>
                                <a:solidFill>
                                  <a:srgbClr val="FFFFFF"/>
                                </a:solidFill>
                                <a:ln>
                                  <a:noFill/>
                                </a:ln>
                              </wps:spPr>
                              <wps:txbx>
                                <w:txbxContent>
                                  <w:p>
                                    <w:pPr>
                                      <w:ind w:firstLine="110" w:firstLineChars="50"/>
                                      <w:rPr>
                                        <w:sz w:val="22"/>
                                        <w:szCs w:val="22"/>
                                      </w:rPr>
                                    </w:pPr>
                                    <w:r>
                                      <w:rPr>
                                        <w:rFonts w:hint="eastAsia"/>
                                        <w:sz w:val="22"/>
                                        <w:szCs w:val="22"/>
                                      </w:rPr>
                                      <w:t>粉尘</w:t>
                                    </w:r>
                                  </w:p>
                                  <w:p>
                                    <w:pPr>
                                      <w:rPr>
                                        <w:sz w:val="22"/>
                                        <w:szCs w:val="22"/>
                                      </w:rPr>
                                    </w:pPr>
                                    <w:r>
                                      <w:rPr>
                                        <w:rFonts w:hint="eastAsia"/>
                                        <w:sz w:val="22"/>
                                        <w:szCs w:val="22"/>
                                      </w:rPr>
                                      <w:t>G2、G3</w:t>
                                    </w:r>
                                  </w:p>
                                </w:txbxContent>
                              </wps:txbx>
                              <wps:bodyPr rot="0" vert="horz" wrap="square" lIns="0" tIns="0" rIns="0" bIns="0" anchor="t" anchorCtr="0" upright="1">
                                <a:noAutofit/>
                              </wps:bodyPr>
                            </wps:wsp>
                            <wps:wsp>
                              <wps:cNvPr id="266" name="Text Box 110"/>
                              <wps:cNvSpPr txBox="1">
                                <a:spLocks noChangeArrowheads="1"/>
                              </wps:cNvSpPr>
                              <wps:spPr bwMode="auto">
                                <a:xfrm>
                                  <a:off x="492" y="3031"/>
                                  <a:ext cx="850" cy="340"/>
                                </a:xfrm>
                                <a:prstGeom prst="rect">
                                  <a:avLst/>
                                </a:prstGeom>
                                <a:solidFill>
                                  <a:srgbClr val="FFFFFF"/>
                                </a:solidFill>
                                <a:ln>
                                  <a:noFill/>
                                </a:ln>
                              </wps:spPr>
                              <wps:txbx>
                                <w:txbxContent>
                                  <w:p>
                                    <w:pPr>
                                      <w:jc w:val="center"/>
                                      <w:rPr>
                                        <w:sz w:val="24"/>
                                      </w:rPr>
                                    </w:pPr>
                                    <w:r>
                                      <w:rPr>
                                        <w:rFonts w:hint="eastAsia"/>
                                        <w:sz w:val="24"/>
                                      </w:rPr>
                                      <w:t>底漆</w:t>
                                    </w:r>
                                  </w:p>
                                </w:txbxContent>
                              </wps:txbx>
                              <wps:bodyPr rot="0" vert="horz" wrap="square" lIns="0" tIns="0" rIns="0" bIns="0" anchor="t" anchorCtr="0" upright="1">
                                <a:noAutofit/>
                              </wps:bodyPr>
                            </wps:wsp>
                            <wps:wsp>
                              <wps:cNvPr id="267" name="Line 111"/>
                              <wps:cNvCnPr>
                                <a:cxnSpLocks noChangeShapeType="1"/>
                              </wps:cNvCnPr>
                              <wps:spPr bwMode="auto">
                                <a:xfrm>
                                  <a:off x="1212" y="3528"/>
                                  <a:ext cx="720" cy="0"/>
                                </a:xfrm>
                                <a:prstGeom prst="line">
                                  <a:avLst/>
                                </a:prstGeom>
                                <a:noFill/>
                                <a:ln w="9525" cmpd="sng">
                                  <a:solidFill>
                                    <a:srgbClr val="000000"/>
                                  </a:solidFill>
                                  <a:round/>
                                  <a:tailEnd type="triangle" w="med" len="med"/>
                                </a:ln>
                              </wps:spPr>
                              <wps:bodyPr/>
                            </wps:wsp>
                            <wps:wsp>
                              <wps:cNvPr id="268" name="Text Box 112"/>
                              <wps:cNvSpPr txBox="1">
                                <a:spLocks noChangeArrowheads="1"/>
                              </wps:cNvSpPr>
                              <wps:spPr bwMode="auto">
                                <a:xfrm>
                                  <a:off x="132" y="4224"/>
                                  <a:ext cx="1080" cy="468"/>
                                </a:xfrm>
                                <a:prstGeom prst="rect">
                                  <a:avLst/>
                                </a:prstGeom>
                                <a:solidFill>
                                  <a:srgbClr val="FFFFFF"/>
                                </a:solidFill>
                                <a:ln>
                                  <a:noFill/>
                                </a:ln>
                              </wps:spPr>
                              <wps:txbx>
                                <w:txbxContent>
                                  <w:p>
                                    <w:pPr>
                                      <w:jc w:val="center"/>
                                      <w:rPr>
                                        <w:sz w:val="24"/>
                                      </w:rPr>
                                    </w:pPr>
                                    <w:r>
                                      <w:rPr>
                                        <w:rFonts w:hint="eastAsia"/>
                                        <w:sz w:val="24"/>
                                      </w:rPr>
                                      <w:t>腻子粉</w:t>
                                    </w:r>
                                  </w:p>
                                </w:txbxContent>
                              </wps:txbx>
                              <wps:bodyPr rot="0" vert="horz" wrap="square" lIns="91440" tIns="45720" rIns="91440" bIns="45720" anchor="t" anchorCtr="0" upright="1">
                                <a:noAutofit/>
                              </wps:bodyPr>
                            </wps:wsp>
                            <wps:wsp>
                              <wps:cNvPr id="269" name="Line 113"/>
                              <wps:cNvCnPr>
                                <a:cxnSpLocks noChangeShapeType="1"/>
                              </wps:cNvCnPr>
                              <wps:spPr bwMode="auto">
                                <a:xfrm>
                                  <a:off x="1212" y="4452"/>
                                  <a:ext cx="720" cy="0"/>
                                </a:xfrm>
                                <a:prstGeom prst="line">
                                  <a:avLst/>
                                </a:prstGeom>
                                <a:noFill/>
                                <a:ln w="9525" cmpd="sng">
                                  <a:solidFill>
                                    <a:srgbClr val="000000"/>
                                  </a:solidFill>
                                  <a:round/>
                                  <a:tailEnd type="triangle" w="med" len="med"/>
                                </a:ln>
                              </wps:spPr>
                              <wps:bodyPr/>
                            </wps:wsp>
                            <wps:wsp>
                              <wps:cNvPr id="270" name="Line 114"/>
                              <wps:cNvCnPr>
                                <a:cxnSpLocks noChangeShapeType="1"/>
                              </wps:cNvCnPr>
                              <wps:spPr bwMode="auto">
                                <a:xfrm>
                                  <a:off x="4092" y="5580"/>
                                  <a:ext cx="1020" cy="0"/>
                                </a:xfrm>
                                <a:prstGeom prst="line">
                                  <a:avLst/>
                                </a:prstGeom>
                                <a:noFill/>
                                <a:ln w="9525" cmpd="sng">
                                  <a:solidFill>
                                    <a:srgbClr val="000000"/>
                                  </a:solidFill>
                                  <a:round/>
                                  <a:tailEnd type="triangle" w="med" len="med"/>
                                </a:ln>
                              </wps:spPr>
                              <wps:bodyPr/>
                            </wps:wsp>
                            <wps:wsp>
                              <wps:cNvPr id="271" name="Line 115"/>
                              <wps:cNvCnPr>
                                <a:cxnSpLocks noChangeShapeType="1"/>
                              </wps:cNvCnPr>
                              <wps:spPr bwMode="auto">
                                <a:xfrm>
                                  <a:off x="4092" y="3348"/>
                                  <a:ext cx="1020" cy="0"/>
                                </a:xfrm>
                                <a:prstGeom prst="line">
                                  <a:avLst/>
                                </a:prstGeom>
                                <a:noFill/>
                                <a:ln w="9525" cmpd="sng">
                                  <a:solidFill>
                                    <a:srgbClr val="000000"/>
                                  </a:solidFill>
                                  <a:round/>
                                  <a:tailEnd type="triangle" w="med" len="med"/>
                                </a:ln>
                              </wps:spPr>
                              <wps:bodyPr/>
                            </wps:wsp>
                            <wps:wsp>
                              <wps:cNvPr id="272" name="Text Box 116"/>
                              <wps:cNvSpPr txBox="1">
                                <a:spLocks noChangeArrowheads="1"/>
                              </wps:cNvSpPr>
                              <wps:spPr bwMode="auto">
                                <a:xfrm>
                                  <a:off x="5136" y="3084"/>
                                  <a:ext cx="1260" cy="715"/>
                                </a:xfrm>
                                <a:prstGeom prst="rect">
                                  <a:avLst/>
                                </a:prstGeom>
                                <a:solidFill>
                                  <a:srgbClr val="FFFFFF"/>
                                </a:solidFill>
                                <a:ln w="9525" cmpd="sng">
                                  <a:solidFill>
                                    <a:srgbClr val="000000"/>
                                  </a:solidFill>
                                  <a:miter lim="800000"/>
                                </a:ln>
                              </wps:spPr>
                              <wps:txbx>
                                <w:txbxContent>
                                  <w:p>
                                    <w:pPr>
                                      <w:jc w:val="center"/>
                                      <w:rPr>
                                        <w:sz w:val="22"/>
                                        <w:szCs w:val="22"/>
                                      </w:rPr>
                                    </w:pPr>
                                    <w:r>
                                      <w:rPr>
                                        <w:rFonts w:hint="eastAsia"/>
                                        <w:sz w:val="22"/>
                                        <w:szCs w:val="22"/>
                                      </w:rPr>
                                      <w:t>过滤棉、活性炭吸附</w:t>
                                    </w:r>
                                  </w:p>
                                </w:txbxContent>
                              </wps:txbx>
                              <wps:bodyPr rot="0" vert="horz" wrap="square" lIns="18000" tIns="45720" rIns="18000" bIns="45720" anchor="t" anchorCtr="0" upright="1">
                                <a:noAutofit/>
                              </wps:bodyPr>
                            </wps:wsp>
                            <wps:wsp>
                              <wps:cNvPr id="273" name="Line 117"/>
                              <wps:cNvCnPr>
                                <a:cxnSpLocks noChangeShapeType="1"/>
                              </wps:cNvCnPr>
                              <wps:spPr bwMode="auto">
                                <a:xfrm>
                                  <a:off x="6408" y="3372"/>
                                  <a:ext cx="1020" cy="0"/>
                                </a:xfrm>
                                <a:prstGeom prst="line">
                                  <a:avLst/>
                                </a:prstGeom>
                                <a:noFill/>
                                <a:ln w="9525" cmpd="sng">
                                  <a:solidFill>
                                    <a:srgbClr val="000000"/>
                                  </a:solidFill>
                                  <a:round/>
                                  <a:tailEnd type="triangle" w="med" len="med"/>
                                </a:ln>
                              </wps:spPr>
                              <wps:bodyPr/>
                            </wps:wsp>
                            <wps:wsp>
                              <wps:cNvPr id="274" name="Text Box 118"/>
                              <wps:cNvSpPr txBox="1">
                                <a:spLocks noChangeArrowheads="1"/>
                              </wps:cNvSpPr>
                              <wps:spPr bwMode="auto">
                                <a:xfrm>
                                  <a:off x="1932" y="6468"/>
                                  <a:ext cx="2160" cy="468"/>
                                </a:xfrm>
                                <a:prstGeom prst="rect">
                                  <a:avLst/>
                                </a:prstGeom>
                                <a:solidFill>
                                  <a:srgbClr val="FFFFFF"/>
                                </a:solidFill>
                                <a:ln w="9525" cmpd="sng">
                                  <a:solidFill>
                                    <a:srgbClr val="000000"/>
                                  </a:solidFill>
                                  <a:miter lim="800000"/>
                                </a:ln>
                              </wps:spPr>
                              <wps:txbx>
                                <w:txbxContent>
                                  <w:p>
                                    <w:pPr>
                                      <w:jc w:val="center"/>
                                      <w:rPr>
                                        <w:sz w:val="24"/>
                                      </w:rPr>
                                    </w:pPr>
                                    <w:r>
                                      <w:rPr>
                                        <w:rFonts w:hint="eastAsia"/>
                                        <w:sz w:val="24"/>
                                      </w:rPr>
                                      <w:t>中涂喷烘</w:t>
                                    </w:r>
                                  </w:p>
                                </w:txbxContent>
                              </wps:txbx>
                              <wps:bodyPr rot="0" vert="horz" wrap="square" lIns="91440" tIns="45720" rIns="91440" bIns="45720" anchor="t" anchorCtr="0" upright="1">
                                <a:noAutofit/>
                              </wps:bodyPr>
                            </wps:wsp>
                            <wps:wsp>
                              <wps:cNvPr id="275" name="Line 119"/>
                              <wps:cNvCnPr>
                                <a:cxnSpLocks noChangeShapeType="1"/>
                              </wps:cNvCnPr>
                              <wps:spPr bwMode="auto">
                                <a:xfrm>
                                  <a:off x="3012" y="6948"/>
                                  <a:ext cx="0" cy="624"/>
                                </a:xfrm>
                                <a:prstGeom prst="line">
                                  <a:avLst/>
                                </a:prstGeom>
                                <a:noFill/>
                                <a:ln w="9525" cmpd="sng">
                                  <a:solidFill>
                                    <a:srgbClr val="000000"/>
                                  </a:solidFill>
                                  <a:round/>
                                  <a:tailEnd type="triangle" w="med" len="med"/>
                                </a:ln>
                              </wps:spPr>
                              <wps:bodyPr/>
                            </wps:wsp>
                            <wps:wsp>
                              <wps:cNvPr id="276" name="Text Box 120"/>
                              <wps:cNvSpPr txBox="1">
                                <a:spLocks noChangeArrowheads="1"/>
                              </wps:cNvSpPr>
                              <wps:spPr bwMode="auto">
                                <a:xfrm>
                                  <a:off x="1932" y="7572"/>
                                  <a:ext cx="2160" cy="468"/>
                                </a:xfrm>
                                <a:prstGeom prst="rect">
                                  <a:avLst/>
                                </a:prstGeom>
                                <a:solidFill>
                                  <a:srgbClr val="FFFFFF"/>
                                </a:solidFill>
                                <a:ln w="9525" cmpd="sng">
                                  <a:solidFill>
                                    <a:srgbClr val="000000"/>
                                  </a:solidFill>
                                  <a:miter lim="800000"/>
                                </a:ln>
                              </wps:spPr>
                              <wps:txbx>
                                <w:txbxContent>
                                  <w:p>
                                    <w:pPr>
                                      <w:jc w:val="center"/>
                                      <w:rPr>
                                        <w:sz w:val="24"/>
                                      </w:rPr>
                                    </w:pPr>
                                    <w:r>
                                      <w:rPr>
                                        <w:rFonts w:hint="eastAsia"/>
                                        <w:sz w:val="24"/>
                                      </w:rPr>
                                      <w:t>打 磨</w:t>
                                    </w:r>
                                  </w:p>
                                </w:txbxContent>
                              </wps:txbx>
                              <wps:bodyPr rot="0" vert="horz" wrap="square" lIns="91440" tIns="45720" rIns="91440" bIns="45720" anchor="t" anchorCtr="0" upright="1">
                                <a:noAutofit/>
                              </wps:bodyPr>
                            </wps:wsp>
                            <wps:wsp>
                              <wps:cNvPr id="277" name="Line 121"/>
                              <wps:cNvCnPr>
                                <a:cxnSpLocks noChangeShapeType="1"/>
                              </wps:cNvCnPr>
                              <wps:spPr bwMode="auto">
                                <a:xfrm>
                                  <a:off x="3012" y="8064"/>
                                  <a:ext cx="0" cy="624"/>
                                </a:xfrm>
                                <a:prstGeom prst="line">
                                  <a:avLst/>
                                </a:prstGeom>
                                <a:noFill/>
                                <a:ln w="9525" cmpd="sng">
                                  <a:solidFill>
                                    <a:srgbClr val="000000"/>
                                  </a:solidFill>
                                  <a:round/>
                                  <a:tailEnd type="triangle" w="med" len="med"/>
                                </a:ln>
                              </wps:spPr>
                              <wps:bodyPr/>
                            </wps:wsp>
                            <wps:wsp>
                              <wps:cNvPr id="278" name="Text Box 122"/>
                              <wps:cNvSpPr txBox="1">
                                <a:spLocks noChangeArrowheads="1"/>
                              </wps:cNvSpPr>
                              <wps:spPr bwMode="auto">
                                <a:xfrm>
                                  <a:off x="1932" y="8688"/>
                                  <a:ext cx="2160" cy="468"/>
                                </a:xfrm>
                                <a:prstGeom prst="rect">
                                  <a:avLst/>
                                </a:prstGeom>
                                <a:solidFill>
                                  <a:srgbClr val="FFFFFF"/>
                                </a:solidFill>
                                <a:ln w="9525" cmpd="sng">
                                  <a:solidFill>
                                    <a:srgbClr val="000000"/>
                                  </a:solidFill>
                                  <a:miter lim="800000"/>
                                </a:ln>
                              </wps:spPr>
                              <wps:txbx>
                                <w:txbxContent>
                                  <w:p>
                                    <w:pPr>
                                      <w:jc w:val="center"/>
                                      <w:rPr>
                                        <w:sz w:val="24"/>
                                      </w:rPr>
                                    </w:pPr>
                                    <w:r>
                                      <w:rPr>
                                        <w:rFonts w:hint="eastAsia"/>
                                        <w:sz w:val="24"/>
                                      </w:rPr>
                                      <w:t>面漆喷烘</w:t>
                                    </w:r>
                                  </w:p>
                                </w:txbxContent>
                              </wps:txbx>
                              <wps:bodyPr rot="0" vert="horz" wrap="square" lIns="91440" tIns="45720" rIns="91440" bIns="45720" anchor="t" anchorCtr="0" upright="1">
                                <a:noAutofit/>
                              </wps:bodyPr>
                            </wps:wsp>
                            <wps:wsp>
                              <wps:cNvPr id="279" name="Line 123"/>
                              <wps:cNvCnPr>
                                <a:cxnSpLocks noChangeShapeType="1"/>
                              </wps:cNvCnPr>
                              <wps:spPr bwMode="auto">
                                <a:xfrm>
                                  <a:off x="3012" y="9192"/>
                                  <a:ext cx="0" cy="454"/>
                                </a:xfrm>
                                <a:prstGeom prst="line">
                                  <a:avLst/>
                                </a:prstGeom>
                                <a:noFill/>
                                <a:ln w="9525" cmpd="sng">
                                  <a:solidFill>
                                    <a:srgbClr val="000000"/>
                                  </a:solidFill>
                                  <a:round/>
                                  <a:tailEnd type="triangle" w="med" len="med"/>
                                </a:ln>
                              </wps:spPr>
                              <wps:bodyPr/>
                            </wps:wsp>
                            <wps:wsp>
                              <wps:cNvPr id="280" name="Text Box 124"/>
                              <wps:cNvSpPr txBox="1">
                                <a:spLocks noChangeArrowheads="1"/>
                              </wps:cNvSpPr>
                              <wps:spPr bwMode="auto">
                                <a:xfrm>
                                  <a:off x="1932" y="9672"/>
                                  <a:ext cx="2160" cy="468"/>
                                </a:xfrm>
                                <a:prstGeom prst="rect">
                                  <a:avLst/>
                                </a:prstGeom>
                                <a:solidFill>
                                  <a:srgbClr val="FFFFFF"/>
                                </a:solidFill>
                                <a:ln w="9525" cmpd="sng">
                                  <a:solidFill>
                                    <a:srgbClr val="000000"/>
                                  </a:solidFill>
                                  <a:miter lim="800000"/>
                                </a:ln>
                              </wps:spPr>
                              <wps:txbx>
                                <w:txbxContent>
                                  <w:p>
                                    <w:pPr>
                                      <w:jc w:val="center"/>
                                      <w:rPr>
                                        <w:sz w:val="24"/>
                                      </w:rPr>
                                    </w:pPr>
                                    <w:r>
                                      <w:rPr>
                                        <w:rFonts w:hint="eastAsia"/>
                                        <w:sz w:val="24"/>
                                      </w:rPr>
                                      <w:t>检验</w:t>
                                    </w:r>
                                  </w:p>
                                </w:txbxContent>
                              </wps:txbx>
                              <wps:bodyPr rot="0" vert="horz" wrap="square" lIns="91440" tIns="45720" rIns="91440" bIns="45720" anchor="t" anchorCtr="0" upright="1">
                                <a:noAutofit/>
                              </wps:bodyPr>
                            </wps:wsp>
                            <wps:wsp>
                              <wps:cNvPr id="281" name="Line 125"/>
                              <wps:cNvCnPr>
                                <a:cxnSpLocks noChangeShapeType="1"/>
                              </wps:cNvCnPr>
                              <wps:spPr bwMode="auto">
                                <a:xfrm>
                                  <a:off x="3012" y="10152"/>
                                  <a:ext cx="0" cy="454"/>
                                </a:xfrm>
                                <a:prstGeom prst="line">
                                  <a:avLst/>
                                </a:prstGeom>
                                <a:noFill/>
                                <a:ln w="9525" cmpd="sng">
                                  <a:solidFill>
                                    <a:srgbClr val="000000"/>
                                  </a:solidFill>
                                  <a:round/>
                                  <a:tailEnd type="triangle" w="med" len="med"/>
                                </a:ln>
                              </wps:spPr>
                              <wps:bodyPr/>
                            </wps:wsp>
                            <wps:wsp>
                              <wps:cNvPr id="282" name="Text Box 126"/>
                              <wps:cNvSpPr txBox="1">
                                <a:spLocks noChangeArrowheads="1"/>
                              </wps:cNvSpPr>
                              <wps:spPr bwMode="auto">
                                <a:xfrm>
                                  <a:off x="1932" y="10620"/>
                                  <a:ext cx="2160" cy="468"/>
                                </a:xfrm>
                                <a:prstGeom prst="rect">
                                  <a:avLst/>
                                </a:prstGeom>
                                <a:solidFill>
                                  <a:srgbClr val="FFFFFF"/>
                                </a:solidFill>
                                <a:ln>
                                  <a:noFill/>
                                </a:ln>
                              </wps:spPr>
                              <wps:txbx>
                                <w:txbxContent>
                                  <w:p>
                                    <w:pPr>
                                      <w:jc w:val="center"/>
                                      <w:rPr>
                                        <w:sz w:val="24"/>
                                      </w:rPr>
                                    </w:pPr>
                                    <w:r>
                                      <w:rPr>
                                        <w:rFonts w:hint="eastAsia"/>
                                        <w:sz w:val="24"/>
                                      </w:rPr>
                                      <w:t>送总装车间</w:t>
                                    </w:r>
                                  </w:p>
                                </w:txbxContent>
                              </wps:txbx>
                              <wps:bodyPr rot="0" vert="horz" wrap="square" lIns="91440" tIns="45720" rIns="91440" bIns="45720" anchor="t" anchorCtr="0" upright="1">
                                <a:noAutofit/>
                              </wps:bodyPr>
                            </wps:wsp>
                            <wps:wsp>
                              <wps:cNvPr id="283" name="Text Box 127"/>
                              <wps:cNvSpPr txBox="1">
                                <a:spLocks noChangeArrowheads="1"/>
                              </wps:cNvSpPr>
                              <wps:spPr bwMode="auto">
                                <a:xfrm>
                                  <a:off x="4176" y="1651"/>
                                  <a:ext cx="780" cy="624"/>
                                </a:xfrm>
                                <a:prstGeom prst="rect">
                                  <a:avLst/>
                                </a:prstGeom>
                                <a:noFill/>
                                <a:ln>
                                  <a:noFill/>
                                </a:ln>
                              </wps:spPr>
                              <wps:txbx>
                                <w:txbxContent>
                                  <w:p>
                                    <w:pPr>
                                      <w:jc w:val="center"/>
                                      <w:rPr>
                                        <w:sz w:val="22"/>
                                        <w:szCs w:val="22"/>
                                      </w:rPr>
                                    </w:pPr>
                                    <w:r>
                                      <w:rPr>
                                        <w:rFonts w:hint="eastAsia"/>
                                        <w:sz w:val="22"/>
                                        <w:szCs w:val="22"/>
                                      </w:rPr>
                                      <w:t>粉尘G2、G3</w:t>
                                    </w:r>
                                  </w:p>
                                </w:txbxContent>
                              </wps:txbx>
                              <wps:bodyPr rot="0" vert="horz" wrap="square" lIns="0" tIns="0" rIns="0" bIns="0" anchor="t" anchorCtr="0" upright="1">
                                <a:noAutofit/>
                              </wps:bodyPr>
                            </wps:wsp>
                            <wps:wsp>
                              <wps:cNvPr id="284" name="Text Box 128"/>
                              <wps:cNvSpPr txBox="1">
                                <a:spLocks noChangeArrowheads="1"/>
                              </wps:cNvSpPr>
                              <wps:spPr bwMode="auto">
                                <a:xfrm>
                                  <a:off x="3744" y="1423"/>
                                  <a:ext cx="816" cy="336"/>
                                </a:xfrm>
                                <a:prstGeom prst="rect">
                                  <a:avLst/>
                                </a:prstGeom>
                                <a:noFill/>
                                <a:ln>
                                  <a:noFill/>
                                </a:ln>
                              </wps:spPr>
                              <wps:txbx>
                                <w:txbxContent>
                                  <w:p>
                                    <w:pPr>
                                      <w:rPr>
                                        <w:sz w:val="24"/>
                                      </w:rPr>
                                    </w:pPr>
                                    <w:r>
                                      <w:rPr>
                                        <w:rFonts w:hint="eastAsia"/>
                                        <w:sz w:val="22"/>
                                        <w:szCs w:val="22"/>
                                      </w:rPr>
                                      <w:t>噪声N4</w:t>
                                    </w:r>
                                  </w:p>
                                </w:txbxContent>
                              </wps:txbx>
                              <wps:bodyPr rot="0" vert="horz" wrap="square" lIns="0" tIns="0" rIns="0" bIns="0" anchor="t" anchorCtr="0" upright="1">
                                <a:noAutofit/>
                              </wps:bodyPr>
                            </wps:wsp>
                            <wps:wsp>
                              <wps:cNvPr id="285" name="Line 129"/>
                              <wps:cNvCnPr>
                                <a:cxnSpLocks noChangeShapeType="1"/>
                              </wps:cNvCnPr>
                              <wps:spPr bwMode="auto">
                                <a:xfrm flipV="1">
                                  <a:off x="3420" y="1675"/>
                                  <a:ext cx="360" cy="312"/>
                                </a:xfrm>
                                <a:prstGeom prst="line">
                                  <a:avLst/>
                                </a:prstGeom>
                                <a:noFill/>
                                <a:ln w="9525" cmpd="sng">
                                  <a:solidFill>
                                    <a:srgbClr val="000000"/>
                                  </a:solidFill>
                                  <a:round/>
                                  <a:tailEnd type="triangle" w="med" len="med"/>
                                </a:ln>
                              </wps:spPr>
                              <wps:bodyPr/>
                            </wps:wsp>
                            <wps:wsp>
                              <wps:cNvPr id="286" name="Text Box 130"/>
                              <wps:cNvSpPr txBox="1">
                                <a:spLocks noChangeArrowheads="1"/>
                              </wps:cNvSpPr>
                              <wps:spPr bwMode="auto">
                                <a:xfrm>
                                  <a:off x="7632" y="1912"/>
                                  <a:ext cx="1428" cy="651"/>
                                </a:xfrm>
                                <a:prstGeom prst="rect">
                                  <a:avLst/>
                                </a:prstGeom>
                                <a:noFill/>
                                <a:ln>
                                  <a:noFill/>
                                </a:ln>
                              </wps:spPr>
                              <wps:txbx>
                                <w:txbxContent>
                                  <w:p>
                                    <w:pPr>
                                      <w:rPr>
                                        <w:sz w:val="22"/>
                                        <w:szCs w:val="22"/>
                                      </w:rPr>
                                    </w:pPr>
                                    <w:r>
                                      <w:rPr>
                                        <w:rFonts w:hint="eastAsia"/>
                                        <w:sz w:val="22"/>
                                        <w:szCs w:val="22"/>
                                      </w:rPr>
                                      <w:t>排气筒排放</w:t>
                                    </w:r>
                                  </w:p>
                                  <w:p>
                                    <w:pPr>
                                      <w:rPr>
                                        <w:sz w:val="24"/>
                                      </w:rPr>
                                    </w:pPr>
                                    <w:r>
                                      <w:rPr>
                                        <w:rFonts w:hint="eastAsia"/>
                                        <w:sz w:val="22"/>
                                        <w:szCs w:val="22"/>
                                      </w:rPr>
                                      <w:t>G2、G3</w:t>
                                    </w:r>
                                  </w:p>
                                </w:txbxContent>
                              </wps:txbx>
                              <wps:bodyPr rot="0" vert="horz" wrap="square" lIns="0" tIns="0" rIns="0" bIns="0" anchor="t" anchorCtr="0" upright="1">
                                <a:noAutofit/>
                              </wps:bodyPr>
                            </wps:wsp>
                            <wps:wsp>
                              <wps:cNvPr id="287" name="Line 131"/>
                              <wps:cNvCnPr>
                                <a:cxnSpLocks noChangeShapeType="1"/>
                              </wps:cNvCnPr>
                              <wps:spPr bwMode="auto">
                                <a:xfrm flipV="1">
                                  <a:off x="5832" y="1507"/>
                                  <a:ext cx="0" cy="397"/>
                                </a:xfrm>
                                <a:prstGeom prst="line">
                                  <a:avLst/>
                                </a:prstGeom>
                                <a:noFill/>
                                <a:ln w="9525" cmpd="sng">
                                  <a:solidFill>
                                    <a:srgbClr val="000000"/>
                                  </a:solidFill>
                                  <a:round/>
                                  <a:tailEnd type="triangle" w="med" len="med"/>
                                </a:ln>
                              </wps:spPr>
                              <wps:bodyPr/>
                            </wps:wsp>
                            <wps:wsp>
                              <wps:cNvPr id="288" name="Text Box 132"/>
                              <wps:cNvSpPr txBox="1">
                                <a:spLocks noChangeArrowheads="1"/>
                              </wps:cNvSpPr>
                              <wps:spPr bwMode="auto">
                                <a:xfrm>
                                  <a:off x="5388" y="1267"/>
                                  <a:ext cx="1417" cy="288"/>
                                </a:xfrm>
                                <a:prstGeom prst="rect">
                                  <a:avLst/>
                                </a:prstGeom>
                                <a:noFill/>
                                <a:ln>
                                  <a:noFill/>
                                </a:ln>
                              </wps:spPr>
                              <wps:txbx>
                                <w:txbxContent>
                                  <w:p>
                                    <w:pPr>
                                      <w:rPr>
                                        <w:sz w:val="24"/>
                                      </w:rPr>
                                    </w:pPr>
                                    <w:r>
                                      <w:rPr>
                                        <w:rFonts w:hint="eastAsia"/>
                                        <w:sz w:val="22"/>
                                        <w:szCs w:val="22"/>
                                      </w:rPr>
                                      <w:t>废渣S3</w:t>
                                    </w:r>
                                  </w:p>
                                </w:txbxContent>
                              </wps:txbx>
                              <wps:bodyPr rot="0" vert="horz" wrap="square" lIns="0" tIns="0" rIns="0" bIns="0" anchor="t" anchorCtr="0" upright="1">
                                <a:noAutofit/>
                              </wps:bodyPr>
                            </wps:wsp>
                            <wps:wsp>
                              <wps:cNvPr id="289" name="Line 133"/>
                              <wps:cNvCnPr>
                                <a:cxnSpLocks noChangeShapeType="1"/>
                              </wps:cNvCnPr>
                              <wps:spPr bwMode="auto">
                                <a:xfrm>
                                  <a:off x="1212" y="3199"/>
                                  <a:ext cx="720" cy="0"/>
                                </a:xfrm>
                                <a:prstGeom prst="line">
                                  <a:avLst/>
                                </a:prstGeom>
                                <a:noFill/>
                                <a:ln w="9525" cmpd="sng">
                                  <a:solidFill>
                                    <a:srgbClr val="000000"/>
                                  </a:solidFill>
                                  <a:round/>
                                  <a:tailEnd type="triangle" w="med" len="med"/>
                                </a:ln>
                              </wps:spPr>
                              <wps:bodyPr/>
                            </wps:wsp>
                            <wps:wsp>
                              <wps:cNvPr id="290" name="Text Box 134"/>
                              <wps:cNvSpPr txBox="1">
                                <a:spLocks noChangeArrowheads="1"/>
                              </wps:cNvSpPr>
                              <wps:spPr bwMode="auto">
                                <a:xfrm>
                                  <a:off x="384" y="3391"/>
                                  <a:ext cx="850" cy="340"/>
                                </a:xfrm>
                                <a:prstGeom prst="rect">
                                  <a:avLst/>
                                </a:prstGeom>
                                <a:solidFill>
                                  <a:srgbClr val="FFFFFF"/>
                                </a:solidFill>
                                <a:ln>
                                  <a:noFill/>
                                </a:ln>
                              </wps:spPr>
                              <wps:txbx>
                                <w:txbxContent>
                                  <w:p>
                                    <w:pPr>
                                      <w:jc w:val="center"/>
                                      <w:rPr>
                                        <w:sz w:val="24"/>
                                      </w:rPr>
                                    </w:pPr>
                                    <w:r>
                                      <w:rPr>
                                        <w:rFonts w:hint="eastAsia"/>
                                        <w:sz w:val="24"/>
                                      </w:rPr>
                                      <w:t>天然气</w:t>
                                    </w:r>
                                  </w:p>
                                </w:txbxContent>
                              </wps:txbx>
                              <wps:bodyPr rot="0" vert="horz" wrap="square" lIns="0" tIns="0" rIns="0" bIns="0" anchor="t" anchorCtr="0" upright="1">
                                <a:noAutofit/>
                              </wps:bodyPr>
                            </wps:wsp>
                            <wps:wsp>
                              <wps:cNvPr id="291" name="Line 135"/>
                              <wps:cNvCnPr>
                                <a:cxnSpLocks noChangeShapeType="1"/>
                              </wps:cNvCnPr>
                              <wps:spPr bwMode="auto">
                                <a:xfrm flipV="1">
                                  <a:off x="5700" y="2815"/>
                                  <a:ext cx="0" cy="283"/>
                                </a:xfrm>
                                <a:prstGeom prst="line">
                                  <a:avLst/>
                                </a:prstGeom>
                                <a:noFill/>
                                <a:ln w="9525" cmpd="sng">
                                  <a:solidFill>
                                    <a:srgbClr val="000000"/>
                                  </a:solidFill>
                                  <a:round/>
                                  <a:tailEnd type="triangle" w="med" len="med"/>
                                </a:ln>
                              </wps:spPr>
                              <wps:bodyPr/>
                            </wps:wsp>
                            <wps:wsp>
                              <wps:cNvPr id="292" name="Text Box 136"/>
                              <wps:cNvSpPr txBox="1">
                                <a:spLocks noChangeArrowheads="1"/>
                              </wps:cNvSpPr>
                              <wps:spPr bwMode="auto">
                                <a:xfrm>
                                  <a:off x="5256" y="2599"/>
                                  <a:ext cx="780" cy="348"/>
                                </a:xfrm>
                                <a:prstGeom prst="rect">
                                  <a:avLst/>
                                </a:prstGeom>
                                <a:noFill/>
                                <a:ln>
                                  <a:noFill/>
                                </a:ln>
                              </wps:spPr>
                              <wps:txbx>
                                <w:txbxContent>
                                  <w:p>
                                    <w:pPr>
                                      <w:rPr>
                                        <w:sz w:val="24"/>
                                      </w:rPr>
                                    </w:pPr>
                                    <w:r>
                                      <w:rPr>
                                        <w:rFonts w:hint="eastAsia"/>
                                        <w:sz w:val="22"/>
                                        <w:szCs w:val="22"/>
                                      </w:rPr>
                                      <w:t>固废S4</w:t>
                                    </w:r>
                                  </w:p>
                                </w:txbxContent>
                              </wps:txbx>
                              <wps:bodyPr rot="0" vert="horz" wrap="square" lIns="0" tIns="0" rIns="0" bIns="0" anchor="t" anchorCtr="0" upright="1">
                                <a:noAutofit/>
                              </wps:bodyPr>
                            </wps:wsp>
                            <wps:wsp>
                              <wps:cNvPr id="293" name="Text Box 137"/>
                              <wps:cNvSpPr txBox="1">
                                <a:spLocks noChangeArrowheads="1"/>
                              </wps:cNvSpPr>
                              <wps:spPr bwMode="auto">
                                <a:xfrm>
                                  <a:off x="7380" y="3031"/>
                                  <a:ext cx="1428" cy="651"/>
                                </a:xfrm>
                                <a:prstGeom prst="rect">
                                  <a:avLst/>
                                </a:prstGeom>
                                <a:noFill/>
                                <a:ln>
                                  <a:noFill/>
                                </a:ln>
                              </wps:spPr>
                              <wps:txbx>
                                <w:txbxContent>
                                  <w:p>
                                    <w:pPr>
                                      <w:rPr>
                                        <w:sz w:val="22"/>
                                        <w:szCs w:val="22"/>
                                      </w:rPr>
                                    </w:pPr>
                                    <w:r>
                                      <w:rPr>
                                        <w:rFonts w:hint="eastAsia"/>
                                        <w:sz w:val="22"/>
                                        <w:szCs w:val="22"/>
                                      </w:rPr>
                                      <w:t>排气筒排放</w:t>
                                    </w:r>
                                  </w:p>
                                  <w:p>
                                    <w:pPr>
                                      <w:rPr>
                                        <w:sz w:val="24"/>
                                      </w:rPr>
                                    </w:pPr>
                                    <w:r>
                                      <w:rPr>
                                        <w:rFonts w:hint="eastAsia"/>
                                        <w:sz w:val="22"/>
                                        <w:szCs w:val="22"/>
                                      </w:rPr>
                                      <w:t>G12~G19</w:t>
                                    </w:r>
                                  </w:p>
                                </w:txbxContent>
                              </wps:txbx>
                              <wps:bodyPr rot="0" vert="horz" wrap="square" lIns="0" tIns="0" rIns="0" bIns="0" anchor="t" anchorCtr="0" upright="1">
                                <a:noAutofit/>
                              </wps:bodyPr>
                            </wps:wsp>
                            <wps:wsp>
                              <wps:cNvPr id="294" name="Text Box 138"/>
                              <wps:cNvSpPr txBox="1">
                                <a:spLocks noChangeArrowheads="1"/>
                              </wps:cNvSpPr>
                              <wps:spPr bwMode="auto">
                                <a:xfrm>
                                  <a:off x="5172" y="5287"/>
                                  <a:ext cx="1368" cy="583"/>
                                </a:xfrm>
                                <a:prstGeom prst="rect">
                                  <a:avLst/>
                                </a:prstGeom>
                                <a:solidFill>
                                  <a:srgbClr val="FFFFFF"/>
                                </a:solidFill>
                                <a:ln w="9525" cmpd="sng">
                                  <a:solidFill>
                                    <a:srgbClr val="000000"/>
                                  </a:solidFill>
                                  <a:miter lim="800000"/>
                                </a:ln>
                              </wps:spPr>
                              <wps:txbx>
                                <w:txbxContent>
                                  <w:p>
                                    <w:pPr>
                                      <w:jc w:val="center"/>
                                      <w:rPr>
                                        <w:sz w:val="24"/>
                                      </w:rPr>
                                    </w:pPr>
                                    <w:r>
                                      <w:rPr>
                                        <w:rFonts w:hint="eastAsia"/>
                                      </w:rPr>
                                      <w:t>滤筒干式过滤除尘装置</w:t>
                                    </w:r>
                                  </w:p>
                                </w:txbxContent>
                              </wps:txbx>
                              <wps:bodyPr rot="0" vert="horz" wrap="square" lIns="0" tIns="0" rIns="0" bIns="0" anchor="t" anchorCtr="0" upright="1">
                                <a:noAutofit/>
                              </wps:bodyPr>
                            </wps:wsp>
                            <wps:wsp>
                              <wps:cNvPr id="295" name="Line 139"/>
                              <wps:cNvCnPr>
                                <a:cxnSpLocks noChangeShapeType="1"/>
                              </wps:cNvCnPr>
                              <wps:spPr bwMode="auto">
                                <a:xfrm flipV="1">
                                  <a:off x="5844" y="4874"/>
                                  <a:ext cx="0" cy="397"/>
                                </a:xfrm>
                                <a:prstGeom prst="line">
                                  <a:avLst/>
                                </a:prstGeom>
                                <a:noFill/>
                                <a:ln w="9525" cmpd="sng">
                                  <a:solidFill>
                                    <a:srgbClr val="000000"/>
                                  </a:solidFill>
                                  <a:round/>
                                  <a:tailEnd type="triangle" w="med" len="med"/>
                                </a:ln>
                              </wps:spPr>
                              <wps:bodyPr/>
                            </wps:wsp>
                            <wps:wsp>
                              <wps:cNvPr id="296" name="Text Box 140"/>
                              <wps:cNvSpPr txBox="1">
                                <a:spLocks noChangeArrowheads="1"/>
                              </wps:cNvSpPr>
                              <wps:spPr bwMode="auto">
                                <a:xfrm>
                                  <a:off x="5388" y="4658"/>
                                  <a:ext cx="1417" cy="288"/>
                                </a:xfrm>
                                <a:prstGeom prst="rect">
                                  <a:avLst/>
                                </a:prstGeom>
                                <a:noFill/>
                                <a:ln>
                                  <a:noFill/>
                                </a:ln>
                              </wps:spPr>
                              <wps:txbx>
                                <w:txbxContent>
                                  <w:p>
                                    <w:pPr>
                                      <w:rPr>
                                        <w:sz w:val="24"/>
                                      </w:rPr>
                                    </w:pPr>
                                    <w:r>
                                      <w:rPr>
                                        <w:rFonts w:hint="eastAsia"/>
                                        <w:sz w:val="22"/>
                                        <w:szCs w:val="22"/>
                                      </w:rPr>
                                      <w:t>废渣S5</w:t>
                                    </w:r>
                                  </w:p>
                                </w:txbxContent>
                              </wps:txbx>
                              <wps:bodyPr rot="0" vert="horz" wrap="square" lIns="0" tIns="0" rIns="0" bIns="0" anchor="t" anchorCtr="0" upright="1">
                                <a:noAutofit/>
                              </wps:bodyPr>
                            </wps:wsp>
                            <wps:wsp>
                              <wps:cNvPr id="297" name="Text Box 141"/>
                              <wps:cNvSpPr txBox="1">
                                <a:spLocks noChangeArrowheads="1"/>
                              </wps:cNvSpPr>
                              <wps:spPr bwMode="auto">
                                <a:xfrm>
                                  <a:off x="4056" y="5035"/>
                                  <a:ext cx="1056" cy="660"/>
                                </a:xfrm>
                                <a:prstGeom prst="rect">
                                  <a:avLst/>
                                </a:prstGeom>
                                <a:noFill/>
                                <a:ln>
                                  <a:noFill/>
                                </a:ln>
                              </wps:spPr>
                              <wps:txbx>
                                <w:txbxContent>
                                  <w:p>
                                    <w:pPr>
                                      <w:spacing w:line="240" w:lineRule="atLeast"/>
                                      <w:jc w:val="center"/>
                                      <w:rPr>
                                        <w:sz w:val="22"/>
                                        <w:szCs w:val="22"/>
                                      </w:rPr>
                                    </w:pPr>
                                    <w:r>
                                      <w:rPr>
                                        <w:rFonts w:hint="eastAsia"/>
                                        <w:sz w:val="22"/>
                                        <w:szCs w:val="22"/>
                                      </w:rPr>
                                      <w:t>粉尘</w:t>
                                    </w:r>
                                  </w:p>
                                  <w:p>
                                    <w:pPr>
                                      <w:spacing w:line="240" w:lineRule="atLeast"/>
                                      <w:jc w:val="center"/>
                                      <w:rPr>
                                        <w:sz w:val="22"/>
                                        <w:szCs w:val="22"/>
                                      </w:rPr>
                                    </w:pPr>
                                    <w:r>
                                      <w:rPr>
                                        <w:rFonts w:hint="eastAsia"/>
                                        <w:sz w:val="22"/>
                                        <w:szCs w:val="22"/>
                                      </w:rPr>
                                      <w:t>G4～G11</w:t>
                                    </w:r>
                                  </w:p>
                                </w:txbxContent>
                              </wps:txbx>
                              <wps:bodyPr rot="0" vert="horz" wrap="square" lIns="0" tIns="0" rIns="0" bIns="0" anchor="t" anchorCtr="0" upright="1">
                                <a:noAutofit/>
                              </wps:bodyPr>
                            </wps:wsp>
                            <wps:wsp>
                              <wps:cNvPr id="298" name="Line 142"/>
                              <wps:cNvCnPr>
                                <a:cxnSpLocks noChangeShapeType="1"/>
                              </wps:cNvCnPr>
                              <wps:spPr bwMode="auto">
                                <a:xfrm>
                                  <a:off x="6552" y="5599"/>
                                  <a:ext cx="1020" cy="0"/>
                                </a:xfrm>
                                <a:prstGeom prst="line">
                                  <a:avLst/>
                                </a:prstGeom>
                                <a:noFill/>
                                <a:ln w="9525" cmpd="sng">
                                  <a:solidFill>
                                    <a:srgbClr val="000000"/>
                                  </a:solidFill>
                                  <a:round/>
                                  <a:tailEnd type="triangle" w="med" len="med"/>
                                </a:ln>
                              </wps:spPr>
                              <wps:bodyPr/>
                            </wps:wsp>
                            <wps:wsp>
                              <wps:cNvPr id="299" name="Text Box 143"/>
                              <wps:cNvSpPr txBox="1">
                                <a:spLocks noChangeArrowheads="1"/>
                              </wps:cNvSpPr>
                              <wps:spPr bwMode="auto">
                                <a:xfrm>
                                  <a:off x="7608" y="5275"/>
                                  <a:ext cx="1428" cy="651"/>
                                </a:xfrm>
                                <a:prstGeom prst="rect">
                                  <a:avLst/>
                                </a:prstGeom>
                                <a:noFill/>
                                <a:ln>
                                  <a:noFill/>
                                </a:ln>
                              </wps:spPr>
                              <wps:txbx>
                                <w:txbxContent>
                                  <w:p>
                                    <w:pPr>
                                      <w:rPr>
                                        <w:sz w:val="22"/>
                                        <w:szCs w:val="22"/>
                                      </w:rPr>
                                    </w:pPr>
                                    <w:r>
                                      <w:rPr>
                                        <w:rFonts w:hint="eastAsia"/>
                                        <w:sz w:val="22"/>
                                        <w:szCs w:val="22"/>
                                      </w:rPr>
                                      <w:t>排气筒排放</w:t>
                                    </w:r>
                                  </w:p>
                                  <w:p>
                                    <w:pPr>
                                      <w:rPr>
                                        <w:sz w:val="24"/>
                                      </w:rPr>
                                    </w:pPr>
                                    <w:r>
                                      <w:rPr>
                                        <w:rFonts w:hint="eastAsia"/>
                                        <w:sz w:val="22"/>
                                        <w:szCs w:val="22"/>
                                      </w:rPr>
                                      <w:t>G4～G11</w:t>
                                    </w:r>
                                  </w:p>
                                </w:txbxContent>
                              </wps:txbx>
                              <wps:bodyPr rot="0" vert="horz" wrap="square" lIns="0" tIns="0" rIns="0" bIns="0" anchor="t" anchorCtr="0" upright="1">
                                <a:noAutofit/>
                              </wps:bodyPr>
                            </wps:wsp>
                            <wps:wsp>
                              <wps:cNvPr id="300" name="Text Box 144"/>
                              <wps:cNvSpPr txBox="1">
                                <a:spLocks noChangeArrowheads="1"/>
                              </wps:cNvSpPr>
                              <wps:spPr bwMode="auto">
                                <a:xfrm>
                                  <a:off x="6516" y="5035"/>
                                  <a:ext cx="1056" cy="660"/>
                                </a:xfrm>
                                <a:prstGeom prst="rect">
                                  <a:avLst/>
                                </a:prstGeom>
                                <a:noFill/>
                                <a:ln>
                                  <a:noFill/>
                                </a:ln>
                              </wps:spPr>
                              <wps:txbx>
                                <w:txbxContent>
                                  <w:p>
                                    <w:pPr>
                                      <w:spacing w:line="240" w:lineRule="atLeast"/>
                                      <w:jc w:val="center"/>
                                      <w:rPr>
                                        <w:sz w:val="22"/>
                                        <w:szCs w:val="22"/>
                                      </w:rPr>
                                    </w:pPr>
                                    <w:r>
                                      <w:rPr>
                                        <w:rFonts w:hint="eastAsia"/>
                                        <w:sz w:val="22"/>
                                        <w:szCs w:val="22"/>
                                      </w:rPr>
                                      <w:t>粉尘</w:t>
                                    </w:r>
                                  </w:p>
                                  <w:p>
                                    <w:pPr>
                                      <w:spacing w:line="240" w:lineRule="atLeast"/>
                                      <w:jc w:val="center"/>
                                      <w:rPr>
                                        <w:sz w:val="22"/>
                                        <w:szCs w:val="22"/>
                                      </w:rPr>
                                    </w:pPr>
                                    <w:r>
                                      <w:rPr>
                                        <w:rFonts w:hint="eastAsia"/>
                                        <w:sz w:val="22"/>
                                        <w:szCs w:val="22"/>
                                      </w:rPr>
                                      <w:t>G4～G11</w:t>
                                    </w:r>
                                  </w:p>
                                </w:txbxContent>
                              </wps:txbx>
                              <wps:bodyPr rot="0" vert="horz" wrap="square" lIns="0" tIns="0" rIns="0" bIns="0" anchor="t" anchorCtr="0" upright="1">
                                <a:noAutofit/>
                              </wps:bodyPr>
                            </wps:wsp>
                            <wps:wsp>
                              <wps:cNvPr id="301" name="Text Box 145"/>
                              <wps:cNvSpPr txBox="1">
                                <a:spLocks noChangeArrowheads="1"/>
                              </wps:cNvSpPr>
                              <wps:spPr bwMode="auto">
                                <a:xfrm>
                                  <a:off x="4092" y="2731"/>
                                  <a:ext cx="1080" cy="624"/>
                                </a:xfrm>
                                <a:prstGeom prst="rect">
                                  <a:avLst/>
                                </a:prstGeom>
                                <a:noFill/>
                                <a:ln>
                                  <a:noFill/>
                                </a:ln>
                              </wps:spPr>
                              <wps:txbx>
                                <w:txbxContent>
                                  <w:p>
                                    <w:pPr>
                                      <w:jc w:val="center"/>
                                      <w:rPr>
                                        <w:sz w:val="22"/>
                                        <w:szCs w:val="22"/>
                                      </w:rPr>
                                    </w:pPr>
                                    <w:r>
                                      <w:rPr>
                                        <w:rFonts w:hint="eastAsia"/>
                                        <w:sz w:val="22"/>
                                        <w:szCs w:val="22"/>
                                      </w:rPr>
                                      <w:t>有机废气G12～G19</w:t>
                                    </w:r>
                                  </w:p>
                                </w:txbxContent>
                              </wps:txbx>
                              <wps:bodyPr rot="0" vert="horz" wrap="square" lIns="0" tIns="0" rIns="0" bIns="0" anchor="t" anchorCtr="0" upright="1">
                                <a:noAutofit/>
                              </wps:bodyPr>
                            </wps:wsp>
                            <wps:wsp>
                              <wps:cNvPr id="302" name="Text Box 146"/>
                              <wps:cNvSpPr txBox="1">
                                <a:spLocks noChangeArrowheads="1"/>
                              </wps:cNvSpPr>
                              <wps:spPr bwMode="auto">
                                <a:xfrm>
                                  <a:off x="6348" y="2803"/>
                                  <a:ext cx="1080" cy="624"/>
                                </a:xfrm>
                                <a:prstGeom prst="rect">
                                  <a:avLst/>
                                </a:prstGeom>
                                <a:noFill/>
                                <a:ln>
                                  <a:noFill/>
                                </a:ln>
                              </wps:spPr>
                              <wps:txbx>
                                <w:txbxContent>
                                  <w:p>
                                    <w:pPr>
                                      <w:jc w:val="center"/>
                                      <w:rPr>
                                        <w:sz w:val="22"/>
                                        <w:szCs w:val="22"/>
                                      </w:rPr>
                                    </w:pPr>
                                    <w:r>
                                      <w:rPr>
                                        <w:rFonts w:hint="eastAsia"/>
                                        <w:sz w:val="22"/>
                                        <w:szCs w:val="22"/>
                                      </w:rPr>
                                      <w:t>有机废气G12～G18</w:t>
                                    </w:r>
                                  </w:p>
                                </w:txbxContent>
                              </wps:txbx>
                              <wps:bodyPr rot="0" vert="horz" wrap="square" lIns="0" tIns="0" rIns="0" bIns="0" anchor="t" anchorCtr="0" upright="1">
                                <a:noAutofit/>
                              </wps:bodyPr>
                            </wps:wsp>
                            <wps:wsp>
                              <wps:cNvPr id="303" name="Text Box 147"/>
                              <wps:cNvSpPr txBox="1">
                                <a:spLocks noChangeArrowheads="1"/>
                              </wps:cNvSpPr>
                              <wps:spPr bwMode="auto">
                                <a:xfrm>
                                  <a:off x="0" y="6367"/>
                                  <a:ext cx="1318" cy="400"/>
                                </a:xfrm>
                                <a:prstGeom prst="rect">
                                  <a:avLst/>
                                </a:prstGeom>
                                <a:solidFill>
                                  <a:srgbClr val="FFFFFF"/>
                                </a:solidFill>
                                <a:ln>
                                  <a:noFill/>
                                </a:ln>
                              </wps:spPr>
                              <wps:txbx>
                                <w:txbxContent>
                                  <w:p>
                                    <w:pPr>
                                      <w:jc w:val="center"/>
                                      <w:rPr>
                                        <w:sz w:val="24"/>
                                      </w:rPr>
                                    </w:pPr>
                                    <w:r>
                                      <w:rPr>
                                        <w:rFonts w:hint="eastAsia"/>
                                        <w:sz w:val="24"/>
                                      </w:rPr>
                                      <w:t>中间层涂料</w:t>
                                    </w:r>
                                  </w:p>
                                </w:txbxContent>
                              </wps:txbx>
                              <wps:bodyPr rot="0" vert="horz" wrap="square" lIns="0" tIns="0" rIns="0" bIns="0" anchor="t" anchorCtr="0" upright="1">
                                <a:noAutofit/>
                              </wps:bodyPr>
                            </wps:wsp>
                            <wps:wsp>
                              <wps:cNvPr id="304" name="Line 148"/>
                              <wps:cNvCnPr>
                                <a:cxnSpLocks noChangeShapeType="1"/>
                              </wps:cNvCnPr>
                              <wps:spPr bwMode="auto">
                                <a:xfrm>
                                  <a:off x="1212" y="6876"/>
                                  <a:ext cx="720" cy="0"/>
                                </a:xfrm>
                                <a:prstGeom prst="line">
                                  <a:avLst/>
                                </a:prstGeom>
                                <a:noFill/>
                                <a:ln w="9525" cmpd="sng">
                                  <a:solidFill>
                                    <a:srgbClr val="000000"/>
                                  </a:solidFill>
                                  <a:round/>
                                  <a:tailEnd type="triangle" w="med" len="med"/>
                                </a:ln>
                              </wps:spPr>
                              <wps:bodyPr/>
                            </wps:wsp>
                            <wps:wsp>
                              <wps:cNvPr id="305" name="Line 149"/>
                              <wps:cNvCnPr>
                                <a:cxnSpLocks noChangeShapeType="1"/>
                              </wps:cNvCnPr>
                              <wps:spPr bwMode="auto">
                                <a:xfrm>
                                  <a:off x="1212" y="6547"/>
                                  <a:ext cx="720" cy="0"/>
                                </a:xfrm>
                                <a:prstGeom prst="line">
                                  <a:avLst/>
                                </a:prstGeom>
                                <a:noFill/>
                                <a:ln w="9525" cmpd="sng">
                                  <a:solidFill>
                                    <a:srgbClr val="000000"/>
                                  </a:solidFill>
                                  <a:round/>
                                  <a:tailEnd type="triangle" w="med" len="med"/>
                                </a:ln>
                              </wps:spPr>
                              <wps:bodyPr/>
                            </wps:wsp>
                            <wps:wsp>
                              <wps:cNvPr id="306" name="Text Box 150"/>
                              <wps:cNvSpPr txBox="1">
                                <a:spLocks noChangeArrowheads="1"/>
                              </wps:cNvSpPr>
                              <wps:spPr bwMode="auto">
                                <a:xfrm>
                                  <a:off x="420" y="6739"/>
                                  <a:ext cx="850" cy="340"/>
                                </a:xfrm>
                                <a:prstGeom prst="rect">
                                  <a:avLst/>
                                </a:prstGeom>
                                <a:solidFill>
                                  <a:srgbClr val="FFFFFF"/>
                                </a:solidFill>
                                <a:ln>
                                  <a:noFill/>
                                </a:ln>
                              </wps:spPr>
                              <wps:txbx>
                                <w:txbxContent>
                                  <w:p>
                                    <w:pPr>
                                      <w:jc w:val="center"/>
                                      <w:rPr>
                                        <w:sz w:val="24"/>
                                      </w:rPr>
                                    </w:pPr>
                                    <w:r>
                                      <w:rPr>
                                        <w:rFonts w:hint="eastAsia"/>
                                        <w:sz w:val="24"/>
                                      </w:rPr>
                                      <w:t>天然气</w:t>
                                    </w:r>
                                  </w:p>
                                </w:txbxContent>
                              </wps:txbx>
                              <wps:bodyPr rot="0" vert="horz" wrap="square" lIns="0" tIns="0" rIns="0" bIns="0" anchor="t" anchorCtr="0" upright="1">
                                <a:noAutofit/>
                              </wps:bodyPr>
                            </wps:wsp>
                            <wps:wsp>
                              <wps:cNvPr id="307" name="Line 151"/>
                              <wps:cNvCnPr>
                                <a:cxnSpLocks noChangeShapeType="1"/>
                              </wps:cNvCnPr>
                              <wps:spPr bwMode="auto">
                                <a:xfrm>
                                  <a:off x="4104" y="6679"/>
                                  <a:ext cx="1020" cy="0"/>
                                </a:xfrm>
                                <a:prstGeom prst="line">
                                  <a:avLst/>
                                </a:prstGeom>
                                <a:noFill/>
                                <a:ln w="9525" cmpd="sng">
                                  <a:solidFill>
                                    <a:srgbClr val="000000"/>
                                  </a:solidFill>
                                  <a:round/>
                                  <a:tailEnd type="triangle" w="med" len="med"/>
                                </a:ln>
                              </wps:spPr>
                              <wps:bodyPr/>
                            </wps:wsp>
                            <wps:wsp>
                              <wps:cNvPr id="308" name="Text Box 152"/>
                              <wps:cNvSpPr txBox="1">
                                <a:spLocks noChangeArrowheads="1"/>
                              </wps:cNvSpPr>
                              <wps:spPr bwMode="auto">
                                <a:xfrm>
                                  <a:off x="5148" y="6415"/>
                                  <a:ext cx="1260" cy="715"/>
                                </a:xfrm>
                                <a:prstGeom prst="rect">
                                  <a:avLst/>
                                </a:prstGeom>
                                <a:solidFill>
                                  <a:srgbClr val="FFFFFF"/>
                                </a:solidFill>
                                <a:ln w="9525" cmpd="sng">
                                  <a:solidFill>
                                    <a:srgbClr val="000000"/>
                                  </a:solidFill>
                                  <a:miter lim="800000"/>
                                </a:ln>
                              </wps:spPr>
                              <wps:txbx>
                                <w:txbxContent>
                                  <w:p>
                                    <w:pPr>
                                      <w:jc w:val="center"/>
                                      <w:rPr>
                                        <w:sz w:val="22"/>
                                        <w:szCs w:val="22"/>
                                      </w:rPr>
                                    </w:pPr>
                                    <w:r>
                                      <w:rPr>
                                        <w:rFonts w:hint="eastAsia"/>
                                        <w:sz w:val="22"/>
                                        <w:szCs w:val="22"/>
                                      </w:rPr>
                                      <w:t>过滤棉、活性炭吸附</w:t>
                                    </w:r>
                                  </w:p>
                                </w:txbxContent>
                              </wps:txbx>
                              <wps:bodyPr rot="0" vert="horz" wrap="square" lIns="18000" tIns="45720" rIns="18000" bIns="45720" anchor="t" anchorCtr="0" upright="1">
                                <a:noAutofit/>
                              </wps:bodyPr>
                            </wps:wsp>
                            <wps:wsp>
                              <wps:cNvPr id="309" name="Line 153"/>
                              <wps:cNvCnPr>
                                <a:cxnSpLocks noChangeShapeType="1"/>
                              </wps:cNvCnPr>
                              <wps:spPr bwMode="auto">
                                <a:xfrm>
                                  <a:off x="6420" y="6703"/>
                                  <a:ext cx="1020" cy="0"/>
                                </a:xfrm>
                                <a:prstGeom prst="line">
                                  <a:avLst/>
                                </a:prstGeom>
                                <a:noFill/>
                                <a:ln w="9525" cmpd="sng">
                                  <a:solidFill>
                                    <a:srgbClr val="000000"/>
                                  </a:solidFill>
                                  <a:round/>
                                  <a:tailEnd type="triangle" w="med" len="med"/>
                                </a:ln>
                              </wps:spPr>
                              <wps:bodyPr/>
                            </wps:wsp>
                            <wps:wsp>
                              <wps:cNvPr id="310" name="Line 154"/>
                              <wps:cNvCnPr>
                                <a:cxnSpLocks noChangeShapeType="1"/>
                              </wps:cNvCnPr>
                              <wps:spPr bwMode="auto">
                                <a:xfrm flipV="1">
                                  <a:off x="5712" y="6146"/>
                                  <a:ext cx="0" cy="283"/>
                                </a:xfrm>
                                <a:prstGeom prst="line">
                                  <a:avLst/>
                                </a:prstGeom>
                                <a:noFill/>
                                <a:ln w="9525" cmpd="sng">
                                  <a:solidFill>
                                    <a:srgbClr val="000000"/>
                                  </a:solidFill>
                                  <a:round/>
                                  <a:tailEnd type="triangle" w="med" len="med"/>
                                </a:ln>
                              </wps:spPr>
                              <wps:bodyPr/>
                            </wps:wsp>
                            <wps:wsp>
                              <wps:cNvPr id="311" name="Text Box 155"/>
                              <wps:cNvSpPr txBox="1">
                                <a:spLocks noChangeArrowheads="1"/>
                              </wps:cNvSpPr>
                              <wps:spPr bwMode="auto">
                                <a:xfrm>
                                  <a:off x="5256" y="5942"/>
                                  <a:ext cx="780" cy="348"/>
                                </a:xfrm>
                                <a:prstGeom prst="rect">
                                  <a:avLst/>
                                </a:prstGeom>
                                <a:noFill/>
                                <a:ln>
                                  <a:noFill/>
                                </a:ln>
                              </wps:spPr>
                              <wps:txbx>
                                <w:txbxContent>
                                  <w:p>
                                    <w:pPr>
                                      <w:rPr>
                                        <w:sz w:val="24"/>
                                      </w:rPr>
                                    </w:pPr>
                                    <w:r>
                                      <w:rPr>
                                        <w:rFonts w:hint="eastAsia"/>
                                        <w:sz w:val="22"/>
                                        <w:szCs w:val="22"/>
                                      </w:rPr>
                                      <w:t>固废S6</w:t>
                                    </w:r>
                                  </w:p>
                                </w:txbxContent>
                              </wps:txbx>
                              <wps:bodyPr rot="0" vert="horz" wrap="square" lIns="0" tIns="0" rIns="0" bIns="0" anchor="t" anchorCtr="0" upright="1">
                                <a:noAutofit/>
                              </wps:bodyPr>
                            </wps:wsp>
                            <wps:wsp>
                              <wps:cNvPr id="312" name="Text Box 156"/>
                              <wps:cNvSpPr txBox="1">
                                <a:spLocks noChangeArrowheads="1"/>
                              </wps:cNvSpPr>
                              <wps:spPr bwMode="auto">
                                <a:xfrm>
                                  <a:off x="7392" y="6362"/>
                                  <a:ext cx="1428" cy="651"/>
                                </a:xfrm>
                                <a:prstGeom prst="rect">
                                  <a:avLst/>
                                </a:prstGeom>
                                <a:noFill/>
                                <a:ln>
                                  <a:noFill/>
                                </a:ln>
                              </wps:spPr>
                              <wps:txbx>
                                <w:txbxContent>
                                  <w:p>
                                    <w:pPr>
                                      <w:rPr>
                                        <w:sz w:val="22"/>
                                        <w:szCs w:val="22"/>
                                      </w:rPr>
                                    </w:pPr>
                                    <w:r>
                                      <w:rPr>
                                        <w:rFonts w:hint="eastAsia"/>
                                        <w:sz w:val="22"/>
                                        <w:szCs w:val="22"/>
                                      </w:rPr>
                                      <w:t>排气筒排放</w:t>
                                    </w:r>
                                  </w:p>
                                  <w:p>
                                    <w:pPr>
                                      <w:rPr>
                                        <w:sz w:val="24"/>
                                      </w:rPr>
                                    </w:pPr>
                                    <w:r>
                                      <w:rPr>
                                        <w:rFonts w:hint="eastAsia"/>
                                        <w:sz w:val="22"/>
                                        <w:szCs w:val="22"/>
                                      </w:rPr>
                                      <w:t>G12~G19</w:t>
                                    </w:r>
                                  </w:p>
                                </w:txbxContent>
                              </wps:txbx>
                              <wps:bodyPr rot="0" vert="horz" wrap="square" lIns="0" tIns="0" rIns="0" bIns="0" anchor="t" anchorCtr="0" upright="1">
                                <a:noAutofit/>
                              </wps:bodyPr>
                            </wps:wsp>
                            <wps:wsp>
                              <wps:cNvPr id="313" name="Text Box 157"/>
                              <wps:cNvSpPr txBox="1">
                                <a:spLocks noChangeArrowheads="1"/>
                              </wps:cNvSpPr>
                              <wps:spPr bwMode="auto">
                                <a:xfrm>
                                  <a:off x="4104" y="6062"/>
                                  <a:ext cx="1080" cy="624"/>
                                </a:xfrm>
                                <a:prstGeom prst="rect">
                                  <a:avLst/>
                                </a:prstGeom>
                                <a:noFill/>
                                <a:ln>
                                  <a:noFill/>
                                </a:ln>
                              </wps:spPr>
                              <wps:txbx>
                                <w:txbxContent>
                                  <w:p>
                                    <w:pPr>
                                      <w:jc w:val="center"/>
                                      <w:rPr>
                                        <w:sz w:val="22"/>
                                        <w:szCs w:val="22"/>
                                      </w:rPr>
                                    </w:pPr>
                                    <w:r>
                                      <w:rPr>
                                        <w:rFonts w:hint="eastAsia"/>
                                        <w:sz w:val="22"/>
                                        <w:szCs w:val="22"/>
                                      </w:rPr>
                                      <w:t>有机废气G12～G19</w:t>
                                    </w:r>
                                  </w:p>
                                </w:txbxContent>
                              </wps:txbx>
                              <wps:bodyPr rot="0" vert="horz" wrap="square" lIns="0" tIns="0" rIns="0" bIns="0" anchor="t" anchorCtr="0" upright="1">
                                <a:noAutofit/>
                              </wps:bodyPr>
                            </wps:wsp>
                            <wps:wsp>
                              <wps:cNvPr id="314" name="Text Box 158"/>
                              <wps:cNvSpPr txBox="1">
                                <a:spLocks noChangeArrowheads="1"/>
                              </wps:cNvSpPr>
                              <wps:spPr bwMode="auto">
                                <a:xfrm>
                                  <a:off x="6360" y="6134"/>
                                  <a:ext cx="1080" cy="624"/>
                                </a:xfrm>
                                <a:prstGeom prst="rect">
                                  <a:avLst/>
                                </a:prstGeom>
                                <a:noFill/>
                                <a:ln>
                                  <a:noFill/>
                                </a:ln>
                              </wps:spPr>
                              <wps:txbx>
                                <w:txbxContent>
                                  <w:p>
                                    <w:pPr>
                                      <w:jc w:val="center"/>
                                      <w:rPr>
                                        <w:sz w:val="22"/>
                                        <w:szCs w:val="22"/>
                                      </w:rPr>
                                    </w:pPr>
                                    <w:r>
                                      <w:rPr>
                                        <w:rFonts w:hint="eastAsia"/>
                                        <w:sz w:val="22"/>
                                        <w:szCs w:val="22"/>
                                      </w:rPr>
                                      <w:t>有机废气G12～G19</w:t>
                                    </w:r>
                                  </w:p>
                                </w:txbxContent>
                              </wps:txbx>
                              <wps:bodyPr rot="0" vert="horz" wrap="square" lIns="0" tIns="0" rIns="0" bIns="0" anchor="t" anchorCtr="0" upright="1">
                                <a:noAutofit/>
                              </wps:bodyPr>
                            </wps:wsp>
                            <wps:wsp>
                              <wps:cNvPr id="315" name="Text Box 159"/>
                              <wps:cNvSpPr txBox="1">
                                <a:spLocks noChangeArrowheads="1"/>
                              </wps:cNvSpPr>
                              <wps:spPr bwMode="auto">
                                <a:xfrm>
                                  <a:off x="5232" y="7507"/>
                                  <a:ext cx="1368" cy="583"/>
                                </a:xfrm>
                                <a:prstGeom prst="rect">
                                  <a:avLst/>
                                </a:prstGeom>
                                <a:solidFill>
                                  <a:srgbClr val="FFFFFF"/>
                                </a:solidFill>
                                <a:ln w="9525" cmpd="sng">
                                  <a:solidFill>
                                    <a:srgbClr val="000000"/>
                                  </a:solidFill>
                                  <a:miter lim="800000"/>
                                </a:ln>
                              </wps:spPr>
                              <wps:txbx>
                                <w:txbxContent>
                                  <w:p>
                                    <w:pPr>
                                      <w:jc w:val="center"/>
                                      <w:rPr>
                                        <w:sz w:val="24"/>
                                      </w:rPr>
                                    </w:pPr>
                                    <w:r>
                                      <w:rPr>
                                        <w:rFonts w:hint="eastAsia"/>
                                      </w:rPr>
                                      <w:t>滤筒干式过滤除尘装置</w:t>
                                    </w:r>
                                  </w:p>
                                </w:txbxContent>
                              </wps:txbx>
                              <wps:bodyPr rot="0" vert="horz" wrap="square" lIns="0" tIns="0" rIns="0" bIns="0" anchor="t" anchorCtr="0" upright="1">
                                <a:noAutofit/>
                              </wps:bodyPr>
                            </wps:wsp>
                            <wps:wsp>
                              <wps:cNvPr id="316" name="Line 160"/>
                              <wps:cNvCnPr>
                                <a:cxnSpLocks noChangeShapeType="1"/>
                              </wps:cNvCnPr>
                              <wps:spPr bwMode="auto">
                                <a:xfrm flipV="1">
                                  <a:off x="5904" y="8083"/>
                                  <a:ext cx="0" cy="283"/>
                                </a:xfrm>
                                <a:prstGeom prst="line">
                                  <a:avLst/>
                                </a:prstGeom>
                                <a:noFill/>
                                <a:ln w="9525" cmpd="sng">
                                  <a:solidFill>
                                    <a:srgbClr val="000000"/>
                                  </a:solidFill>
                                  <a:round/>
                                  <a:headEnd type="triangle" w="med" len="med"/>
                                </a:ln>
                              </wps:spPr>
                              <wps:bodyPr/>
                            </wps:wsp>
                            <wps:wsp>
                              <wps:cNvPr id="317" name="Text Box 161"/>
                              <wps:cNvSpPr txBox="1">
                                <a:spLocks noChangeArrowheads="1"/>
                              </wps:cNvSpPr>
                              <wps:spPr bwMode="auto">
                                <a:xfrm>
                                  <a:off x="5472" y="8251"/>
                                  <a:ext cx="804" cy="348"/>
                                </a:xfrm>
                                <a:prstGeom prst="rect">
                                  <a:avLst/>
                                </a:prstGeom>
                                <a:noFill/>
                                <a:ln>
                                  <a:noFill/>
                                </a:ln>
                              </wps:spPr>
                              <wps:txbx>
                                <w:txbxContent>
                                  <w:p>
                                    <w:pPr>
                                      <w:rPr>
                                        <w:sz w:val="24"/>
                                      </w:rPr>
                                    </w:pPr>
                                    <w:r>
                                      <w:rPr>
                                        <w:rFonts w:hint="eastAsia"/>
                                        <w:sz w:val="22"/>
                                        <w:szCs w:val="22"/>
                                      </w:rPr>
                                      <w:t>废渣S7</w:t>
                                    </w:r>
                                  </w:p>
                                </w:txbxContent>
                              </wps:txbx>
                              <wps:bodyPr rot="0" vert="horz" wrap="square" lIns="0" tIns="0" rIns="0" bIns="0" anchor="t" anchorCtr="0" upright="1">
                                <a:noAutofit/>
                              </wps:bodyPr>
                            </wps:wsp>
                            <wps:wsp>
                              <wps:cNvPr id="318" name="Text Box 162"/>
                              <wps:cNvSpPr txBox="1">
                                <a:spLocks noChangeArrowheads="1"/>
                              </wps:cNvSpPr>
                              <wps:spPr bwMode="auto">
                                <a:xfrm>
                                  <a:off x="4116" y="7255"/>
                                  <a:ext cx="1056" cy="660"/>
                                </a:xfrm>
                                <a:prstGeom prst="rect">
                                  <a:avLst/>
                                </a:prstGeom>
                                <a:noFill/>
                                <a:ln>
                                  <a:noFill/>
                                </a:ln>
                              </wps:spPr>
                              <wps:txbx>
                                <w:txbxContent>
                                  <w:p>
                                    <w:pPr>
                                      <w:spacing w:line="240" w:lineRule="atLeast"/>
                                      <w:jc w:val="center"/>
                                      <w:rPr>
                                        <w:sz w:val="22"/>
                                        <w:szCs w:val="22"/>
                                      </w:rPr>
                                    </w:pPr>
                                    <w:r>
                                      <w:rPr>
                                        <w:rFonts w:hint="eastAsia"/>
                                        <w:sz w:val="22"/>
                                        <w:szCs w:val="22"/>
                                      </w:rPr>
                                      <w:t>粉尘</w:t>
                                    </w:r>
                                  </w:p>
                                  <w:p>
                                    <w:pPr>
                                      <w:spacing w:line="240" w:lineRule="atLeast"/>
                                      <w:jc w:val="center"/>
                                      <w:rPr>
                                        <w:sz w:val="22"/>
                                        <w:szCs w:val="22"/>
                                      </w:rPr>
                                    </w:pPr>
                                    <w:r>
                                      <w:rPr>
                                        <w:rFonts w:hint="eastAsia"/>
                                        <w:sz w:val="22"/>
                                        <w:szCs w:val="22"/>
                                      </w:rPr>
                                      <w:t>G4～G11</w:t>
                                    </w:r>
                                  </w:p>
                                </w:txbxContent>
                              </wps:txbx>
                              <wps:bodyPr rot="0" vert="horz" wrap="square" lIns="0" tIns="0" rIns="0" bIns="0" anchor="t" anchorCtr="0" upright="1">
                                <a:noAutofit/>
                              </wps:bodyPr>
                            </wps:wsp>
                            <wps:wsp>
                              <wps:cNvPr id="319" name="Text Box 163"/>
                              <wps:cNvSpPr txBox="1">
                                <a:spLocks noChangeArrowheads="1"/>
                              </wps:cNvSpPr>
                              <wps:spPr bwMode="auto">
                                <a:xfrm>
                                  <a:off x="7668" y="7495"/>
                                  <a:ext cx="1428" cy="651"/>
                                </a:xfrm>
                                <a:prstGeom prst="rect">
                                  <a:avLst/>
                                </a:prstGeom>
                                <a:noFill/>
                                <a:ln>
                                  <a:noFill/>
                                </a:ln>
                              </wps:spPr>
                              <wps:txbx>
                                <w:txbxContent>
                                  <w:p>
                                    <w:pPr>
                                      <w:rPr>
                                        <w:sz w:val="22"/>
                                        <w:szCs w:val="22"/>
                                      </w:rPr>
                                    </w:pPr>
                                    <w:r>
                                      <w:rPr>
                                        <w:rFonts w:hint="eastAsia"/>
                                        <w:sz w:val="22"/>
                                        <w:szCs w:val="22"/>
                                      </w:rPr>
                                      <w:t>排气筒排放</w:t>
                                    </w:r>
                                  </w:p>
                                  <w:p>
                                    <w:pPr>
                                      <w:rPr>
                                        <w:sz w:val="24"/>
                                      </w:rPr>
                                    </w:pPr>
                                    <w:r>
                                      <w:rPr>
                                        <w:rFonts w:hint="eastAsia"/>
                                        <w:sz w:val="22"/>
                                        <w:szCs w:val="22"/>
                                      </w:rPr>
                                      <w:t>G4～G11</w:t>
                                    </w:r>
                                  </w:p>
                                </w:txbxContent>
                              </wps:txbx>
                              <wps:bodyPr rot="0" vert="horz" wrap="square" lIns="0" tIns="0" rIns="0" bIns="0" anchor="t" anchorCtr="0" upright="1">
                                <a:noAutofit/>
                              </wps:bodyPr>
                            </wps:wsp>
                            <wps:wsp>
                              <wps:cNvPr id="320" name="Text Box 164"/>
                              <wps:cNvSpPr txBox="1">
                                <a:spLocks noChangeArrowheads="1"/>
                              </wps:cNvSpPr>
                              <wps:spPr bwMode="auto">
                                <a:xfrm>
                                  <a:off x="6576" y="7255"/>
                                  <a:ext cx="1056" cy="660"/>
                                </a:xfrm>
                                <a:prstGeom prst="rect">
                                  <a:avLst/>
                                </a:prstGeom>
                                <a:noFill/>
                                <a:ln>
                                  <a:noFill/>
                                </a:ln>
                              </wps:spPr>
                              <wps:txbx>
                                <w:txbxContent>
                                  <w:p>
                                    <w:pPr>
                                      <w:spacing w:line="240" w:lineRule="atLeast"/>
                                      <w:jc w:val="center"/>
                                      <w:rPr>
                                        <w:sz w:val="22"/>
                                        <w:szCs w:val="22"/>
                                      </w:rPr>
                                    </w:pPr>
                                    <w:r>
                                      <w:rPr>
                                        <w:rFonts w:hint="eastAsia"/>
                                        <w:sz w:val="22"/>
                                        <w:szCs w:val="22"/>
                                      </w:rPr>
                                      <w:t>粉尘</w:t>
                                    </w:r>
                                  </w:p>
                                  <w:p>
                                    <w:pPr>
                                      <w:spacing w:line="240" w:lineRule="atLeast"/>
                                      <w:jc w:val="center"/>
                                      <w:rPr>
                                        <w:sz w:val="22"/>
                                        <w:szCs w:val="22"/>
                                      </w:rPr>
                                    </w:pPr>
                                    <w:r>
                                      <w:rPr>
                                        <w:rFonts w:hint="eastAsia"/>
                                        <w:sz w:val="22"/>
                                        <w:szCs w:val="22"/>
                                      </w:rPr>
                                      <w:t>G4～G11</w:t>
                                    </w:r>
                                  </w:p>
                                </w:txbxContent>
                              </wps:txbx>
                              <wps:bodyPr rot="0" vert="horz" wrap="square" lIns="0" tIns="0" rIns="0" bIns="0" anchor="t" anchorCtr="0" upright="1">
                                <a:noAutofit/>
                              </wps:bodyPr>
                            </wps:wsp>
                            <wps:wsp>
                              <wps:cNvPr id="321" name="Line 165"/>
                              <wps:cNvCnPr>
                                <a:cxnSpLocks noChangeShapeType="1"/>
                              </wps:cNvCnPr>
                              <wps:spPr bwMode="auto">
                                <a:xfrm>
                                  <a:off x="4116" y="8976"/>
                                  <a:ext cx="1020" cy="0"/>
                                </a:xfrm>
                                <a:prstGeom prst="line">
                                  <a:avLst/>
                                </a:prstGeom>
                                <a:noFill/>
                                <a:ln w="9525" cmpd="sng">
                                  <a:solidFill>
                                    <a:srgbClr val="000000"/>
                                  </a:solidFill>
                                  <a:round/>
                                  <a:tailEnd type="triangle" w="med" len="med"/>
                                </a:ln>
                              </wps:spPr>
                              <wps:bodyPr/>
                            </wps:wsp>
                            <wps:wsp>
                              <wps:cNvPr id="322" name="Text Box 166"/>
                              <wps:cNvSpPr txBox="1">
                                <a:spLocks noChangeArrowheads="1"/>
                              </wps:cNvSpPr>
                              <wps:spPr bwMode="auto">
                                <a:xfrm>
                                  <a:off x="5172" y="8652"/>
                                  <a:ext cx="1260" cy="715"/>
                                </a:xfrm>
                                <a:prstGeom prst="rect">
                                  <a:avLst/>
                                </a:prstGeom>
                                <a:solidFill>
                                  <a:srgbClr val="FFFFFF"/>
                                </a:solidFill>
                                <a:ln w="9525" cmpd="sng">
                                  <a:solidFill>
                                    <a:srgbClr val="000000"/>
                                  </a:solidFill>
                                  <a:miter lim="800000"/>
                                </a:ln>
                              </wps:spPr>
                              <wps:txbx>
                                <w:txbxContent>
                                  <w:p>
                                    <w:pPr>
                                      <w:jc w:val="center"/>
                                      <w:rPr>
                                        <w:sz w:val="22"/>
                                        <w:szCs w:val="22"/>
                                      </w:rPr>
                                    </w:pPr>
                                    <w:r>
                                      <w:rPr>
                                        <w:rFonts w:hint="eastAsia"/>
                                        <w:sz w:val="22"/>
                                        <w:szCs w:val="22"/>
                                      </w:rPr>
                                      <w:t>过滤棉、活性炭吸附</w:t>
                                    </w:r>
                                  </w:p>
                                </w:txbxContent>
                              </wps:txbx>
                              <wps:bodyPr rot="0" vert="horz" wrap="square" lIns="18000" tIns="45720" rIns="18000" bIns="45720" anchor="t" anchorCtr="0" upright="1">
                                <a:noAutofit/>
                              </wps:bodyPr>
                            </wps:wsp>
                            <wps:wsp>
                              <wps:cNvPr id="323" name="Line 167"/>
                              <wps:cNvCnPr>
                                <a:cxnSpLocks noChangeShapeType="1"/>
                              </wps:cNvCnPr>
                              <wps:spPr bwMode="auto">
                                <a:xfrm>
                                  <a:off x="6444" y="8940"/>
                                  <a:ext cx="1020" cy="0"/>
                                </a:xfrm>
                                <a:prstGeom prst="line">
                                  <a:avLst/>
                                </a:prstGeom>
                                <a:noFill/>
                                <a:ln w="9525" cmpd="sng">
                                  <a:solidFill>
                                    <a:srgbClr val="000000"/>
                                  </a:solidFill>
                                  <a:round/>
                                  <a:tailEnd type="triangle" w="med" len="med"/>
                                </a:ln>
                              </wps:spPr>
                              <wps:bodyPr/>
                            </wps:wsp>
                            <wps:wsp>
                              <wps:cNvPr id="324" name="Line 168"/>
                              <wps:cNvCnPr>
                                <a:cxnSpLocks noChangeShapeType="1"/>
                              </wps:cNvCnPr>
                              <wps:spPr bwMode="auto">
                                <a:xfrm flipV="1">
                                  <a:off x="5832" y="9403"/>
                                  <a:ext cx="0" cy="283"/>
                                </a:xfrm>
                                <a:prstGeom prst="line">
                                  <a:avLst/>
                                </a:prstGeom>
                                <a:noFill/>
                                <a:ln w="9525" cmpd="sng">
                                  <a:solidFill>
                                    <a:srgbClr val="000000"/>
                                  </a:solidFill>
                                  <a:round/>
                                  <a:headEnd type="triangle" w="med" len="med"/>
                                </a:ln>
                              </wps:spPr>
                              <wps:bodyPr/>
                            </wps:wsp>
                            <wps:wsp>
                              <wps:cNvPr id="325" name="Text Box 169"/>
                              <wps:cNvSpPr txBox="1">
                                <a:spLocks noChangeArrowheads="1"/>
                              </wps:cNvSpPr>
                              <wps:spPr bwMode="auto">
                                <a:xfrm>
                                  <a:off x="5460" y="9643"/>
                                  <a:ext cx="780" cy="348"/>
                                </a:xfrm>
                                <a:prstGeom prst="rect">
                                  <a:avLst/>
                                </a:prstGeom>
                                <a:noFill/>
                                <a:ln>
                                  <a:noFill/>
                                </a:ln>
                              </wps:spPr>
                              <wps:txbx>
                                <w:txbxContent>
                                  <w:p>
                                    <w:pPr>
                                      <w:rPr>
                                        <w:sz w:val="24"/>
                                      </w:rPr>
                                    </w:pPr>
                                    <w:r>
                                      <w:rPr>
                                        <w:rFonts w:hint="eastAsia"/>
                                        <w:sz w:val="22"/>
                                        <w:szCs w:val="22"/>
                                      </w:rPr>
                                      <w:t>固废S8</w:t>
                                    </w:r>
                                  </w:p>
                                </w:txbxContent>
                              </wps:txbx>
                              <wps:bodyPr rot="0" vert="horz" wrap="square" lIns="0" tIns="0" rIns="0" bIns="0" anchor="t" anchorCtr="0" upright="1">
                                <a:noAutofit/>
                              </wps:bodyPr>
                            </wps:wsp>
                            <wps:wsp>
                              <wps:cNvPr id="326" name="Text Box 170"/>
                              <wps:cNvSpPr txBox="1">
                                <a:spLocks noChangeArrowheads="1"/>
                              </wps:cNvSpPr>
                              <wps:spPr bwMode="auto">
                                <a:xfrm>
                                  <a:off x="7512" y="8599"/>
                                  <a:ext cx="1428" cy="651"/>
                                </a:xfrm>
                                <a:prstGeom prst="rect">
                                  <a:avLst/>
                                </a:prstGeom>
                                <a:noFill/>
                                <a:ln>
                                  <a:noFill/>
                                </a:ln>
                              </wps:spPr>
                              <wps:txbx>
                                <w:txbxContent>
                                  <w:p>
                                    <w:pPr>
                                      <w:rPr>
                                        <w:sz w:val="22"/>
                                        <w:szCs w:val="22"/>
                                      </w:rPr>
                                    </w:pPr>
                                    <w:r>
                                      <w:rPr>
                                        <w:rFonts w:hint="eastAsia"/>
                                        <w:sz w:val="22"/>
                                        <w:szCs w:val="22"/>
                                      </w:rPr>
                                      <w:t>排气筒排放</w:t>
                                    </w:r>
                                  </w:p>
                                  <w:p>
                                    <w:pPr>
                                      <w:rPr>
                                        <w:sz w:val="24"/>
                                      </w:rPr>
                                    </w:pPr>
                                    <w:r>
                                      <w:rPr>
                                        <w:rFonts w:hint="eastAsia"/>
                                        <w:sz w:val="22"/>
                                        <w:szCs w:val="22"/>
                                      </w:rPr>
                                      <w:t>G20~G27</w:t>
                                    </w:r>
                                  </w:p>
                                </w:txbxContent>
                              </wps:txbx>
                              <wps:bodyPr rot="0" vert="horz" wrap="square" lIns="0" tIns="0" rIns="0" bIns="0" anchor="t" anchorCtr="0" upright="1">
                                <a:noAutofit/>
                              </wps:bodyPr>
                            </wps:wsp>
                            <wps:wsp>
                              <wps:cNvPr id="327" name="Text Box 171"/>
                              <wps:cNvSpPr txBox="1">
                                <a:spLocks noChangeArrowheads="1"/>
                              </wps:cNvSpPr>
                              <wps:spPr bwMode="auto">
                                <a:xfrm>
                                  <a:off x="4080" y="8407"/>
                                  <a:ext cx="1080" cy="624"/>
                                </a:xfrm>
                                <a:prstGeom prst="rect">
                                  <a:avLst/>
                                </a:prstGeom>
                                <a:noFill/>
                                <a:ln>
                                  <a:noFill/>
                                </a:ln>
                              </wps:spPr>
                              <wps:txbx>
                                <w:txbxContent>
                                  <w:p>
                                    <w:pPr>
                                      <w:jc w:val="center"/>
                                      <w:rPr>
                                        <w:sz w:val="22"/>
                                        <w:szCs w:val="22"/>
                                      </w:rPr>
                                    </w:pPr>
                                    <w:r>
                                      <w:rPr>
                                        <w:rFonts w:hint="eastAsia"/>
                                        <w:sz w:val="22"/>
                                        <w:szCs w:val="22"/>
                                      </w:rPr>
                                      <w:t>有机废气G20～G27</w:t>
                                    </w:r>
                                  </w:p>
                                </w:txbxContent>
                              </wps:txbx>
                              <wps:bodyPr rot="0" vert="horz" wrap="square" lIns="0" tIns="0" rIns="0" bIns="0" anchor="t" anchorCtr="0" upright="1">
                                <a:noAutofit/>
                              </wps:bodyPr>
                            </wps:wsp>
                            <wps:wsp>
                              <wps:cNvPr id="328" name="Text Box 172"/>
                              <wps:cNvSpPr txBox="1">
                                <a:spLocks noChangeArrowheads="1"/>
                              </wps:cNvSpPr>
                              <wps:spPr bwMode="auto">
                                <a:xfrm>
                                  <a:off x="6384" y="8371"/>
                                  <a:ext cx="1080" cy="624"/>
                                </a:xfrm>
                                <a:prstGeom prst="rect">
                                  <a:avLst/>
                                </a:prstGeom>
                                <a:noFill/>
                                <a:ln>
                                  <a:noFill/>
                                </a:ln>
                              </wps:spPr>
                              <wps:txbx>
                                <w:txbxContent>
                                  <w:p>
                                    <w:pPr>
                                      <w:jc w:val="center"/>
                                      <w:rPr>
                                        <w:sz w:val="22"/>
                                        <w:szCs w:val="22"/>
                                      </w:rPr>
                                    </w:pPr>
                                    <w:r>
                                      <w:rPr>
                                        <w:rFonts w:hint="eastAsia"/>
                                        <w:sz w:val="22"/>
                                        <w:szCs w:val="22"/>
                                      </w:rPr>
                                      <w:t>有机废气G12～G18</w:t>
                                    </w:r>
                                  </w:p>
                                </w:txbxContent>
                              </wps:txbx>
                              <wps:bodyPr rot="0" vert="horz" wrap="square" lIns="0" tIns="0" rIns="0" bIns="0" anchor="t" anchorCtr="0" upright="1">
                                <a:noAutofit/>
                              </wps:bodyPr>
                            </wps:wsp>
                            <wps:wsp>
                              <wps:cNvPr id="329" name="Line 173"/>
                              <wps:cNvCnPr>
                                <a:cxnSpLocks noChangeShapeType="1"/>
                              </wps:cNvCnPr>
                              <wps:spPr bwMode="auto">
                                <a:xfrm>
                                  <a:off x="4164" y="7831"/>
                                  <a:ext cx="1020" cy="0"/>
                                </a:xfrm>
                                <a:prstGeom prst="line">
                                  <a:avLst/>
                                </a:prstGeom>
                                <a:noFill/>
                                <a:ln w="9525" cmpd="sng">
                                  <a:solidFill>
                                    <a:srgbClr val="000000"/>
                                  </a:solidFill>
                                  <a:round/>
                                  <a:tailEnd type="triangle" w="med" len="med"/>
                                </a:ln>
                              </wps:spPr>
                              <wps:bodyPr/>
                            </wps:wsp>
                            <wps:wsp>
                              <wps:cNvPr id="330" name="Line 174"/>
                              <wps:cNvCnPr>
                                <a:cxnSpLocks noChangeShapeType="1"/>
                              </wps:cNvCnPr>
                              <wps:spPr bwMode="auto">
                                <a:xfrm>
                                  <a:off x="6612" y="7831"/>
                                  <a:ext cx="1020" cy="0"/>
                                </a:xfrm>
                                <a:prstGeom prst="line">
                                  <a:avLst/>
                                </a:prstGeom>
                                <a:noFill/>
                                <a:ln w="9525" cmpd="sng">
                                  <a:solidFill>
                                    <a:srgbClr val="000000"/>
                                  </a:solidFill>
                                  <a:round/>
                                  <a:tailEnd type="triangle" w="med" len="med"/>
                                </a:ln>
                              </wps:spPr>
                              <wps:bodyPr/>
                            </wps:wsp>
                            <wps:wsp>
                              <wps:cNvPr id="331" name="Text Box 175"/>
                              <wps:cNvSpPr txBox="1">
                                <a:spLocks noChangeArrowheads="1"/>
                              </wps:cNvSpPr>
                              <wps:spPr bwMode="auto">
                                <a:xfrm>
                                  <a:off x="4092" y="6979"/>
                                  <a:ext cx="816" cy="336"/>
                                </a:xfrm>
                                <a:prstGeom prst="rect">
                                  <a:avLst/>
                                </a:prstGeom>
                                <a:noFill/>
                                <a:ln>
                                  <a:noFill/>
                                </a:ln>
                              </wps:spPr>
                              <wps:txbx>
                                <w:txbxContent>
                                  <w:p>
                                    <w:pPr>
                                      <w:rPr>
                                        <w:sz w:val="24"/>
                                      </w:rPr>
                                    </w:pPr>
                                    <w:r>
                                      <w:rPr>
                                        <w:rFonts w:hint="eastAsia"/>
                                        <w:sz w:val="22"/>
                                        <w:szCs w:val="22"/>
                                      </w:rPr>
                                      <w:t>噪声N5</w:t>
                                    </w:r>
                                  </w:p>
                                </w:txbxContent>
                              </wps:txbx>
                              <wps:bodyPr rot="0" vert="horz" wrap="square" lIns="0" tIns="0" rIns="0" bIns="0" anchor="t" anchorCtr="0" upright="1">
                                <a:noAutofit/>
                              </wps:bodyPr>
                            </wps:wsp>
                            <wps:wsp>
                              <wps:cNvPr id="332" name="Line 176"/>
                              <wps:cNvCnPr>
                                <a:cxnSpLocks noChangeShapeType="1"/>
                              </wps:cNvCnPr>
                              <wps:spPr bwMode="auto">
                                <a:xfrm flipV="1">
                                  <a:off x="3744" y="7171"/>
                                  <a:ext cx="360" cy="397"/>
                                </a:xfrm>
                                <a:prstGeom prst="line">
                                  <a:avLst/>
                                </a:prstGeom>
                                <a:noFill/>
                                <a:ln w="9525" cmpd="sng">
                                  <a:solidFill>
                                    <a:srgbClr val="000000"/>
                                  </a:solidFill>
                                  <a:round/>
                                  <a:tailEnd type="triangle" w="med" len="med"/>
                                </a:ln>
                              </wps:spPr>
                              <wps:bodyPr/>
                            </wps:wsp>
                            <wps:wsp>
                              <wps:cNvPr id="333" name="Text Box 177"/>
                              <wps:cNvSpPr txBox="1">
                                <a:spLocks noChangeArrowheads="1"/>
                              </wps:cNvSpPr>
                              <wps:spPr bwMode="auto">
                                <a:xfrm>
                                  <a:off x="4128" y="4735"/>
                                  <a:ext cx="816" cy="336"/>
                                </a:xfrm>
                                <a:prstGeom prst="rect">
                                  <a:avLst/>
                                </a:prstGeom>
                                <a:noFill/>
                                <a:ln>
                                  <a:noFill/>
                                </a:ln>
                              </wps:spPr>
                              <wps:txbx>
                                <w:txbxContent>
                                  <w:p>
                                    <w:pPr>
                                      <w:rPr>
                                        <w:sz w:val="24"/>
                                      </w:rPr>
                                    </w:pPr>
                                    <w:r>
                                      <w:rPr>
                                        <w:rFonts w:hint="eastAsia"/>
                                        <w:sz w:val="22"/>
                                        <w:szCs w:val="22"/>
                                      </w:rPr>
                                      <w:t>噪声N5</w:t>
                                    </w:r>
                                  </w:p>
                                </w:txbxContent>
                              </wps:txbx>
                              <wps:bodyPr rot="0" vert="horz" wrap="square" lIns="0" tIns="0" rIns="0" bIns="0" anchor="t" anchorCtr="0" upright="1">
                                <a:noAutofit/>
                              </wps:bodyPr>
                            </wps:wsp>
                            <wps:wsp>
                              <wps:cNvPr id="334" name="Line 178"/>
                              <wps:cNvCnPr>
                                <a:cxnSpLocks noChangeShapeType="1"/>
                              </wps:cNvCnPr>
                              <wps:spPr bwMode="auto">
                                <a:xfrm flipV="1">
                                  <a:off x="3780" y="4927"/>
                                  <a:ext cx="360" cy="397"/>
                                </a:xfrm>
                                <a:prstGeom prst="line">
                                  <a:avLst/>
                                </a:prstGeom>
                                <a:noFill/>
                                <a:ln w="9525" cmpd="sng">
                                  <a:solidFill>
                                    <a:srgbClr val="000000"/>
                                  </a:solidFill>
                                  <a:round/>
                                  <a:tailEnd type="triangle" w="med" len="med"/>
                                </a:ln>
                              </wps:spPr>
                              <wps:bodyPr/>
                            </wps:wsp>
                            <wps:wsp>
                              <wps:cNvPr id="335" name="Text Box 179"/>
                              <wps:cNvSpPr txBox="1">
                                <a:spLocks noChangeArrowheads="1"/>
                              </wps:cNvSpPr>
                              <wps:spPr bwMode="auto">
                                <a:xfrm>
                                  <a:off x="480" y="8599"/>
                                  <a:ext cx="850" cy="340"/>
                                </a:xfrm>
                                <a:prstGeom prst="rect">
                                  <a:avLst/>
                                </a:prstGeom>
                                <a:solidFill>
                                  <a:srgbClr val="FFFFFF"/>
                                </a:solidFill>
                                <a:ln>
                                  <a:noFill/>
                                </a:ln>
                              </wps:spPr>
                              <wps:txbx>
                                <w:txbxContent>
                                  <w:p>
                                    <w:pPr>
                                      <w:jc w:val="center"/>
                                      <w:rPr>
                                        <w:sz w:val="24"/>
                                      </w:rPr>
                                    </w:pPr>
                                    <w:r>
                                      <w:rPr>
                                        <w:rFonts w:hint="eastAsia"/>
                                        <w:sz w:val="24"/>
                                      </w:rPr>
                                      <w:t>面漆</w:t>
                                    </w:r>
                                  </w:p>
                                </w:txbxContent>
                              </wps:txbx>
                              <wps:bodyPr rot="0" vert="horz" wrap="square" lIns="0" tIns="0" rIns="0" bIns="0" anchor="t" anchorCtr="0" upright="1">
                                <a:noAutofit/>
                              </wps:bodyPr>
                            </wps:wsp>
                            <wps:wsp>
                              <wps:cNvPr id="336" name="Line 180"/>
                              <wps:cNvCnPr>
                                <a:cxnSpLocks noChangeShapeType="1"/>
                              </wps:cNvCnPr>
                              <wps:spPr bwMode="auto">
                                <a:xfrm>
                                  <a:off x="1200" y="9096"/>
                                  <a:ext cx="720" cy="0"/>
                                </a:xfrm>
                                <a:prstGeom prst="line">
                                  <a:avLst/>
                                </a:prstGeom>
                                <a:noFill/>
                                <a:ln w="9525" cmpd="sng">
                                  <a:solidFill>
                                    <a:srgbClr val="000000"/>
                                  </a:solidFill>
                                  <a:round/>
                                  <a:tailEnd type="triangle" w="med" len="med"/>
                                </a:ln>
                              </wps:spPr>
                              <wps:bodyPr/>
                            </wps:wsp>
                            <wps:wsp>
                              <wps:cNvPr id="337" name="Line 181"/>
                              <wps:cNvCnPr>
                                <a:cxnSpLocks noChangeShapeType="1"/>
                              </wps:cNvCnPr>
                              <wps:spPr bwMode="auto">
                                <a:xfrm>
                                  <a:off x="1200" y="8767"/>
                                  <a:ext cx="720" cy="0"/>
                                </a:xfrm>
                                <a:prstGeom prst="line">
                                  <a:avLst/>
                                </a:prstGeom>
                                <a:noFill/>
                                <a:ln w="9525" cmpd="sng">
                                  <a:solidFill>
                                    <a:srgbClr val="000000"/>
                                  </a:solidFill>
                                  <a:round/>
                                  <a:tailEnd type="triangle" w="med" len="med"/>
                                </a:ln>
                              </wps:spPr>
                              <wps:bodyPr/>
                            </wps:wsp>
                            <wps:wsp>
                              <wps:cNvPr id="338" name="Text Box 182"/>
                              <wps:cNvSpPr txBox="1">
                                <a:spLocks noChangeArrowheads="1"/>
                              </wps:cNvSpPr>
                              <wps:spPr bwMode="auto">
                                <a:xfrm>
                                  <a:off x="372" y="8959"/>
                                  <a:ext cx="850" cy="340"/>
                                </a:xfrm>
                                <a:prstGeom prst="rect">
                                  <a:avLst/>
                                </a:prstGeom>
                                <a:solidFill>
                                  <a:srgbClr val="FFFFFF"/>
                                </a:solidFill>
                                <a:ln>
                                  <a:noFill/>
                                </a:ln>
                              </wps:spPr>
                              <wps:txbx>
                                <w:txbxContent>
                                  <w:p>
                                    <w:pPr>
                                      <w:jc w:val="center"/>
                                      <w:rPr>
                                        <w:sz w:val="24"/>
                                      </w:rPr>
                                    </w:pPr>
                                    <w:r>
                                      <w:rPr>
                                        <w:rFonts w:hint="eastAsia"/>
                                        <w:sz w:val="24"/>
                                      </w:rPr>
                                      <w:t>天然气</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14.65pt;margin-top:2.45pt;height:488.25pt;width:369pt;z-index:251663360;mso-width-relative:page;mso-height-relative:page;" coordsize="9096,11088" o:gfxdata="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">
                      <o:lock v:ext="edit" aspectratio="f"/>
                      <v:shape id="Text Box 92" o:spid="_x0000_s1026" o:spt="202" type="#_x0000_t202" style="position:absolute;left:1932;top:0;height:468;width:2268;" fillcolor="#FFFFFF" filled="t" stroked="f" coordsize="21600,21600" o:gfxdata="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r7nCa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jc w:val="center"/>
                                <w:rPr>
                                  <w:sz w:val="24"/>
                                </w:rPr>
                              </w:pPr>
                              <w:r>
                                <w:rPr>
                                  <w:rFonts w:hint="eastAsia"/>
                                  <w:sz w:val="24"/>
                                </w:rPr>
                                <w:t>车体车间加工车体</w:t>
                              </w:r>
                            </w:p>
                          </w:txbxContent>
                        </v:textbox>
                      </v:shape>
                      <v:shape id="Text Box 93" o:spid="_x0000_s1026" o:spt="202" type="#_x0000_t202" style="position:absolute;left:1932;top:864;height:468;width:2160;" fillcolor="#FFFFFF" filled="t" stroked="t" coordsize="21600,21600" o:gfxdata="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Ki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sz w:val="24"/>
                                </w:rPr>
                              </w:pPr>
                              <w:r>
                                <w:rPr>
                                  <w:rFonts w:hint="eastAsia"/>
                                  <w:sz w:val="24"/>
                                </w:rPr>
                                <w:t>准 备</w:t>
                              </w:r>
                            </w:p>
                            <w:p>
                              <w:pPr>
                                <w:jc w:val="center"/>
                              </w:pPr>
                            </w:p>
                          </w:txbxContent>
                        </v:textbox>
                      </v:shape>
                      <v:line id="Line 94" o:spid="_x0000_s1026" o:spt="20" style="position:absolute;left:3012;top:398;height:454;width:0;" filled="f" stroked="t" coordsize="21600,21600" o:gfxdata="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rsN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95" o:spid="_x0000_s1026" o:spt="20" style="position:absolute;left:3012;top:1344;height:624;width:0;" filled="f" stroked="t" coordsize="21600,21600" o:gfxdata="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nFU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96" o:spid="_x0000_s1026" o:spt="202" type="#_x0000_t202" style="position:absolute;left:1932;top:1992;height:468;width:2160;" fillcolor="#FFFFFF" filled="t" stroked="t" coordsize="21600,21600" o:gfxdata="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hk4m&#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jc w:val="center"/>
                                <w:rPr>
                                  <w:sz w:val="24"/>
                                </w:rPr>
                              </w:pPr>
                              <w:r>
                                <w:rPr>
                                  <w:rFonts w:hint="eastAsia"/>
                                  <w:sz w:val="24"/>
                                </w:rPr>
                                <w:t>喷 砂</w:t>
                              </w:r>
                            </w:p>
                          </w:txbxContent>
                        </v:textbox>
                      </v:shape>
                      <v:line id="Line 97" o:spid="_x0000_s1026" o:spt="20" style="position:absolute;left:3012;top:2472;height:624;width:0;" filled="f" stroked="t" coordsize="21600,21600" o:gfxdata="UEsDBAoAAAAAAIdO4kAAAAAAAAAAAAAAAAAEAAAAZHJzL1BLAwQUAAAACACHTuJA3vkuoM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moz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S6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98" o:spid="_x0000_s1026" o:spt="202" type="#_x0000_t202" style="position:absolute;left:1932;top:3108;height:468;width:2160;" fillcolor="#FFFFFF" filled="t" stroked="t" coordsize="21600,21600" o:gfxdata="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Nzy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sz w:val="24"/>
                                </w:rPr>
                              </w:pPr>
                              <w:r>
                                <w:rPr>
                                  <w:rFonts w:hint="eastAsia"/>
                                  <w:sz w:val="24"/>
                                </w:rPr>
                                <w:t>底漆喷烘</w:t>
                              </w:r>
                            </w:p>
                          </w:txbxContent>
                        </v:textbox>
                      </v:shape>
                      <v:line id="Line 99" o:spid="_x0000_s1026" o:spt="20" style="position:absolute;left:3012;top:3588;height:624;width:0;" filled="f" stroked="t" coordsize="21600,21600" o:gfxdata="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cE0+/&#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00" o:spid="_x0000_s1026" o:spt="202" type="#_x0000_t202" style="position:absolute;left:1932;top:4224;height:468;width:2160;" fillcolor="#FFFFFF" filled="t" stroked="t" coordsize="21600,21600" o:gfxdata="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71IJ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sz w:val="24"/>
                                </w:rPr>
                              </w:pPr>
                              <w:r>
                                <w:rPr>
                                  <w:rFonts w:hint="eastAsia"/>
                                  <w:sz w:val="24"/>
                                </w:rPr>
                                <w:t>刮腻子</w:t>
                              </w:r>
                            </w:p>
                          </w:txbxContent>
                        </v:textbox>
                      </v:shape>
                      <v:line id="Line 101" o:spid="_x0000_s1026" o:spt="20" style="position:absolute;left:3012;top:4704;height:624;width:0;" filled="f" stroked="t" coordsize="21600,21600" o:gfxdata="UEsDBAoAAAAAAIdO4kAAAAAAAAAAAAAAAAAEAAAAZHJzL1BLAwQUAAAACACHTuJAocIoo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jd/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wii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102" o:spid="_x0000_s1026" o:spt="202" type="#_x0000_t202" style="position:absolute;left:1932;top:5352;height:468;width:2160;" fillcolor="#FFFFFF" filled="t" stroked="t" coordsize="21600,21600" o:gfxdata="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55z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sz w:val="24"/>
                                </w:rPr>
                              </w:pPr>
                              <w:r>
                                <w:rPr>
                                  <w:rFonts w:hint="eastAsia"/>
                                  <w:sz w:val="24"/>
                                </w:rPr>
                                <w:t>打 磨</w:t>
                              </w:r>
                            </w:p>
                          </w:txbxContent>
                        </v:textbox>
                      </v:shape>
                      <v:line id="Line 103" o:spid="_x0000_s1026" o:spt="20" style="position:absolute;left:3012;top:5832;height:624;width:0;" filled="f" stroked="t" coordsize="21600,21600" o:gfxdata="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Rl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104" o:spid="_x0000_s1026" o:spt="202" type="#_x0000_t202" style="position:absolute;left:492;top:1992;height:468;width:900;" fillcolor="#FFFFFF" filled="t" stroked="f" coordsize="21600,21600" o:gfxdata="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84zEC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jc w:val="center"/>
                                <w:rPr>
                                  <w:sz w:val="24"/>
                                </w:rPr>
                              </w:pPr>
                              <w:r>
                                <w:rPr>
                                  <w:rFonts w:hint="eastAsia"/>
                                  <w:sz w:val="24"/>
                                </w:rPr>
                                <w:t>磨料</w:t>
                              </w:r>
                            </w:p>
                          </w:txbxContent>
                        </v:textbox>
                      </v:shape>
                      <v:line id="Line 105" o:spid="_x0000_s1026" o:spt="20" style="position:absolute;left:1212;top:2220;height:0;width:720;" filled="f" stroked="t" coordsize="21600,21600" o:gfxdata="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L3/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06" o:spid="_x0000_s1026" o:spt="20" style="position:absolute;left:4092;top:2220;height:0;width:1020;" filled="f" stroked="t" coordsize="21600,21600" o:gfxdata="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QY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07" o:spid="_x0000_s1026" o:spt="202" type="#_x0000_t202" style="position:absolute;left:5160;top:1920;height:583;width:1368;" fillcolor="#FFFFFF" filled="t" stroked="t" coordsize="21600,21600" o:gfxdata="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C2K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jc w:val="center"/>
                                <w:rPr>
                                  <w:sz w:val="24"/>
                                </w:rPr>
                              </w:pPr>
                              <w:r>
                                <w:rPr>
                                  <w:rFonts w:hint="eastAsia"/>
                                </w:rPr>
                                <w:t>滤筒干式过滤除尘装置</w:t>
                              </w:r>
                            </w:p>
                          </w:txbxContent>
                        </v:textbox>
                      </v:shape>
                      <v:line id="Line 108" o:spid="_x0000_s1026" o:spt="20" style="position:absolute;left:6540;top:2220;height:0;width:1020;" filled="f" stroked="t" coordsize="21600,21600" o:gfxdata="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8fG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09" o:spid="_x0000_s1026" o:spt="202" type="#_x0000_t202" style="position:absolute;left:6624;top:1639;height:576;width:816;" fillcolor="#FFFFFF" filled="t" stroked="f" coordsize="21600,21600" o:gfxdata="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tJbC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ind w:firstLine="110" w:firstLineChars="50"/>
                                <w:rPr>
                                  <w:sz w:val="22"/>
                                  <w:szCs w:val="22"/>
                                </w:rPr>
                              </w:pPr>
                              <w:r>
                                <w:rPr>
                                  <w:rFonts w:hint="eastAsia"/>
                                  <w:sz w:val="22"/>
                                  <w:szCs w:val="22"/>
                                </w:rPr>
                                <w:t>粉尘</w:t>
                              </w:r>
                            </w:p>
                            <w:p>
                              <w:pPr>
                                <w:rPr>
                                  <w:sz w:val="22"/>
                                  <w:szCs w:val="22"/>
                                </w:rPr>
                              </w:pPr>
                              <w:r>
                                <w:rPr>
                                  <w:rFonts w:hint="eastAsia"/>
                                  <w:sz w:val="22"/>
                                  <w:szCs w:val="22"/>
                                </w:rPr>
                                <w:t>G2、G3</w:t>
                              </w:r>
                            </w:p>
                          </w:txbxContent>
                        </v:textbox>
                      </v:shape>
                      <v:shape id="Text Box 110" o:spid="_x0000_s1026" o:spt="202" type="#_x0000_t202" style="position:absolute;left:492;top:3031;height:340;width:850;" fillcolor="#FFFFFF" filled="t" stroked="f" coordsize="21600,21600" o:gfxdata="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YItb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jc w:val="center"/>
                                <w:rPr>
                                  <w:sz w:val="24"/>
                                </w:rPr>
                              </w:pPr>
                              <w:r>
                                <w:rPr>
                                  <w:rFonts w:hint="eastAsia"/>
                                  <w:sz w:val="24"/>
                                </w:rPr>
                                <w:t>底漆</w:t>
                              </w:r>
                            </w:p>
                          </w:txbxContent>
                        </v:textbox>
                      </v:shape>
                      <v:line id="Line 111" o:spid="_x0000_s1026" o:spt="20" style="position:absolute;left:1212;top:3528;height:0;width:720;" filled="f" stroked="t" coordsize="21600,21600" o:gfxdata="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4h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12" o:spid="_x0000_s1026" o:spt="202" type="#_x0000_t202" style="position:absolute;left:132;top:4224;height:468;width:1080;" fillcolor="#FFFFFF" filled="t" stroked="f" coordsize="21600,21600" o:gfxdata="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FOwEa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jc w:val="center"/>
                                <w:rPr>
                                  <w:sz w:val="24"/>
                                </w:rPr>
                              </w:pPr>
                              <w:r>
                                <w:rPr>
                                  <w:rFonts w:hint="eastAsia"/>
                                  <w:sz w:val="24"/>
                                </w:rPr>
                                <w:t>腻子粉</w:t>
                              </w:r>
                            </w:p>
                          </w:txbxContent>
                        </v:textbox>
                      </v:shape>
                      <v:line id="Line 113" o:spid="_x0000_s1026" o:spt="20" style="position:absolute;left:1212;top:4452;height:0;width:720;" filled="f" stroked="t" coordsize="21600,21600" o:gfxdata="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90/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14" o:spid="_x0000_s1026" o:spt="20" style="position:absolute;left:4092;top:5580;height:0;width:1020;" filled="f" stroked="t" coordsize="21600,21600" o:gfxdata="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e7L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115" o:spid="_x0000_s1026" o:spt="20" style="position:absolute;left:4092;top:3348;height:0;width:1020;" filled="f" stroked="t" coordsize="21600,21600" o:gfxdata="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SSS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16" o:spid="_x0000_s1026" o:spt="202" type="#_x0000_t202" style="position:absolute;left:5136;top:3084;height:715;width:1260;" fillcolor="#FFFFFF" filled="t" stroked="t" coordsize="21600,21600" o:gfxdata="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sUKO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5mm,1.27mm,0.5mm,1.27mm">
                          <w:txbxContent>
                            <w:p>
                              <w:pPr>
                                <w:jc w:val="center"/>
                                <w:rPr>
                                  <w:sz w:val="22"/>
                                  <w:szCs w:val="22"/>
                                </w:rPr>
                              </w:pPr>
                              <w:r>
                                <w:rPr>
                                  <w:rFonts w:hint="eastAsia"/>
                                  <w:sz w:val="22"/>
                                  <w:szCs w:val="22"/>
                                </w:rPr>
                                <w:t>过滤棉、活性炭吸附</w:t>
                              </w:r>
                            </w:p>
                          </w:txbxContent>
                        </v:textbox>
                      </v:shape>
                      <v:line id="Line 117" o:spid="_x0000_s1026" o:spt="20" style="position:absolute;left:6408;top:3372;height:0;width:1020;" filled="f" stroked="t" coordsize="21600,21600" o:gfxdata="UEsDBAoAAAAAAIdO4kAAAAAAAAAAAAAAAAAEAAAAZHJzL1BLAwQUAAAACACHTuJAlUxywM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THL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118" o:spid="_x0000_s1026" o:spt="202" type="#_x0000_t202" style="position:absolute;left:1932;top:6468;height:468;width:2160;" fillcolor="#FFFFFF" filled="t" stroked="t" coordsize="21600,21600" o:gfxdata="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5Yvq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sz w:val="24"/>
                                </w:rPr>
                              </w:pPr>
                              <w:r>
                                <w:rPr>
                                  <w:rFonts w:hint="eastAsia"/>
                                  <w:sz w:val="24"/>
                                </w:rPr>
                                <w:t>中涂喷烘</w:t>
                              </w:r>
                            </w:p>
                          </w:txbxContent>
                        </v:textbox>
                      </v:shape>
                      <v:line id="Line 119" o:spid="_x0000_s1026" o:spt="20" style="position:absolute;left:3012;top:6948;height:624;width:0;" filled="f" stroked="t" coordsize="21600,21600" o:gfxdata="UEsDBAoAAAAAAIdO4kAAAAAAAAAAAAAAAAAEAAAAZHJzL1BLAwQUAAAACACHTuJAdelPL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6U8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120" o:spid="_x0000_s1026" o:spt="202" type="#_x0000_t202" style="position:absolute;left:1932;top:7572;height:468;width:2160;" fillcolor="#FFFFFF" filled="t" stroked="t" coordsize="21600,21600" o:gfxdata="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gUR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sz w:val="24"/>
                                </w:rPr>
                              </w:pPr>
                              <w:r>
                                <w:rPr>
                                  <w:rFonts w:hint="eastAsia"/>
                                  <w:sz w:val="24"/>
                                </w:rPr>
                                <w:t>打 磨</w:t>
                              </w:r>
                            </w:p>
                          </w:txbxContent>
                        </v:textbox>
                      </v:shape>
                      <v:line id="Line 121" o:spid="_x0000_s1026" o:spt="20" style="position:absolute;left:3012;top:8064;height:624;width:0;" filled="f" stroked="t" coordsize="21600,21600" o:gfxdata="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3dM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22" o:spid="_x0000_s1026" o:spt="202" type="#_x0000_t202" style="position:absolute;left:1932;top:8688;height:468;width:2160;" fillcolor="#FFFFFF" filled="t" stroked="t" coordsize="21600,21600" o:gfxdata="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2yWs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jc w:val="center"/>
                                <w:rPr>
                                  <w:sz w:val="24"/>
                                </w:rPr>
                              </w:pPr>
                              <w:r>
                                <w:rPr>
                                  <w:rFonts w:hint="eastAsia"/>
                                  <w:sz w:val="24"/>
                                </w:rPr>
                                <w:t>面漆喷烘</w:t>
                              </w:r>
                            </w:p>
                          </w:txbxContent>
                        </v:textbox>
                      </v:shape>
                      <v:line id="Line 123" o:spid="_x0000_s1026" o:spt="20" style="position:absolute;left:3012;top:9192;height:454;width:0;" filled="f" stroked="t" coordsize="21600,21600" o:gfxdata="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pEU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124" o:spid="_x0000_s1026" o:spt="202" type="#_x0000_t202" style="position:absolute;left:1932;top:9672;height:468;width:2160;" fillcolor="#FFFFFF" filled="t" stroked="t" coordsize="21600,21600" o:gfxdata="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XhZj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sz w:val="24"/>
                                </w:rPr>
                              </w:pPr>
                              <w:r>
                                <w:rPr>
                                  <w:rFonts w:hint="eastAsia"/>
                                  <w:sz w:val="24"/>
                                </w:rPr>
                                <w:t>检验</w:t>
                              </w:r>
                            </w:p>
                          </w:txbxContent>
                        </v:textbox>
                      </v:shape>
                      <v:line id="Line 125" o:spid="_x0000_s1026" o:spt="20" style="position:absolute;left:3012;top:10152;height:454;width:0;" filled="f" stroked="t" coordsize="21600,21600" o:gfxdata="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c5C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126" o:spid="_x0000_s1026" o:spt="202" type="#_x0000_t202" style="position:absolute;left:1932;top:10620;height:468;width:2160;" fillcolor="#FFFFFF" filled="t" stroked="f" coordsize="21600,21600" o:gfxdata="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CqEVa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rPr>
                                  <w:sz w:val="24"/>
                                </w:rPr>
                              </w:pPr>
                              <w:r>
                                <w:rPr>
                                  <w:rFonts w:hint="eastAsia"/>
                                  <w:sz w:val="24"/>
                                </w:rPr>
                                <w:t>送总装车间</w:t>
                              </w:r>
                            </w:p>
                          </w:txbxContent>
                        </v:textbox>
                      </v:shape>
                      <v:shape id="Text Box 127" o:spid="_x0000_s1026" o:spt="202" type="#_x0000_t202" style="position:absolute;left:4176;top:1651;height:624;width:780;"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 w:val="22"/>
                                  <w:szCs w:val="22"/>
                                </w:rPr>
                              </w:pPr>
                              <w:r>
                                <w:rPr>
                                  <w:rFonts w:hint="eastAsia"/>
                                  <w:sz w:val="22"/>
                                  <w:szCs w:val="22"/>
                                </w:rPr>
                                <w:t>粉尘G2、G3</w:t>
                              </w:r>
                            </w:p>
                          </w:txbxContent>
                        </v:textbox>
                      </v:shape>
                      <v:shape id="Text Box 128" o:spid="_x0000_s1026" o:spt="202" type="#_x0000_t202" style="position:absolute;left:3744;top:1423;height:336;width:816;" filled="f" stroked="f" coordsize="21600,21600" o:gfxdata="UEsDBAoAAAAAAIdO4kAAAAAAAAAAAAAAAAAEAAAAZHJzL1BLAwQUAAAACACHTuJAbk0yR74AAADc&#10;AAAADwAAAGRycy9kb3ducmV2LnhtbEWPQWsCMRSE7wX/Q3hCbzVRi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0yR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24"/>
                                </w:rPr>
                              </w:pPr>
                              <w:r>
                                <w:rPr>
                                  <w:rFonts w:hint="eastAsia"/>
                                  <w:sz w:val="22"/>
                                  <w:szCs w:val="22"/>
                                </w:rPr>
                                <w:t>噪声N4</w:t>
                              </w:r>
                            </w:p>
                          </w:txbxContent>
                        </v:textbox>
                      </v:shape>
                      <v:line id="Line 129" o:spid="_x0000_s1026" o:spt="20" style="position:absolute;left:3420;top:1675;flip:y;height:312;width:360;" filled="f" stroked="t" coordsize="21600,21600" o:gfxdata="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gjO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130" o:spid="_x0000_s1026" o:spt="202" type="#_x0000_t202" style="position:absolute;left:7632;top:1912;height:651;width:1428;" filled="f" stroked="f" coordsize="21600,21600" o:gfxdata="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MJ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22"/>
                                  <w:szCs w:val="22"/>
                                </w:rPr>
                              </w:pPr>
                              <w:r>
                                <w:rPr>
                                  <w:rFonts w:hint="eastAsia"/>
                                  <w:sz w:val="22"/>
                                  <w:szCs w:val="22"/>
                                </w:rPr>
                                <w:t>排气筒排放</w:t>
                              </w:r>
                            </w:p>
                            <w:p>
                              <w:pPr>
                                <w:rPr>
                                  <w:sz w:val="24"/>
                                </w:rPr>
                              </w:pPr>
                              <w:r>
                                <w:rPr>
                                  <w:rFonts w:hint="eastAsia"/>
                                  <w:sz w:val="22"/>
                                  <w:szCs w:val="22"/>
                                </w:rPr>
                                <w:t>G2、G3</w:t>
                              </w:r>
                            </w:p>
                          </w:txbxContent>
                        </v:textbox>
                      </v:shape>
                      <v:line id="Line 131" o:spid="_x0000_s1026" o:spt="20" style="position:absolute;left:5832;top:1507;flip:y;height:397;width:0;" filled="f" stroked="t" coordsize="21600,21600" o:gfxdata="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HAh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132" o:spid="_x0000_s1026" o:spt="202" type="#_x0000_t202" style="position:absolute;left:5388;top:1267;height:288;width:1417;" filled="f" stroked="f" coordsize="21600,21600" o:gfxdata="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wA4Q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sz w:val="24"/>
                                </w:rPr>
                              </w:pPr>
                              <w:r>
                                <w:rPr>
                                  <w:rFonts w:hint="eastAsia"/>
                                  <w:sz w:val="22"/>
                                  <w:szCs w:val="22"/>
                                </w:rPr>
                                <w:t>废渣S3</w:t>
                              </w:r>
                            </w:p>
                          </w:txbxContent>
                        </v:textbox>
                      </v:shape>
                      <v:line id="Line 133" o:spid="_x0000_s1026" o:spt="20" style="position:absolute;left:1212;top:3199;height:0;width:720;" filled="f" stroked="t" coordsize="21600,21600" o:gfxdata="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xN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34" o:spid="_x0000_s1026" o:spt="202" type="#_x0000_t202" style="position:absolute;left:384;top:3391;height:340;width:850;" fillcolor="#FFFFFF" filled="t" stroked="f" coordsize="21600,21600" o:gfxdata="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WRX2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jc w:val="center"/>
                                <w:rPr>
                                  <w:sz w:val="24"/>
                                </w:rPr>
                              </w:pPr>
                              <w:r>
                                <w:rPr>
                                  <w:rFonts w:hint="eastAsia"/>
                                  <w:sz w:val="24"/>
                                </w:rPr>
                                <w:t>天然气</w:t>
                              </w:r>
                            </w:p>
                          </w:txbxContent>
                        </v:textbox>
                      </v:shape>
                      <v:line id="Line 135" o:spid="_x0000_s1026" o:spt="20" style="position:absolute;left:5700;top:2815;flip:y;height:283;width:0;" filled="f" stroked="t" coordsize="21600,21600" o:gfxdata="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go2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36" o:spid="_x0000_s1026" o:spt="202" type="#_x0000_t202" style="position:absolute;left:5256;top:2599;height:348;width:780;" filled="f" stroked="f" coordsize="21600,21600" o:gfxdata="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GZd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24"/>
                                </w:rPr>
                              </w:pPr>
                              <w:r>
                                <w:rPr>
                                  <w:rFonts w:hint="eastAsia"/>
                                  <w:sz w:val="22"/>
                                  <w:szCs w:val="22"/>
                                </w:rPr>
                                <w:t>固废S4</w:t>
                              </w:r>
                            </w:p>
                          </w:txbxContent>
                        </v:textbox>
                      </v:shape>
                      <v:shape id="Text Box 137" o:spid="_x0000_s1026" o:spt="202" type="#_x0000_t202" style="position:absolute;left:7380;top:3031;height:651;width:1428;" filled="f" stroked="f" coordsize="21600,21600" o:gfxdata="UEsDBAoAAAAAAIdO4kAAAAAAAAAAAAAAAAAEAAAAZHJzL1BLAwQUAAAACACHTuJAZH087r8AAADc&#10;AAAADwAAAGRycy9kb3ducmV2LnhtbEWPzWrDMBCE74W+g9hCb42UF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9PO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22"/>
                                  <w:szCs w:val="22"/>
                                </w:rPr>
                              </w:pPr>
                              <w:r>
                                <w:rPr>
                                  <w:rFonts w:hint="eastAsia"/>
                                  <w:sz w:val="22"/>
                                  <w:szCs w:val="22"/>
                                </w:rPr>
                                <w:t>排气筒排放</w:t>
                              </w:r>
                            </w:p>
                            <w:p>
                              <w:pPr>
                                <w:rPr>
                                  <w:sz w:val="24"/>
                                </w:rPr>
                              </w:pPr>
                              <w:r>
                                <w:rPr>
                                  <w:rFonts w:hint="eastAsia"/>
                                  <w:sz w:val="22"/>
                                  <w:szCs w:val="22"/>
                                </w:rPr>
                                <w:t>G12~G19</w:t>
                              </w:r>
                            </w:p>
                          </w:txbxContent>
                        </v:textbox>
                      </v:shape>
                      <v:shape id="Text Box 138" o:spid="_x0000_s1026" o:spt="202" type="#_x0000_t202" style="position:absolute;left:5172;top:5287;height:583;width:1368;" fillcolor="#FFFFFF" filled="t" stroked="t" coordsize="21600,21600" o:gfxdata="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xee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jc w:val="center"/>
                                <w:rPr>
                                  <w:sz w:val="24"/>
                                </w:rPr>
                              </w:pPr>
                              <w:r>
                                <w:rPr>
                                  <w:rFonts w:hint="eastAsia"/>
                                </w:rPr>
                                <w:t>滤筒干式过滤除尘装置</w:t>
                              </w:r>
                            </w:p>
                          </w:txbxContent>
                        </v:textbox>
                      </v:shape>
                      <v:line id="Line 139" o:spid="_x0000_s1026" o:spt="20" style="position:absolute;left:5844;top:4874;flip:y;height:397;width:0;" filled="f" stroked="t" coordsize="21600,21600" o:gfxdata="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W6V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140" o:spid="_x0000_s1026" o:spt="202" type="#_x0000_t202" style="position:absolute;left:5388;top:4658;height:288;width:1417;"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24"/>
                                </w:rPr>
                              </w:pPr>
                              <w:r>
                                <w:rPr>
                                  <w:rFonts w:hint="eastAsia"/>
                                  <w:sz w:val="22"/>
                                  <w:szCs w:val="22"/>
                                </w:rPr>
                                <w:t>废渣S5</w:t>
                              </w:r>
                            </w:p>
                          </w:txbxContent>
                        </v:textbox>
                      </v:shape>
                      <v:shape id="Text Box 141" o:spid="_x0000_s1026" o:spt="202" type="#_x0000_t202" style="position:absolute;left:4056;top:5035;height:660;width:1056;"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40" w:lineRule="atLeast"/>
                                <w:jc w:val="center"/>
                                <w:rPr>
                                  <w:sz w:val="22"/>
                                  <w:szCs w:val="22"/>
                                </w:rPr>
                              </w:pPr>
                              <w:r>
                                <w:rPr>
                                  <w:rFonts w:hint="eastAsia"/>
                                  <w:sz w:val="22"/>
                                  <w:szCs w:val="22"/>
                                </w:rPr>
                                <w:t>粉尘</w:t>
                              </w:r>
                            </w:p>
                            <w:p>
                              <w:pPr>
                                <w:spacing w:line="240" w:lineRule="atLeast"/>
                                <w:jc w:val="center"/>
                                <w:rPr>
                                  <w:sz w:val="22"/>
                                  <w:szCs w:val="22"/>
                                </w:rPr>
                              </w:pPr>
                              <w:r>
                                <w:rPr>
                                  <w:rFonts w:hint="eastAsia"/>
                                  <w:sz w:val="22"/>
                                  <w:szCs w:val="22"/>
                                </w:rPr>
                                <w:t>G4～G11</w:t>
                              </w:r>
                            </w:p>
                          </w:txbxContent>
                        </v:textbox>
                      </v:shape>
                      <v:line id="Line 142" o:spid="_x0000_s1026" o:spt="20" style="position:absolute;left:6552;top:5599;height:0;width:1020;" filled="f" stroked="t" coordsize="21600,21600" o:gfxdata="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kBk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Text Box 143" o:spid="_x0000_s1026" o:spt="202" type="#_x0000_t202" style="position:absolute;left:7608;top:5275;height:651;width:1428;"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22"/>
                                  <w:szCs w:val="22"/>
                                </w:rPr>
                              </w:pPr>
                              <w:r>
                                <w:rPr>
                                  <w:rFonts w:hint="eastAsia"/>
                                  <w:sz w:val="22"/>
                                  <w:szCs w:val="22"/>
                                </w:rPr>
                                <w:t>排气筒排放</w:t>
                              </w:r>
                            </w:p>
                            <w:p>
                              <w:pPr>
                                <w:rPr>
                                  <w:sz w:val="24"/>
                                </w:rPr>
                              </w:pPr>
                              <w:r>
                                <w:rPr>
                                  <w:rFonts w:hint="eastAsia"/>
                                  <w:sz w:val="22"/>
                                  <w:szCs w:val="22"/>
                                </w:rPr>
                                <w:t>G4～G11</w:t>
                              </w:r>
                            </w:p>
                          </w:txbxContent>
                        </v:textbox>
                      </v:shape>
                      <v:shape id="Text Box 144" o:spid="_x0000_s1026" o:spt="202" type="#_x0000_t202" style="position:absolute;left:6516;top:5035;height:660;width:1056;" filled="f" stroked="f" coordsize="21600,21600"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40" w:lineRule="atLeast"/>
                                <w:jc w:val="center"/>
                                <w:rPr>
                                  <w:sz w:val="22"/>
                                  <w:szCs w:val="22"/>
                                </w:rPr>
                              </w:pPr>
                              <w:r>
                                <w:rPr>
                                  <w:rFonts w:hint="eastAsia"/>
                                  <w:sz w:val="22"/>
                                  <w:szCs w:val="22"/>
                                </w:rPr>
                                <w:t>粉尘</w:t>
                              </w:r>
                            </w:p>
                            <w:p>
                              <w:pPr>
                                <w:spacing w:line="240" w:lineRule="atLeast"/>
                                <w:jc w:val="center"/>
                                <w:rPr>
                                  <w:sz w:val="22"/>
                                  <w:szCs w:val="22"/>
                                </w:rPr>
                              </w:pPr>
                              <w:r>
                                <w:rPr>
                                  <w:rFonts w:hint="eastAsia"/>
                                  <w:sz w:val="22"/>
                                  <w:szCs w:val="22"/>
                                </w:rPr>
                                <w:t>G4～G11</w:t>
                              </w:r>
                            </w:p>
                          </w:txbxContent>
                        </v:textbox>
                      </v:shape>
                      <v:shape id="Text Box 145" o:spid="_x0000_s1026" o:spt="202" type="#_x0000_t202" style="position:absolute;left:4092;top:2731;height:624;width:1080;" filled="f" stroked="f" coordsize="21600,21600" o:gfxdata="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idG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 w:val="22"/>
                                  <w:szCs w:val="22"/>
                                </w:rPr>
                              </w:pPr>
                              <w:r>
                                <w:rPr>
                                  <w:rFonts w:hint="eastAsia"/>
                                  <w:sz w:val="22"/>
                                  <w:szCs w:val="22"/>
                                </w:rPr>
                                <w:t>有机废气G12～G19</w:t>
                              </w:r>
                            </w:p>
                          </w:txbxContent>
                        </v:textbox>
                      </v:shape>
                      <v:shape id="Text Box 146" o:spid="_x0000_s1026" o:spt="202" type="#_x0000_t202" style="position:absolute;left:6348;top:2803;height:624;width:1080;" filled="f" stroked="f" coordsize="21600,21600" o:gfxdata="UEsDBAoAAAAAAIdO4kAAAAAAAAAAAAAAAAAEAAAAZHJzL1BLAwQUAAAACACHTuJAldoDb74AAADc&#10;AAAADwAAAGRycy9kb3ducmV2LnhtbEWPT2sCMRTE7wW/Q3hCbzXRgt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oD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 w:val="22"/>
                                  <w:szCs w:val="22"/>
                                </w:rPr>
                              </w:pPr>
                              <w:r>
                                <w:rPr>
                                  <w:rFonts w:hint="eastAsia"/>
                                  <w:sz w:val="22"/>
                                  <w:szCs w:val="22"/>
                                </w:rPr>
                                <w:t>有机废气G12～G18</w:t>
                              </w:r>
                            </w:p>
                          </w:txbxContent>
                        </v:textbox>
                      </v:shape>
                      <v:shape id="Text Box 147" o:spid="_x0000_s1026" o:spt="202" type="#_x0000_t202" style="position:absolute;left:0;top:6367;height:400;width:1318;" fillcolor="#FFFFFF" filled="t" stroked="f" coordsize="21600,21600" o:gfxdata="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0EQ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jc w:val="center"/>
                                <w:rPr>
                                  <w:sz w:val="24"/>
                                </w:rPr>
                              </w:pPr>
                              <w:r>
                                <w:rPr>
                                  <w:rFonts w:hint="eastAsia"/>
                                  <w:sz w:val="24"/>
                                </w:rPr>
                                <w:t>中间层涂料</w:t>
                              </w:r>
                            </w:p>
                          </w:txbxContent>
                        </v:textbox>
                      </v:shape>
                      <v:line id="Line 148" o:spid="_x0000_s1026" o:spt="20" style="position:absolute;left:1212;top:6876;height:0;width:720;" filled="f" stroked="t" coordsize="21600,21600" o:gfxdata="UEsDBAoAAAAAAIdO4kAAAAAAAAAAAAAAAAAEAAAAZHJzL1BLAwQUAAAACACHTuJANEKWVMAAAADc&#10;AAAADwAAAGRycy9kb3ducmV2LnhtbEWPQWsCMRSE7wX/Q3hCbzXZtpR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QpZ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49" o:spid="_x0000_s1026" o:spt="20" style="position:absolute;left:1212;top:6547;height:0;width:720;" filled="f" stroked="t" coordsize="21600,21600" o:gfxdata="UEsDBAoAAAAAAIdO4kAAAAAAAAAAAAAAAAAEAAAAZHJzL1BLAwQUAAAACACHTuJAWw4zz8AAAADc&#10;AAAADwAAAGRycy9kb3ducmV2LnhtbEWPQWsCMRSE7wX/Q3hCbzXZlpZ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jP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150" o:spid="_x0000_s1026" o:spt="202" type="#_x0000_t202" style="position:absolute;left:420;top:6739;height:340;width:850;" fillcolor="#FFFFFF" filled="t" stroked="f" coordsize="21600,21600" o:gfxdata="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WOKI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jc w:val="center"/>
                                <w:rPr>
                                  <w:sz w:val="24"/>
                                </w:rPr>
                              </w:pPr>
                              <w:r>
                                <w:rPr>
                                  <w:rFonts w:hint="eastAsia"/>
                                  <w:sz w:val="24"/>
                                </w:rPr>
                                <w:t>天然气</w:t>
                              </w:r>
                            </w:p>
                          </w:txbxContent>
                        </v:textbox>
                      </v:shape>
                      <v:line id="Line 151" o:spid="_x0000_s1026" o:spt="20" style="position:absolute;left:4104;top:6679;height:0;width:1020;" filled="f" stroked="t" coordsize="21600,21600" o:gfxdata="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kAg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152" o:spid="_x0000_s1026" o:spt="202" type="#_x0000_t202" style="position:absolute;left:5148;top:6415;height:715;width:1260;" fillcolor="#FFFFFF" filled="t" stroked="t" coordsize="21600,21600" o:gfxdata="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Ixup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5mm,1.27mm,0.5mm,1.27mm">
                          <w:txbxContent>
                            <w:p>
                              <w:pPr>
                                <w:jc w:val="center"/>
                                <w:rPr>
                                  <w:sz w:val="22"/>
                                  <w:szCs w:val="22"/>
                                </w:rPr>
                              </w:pPr>
                              <w:r>
                                <w:rPr>
                                  <w:rFonts w:hint="eastAsia"/>
                                  <w:sz w:val="22"/>
                                  <w:szCs w:val="22"/>
                                </w:rPr>
                                <w:t>过滤棉、活性炭吸附</w:t>
                              </w:r>
                            </w:p>
                          </w:txbxContent>
                        </v:textbox>
                      </v:shape>
                      <v:line id="Line 153" o:spid="_x0000_s1026" o:spt="20" style="position:absolute;left:6420;top:6703;height:0;width:1020;" filled="f" stroked="t" coordsize="21600,21600" o:gfxdata="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Qzn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54" o:spid="_x0000_s1026" o:spt="20" style="position:absolute;left:5712;top:6146;flip:y;height:283;width:0;" filled="f" stroked="t" coordsize="21600,21600" o:gfxdata="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eCj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Text Box 155" o:spid="_x0000_s1026" o:spt="202" type="#_x0000_t202" style="position:absolute;left:5256;top:5942;height:348;width:780;" filled="f" stroked="f" coordsize="21600,21600" o:gfxdata="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ELx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24"/>
                                </w:rPr>
                              </w:pPr>
                              <w:r>
                                <w:rPr>
                                  <w:rFonts w:hint="eastAsia"/>
                                  <w:sz w:val="22"/>
                                  <w:szCs w:val="22"/>
                                </w:rPr>
                                <w:t>固废S6</w:t>
                              </w:r>
                            </w:p>
                          </w:txbxContent>
                        </v:textbox>
                      </v:shape>
                      <v:shape id="Text Box 156" o:spid="_x0000_s1026" o:spt="202" type="#_x0000_t202" style="position:absolute;left:7392;top:6362;height:651;width:1428;" filled="f" stroked="f" coordsize="21600,21600" o:gfxdata="UEsDBAoAAAAAAIdO4kAAAAAAAAAAAAAAAAAEAAAAZHJzL1BLAwQUAAAACACHTuJAEAOVsr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qbZB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OVs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22"/>
                                  <w:szCs w:val="22"/>
                                </w:rPr>
                              </w:pPr>
                              <w:r>
                                <w:rPr>
                                  <w:rFonts w:hint="eastAsia"/>
                                  <w:sz w:val="22"/>
                                  <w:szCs w:val="22"/>
                                </w:rPr>
                                <w:t>排气筒排放</w:t>
                              </w:r>
                            </w:p>
                            <w:p>
                              <w:pPr>
                                <w:rPr>
                                  <w:sz w:val="24"/>
                                </w:rPr>
                              </w:pPr>
                              <w:r>
                                <w:rPr>
                                  <w:rFonts w:hint="eastAsia"/>
                                  <w:sz w:val="22"/>
                                  <w:szCs w:val="22"/>
                                </w:rPr>
                                <w:t>G12~G19</w:t>
                              </w:r>
                            </w:p>
                          </w:txbxContent>
                        </v:textbox>
                      </v:shape>
                      <v:shape id="Text Box 157" o:spid="_x0000_s1026" o:spt="202" type="#_x0000_t202" style="position:absolute;left:4104;top:6062;height:624;width:1080;" filled="f" stroked="f" coordsize="21600,21600" o:gfxdata="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08w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 w:val="22"/>
                                  <w:szCs w:val="22"/>
                                </w:rPr>
                              </w:pPr>
                              <w:r>
                                <w:rPr>
                                  <w:rFonts w:hint="eastAsia"/>
                                  <w:sz w:val="22"/>
                                  <w:szCs w:val="22"/>
                                </w:rPr>
                                <w:t>有机废气G12～G19</w:t>
                              </w:r>
                            </w:p>
                          </w:txbxContent>
                        </v:textbox>
                      </v:shape>
                      <v:shape id="Text Box 158" o:spid="_x0000_s1026" o:spt="202" type="#_x0000_t202" style="position:absolute;left:6360;top:6134;height:624;width:1080;" filled="f" stroked="f" coordsize="21600,21600" o:gfxdata="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mqF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sz w:val="22"/>
                                  <w:szCs w:val="22"/>
                                </w:rPr>
                              </w:pPr>
                              <w:r>
                                <w:rPr>
                                  <w:rFonts w:hint="eastAsia"/>
                                  <w:sz w:val="22"/>
                                  <w:szCs w:val="22"/>
                                </w:rPr>
                                <w:t>有机废气G12～G19</w:t>
                              </w:r>
                            </w:p>
                          </w:txbxContent>
                        </v:textbox>
                      </v:shape>
                      <v:shape id="Text Box 159" o:spid="_x0000_s1026" o:spt="202" type="#_x0000_t202" style="position:absolute;left:5232;top:7507;height:583;width:1368;" fillcolor="#FFFFFF" filled="t" stroked="t" coordsize="21600,21600" o:gfxdata="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L3J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jc w:val="center"/>
                                <w:rPr>
                                  <w:sz w:val="24"/>
                                </w:rPr>
                              </w:pPr>
                              <w:r>
                                <w:rPr>
                                  <w:rFonts w:hint="eastAsia"/>
                                </w:rPr>
                                <w:t>滤筒干式过滤除尘装置</w:t>
                              </w:r>
                            </w:p>
                          </w:txbxContent>
                        </v:textbox>
                      </v:shape>
                      <v:line id="Line 160" o:spid="_x0000_s1026" o:spt="20" style="position:absolute;left:5904;top:8083;flip:y;height:283;width:0;" filled="f" stroked="t" coordsize="21600,21600" o:gfxdata="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T2hr4A&#10;AADc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shape id="Text Box 161" o:spid="_x0000_s1026" o:spt="202" type="#_x0000_t202" style="position:absolute;left:5472;top:8251;height:348;width:804;" filled="f" stroked="f" coordsize="21600,21600" o:gfxdata="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0Ni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24"/>
                                </w:rPr>
                              </w:pPr>
                              <w:r>
                                <w:rPr>
                                  <w:rFonts w:hint="eastAsia"/>
                                  <w:sz w:val="22"/>
                                  <w:szCs w:val="22"/>
                                </w:rPr>
                                <w:t>废渣S7</w:t>
                              </w:r>
                            </w:p>
                          </w:txbxContent>
                        </v:textbox>
                      </v:shape>
                      <v:shape id="Text Box 162" o:spid="_x0000_s1026" o:spt="202" type="#_x0000_t202" style="position:absolute;left:4116;top:7255;height:660;width:1056;" filled="f" stroked="f" coordsize="21600,21600" o:gfxdata="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uiW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40" w:lineRule="atLeast"/>
                                <w:jc w:val="center"/>
                                <w:rPr>
                                  <w:sz w:val="22"/>
                                  <w:szCs w:val="22"/>
                                </w:rPr>
                              </w:pPr>
                              <w:r>
                                <w:rPr>
                                  <w:rFonts w:hint="eastAsia"/>
                                  <w:sz w:val="22"/>
                                  <w:szCs w:val="22"/>
                                </w:rPr>
                                <w:t>粉尘</w:t>
                              </w:r>
                            </w:p>
                            <w:p>
                              <w:pPr>
                                <w:spacing w:line="240" w:lineRule="atLeast"/>
                                <w:jc w:val="center"/>
                                <w:rPr>
                                  <w:sz w:val="22"/>
                                  <w:szCs w:val="22"/>
                                </w:rPr>
                              </w:pPr>
                              <w:r>
                                <w:rPr>
                                  <w:rFonts w:hint="eastAsia"/>
                                  <w:sz w:val="22"/>
                                  <w:szCs w:val="22"/>
                                </w:rPr>
                                <w:t>G4～G11</w:t>
                              </w:r>
                            </w:p>
                          </w:txbxContent>
                        </v:textbox>
                      </v:shape>
                      <v:shape id="Text Box 163" o:spid="_x0000_s1026" o:spt="202" type="#_x0000_t202" style="position:absolute;left:7668;top:7495;height:651;width:1428;" filled="f" stroked="f" coordsize="21600,21600" o:gfxdata="UEsDBAoAAAAAAIdO4kAAAAAAAAAAAAAAAAAEAAAAZHJzL1BLAwQUAAAACACHTuJAHqcHw78AAADc&#10;AAAADwAAAGRycy9kb3ducmV2LnhtbEWPT2sCMRTE7wW/Q3gFbzXZC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nB8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22"/>
                                  <w:szCs w:val="22"/>
                                </w:rPr>
                              </w:pPr>
                              <w:r>
                                <w:rPr>
                                  <w:rFonts w:hint="eastAsia"/>
                                  <w:sz w:val="22"/>
                                  <w:szCs w:val="22"/>
                                </w:rPr>
                                <w:t>排气筒排放</w:t>
                              </w:r>
                            </w:p>
                            <w:p>
                              <w:pPr>
                                <w:rPr>
                                  <w:sz w:val="24"/>
                                </w:rPr>
                              </w:pPr>
                              <w:r>
                                <w:rPr>
                                  <w:rFonts w:hint="eastAsia"/>
                                  <w:sz w:val="22"/>
                                  <w:szCs w:val="22"/>
                                </w:rPr>
                                <w:t>G4～G11</w:t>
                              </w:r>
                            </w:p>
                          </w:txbxContent>
                        </v:textbox>
                      </v:shape>
                      <v:shape id="Text Box 164" o:spid="_x0000_s1026" o:spt="202" type="#_x0000_t202" style="position:absolute;left:6576;top:7255;height:660;width:1056;" filled="f" stroked="f" coordsize="21600,21600" o:gfxdata="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xZO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0" w:lineRule="atLeast"/>
                                <w:jc w:val="center"/>
                                <w:rPr>
                                  <w:sz w:val="22"/>
                                  <w:szCs w:val="22"/>
                                </w:rPr>
                              </w:pPr>
                              <w:r>
                                <w:rPr>
                                  <w:rFonts w:hint="eastAsia"/>
                                  <w:sz w:val="22"/>
                                  <w:szCs w:val="22"/>
                                </w:rPr>
                                <w:t>粉尘</w:t>
                              </w:r>
                            </w:p>
                            <w:p>
                              <w:pPr>
                                <w:spacing w:line="240" w:lineRule="atLeast"/>
                                <w:jc w:val="center"/>
                                <w:rPr>
                                  <w:sz w:val="22"/>
                                  <w:szCs w:val="22"/>
                                </w:rPr>
                              </w:pPr>
                              <w:r>
                                <w:rPr>
                                  <w:rFonts w:hint="eastAsia"/>
                                  <w:sz w:val="22"/>
                                  <w:szCs w:val="22"/>
                                </w:rPr>
                                <w:t>G4～G11</w:t>
                              </w:r>
                            </w:p>
                          </w:txbxContent>
                        </v:textbox>
                      </v:shape>
                      <v:line id="Line 165" o:spid="_x0000_s1026" o:spt="20" style="position:absolute;left:4116;top:8976;height:0;width:1020;" filled="f" stroked="t" coordsize="21600,21600" o:gfxdata="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a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66" o:spid="_x0000_s1026" o:spt="202" type="#_x0000_t202" style="position:absolute;left:5172;top:8652;height:715;width:1260;" fillcolor="#FFFFFF" filled="t" stroked="t" coordsize="21600,21600" o:gfxdata="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fnAj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5mm,1.27mm,0.5mm,1.27mm">
                          <w:txbxContent>
                            <w:p>
                              <w:pPr>
                                <w:jc w:val="center"/>
                                <w:rPr>
                                  <w:sz w:val="22"/>
                                  <w:szCs w:val="22"/>
                                </w:rPr>
                              </w:pPr>
                              <w:r>
                                <w:rPr>
                                  <w:rFonts w:hint="eastAsia"/>
                                  <w:sz w:val="22"/>
                                  <w:szCs w:val="22"/>
                                </w:rPr>
                                <w:t>过滤棉、活性炭吸附</w:t>
                              </w:r>
                            </w:p>
                          </w:txbxContent>
                        </v:textbox>
                      </v:shape>
                      <v:line id="Line 167" o:spid="_x0000_s1026" o:spt="20" style="position:absolute;left:6444;top:8940;height:0;width:1020;" filled="f" stroked="t" coordsize="21600,21600" o:gfxdata="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eUk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68" o:spid="_x0000_s1026" o:spt="20" style="position:absolute;left:5832;top:9403;flip:y;height:283;width:0;" filled="f" stroked="t" coordsize="21600,21600" o:gfxdata="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1gfXvQAA&#10;ANwAAAAPAAAAAAAAAAEAIAAAACIAAABkcnMvZG93bnJldi54bWxQSwECFAAUAAAACACHTuJAMy8F&#10;njsAAAA5AAAAEAAAAAAAAAABACAAAAAMAQAAZHJzL3NoYXBleG1sLnhtbFBLBQYAAAAABgAGAFsB&#10;AAC2AwAAAAA=&#10;">
                        <v:fill on="f" focussize="0,0"/>
                        <v:stroke color="#000000" joinstyle="round" startarrow="block"/>
                        <v:imagedata o:title=""/>
                        <o:lock v:ext="edit" aspectratio="f"/>
                      </v:line>
                      <v:shape id="Text Box 169" o:spid="_x0000_s1026" o:spt="202" type="#_x0000_t202" style="position:absolute;left:5460;top:9643;height:348;width:780;" filled="f" stroked="f" coordsize="21600,21600" o:gfxdata="UEsDBAoAAAAAAIdO4kAAAAAAAAAAAAAAAAAEAAAAZHJzL1BLAwQUAAAACACHTuJAUYbHe78AAADc&#10;AAAADwAAAGRycy9kb3ducmV2LnhtbEWPT2sCMRTE70K/Q3gFb5qoVO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Gx3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24"/>
                                </w:rPr>
                              </w:pPr>
                              <w:r>
                                <w:rPr>
                                  <w:rFonts w:hint="eastAsia"/>
                                  <w:sz w:val="22"/>
                                  <w:szCs w:val="22"/>
                                </w:rPr>
                                <w:t>固废S8</w:t>
                              </w:r>
                            </w:p>
                          </w:txbxContent>
                        </v:textbox>
                      </v:shape>
                      <v:shape id="Text Box 170" o:spid="_x0000_s1026" o:spt="202" type="#_x0000_t202" style="position:absolute;left:7512;top:8599;height:651;width:1428;" filled="f" stroked="f" coordsize="21600,21600" o:gfxdata="UEsDBAoAAAAAAIdO4kAAAAAAAAAAAAAAAAAEAAAAZHJzL1BLAwQUAAAACACHTuJAoVRZD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RZD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22"/>
                                  <w:szCs w:val="22"/>
                                </w:rPr>
                              </w:pPr>
                              <w:r>
                                <w:rPr>
                                  <w:rFonts w:hint="eastAsia"/>
                                  <w:sz w:val="22"/>
                                  <w:szCs w:val="22"/>
                                </w:rPr>
                                <w:t>排气筒排放</w:t>
                              </w:r>
                            </w:p>
                            <w:p>
                              <w:pPr>
                                <w:rPr>
                                  <w:sz w:val="24"/>
                                </w:rPr>
                              </w:pPr>
                              <w:r>
                                <w:rPr>
                                  <w:rFonts w:hint="eastAsia"/>
                                  <w:sz w:val="22"/>
                                  <w:szCs w:val="22"/>
                                </w:rPr>
                                <w:t>G20~G27</w:t>
                              </w:r>
                            </w:p>
                          </w:txbxContent>
                        </v:textbox>
                      </v:shape>
                      <v:shape id="Text Box 171" o:spid="_x0000_s1026" o:spt="202" type="#_x0000_t202" style="position:absolute;left:4080;top:8407;height:624;width:1080;" filled="f" stroked="f" coordsize="21600,21600" o:gfxdata="UEsDBAoAAAAAAIdO4kAAAAAAAAAAAAAAAAAEAAAAZHJzL1BLAwQUAAAACACHTuJAzhj8l78AAADc&#10;AAAADwAAAGRycy9kb3ducmV2LnhtbEWPT2sCMRTE7wW/Q3iCt5qoYH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Y/J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sz w:val="22"/>
                                  <w:szCs w:val="22"/>
                                </w:rPr>
                              </w:pPr>
                              <w:r>
                                <w:rPr>
                                  <w:rFonts w:hint="eastAsia"/>
                                  <w:sz w:val="22"/>
                                  <w:szCs w:val="22"/>
                                </w:rPr>
                                <w:t>有机废气G20～G27</w:t>
                              </w:r>
                            </w:p>
                          </w:txbxContent>
                        </v:textbox>
                      </v:shape>
                      <v:shape id="Text Box 172" o:spid="_x0000_s1026" o:spt="202" type="#_x0000_t202" style="position:absolute;left:6384;top:8371;height:624;width:1080;" filled="f" stroked="f" coordsize="21600,21600" o:gfxdata="UEsDBAoAAAAAAIdO4kAAAAAAAAAAAAAAAAAEAAAAZHJzL1BLAwQUAAAACACHTuJAv4do5bwAAADc&#10;AAAADwAAAGRycy9kb3ducmV2LnhtbEVPW2vCMBR+H/gfwhH2NhMd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aO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sz w:val="22"/>
                                  <w:szCs w:val="22"/>
                                </w:rPr>
                              </w:pPr>
                              <w:r>
                                <w:rPr>
                                  <w:rFonts w:hint="eastAsia"/>
                                  <w:sz w:val="22"/>
                                  <w:szCs w:val="22"/>
                                </w:rPr>
                                <w:t>有机废气G12～G18</w:t>
                              </w:r>
                            </w:p>
                          </w:txbxContent>
                        </v:textbox>
                      </v:shape>
                      <v:line id="Line 173" o:spid="_x0000_s1026" o:spt="20" style="position:absolute;left:4164;top:7831;height:0;width:1020;" filled="f" stroked="t" coordsize="21600,21600" o:gfxdata="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9mW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74" o:spid="_x0000_s1026" o:spt="20" style="position:absolute;left:6612;top:7831;height:0;width:1020;" filled="f" stroked="t" coordsize="21600,21600" o:gfxdata="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FVr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175" o:spid="_x0000_s1026" o:spt="202" type="#_x0000_t202" style="position:absolute;left:4092;top:6979;height:336;width:816;" filled="f" stroked="f" coordsize="21600,21600" o:gfxdata="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RX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24"/>
                                </w:rPr>
                              </w:pPr>
                              <w:r>
                                <w:rPr>
                                  <w:rFonts w:hint="eastAsia"/>
                                  <w:sz w:val="22"/>
                                  <w:szCs w:val="22"/>
                                </w:rPr>
                                <w:t>噪声N5</w:t>
                              </w:r>
                            </w:p>
                          </w:txbxContent>
                        </v:textbox>
                      </v:shape>
                      <v:line id="Line 176" o:spid="_x0000_s1026" o:spt="20" style="position:absolute;left:3744;top:7171;flip:y;height:397;width:360;" filled="f" stroked="t" coordsize="21600,21600" o:gfxdata="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NW2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177" o:spid="_x0000_s1026" o:spt="202" type="#_x0000_t202" style="position:absolute;left:4128;top:4735;height:336;width:816;" filled="f" stroked="f" coordsize="21600,21600" o:gfxdata="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psS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24"/>
                                </w:rPr>
                              </w:pPr>
                              <w:r>
                                <w:rPr>
                                  <w:rFonts w:hint="eastAsia"/>
                                  <w:sz w:val="22"/>
                                  <w:szCs w:val="22"/>
                                </w:rPr>
                                <w:t>噪声N5</w:t>
                              </w:r>
                            </w:p>
                          </w:txbxContent>
                        </v:textbox>
                      </v:shape>
                      <v:line id="Line 178" o:spid="_x0000_s1026" o:spt="20" style="position:absolute;left:3780;top:4927;flip:y;height:397;width:360;" filled="f" stroked="t" coordsize="21600,21600" o:gfxdata="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kFB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179" o:spid="_x0000_s1026" o:spt="202" type="#_x0000_t202" style="position:absolute;left:480;top:8599;height:340;width:850;" fillcolor="#FFFFFF" filled="t" stroked="f" coordsize="21600,21600" o:gfxdata="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5rZC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jc w:val="center"/>
                                <w:rPr>
                                  <w:sz w:val="24"/>
                                </w:rPr>
                              </w:pPr>
                              <w:r>
                                <w:rPr>
                                  <w:rFonts w:hint="eastAsia"/>
                                  <w:sz w:val="24"/>
                                </w:rPr>
                                <w:t>面漆</w:t>
                              </w:r>
                            </w:p>
                          </w:txbxContent>
                        </v:textbox>
                      </v:shape>
                      <v:line id="Line 180" o:spid="_x0000_s1026" o:spt="20" style="position:absolute;left:1200;top:9096;height:0;width:720;" filled="f" stroked="t" coordsize="21600,21600" o:gfxdata="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wZw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81" o:spid="_x0000_s1026" o:spt="20" style="position:absolute;left:1200;top:8767;height:0;width:720;" filled="f" stroked="t" coordsize="21600,21600" o:gfxdata="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8wp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82" o:spid="_x0000_s1026" o:spt="202" type="#_x0000_t202" style="position:absolute;left:372;top:8959;height:340;width:850;" fillcolor="#FFFFFF" filled="t" stroked="f" coordsize="21600,21600" o:gfxdata="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ucZ3LgAAADcAAAA&#10;DwAAAAAAAAABACAAAAAiAAAAZHJzL2Rvd25yZXYueG1sUEsBAhQAFAAAAAgAh07iQDMvBZ47AAAA&#10;OQAAABAAAAAAAAAAAQAgAAAABwEAAGRycy9zaGFwZXhtbC54bWxQSwUGAAAAAAYABgBbAQAAsQMA&#10;AAAA&#10;">
                        <v:fill on="t" focussize="0,0"/>
                        <v:stroke on="f"/>
                        <v:imagedata o:title=""/>
                        <o:lock v:ext="edit" aspectratio="f"/>
                        <v:textbox inset="0mm,0mm,0mm,0mm">
                          <w:txbxContent>
                            <w:p>
                              <w:pPr>
                                <w:jc w:val="center"/>
                                <w:rPr>
                                  <w:sz w:val="24"/>
                                </w:rPr>
                              </w:pPr>
                              <w:r>
                                <w:rPr>
                                  <w:rFonts w:hint="eastAsia"/>
                                  <w:sz w:val="24"/>
                                </w:rPr>
                                <w:t>天然气</w:t>
                              </w:r>
                            </w:p>
                          </w:txbxContent>
                        </v:textbox>
                      </v:shape>
                    </v:group>
                  </w:pict>
                </mc:Fallback>
              </mc:AlternateContent>
            </w: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r>
              <w:rPr>
                <w:sz w:val="24"/>
              </w:rPr>
              <mc:AlternateContent>
                <mc:Choice Requires="wps">
                  <w:drawing>
                    <wp:anchor distT="0" distB="0" distL="114300" distR="114300" simplePos="0" relativeHeight="251662336" behindDoc="0" locked="0" layoutInCell="1" allowOverlap="1">
                      <wp:simplePos x="0" y="0"/>
                      <wp:positionH relativeFrom="column">
                        <wp:posOffset>1074420</wp:posOffset>
                      </wp:positionH>
                      <wp:positionV relativeFrom="paragraph">
                        <wp:posOffset>76200</wp:posOffset>
                      </wp:positionV>
                      <wp:extent cx="2514600" cy="297180"/>
                      <wp:effectExtent l="0" t="0" r="1905" b="0"/>
                      <wp:wrapNone/>
                      <wp:docPr id="246" name="文本框 246"/>
                      <wp:cNvGraphicFramePr/>
                      <a:graphic xmlns:a="http://schemas.openxmlformats.org/drawingml/2006/main">
                        <a:graphicData uri="http://schemas.microsoft.com/office/word/2010/wordprocessingShape">
                          <wps:wsp>
                            <wps:cNvSpPr txBox="1">
                              <a:spLocks noChangeArrowheads="1"/>
                            </wps:cNvSpPr>
                            <wps:spPr bwMode="auto">
                              <a:xfrm>
                                <a:off x="0" y="0"/>
                                <a:ext cx="2514600" cy="297180"/>
                              </a:xfrm>
                              <a:prstGeom prst="rect">
                                <a:avLst/>
                              </a:prstGeom>
                              <a:solidFill>
                                <a:srgbClr val="FFFFFF"/>
                              </a:solidFill>
                              <a:ln>
                                <a:noFill/>
                              </a:ln>
                            </wps:spPr>
                            <wps:txbx>
                              <w:txbxContent>
                                <w:p>
                                  <w:pPr>
                                    <w:jc w:val="center"/>
                                    <w:rPr>
                                      <w:b/>
                                      <w:sz w:val="24"/>
                                    </w:rPr>
                                  </w:pPr>
                                  <w:r>
                                    <w:rPr>
                                      <w:rFonts w:eastAsiaTheme="minorEastAsia"/>
                                      <w:b/>
                                      <w:sz w:val="24"/>
                                    </w:rPr>
                                    <w:t>图2-6 表面处理车间生产工艺流</w:t>
                                  </w:r>
                                  <w:r>
                                    <w:rPr>
                                      <w:rFonts w:hint="eastAsia"/>
                                      <w:b/>
                                      <w:sz w:val="24"/>
                                    </w:rPr>
                                    <w:t>程图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4.6pt;margin-top:6pt;height:23.4pt;width:198pt;z-index:251662336;mso-width-relative:page;mso-height-relative:page;" fillcolor="#FFFFFF" filled="t" stroked="f" coordsize="21600,21600" o:gfxdata="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H15sg1QAAAAkBAAAPAAAAAAAAAAEA&#10;IAAAACIAAABkcnMvZG93bnJldi54bWxQSwECFAAUAAAACACHTuJAOo8jxBICAAD0AwAADgAAAAAA&#10;AAABACAAAAAkAQAAZHJzL2Uyb0RvYy54bWxQSwUGAAAAAAYABgBZAQAAqAUAAAAA&#10;">
                      <v:fill on="t" focussize="0,0"/>
                      <v:stroke on="f"/>
                      <v:imagedata o:title=""/>
                      <o:lock v:ext="edit" aspectratio="f"/>
                      <v:textbox>
                        <w:txbxContent>
                          <w:p>
                            <w:pPr>
                              <w:jc w:val="center"/>
                              <w:rPr>
                                <w:b/>
                                <w:sz w:val="24"/>
                              </w:rPr>
                            </w:pPr>
                            <w:r>
                              <w:rPr>
                                <w:rFonts w:eastAsiaTheme="minorEastAsia"/>
                                <w:b/>
                                <w:sz w:val="24"/>
                              </w:rPr>
                              <w:t>图2-6 表面处理车间生产工艺流</w:t>
                            </w:r>
                            <w:r>
                              <w:rPr>
                                <w:rFonts w:hint="eastAsia"/>
                                <w:b/>
                                <w:sz w:val="24"/>
                              </w:rPr>
                              <w:t>程图</w:t>
                            </w:r>
                          </w:p>
                        </w:txbxContent>
                      </v:textbox>
                    </v:shape>
                  </w:pict>
                </mc:Fallback>
              </mc:AlternateContent>
            </w:r>
          </w:p>
          <w:p>
            <w:pPr>
              <w:adjustRightInd w:val="0"/>
              <w:snapToGrid w:val="0"/>
              <w:spacing w:line="360" w:lineRule="auto"/>
              <w:ind w:firstLine="480" w:firstLineChars="200"/>
              <w:rPr>
                <w:bCs/>
                <w:sz w:val="24"/>
              </w:rPr>
            </w:pPr>
          </w:p>
          <w:p>
            <w:pPr>
              <w:adjustRightInd w:val="0"/>
              <w:snapToGrid w:val="0"/>
              <w:spacing w:line="360" w:lineRule="auto"/>
              <w:ind w:firstLine="480" w:firstLineChars="200"/>
              <w:rPr>
                <w:bCs/>
                <w:sz w:val="24"/>
              </w:rPr>
            </w:pPr>
            <w:r>
              <w:rPr>
                <w:bCs/>
                <w:sz w:val="24"/>
              </w:rPr>
              <w:t>3、车辆总装车间</w:t>
            </w:r>
          </w:p>
          <w:p>
            <w:pPr>
              <w:tabs>
                <w:tab w:val="left" w:pos="993"/>
              </w:tabs>
              <w:spacing w:line="480" w:lineRule="atLeast"/>
              <w:ind w:firstLine="480" w:firstLineChars="200"/>
              <w:rPr>
                <w:sz w:val="24"/>
              </w:rPr>
            </w:pPr>
            <w:r>
              <w:rPr>
                <w:sz w:val="24"/>
              </w:rPr>
              <w:t>城轨车辆的生产由车体转换、总装、落车和机械调试等功能区域组成。</w:t>
            </w: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r>
              <w:rPr>
                <w:sz w:val="24"/>
              </w:rPr>
              <mc:AlternateContent>
                <mc:Choice Requires="wpg">
                  <w:drawing>
                    <wp:anchor distT="0" distB="0" distL="114300" distR="114300" simplePos="0" relativeHeight="251665408" behindDoc="0" locked="0" layoutInCell="1" allowOverlap="1">
                      <wp:simplePos x="0" y="0"/>
                      <wp:positionH relativeFrom="column">
                        <wp:posOffset>890905</wp:posOffset>
                      </wp:positionH>
                      <wp:positionV relativeFrom="paragraph">
                        <wp:posOffset>59690</wp:posOffset>
                      </wp:positionV>
                      <wp:extent cx="3890645" cy="5434965"/>
                      <wp:effectExtent l="0" t="0" r="14605" b="0"/>
                      <wp:wrapNone/>
                      <wp:docPr id="339" name="组合 339"/>
                      <wp:cNvGraphicFramePr/>
                      <a:graphic xmlns:a="http://schemas.openxmlformats.org/drawingml/2006/main">
                        <a:graphicData uri="http://schemas.microsoft.com/office/word/2010/wordprocessingGroup">
                          <wpg:wgp>
                            <wpg:cNvGrpSpPr/>
                            <wpg:grpSpPr>
                              <a:xfrm>
                                <a:off x="0" y="0"/>
                                <a:ext cx="3890645" cy="5434965"/>
                                <a:chOff x="0" y="0"/>
                                <a:chExt cx="7603" cy="8424"/>
                              </a:xfrm>
                            </wpg:grpSpPr>
                            <wps:wsp>
                              <wps:cNvPr id="340" name="Text Box 185"/>
                              <wps:cNvSpPr txBox="1">
                                <a:spLocks noChangeArrowheads="1"/>
                              </wps:cNvSpPr>
                              <wps:spPr bwMode="auto">
                                <a:xfrm>
                                  <a:off x="1483" y="7956"/>
                                  <a:ext cx="3960" cy="468"/>
                                </a:xfrm>
                                <a:prstGeom prst="rect">
                                  <a:avLst/>
                                </a:prstGeom>
                                <a:solidFill>
                                  <a:srgbClr val="FFFFFF"/>
                                </a:solidFill>
                                <a:ln>
                                  <a:noFill/>
                                </a:ln>
                              </wps:spPr>
                              <wps:txbx>
                                <w:txbxContent>
                                  <w:p>
                                    <w:pPr>
                                      <w:jc w:val="center"/>
                                      <w:rPr>
                                        <w:sz w:val="24"/>
                                      </w:rPr>
                                    </w:pPr>
                                    <w:r>
                                      <w:rPr>
                                        <w:rFonts w:eastAsiaTheme="minorEastAsia"/>
                                        <w:b/>
                                        <w:sz w:val="24"/>
                                      </w:rPr>
                                      <w:t>图2-7总装车间生产工艺</w:t>
                                    </w:r>
                                    <w:r>
                                      <w:rPr>
                                        <w:rFonts w:hint="eastAsia" w:ascii="黑体" w:hAnsi="黑体" w:eastAsia="黑体"/>
                                        <w:sz w:val="24"/>
                                      </w:rPr>
                                      <w:t>流程图</w:t>
                                    </w:r>
                                  </w:p>
                                  <w:p/>
                                </w:txbxContent>
                              </wps:txbx>
                              <wps:bodyPr rot="0" vert="horz" wrap="square" lIns="91440" tIns="45720" rIns="91440" bIns="45720" anchor="t" anchorCtr="0" upright="1">
                                <a:noAutofit/>
                              </wps:bodyPr>
                            </wps:wsp>
                            <wps:wsp>
                              <wps:cNvPr id="341" name="Text Box 186"/>
                              <wps:cNvSpPr txBox="1">
                                <a:spLocks noChangeArrowheads="1"/>
                              </wps:cNvSpPr>
                              <wps:spPr bwMode="auto">
                                <a:xfrm>
                                  <a:off x="1987" y="0"/>
                                  <a:ext cx="2268" cy="468"/>
                                </a:xfrm>
                                <a:prstGeom prst="rect">
                                  <a:avLst/>
                                </a:prstGeom>
                                <a:solidFill>
                                  <a:srgbClr val="FFFFFF"/>
                                </a:solidFill>
                                <a:ln>
                                  <a:noFill/>
                                </a:ln>
                              </wps:spPr>
                              <wps:txbx>
                                <w:txbxContent>
                                  <w:p>
                                    <w:pPr>
                                      <w:jc w:val="center"/>
                                      <w:rPr>
                                        <w:sz w:val="24"/>
                                      </w:rPr>
                                    </w:pPr>
                                    <w:r>
                                      <w:rPr>
                                        <w:rFonts w:hint="eastAsia"/>
                                        <w:sz w:val="24"/>
                                      </w:rPr>
                                      <w:t>表面处理车间车体</w:t>
                                    </w:r>
                                  </w:p>
                                </w:txbxContent>
                              </wps:txbx>
                              <wps:bodyPr rot="0" vert="horz" wrap="square" lIns="91440" tIns="45720" rIns="91440" bIns="45720" anchor="t" anchorCtr="0" upright="1">
                                <a:noAutofit/>
                              </wps:bodyPr>
                            </wps:wsp>
                            <wps:wsp>
                              <wps:cNvPr id="342" name="Text Box 187"/>
                              <wps:cNvSpPr txBox="1">
                                <a:spLocks noChangeArrowheads="1"/>
                              </wps:cNvSpPr>
                              <wps:spPr bwMode="auto">
                                <a:xfrm>
                                  <a:off x="2163" y="654"/>
                                  <a:ext cx="2160" cy="468"/>
                                </a:xfrm>
                                <a:prstGeom prst="rect">
                                  <a:avLst/>
                                </a:prstGeom>
                                <a:solidFill>
                                  <a:srgbClr val="FFFFFF"/>
                                </a:solidFill>
                                <a:ln w="9525" cmpd="sng">
                                  <a:solidFill>
                                    <a:srgbClr val="000000"/>
                                  </a:solidFill>
                                  <a:miter lim="800000"/>
                                </a:ln>
                              </wps:spPr>
                              <wps:txbx>
                                <w:txbxContent>
                                  <w:p>
                                    <w:pPr>
                                      <w:jc w:val="center"/>
                                      <w:rPr>
                                        <w:sz w:val="24"/>
                                      </w:rPr>
                                    </w:pPr>
                                    <w:r>
                                      <w:rPr>
                                        <w:rFonts w:hint="eastAsia"/>
                                        <w:sz w:val="24"/>
                                      </w:rPr>
                                      <w:t>外壳组装</w:t>
                                    </w:r>
                                  </w:p>
                                  <w:p>
                                    <w:pPr>
                                      <w:jc w:val="center"/>
                                    </w:pPr>
                                  </w:p>
                                </w:txbxContent>
                              </wps:txbx>
                              <wps:bodyPr rot="0" vert="horz" wrap="square" lIns="91440" tIns="45720" rIns="91440" bIns="45720" anchor="t" anchorCtr="0" upright="1">
                                <a:noAutofit/>
                              </wps:bodyPr>
                            </wps:wsp>
                            <wps:wsp>
                              <wps:cNvPr id="343" name="Line 188"/>
                              <wps:cNvCnPr>
                                <a:cxnSpLocks noChangeShapeType="1"/>
                              </wps:cNvCnPr>
                              <wps:spPr bwMode="auto">
                                <a:xfrm>
                                  <a:off x="3243" y="333"/>
                                  <a:ext cx="0" cy="309"/>
                                </a:xfrm>
                                <a:prstGeom prst="line">
                                  <a:avLst/>
                                </a:prstGeom>
                                <a:noFill/>
                                <a:ln w="9525" cmpd="sng">
                                  <a:solidFill>
                                    <a:srgbClr val="000000"/>
                                  </a:solidFill>
                                  <a:round/>
                                  <a:tailEnd type="triangle" w="med" len="med"/>
                                </a:ln>
                              </wps:spPr>
                              <wps:bodyPr/>
                            </wps:wsp>
                            <wps:wsp>
                              <wps:cNvPr id="344" name="Line 189"/>
                              <wps:cNvCnPr>
                                <a:cxnSpLocks noChangeShapeType="1"/>
                              </wps:cNvCnPr>
                              <wps:spPr bwMode="auto">
                                <a:xfrm>
                                  <a:off x="3243" y="1134"/>
                                  <a:ext cx="0" cy="624"/>
                                </a:xfrm>
                                <a:prstGeom prst="line">
                                  <a:avLst/>
                                </a:prstGeom>
                                <a:noFill/>
                                <a:ln w="9525" cmpd="sng">
                                  <a:solidFill>
                                    <a:srgbClr val="000000"/>
                                  </a:solidFill>
                                  <a:round/>
                                  <a:tailEnd type="triangle" w="med" len="med"/>
                                </a:ln>
                              </wps:spPr>
                              <wps:bodyPr/>
                            </wps:wsp>
                            <wps:wsp>
                              <wps:cNvPr id="345" name="Text Box 190"/>
                              <wps:cNvSpPr txBox="1">
                                <a:spLocks noChangeArrowheads="1"/>
                              </wps:cNvSpPr>
                              <wps:spPr bwMode="auto">
                                <a:xfrm>
                                  <a:off x="2163" y="1782"/>
                                  <a:ext cx="2160" cy="468"/>
                                </a:xfrm>
                                <a:prstGeom prst="rect">
                                  <a:avLst/>
                                </a:prstGeom>
                                <a:solidFill>
                                  <a:srgbClr val="FFFFFF"/>
                                </a:solidFill>
                                <a:ln w="9525" cmpd="sng">
                                  <a:solidFill>
                                    <a:srgbClr val="000000"/>
                                  </a:solidFill>
                                  <a:miter lim="800000"/>
                                </a:ln>
                              </wps:spPr>
                              <wps:txbx>
                                <w:txbxContent>
                                  <w:p>
                                    <w:pPr>
                                      <w:jc w:val="center"/>
                                      <w:rPr>
                                        <w:sz w:val="24"/>
                                      </w:rPr>
                                    </w:pPr>
                                    <w:r>
                                      <w:rPr>
                                        <w:rFonts w:hint="eastAsia"/>
                                        <w:sz w:val="24"/>
                                      </w:rPr>
                                      <w:t>车体淋雨检查</w:t>
                                    </w:r>
                                  </w:p>
                                </w:txbxContent>
                              </wps:txbx>
                              <wps:bodyPr rot="0" vert="horz" wrap="square" lIns="91440" tIns="45720" rIns="91440" bIns="45720" anchor="t" anchorCtr="0" upright="1">
                                <a:noAutofit/>
                              </wps:bodyPr>
                            </wps:wsp>
                            <wps:wsp>
                              <wps:cNvPr id="346" name="Line 191"/>
                              <wps:cNvCnPr>
                                <a:cxnSpLocks noChangeShapeType="1"/>
                              </wps:cNvCnPr>
                              <wps:spPr bwMode="auto">
                                <a:xfrm>
                                  <a:off x="3243" y="2262"/>
                                  <a:ext cx="0" cy="624"/>
                                </a:xfrm>
                                <a:prstGeom prst="line">
                                  <a:avLst/>
                                </a:prstGeom>
                                <a:noFill/>
                                <a:ln w="9525" cmpd="sng">
                                  <a:solidFill>
                                    <a:srgbClr val="000000"/>
                                  </a:solidFill>
                                  <a:round/>
                                  <a:tailEnd type="triangle" w="med" len="med"/>
                                </a:ln>
                              </wps:spPr>
                              <wps:bodyPr/>
                            </wps:wsp>
                            <wps:wsp>
                              <wps:cNvPr id="347" name="Text Box 192"/>
                              <wps:cNvSpPr txBox="1">
                                <a:spLocks noChangeArrowheads="1"/>
                              </wps:cNvSpPr>
                              <wps:spPr bwMode="auto">
                                <a:xfrm>
                                  <a:off x="2163" y="2898"/>
                                  <a:ext cx="2160" cy="468"/>
                                </a:xfrm>
                                <a:prstGeom prst="rect">
                                  <a:avLst/>
                                </a:prstGeom>
                                <a:solidFill>
                                  <a:srgbClr val="FFFFFF"/>
                                </a:solidFill>
                                <a:ln w="9525" cmpd="sng">
                                  <a:solidFill>
                                    <a:srgbClr val="000000"/>
                                  </a:solidFill>
                                  <a:miter lim="800000"/>
                                </a:ln>
                              </wps:spPr>
                              <wps:txbx>
                                <w:txbxContent>
                                  <w:p>
                                    <w:pPr>
                                      <w:jc w:val="center"/>
                                      <w:rPr>
                                        <w:sz w:val="24"/>
                                      </w:rPr>
                                    </w:pPr>
                                    <w:r>
                                      <w:rPr>
                                        <w:rFonts w:hint="eastAsia"/>
                                        <w:sz w:val="24"/>
                                      </w:rPr>
                                      <w:t>地板安装</w:t>
                                    </w:r>
                                  </w:p>
                                </w:txbxContent>
                              </wps:txbx>
                              <wps:bodyPr rot="0" vert="horz" wrap="square" lIns="91440" tIns="45720" rIns="91440" bIns="45720" anchor="t" anchorCtr="0" upright="1">
                                <a:noAutofit/>
                              </wps:bodyPr>
                            </wps:wsp>
                            <wps:wsp>
                              <wps:cNvPr id="348" name="Line 193"/>
                              <wps:cNvCnPr>
                                <a:cxnSpLocks noChangeShapeType="1"/>
                              </wps:cNvCnPr>
                              <wps:spPr bwMode="auto">
                                <a:xfrm>
                                  <a:off x="3243" y="3378"/>
                                  <a:ext cx="0" cy="624"/>
                                </a:xfrm>
                                <a:prstGeom prst="line">
                                  <a:avLst/>
                                </a:prstGeom>
                                <a:noFill/>
                                <a:ln w="9525" cmpd="sng">
                                  <a:solidFill>
                                    <a:srgbClr val="000000"/>
                                  </a:solidFill>
                                  <a:round/>
                                  <a:tailEnd type="triangle" w="med" len="med"/>
                                </a:ln>
                              </wps:spPr>
                              <wps:bodyPr/>
                            </wps:wsp>
                            <wps:wsp>
                              <wps:cNvPr id="349" name="Text Box 194"/>
                              <wps:cNvSpPr txBox="1">
                                <a:spLocks noChangeArrowheads="1"/>
                              </wps:cNvSpPr>
                              <wps:spPr bwMode="auto">
                                <a:xfrm>
                                  <a:off x="1731" y="4014"/>
                                  <a:ext cx="3060" cy="468"/>
                                </a:xfrm>
                                <a:prstGeom prst="rect">
                                  <a:avLst/>
                                </a:prstGeom>
                                <a:solidFill>
                                  <a:srgbClr val="FFFFFF"/>
                                </a:solidFill>
                                <a:ln w="9525" cmpd="sng">
                                  <a:solidFill>
                                    <a:srgbClr val="000000"/>
                                  </a:solidFill>
                                  <a:miter lim="800000"/>
                                </a:ln>
                              </wps:spPr>
                              <wps:txbx>
                                <w:txbxContent>
                                  <w:p>
                                    <w:pPr>
                                      <w:jc w:val="center"/>
                                      <w:rPr>
                                        <w:sz w:val="24"/>
                                      </w:rPr>
                                    </w:pPr>
                                    <w:r>
                                      <w:rPr>
                                        <w:rFonts w:hint="eastAsia"/>
                                        <w:sz w:val="24"/>
                                      </w:rPr>
                                      <w:t>电气柜、车内配线、配管</w:t>
                                    </w:r>
                                  </w:p>
                                </w:txbxContent>
                              </wps:txbx>
                              <wps:bodyPr rot="0" vert="horz" wrap="square" lIns="91440" tIns="45720" rIns="91440" bIns="45720" anchor="t" anchorCtr="0" upright="1">
                                <a:noAutofit/>
                              </wps:bodyPr>
                            </wps:wsp>
                            <wps:wsp>
                              <wps:cNvPr id="350" name="Line 195"/>
                              <wps:cNvCnPr>
                                <a:cxnSpLocks noChangeShapeType="1"/>
                              </wps:cNvCnPr>
                              <wps:spPr bwMode="auto">
                                <a:xfrm>
                                  <a:off x="3243" y="4494"/>
                                  <a:ext cx="0" cy="397"/>
                                </a:xfrm>
                                <a:prstGeom prst="line">
                                  <a:avLst/>
                                </a:prstGeom>
                                <a:noFill/>
                                <a:ln w="9525" cmpd="sng">
                                  <a:solidFill>
                                    <a:srgbClr val="000000"/>
                                  </a:solidFill>
                                  <a:round/>
                                  <a:tailEnd type="triangle" w="med" len="med"/>
                                </a:ln>
                              </wps:spPr>
                              <wps:bodyPr/>
                            </wps:wsp>
                            <wps:wsp>
                              <wps:cNvPr id="351" name="Text Box 196"/>
                              <wps:cNvSpPr txBox="1">
                                <a:spLocks noChangeArrowheads="1"/>
                              </wps:cNvSpPr>
                              <wps:spPr bwMode="auto">
                                <a:xfrm>
                                  <a:off x="2167" y="4902"/>
                                  <a:ext cx="2160" cy="468"/>
                                </a:xfrm>
                                <a:prstGeom prst="rect">
                                  <a:avLst/>
                                </a:prstGeom>
                                <a:solidFill>
                                  <a:srgbClr val="FFFFFF"/>
                                </a:solidFill>
                                <a:ln w="9525" cmpd="sng">
                                  <a:solidFill>
                                    <a:srgbClr val="000000"/>
                                  </a:solidFill>
                                  <a:miter lim="800000"/>
                                </a:ln>
                              </wps:spPr>
                              <wps:txbx>
                                <w:txbxContent>
                                  <w:p>
                                    <w:pPr>
                                      <w:jc w:val="center"/>
                                      <w:rPr>
                                        <w:sz w:val="24"/>
                                      </w:rPr>
                                    </w:pPr>
                                    <w:r>
                                      <w:rPr>
                                        <w:rFonts w:hint="eastAsia"/>
                                        <w:sz w:val="24"/>
                                      </w:rPr>
                                      <w:t>内装安装</w:t>
                                    </w:r>
                                  </w:p>
                                </w:txbxContent>
                              </wps:txbx>
                              <wps:bodyPr rot="0" vert="horz" wrap="square" lIns="91440" tIns="45720" rIns="91440" bIns="45720" anchor="t" anchorCtr="0" upright="1">
                                <a:noAutofit/>
                              </wps:bodyPr>
                            </wps:wsp>
                            <wps:wsp>
                              <wps:cNvPr id="352" name="Line 197"/>
                              <wps:cNvCnPr>
                                <a:cxnSpLocks noChangeShapeType="1"/>
                              </wps:cNvCnPr>
                              <wps:spPr bwMode="auto">
                                <a:xfrm>
                                  <a:off x="3247" y="5382"/>
                                  <a:ext cx="0" cy="397"/>
                                </a:xfrm>
                                <a:prstGeom prst="line">
                                  <a:avLst/>
                                </a:prstGeom>
                                <a:noFill/>
                                <a:ln w="9525" cmpd="sng">
                                  <a:solidFill>
                                    <a:srgbClr val="000000"/>
                                  </a:solidFill>
                                  <a:round/>
                                  <a:tailEnd type="triangle" w="med" len="med"/>
                                </a:ln>
                              </wps:spPr>
                              <wps:bodyPr/>
                            </wps:wsp>
                            <wps:wsp>
                              <wps:cNvPr id="353" name="Text Box 198"/>
                              <wps:cNvSpPr txBox="1">
                                <a:spLocks noChangeArrowheads="1"/>
                              </wps:cNvSpPr>
                              <wps:spPr bwMode="auto">
                                <a:xfrm>
                                  <a:off x="2167" y="5779"/>
                                  <a:ext cx="2160" cy="468"/>
                                </a:xfrm>
                                <a:prstGeom prst="rect">
                                  <a:avLst/>
                                </a:prstGeom>
                                <a:solidFill>
                                  <a:srgbClr val="FFFFFF"/>
                                </a:solidFill>
                                <a:ln w="9525" cmpd="sng">
                                  <a:solidFill>
                                    <a:srgbClr val="000000"/>
                                  </a:solidFill>
                                  <a:miter lim="800000"/>
                                </a:ln>
                              </wps:spPr>
                              <wps:txbx>
                                <w:txbxContent>
                                  <w:p>
                                    <w:pPr>
                                      <w:jc w:val="center"/>
                                      <w:rPr>
                                        <w:sz w:val="24"/>
                                      </w:rPr>
                                    </w:pPr>
                                    <w:r>
                                      <w:rPr>
                                        <w:rFonts w:hint="eastAsia"/>
                                        <w:sz w:val="24"/>
                                      </w:rPr>
                                      <w:t>落车</w:t>
                                    </w:r>
                                  </w:p>
                                </w:txbxContent>
                              </wps:txbx>
                              <wps:bodyPr rot="0" vert="horz" wrap="square" lIns="91440" tIns="45720" rIns="91440" bIns="45720" anchor="t" anchorCtr="0" upright="1">
                                <a:noAutofit/>
                              </wps:bodyPr>
                            </wps:wsp>
                            <wps:wsp>
                              <wps:cNvPr id="354" name="Text Box 199"/>
                              <wps:cNvSpPr txBox="1">
                                <a:spLocks noChangeArrowheads="1"/>
                              </wps:cNvSpPr>
                              <wps:spPr bwMode="auto">
                                <a:xfrm>
                                  <a:off x="0" y="4925"/>
                                  <a:ext cx="1620" cy="468"/>
                                </a:xfrm>
                                <a:prstGeom prst="rect">
                                  <a:avLst/>
                                </a:prstGeom>
                                <a:solidFill>
                                  <a:srgbClr val="FFFFFF"/>
                                </a:solidFill>
                                <a:ln>
                                  <a:noFill/>
                                </a:ln>
                              </wps:spPr>
                              <wps:txbx>
                                <w:txbxContent>
                                  <w:p>
                                    <w:pPr>
                                      <w:jc w:val="center"/>
                                      <w:rPr>
                                        <w:sz w:val="24"/>
                                      </w:rPr>
                                    </w:pPr>
                                    <w:r>
                                      <w:rPr>
                                        <w:rFonts w:hint="eastAsia"/>
                                        <w:sz w:val="24"/>
                                      </w:rPr>
                                      <w:t>空调机组</w:t>
                                    </w:r>
                                  </w:p>
                                </w:txbxContent>
                              </wps:txbx>
                              <wps:bodyPr rot="0" vert="horz" wrap="square" lIns="91440" tIns="45720" rIns="91440" bIns="45720" anchor="t" anchorCtr="0" upright="1">
                                <a:noAutofit/>
                              </wps:bodyPr>
                            </wps:wsp>
                            <wps:wsp>
                              <wps:cNvPr id="355" name="Line 200"/>
                              <wps:cNvCnPr>
                                <a:cxnSpLocks noChangeShapeType="1"/>
                              </wps:cNvCnPr>
                              <wps:spPr bwMode="auto">
                                <a:xfrm>
                                  <a:off x="1440" y="5153"/>
                                  <a:ext cx="720" cy="0"/>
                                </a:xfrm>
                                <a:prstGeom prst="line">
                                  <a:avLst/>
                                </a:prstGeom>
                                <a:noFill/>
                                <a:ln w="9525" cmpd="sng">
                                  <a:solidFill>
                                    <a:srgbClr val="000000"/>
                                  </a:solidFill>
                                  <a:round/>
                                  <a:tailEnd type="triangle" w="med" len="med"/>
                                </a:ln>
                              </wps:spPr>
                              <wps:bodyPr/>
                            </wps:wsp>
                            <wps:wsp>
                              <wps:cNvPr id="356" name="Line 201"/>
                              <wps:cNvCnPr>
                                <a:cxnSpLocks noChangeShapeType="1"/>
                              </wps:cNvCnPr>
                              <wps:spPr bwMode="auto">
                                <a:xfrm>
                                  <a:off x="3247" y="6259"/>
                                  <a:ext cx="0" cy="397"/>
                                </a:xfrm>
                                <a:prstGeom prst="line">
                                  <a:avLst/>
                                </a:prstGeom>
                                <a:noFill/>
                                <a:ln w="9525" cmpd="sng">
                                  <a:solidFill>
                                    <a:srgbClr val="000000"/>
                                  </a:solidFill>
                                  <a:round/>
                                  <a:tailEnd type="triangle" w="med" len="med"/>
                                </a:ln>
                              </wps:spPr>
                              <wps:bodyPr/>
                            </wps:wsp>
                            <wps:wsp>
                              <wps:cNvPr id="357" name="Text Box 202"/>
                              <wps:cNvSpPr txBox="1">
                                <a:spLocks noChangeArrowheads="1"/>
                              </wps:cNvSpPr>
                              <wps:spPr bwMode="auto">
                                <a:xfrm>
                                  <a:off x="2203" y="6656"/>
                                  <a:ext cx="2160" cy="468"/>
                                </a:xfrm>
                                <a:prstGeom prst="rect">
                                  <a:avLst/>
                                </a:prstGeom>
                                <a:solidFill>
                                  <a:srgbClr val="FFFFFF"/>
                                </a:solidFill>
                                <a:ln w="9525" cmpd="sng">
                                  <a:solidFill>
                                    <a:srgbClr val="000000"/>
                                  </a:solidFill>
                                  <a:miter lim="800000"/>
                                </a:ln>
                              </wps:spPr>
                              <wps:txbx>
                                <w:txbxContent>
                                  <w:p>
                                    <w:pPr>
                                      <w:jc w:val="center"/>
                                      <w:rPr>
                                        <w:sz w:val="24"/>
                                      </w:rPr>
                                    </w:pPr>
                                    <w:r>
                                      <w:rPr>
                                        <w:rFonts w:hint="eastAsia"/>
                                        <w:sz w:val="24"/>
                                      </w:rPr>
                                      <w:t>电器系统检测</w:t>
                                    </w:r>
                                  </w:p>
                                </w:txbxContent>
                              </wps:txbx>
                              <wps:bodyPr rot="0" vert="horz" wrap="square" lIns="91440" tIns="45720" rIns="91440" bIns="45720" anchor="t" anchorCtr="0" upright="1">
                                <a:noAutofit/>
                              </wps:bodyPr>
                            </wps:wsp>
                            <wps:wsp>
                              <wps:cNvPr id="358" name="Line 203"/>
                              <wps:cNvCnPr>
                                <a:cxnSpLocks noChangeShapeType="1"/>
                              </wps:cNvCnPr>
                              <wps:spPr bwMode="auto">
                                <a:xfrm>
                                  <a:off x="3283" y="7136"/>
                                  <a:ext cx="0" cy="397"/>
                                </a:xfrm>
                                <a:prstGeom prst="line">
                                  <a:avLst/>
                                </a:prstGeom>
                                <a:noFill/>
                                <a:ln w="9525" cmpd="sng">
                                  <a:solidFill>
                                    <a:srgbClr val="000000"/>
                                  </a:solidFill>
                                  <a:round/>
                                  <a:tailEnd type="triangle" w="med" len="med"/>
                                </a:ln>
                              </wps:spPr>
                              <wps:bodyPr/>
                            </wps:wsp>
                            <wps:wsp>
                              <wps:cNvPr id="359" name="Text Box 204"/>
                              <wps:cNvSpPr txBox="1">
                                <a:spLocks noChangeArrowheads="1"/>
                              </wps:cNvSpPr>
                              <wps:spPr bwMode="auto">
                                <a:xfrm>
                                  <a:off x="2227" y="7488"/>
                                  <a:ext cx="2160" cy="468"/>
                                </a:xfrm>
                                <a:prstGeom prst="rect">
                                  <a:avLst/>
                                </a:prstGeom>
                                <a:solidFill>
                                  <a:srgbClr val="FFFFFF"/>
                                </a:solidFill>
                                <a:ln>
                                  <a:noFill/>
                                </a:ln>
                              </wps:spPr>
                              <wps:txbx>
                                <w:txbxContent>
                                  <w:p>
                                    <w:pPr>
                                      <w:jc w:val="center"/>
                                      <w:rPr>
                                        <w:sz w:val="24"/>
                                      </w:rPr>
                                    </w:pPr>
                                    <w:r>
                                      <w:rPr>
                                        <w:rFonts w:hint="eastAsia"/>
                                        <w:sz w:val="24"/>
                                      </w:rPr>
                                      <w:t>送静调车间</w:t>
                                    </w:r>
                                  </w:p>
                                </w:txbxContent>
                              </wps:txbx>
                              <wps:bodyPr rot="0" vert="horz" wrap="square" lIns="91440" tIns="45720" rIns="91440" bIns="45720" anchor="t" anchorCtr="0" upright="1">
                                <a:noAutofit/>
                              </wps:bodyPr>
                            </wps:wsp>
                            <wps:wsp>
                              <wps:cNvPr id="360" name="Text Box 205"/>
                              <wps:cNvSpPr txBox="1">
                                <a:spLocks noChangeArrowheads="1"/>
                              </wps:cNvSpPr>
                              <wps:spPr bwMode="auto">
                                <a:xfrm>
                                  <a:off x="187" y="664"/>
                                  <a:ext cx="900" cy="468"/>
                                </a:xfrm>
                                <a:prstGeom prst="rect">
                                  <a:avLst/>
                                </a:prstGeom>
                                <a:solidFill>
                                  <a:srgbClr val="FFFFFF"/>
                                </a:solidFill>
                                <a:ln>
                                  <a:noFill/>
                                </a:ln>
                              </wps:spPr>
                              <wps:txbx>
                                <w:txbxContent>
                                  <w:p>
                                    <w:pPr>
                                      <w:jc w:val="center"/>
                                      <w:rPr>
                                        <w:sz w:val="24"/>
                                      </w:rPr>
                                    </w:pPr>
                                    <w:r>
                                      <w:rPr>
                                        <w:rFonts w:hint="eastAsia"/>
                                        <w:sz w:val="24"/>
                                      </w:rPr>
                                      <w:t>窗、门</w:t>
                                    </w:r>
                                  </w:p>
                                  <w:p/>
                                </w:txbxContent>
                              </wps:txbx>
                              <wps:bodyPr rot="0" vert="horz" wrap="square" lIns="91440" tIns="45720" rIns="91440" bIns="45720" anchor="t" anchorCtr="0" upright="1">
                                <a:noAutofit/>
                              </wps:bodyPr>
                            </wps:wsp>
                            <wps:wsp>
                              <wps:cNvPr id="361" name="Line 206"/>
                              <wps:cNvCnPr>
                                <a:cxnSpLocks noChangeShapeType="1"/>
                              </wps:cNvCnPr>
                              <wps:spPr bwMode="auto">
                                <a:xfrm>
                                  <a:off x="1087" y="904"/>
                                  <a:ext cx="1069" cy="0"/>
                                </a:xfrm>
                                <a:prstGeom prst="line">
                                  <a:avLst/>
                                </a:prstGeom>
                                <a:noFill/>
                                <a:ln w="9525" cmpd="sng">
                                  <a:solidFill>
                                    <a:srgbClr val="000000"/>
                                  </a:solidFill>
                                  <a:round/>
                                  <a:tailEnd type="triangle" w="med" len="med"/>
                                </a:ln>
                              </wps:spPr>
                              <wps:bodyPr/>
                            </wps:wsp>
                            <wps:wsp>
                              <wps:cNvPr id="362" name="Text Box 207"/>
                              <wps:cNvSpPr txBox="1">
                                <a:spLocks noChangeArrowheads="1"/>
                              </wps:cNvSpPr>
                              <wps:spPr bwMode="auto">
                                <a:xfrm>
                                  <a:off x="4372" y="120"/>
                                  <a:ext cx="1260" cy="624"/>
                                </a:xfrm>
                                <a:prstGeom prst="rect">
                                  <a:avLst/>
                                </a:prstGeom>
                                <a:noFill/>
                                <a:ln>
                                  <a:noFill/>
                                </a:ln>
                              </wps:spPr>
                              <wps:txbx>
                                <w:txbxContent>
                                  <w:p>
                                    <w:pPr>
                                      <w:rPr>
                                        <w:sz w:val="22"/>
                                        <w:szCs w:val="22"/>
                                      </w:rPr>
                                    </w:pPr>
                                    <w:r>
                                      <w:rPr>
                                        <w:rFonts w:hint="eastAsia"/>
                                        <w:sz w:val="22"/>
                                        <w:szCs w:val="22"/>
                                      </w:rPr>
                                      <w:t xml:space="preserve">噪声N6 </w:t>
                                    </w:r>
                                  </w:p>
                                  <w:p>
                                    <w:pPr>
                                      <w:rPr>
                                        <w:sz w:val="22"/>
                                        <w:szCs w:val="22"/>
                                      </w:rPr>
                                    </w:pPr>
                                    <w:r>
                                      <w:rPr>
                                        <w:rFonts w:hint="eastAsia"/>
                                        <w:sz w:val="22"/>
                                        <w:szCs w:val="22"/>
                                      </w:rPr>
                                      <w:t>固废S9</w:t>
                                    </w:r>
                                  </w:p>
                                </w:txbxContent>
                              </wps:txbx>
                              <wps:bodyPr rot="0" vert="horz" wrap="square" lIns="0" tIns="0" rIns="0" bIns="0" anchor="t" anchorCtr="0" upright="1">
                                <a:noAutofit/>
                              </wps:bodyPr>
                            </wps:wsp>
                            <wps:wsp>
                              <wps:cNvPr id="363" name="Text Box 208"/>
                              <wps:cNvSpPr txBox="1">
                                <a:spLocks noChangeArrowheads="1"/>
                              </wps:cNvSpPr>
                              <wps:spPr bwMode="auto">
                                <a:xfrm>
                                  <a:off x="1087" y="462"/>
                                  <a:ext cx="1080" cy="468"/>
                                </a:xfrm>
                                <a:prstGeom prst="rect">
                                  <a:avLst/>
                                </a:prstGeom>
                                <a:noFill/>
                                <a:ln>
                                  <a:noFill/>
                                </a:ln>
                              </wps:spPr>
                              <wps:txbx>
                                <w:txbxContent>
                                  <w:p>
                                    <w:r>
                                      <w:rPr>
                                        <w:rFonts w:hint="eastAsia"/>
                                        <w:sz w:val="24"/>
                                      </w:rPr>
                                      <w:t>固体胶</w:t>
                                    </w:r>
                                  </w:p>
                                </w:txbxContent>
                              </wps:txbx>
                              <wps:bodyPr rot="0" vert="horz" wrap="square" lIns="91440" tIns="45720" rIns="91440" bIns="45720" anchor="t" anchorCtr="0" upright="1">
                                <a:noAutofit/>
                              </wps:bodyPr>
                            </wps:wsp>
                            <wps:wsp>
                              <wps:cNvPr id="364" name="Line 209"/>
                              <wps:cNvCnPr>
                                <a:cxnSpLocks noChangeShapeType="1"/>
                              </wps:cNvCnPr>
                              <wps:spPr bwMode="auto">
                                <a:xfrm>
                                  <a:off x="4327" y="2047"/>
                                  <a:ext cx="1020" cy="0"/>
                                </a:xfrm>
                                <a:prstGeom prst="line">
                                  <a:avLst/>
                                </a:prstGeom>
                                <a:noFill/>
                                <a:ln w="9525" cmpd="sng">
                                  <a:solidFill>
                                    <a:srgbClr val="000000"/>
                                  </a:solidFill>
                                  <a:round/>
                                  <a:tailEnd type="triangle" w="med" len="med"/>
                                </a:ln>
                              </wps:spPr>
                              <wps:bodyPr/>
                            </wps:wsp>
                            <wps:wsp>
                              <wps:cNvPr id="365" name="Text Box 210"/>
                              <wps:cNvSpPr txBox="1">
                                <a:spLocks noChangeArrowheads="1"/>
                              </wps:cNvSpPr>
                              <wps:spPr bwMode="auto">
                                <a:xfrm>
                                  <a:off x="5359" y="1735"/>
                                  <a:ext cx="1260" cy="469"/>
                                </a:xfrm>
                                <a:prstGeom prst="rect">
                                  <a:avLst/>
                                </a:prstGeom>
                                <a:solidFill>
                                  <a:srgbClr val="FFFFFF"/>
                                </a:solidFill>
                                <a:ln w="9525" cmpd="sng">
                                  <a:solidFill>
                                    <a:srgbClr val="000000"/>
                                  </a:solidFill>
                                  <a:miter lim="800000"/>
                                </a:ln>
                              </wps:spPr>
                              <wps:txbx>
                                <w:txbxContent>
                                  <w:p>
                                    <w:pPr>
                                      <w:jc w:val="center"/>
                                    </w:pPr>
                                    <w:r>
                                      <w:rPr>
                                        <w:rFonts w:hint="eastAsia"/>
                                      </w:rPr>
                                      <w:t>循环水池</w:t>
                                    </w:r>
                                  </w:p>
                                </w:txbxContent>
                              </wps:txbx>
                              <wps:bodyPr rot="0" vert="horz" wrap="square" lIns="91440" tIns="45720" rIns="91440" bIns="45720" anchor="t" anchorCtr="0" upright="1">
                                <a:noAutofit/>
                              </wps:bodyPr>
                            </wps:wsp>
                            <wps:wsp>
                              <wps:cNvPr id="366" name="Line 211"/>
                              <wps:cNvCnPr>
                                <a:cxnSpLocks noChangeShapeType="1"/>
                              </wps:cNvCnPr>
                              <wps:spPr bwMode="auto">
                                <a:xfrm flipH="1">
                                  <a:off x="4327" y="1891"/>
                                  <a:ext cx="1020" cy="0"/>
                                </a:xfrm>
                                <a:prstGeom prst="line">
                                  <a:avLst/>
                                </a:prstGeom>
                                <a:noFill/>
                                <a:ln w="9525" cmpd="sng">
                                  <a:solidFill>
                                    <a:srgbClr val="000000"/>
                                  </a:solidFill>
                                  <a:round/>
                                  <a:tailEnd type="triangle" w="med" len="med"/>
                                </a:ln>
                              </wps:spPr>
                              <wps:bodyPr/>
                            </wps:wsp>
                            <wps:wsp>
                              <wps:cNvPr id="367" name="Line 212"/>
                              <wps:cNvCnPr>
                                <a:cxnSpLocks noChangeShapeType="1"/>
                              </wps:cNvCnPr>
                              <wps:spPr bwMode="auto">
                                <a:xfrm flipV="1">
                                  <a:off x="4171" y="520"/>
                                  <a:ext cx="216" cy="125"/>
                                </a:xfrm>
                                <a:prstGeom prst="line">
                                  <a:avLst/>
                                </a:prstGeom>
                                <a:noFill/>
                                <a:ln w="9525" cmpd="sng">
                                  <a:solidFill>
                                    <a:srgbClr val="000000"/>
                                  </a:solidFill>
                                  <a:round/>
                                  <a:tailEnd type="triangle" w="med" len="med"/>
                                </a:ln>
                              </wps:spPr>
                              <wps:bodyPr/>
                            </wps:wsp>
                            <wps:wsp>
                              <wps:cNvPr id="368" name="Text Box 213"/>
                              <wps:cNvSpPr txBox="1">
                                <a:spLocks noChangeArrowheads="1"/>
                              </wps:cNvSpPr>
                              <wps:spPr bwMode="auto">
                                <a:xfrm>
                                  <a:off x="4567" y="1605"/>
                                  <a:ext cx="720" cy="312"/>
                                </a:xfrm>
                                <a:prstGeom prst="rect">
                                  <a:avLst/>
                                </a:prstGeom>
                                <a:noFill/>
                                <a:ln>
                                  <a:noFill/>
                                </a:ln>
                              </wps:spPr>
                              <wps:txbx>
                                <w:txbxContent>
                                  <w:p>
                                    <w:pPr>
                                      <w:rPr>
                                        <w:sz w:val="22"/>
                                        <w:szCs w:val="22"/>
                                      </w:rPr>
                                    </w:pPr>
                                    <w:r>
                                      <w:rPr>
                                        <w:rFonts w:hint="eastAsia"/>
                                        <w:sz w:val="22"/>
                                        <w:szCs w:val="22"/>
                                      </w:rPr>
                                      <w:t>循环水</w:t>
                                    </w:r>
                                  </w:p>
                                </w:txbxContent>
                              </wps:txbx>
                              <wps:bodyPr rot="0" vert="horz" wrap="square" lIns="0" tIns="0" rIns="0" bIns="0" anchor="t" anchorCtr="0" upright="1">
                                <a:noAutofit/>
                              </wps:bodyPr>
                            </wps:wsp>
                            <wps:wsp>
                              <wps:cNvPr id="369" name="Text Box 214"/>
                              <wps:cNvSpPr txBox="1">
                                <a:spLocks noChangeArrowheads="1"/>
                              </wps:cNvSpPr>
                              <wps:spPr bwMode="auto">
                                <a:xfrm>
                                  <a:off x="4363" y="2049"/>
                                  <a:ext cx="1080" cy="312"/>
                                </a:xfrm>
                                <a:prstGeom prst="rect">
                                  <a:avLst/>
                                </a:prstGeom>
                                <a:noFill/>
                                <a:ln>
                                  <a:noFill/>
                                </a:ln>
                              </wps:spPr>
                              <wps:txbx>
                                <w:txbxContent>
                                  <w:p>
                                    <w:pPr>
                                      <w:rPr>
                                        <w:sz w:val="22"/>
                                        <w:szCs w:val="22"/>
                                      </w:rPr>
                                    </w:pPr>
                                    <w:r>
                                      <w:rPr>
                                        <w:rFonts w:hint="eastAsia"/>
                                        <w:sz w:val="22"/>
                                        <w:szCs w:val="22"/>
                                      </w:rPr>
                                      <w:t>检查废水</w:t>
                                    </w:r>
                                  </w:p>
                                </w:txbxContent>
                              </wps:txbx>
                              <wps:bodyPr rot="0" vert="horz" wrap="square" lIns="0" tIns="0" rIns="0" bIns="0" anchor="t" anchorCtr="0" upright="1">
                                <a:noAutofit/>
                              </wps:bodyPr>
                            </wps:wsp>
                            <wps:wsp>
                              <wps:cNvPr id="370" name="Line 215"/>
                              <wps:cNvCnPr>
                                <a:cxnSpLocks noChangeShapeType="1"/>
                              </wps:cNvCnPr>
                              <wps:spPr bwMode="auto">
                                <a:xfrm flipV="1">
                                  <a:off x="4147" y="1449"/>
                                  <a:ext cx="360" cy="312"/>
                                </a:xfrm>
                                <a:prstGeom prst="line">
                                  <a:avLst/>
                                </a:prstGeom>
                                <a:noFill/>
                                <a:ln w="9525" cmpd="sng">
                                  <a:solidFill>
                                    <a:srgbClr val="000000"/>
                                  </a:solidFill>
                                  <a:round/>
                                  <a:tailEnd type="triangle" w="med" len="med"/>
                                </a:ln>
                              </wps:spPr>
                              <wps:bodyPr/>
                            </wps:wsp>
                            <wps:wsp>
                              <wps:cNvPr id="371" name="Text Box 216"/>
                              <wps:cNvSpPr txBox="1">
                                <a:spLocks noChangeArrowheads="1"/>
                              </wps:cNvSpPr>
                              <wps:spPr bwMode="auto">
                                <a:xfrm>
                                  <a:off x="4507" y="1209"/>
                                  <a:ext cx="1620" cy="300"/>
                                </a:xfrm>
                                <a:prstGeom prst="rect">
                                  <a:avLst/>
                                </a:prstGeom>
                                <a:noFill/>
                                <a:ln>
                                  <a:noFill/>
                                </a:ln>
                              </wps:spPr>
                              <wps:txbx>
                                <w:txbxContent>
                                  <w:p>
                                    <w:pPr>
                                      <w:rPr>
                                        <w:sz w:val="22"/>
                                        <w:szCs w:val="22"/>
                                      </w:rPr>
                                    </w:pPr>
                                    <w:r>
                                      <w:rPr>
                                        <w:rFonts w:hint="eastAsia"/>
                                        <w:sz w:val="22"/>
                                        <w:szCs w:val="22"/>
                                      </w:rPr>
                                      <w:t>车体带走损耗</w:t>
                                    </w:r>
                                  </w:p>
                                </w:txbxContent>
                              </wps:txbx>
                              <wps:bodyPr rot="0" vert="horz" wrap="square" lIns="0" tIns="0" rIns="0" bIns="0" anchor="t" anchorCtr="0" upright="1">
                                <a:noAutofit/>
                              </wps:bodyPr>
                            </wps:wsp>
                            <wps:wsp>
                              <wps:cNvPr id="372" name="Line 217"/>
                              <wps:cNvCnPr>
                                <a:cxnSpLocks noChangeShapeType="1"/>
                              </wps:cNvCnPr>
                              <wps:spPr bwMode="auto">
                                <a:xfrm flipV="1">
                                  <a:off x="4147" y="2733"/>
                                  <a:ext cx="360" cy="156"/>
                                </a:xfrm>
                                <a:prstGeom prst="line">
                                  <a:avLst/>
                                </a:prstGeom>
                                <a:noFill/>
                                <a:ln w="9525" cmpd="sng">
                                  <a:solidFill>
                                    <a:srgbClr val="000000"/>
                                  </a:solidFill>
                                  <a:round/>
                                  <a:tailEnd type="triangle" w="med" len="med"/>
                                </a:ln>
                              </wps:spPr>
                              <wps:bodyPr/>
                            </wps:wsp>
                            <wps:wsp>
                              <wps:cNvPr id="373" name="Text Box 218"/>
                              <wps:cNvSpPr txBox="1">
                                <a:spLocks noChangeArrowheads="1"/>
                              </wps:cNvSpPr>
                              <wps:spPr bwMode="auto">
                                <a:xfrm>
                                  <a:off x="4507" y="2541"/>
                                  <a:ext cx="1080" cy="468"/>
                                </a:xfrm>
                                <a:prstGeom prst="rect">
                                  <a:avLst/>
                                </a:prstGeom>
                                <a:noFill/>
                                <a:ln>
                                  <a:noFill/>
                                </a:ln>
                              </wps:spPr>
                              <wps:txbx>
                                <w:txbxContent>
                                  <w:p>
                                    <w:pPr>
                                      <w:rPr>
                                        <w:sz w:val="22"/>
                                        <w:szCs w:val="22"/>
                                      </w:rPr>
                                    </w:pPr>
                                    <w:r>
                                      <w:rPr>
                                        <w:rFonts w:hint="eastAsia"/>
                                        <w:sz w:val="22"/>
                                        <w:szCs w:val="22"/>
                                      </w:rPr>
                                      <w:t>噪声N10</w:t>
                                    </w:r>
                                  </w:p>
                                </w:txbxContent>
                              </wps:txbx>
                              <wps:bodyPr rot="0" vert="horz" wrap="square" lIns="0" tIns="0" rIns="0" bIns="0" anchor="t" anchorCtr="0" upright="1">
                                <a:noAutofit/>
                              </wps:bodyPr>
                            </wps:wsp>
                            <wps:wsp>
                              <wps:cNvPr id="374" name="Line 219"/>
                              <wps:cNvCnPr>
                                <a:cxnSpLocks noChangeShapeType="1"/>
                              </wps:cNvCnPr>
                              <wps:spPr bwMode="auto">
                                <a:xfrm flipV="1">
                                  <a:off x="6331" y="1413"/>
                                  <a:ext cx="360" cy="312"/>
                                </a:xfrm>
                                <a:prstGeom prst="line">
                                  <a:avLst/>
                                </a:prstGeom>
                                <a:noFill/>
                                <a:ln w="9525" cmpd="sng">
                                  <a:solidFill>
                                    <a:srgbClr val="000000"/>
                                  </a:solidFill>
                                  <a:round/>
                                  <a:tailEnd type="triangle" w="med" len="med"/>
                                </a:ln>
                              </wps:spPr>
                              <wps:bodyPr/>
                            </wps:wsp>
                            <wps:wsp>
                              <wps:cNvPr id="375" name="Text Box 220"/>
                              <wps:cNvSpPr txBox="1">
                                <a:spLocks noChangeArrowheads="1"/>
                              </wps:cNvSpPr>
                              <wps:spPr bwMode="auto">
                                <a:xfrm>
                                  <a:off x="6703" y="1221"/>
                                  <a:ext cx="900" cy="468"/>
                                </a:xfrm>
                                <a:prstGeom prst="rect">
                                  <a:avLst/>
                                </a:prstGeom>
                                <a:noFill/>
                                <a:ln>
                                  <a:noFill/>
                                </a:ln>
                              </wps:spPr>
                              <wps:txbx>
                                <w:txbxContent>
                                  <w:p>
                                    <w:pPr>
                                      <w:rPr>
                                        <w:sz w:val="22"/>
                                        <w:szCs w:val="22"/>
                                      </w:rPr>
                                    </w:pPr>
                                    <w:r>
                                      <w:rPr>
                                        <w:rFonts w:hint="eastAsia"/>
                                        <w:sz w:val="22"/>
                                        <w:szCs w:val="22"/>
                                      </w:rPr>
                                      <w:t>固废S10</w:t>
                                    </w:r>
                                  </w:p>
                                </w:txbxContent>
                              </wps:txbx>
                              <wps:bodyPr rot="0" vert="horz" wrap="square" lIns="0" tIns="0" rIns="0" bIns="0" anchor="t" anchorCtr="0" upright="1">
                                <a:noAutofit/>
                              </wps:bodyPr>
                            </wps:wsp>
                            <wps:wsp>
                              <wps:cNvPr id="376" name="Line 221"/>
                              <wps:cNvCnPr>
                                <a:cxnSpLocks noChangeShapeType="1"/>
                              </wps:cNvCnPr>
                              <wps:spPr bwMode="auto">
                                <a:xfrm flipV="1">
                                  <a:off x="4507" y="3693"/>
                                  <a:ext cx="360" cy="312"/>
                                </a:xfrm>
                                <a:prstGeom prst="line">
                                  <a:avLst/>
                                </a:prstGeom>
                                <a:noFill/>
                                <a:ln w="9525" cmpd="sng">
                                  <a:solidFill>
                                    <a:srgbClr val="000000"/>
                                  </a:solidFill>
                                  <a:round/>
                                  <a:tailEnd type="triangle" w="med" len="med"/>
                                </a:ln>
                              </wps:spPr>
                              <wps:bodyPr/>
                            </wps:wsp>
                            <wps:wsp>
                              <wps:cNvPr id="377" name="Text Box 222"/>
                              <wps:cNvSpPr txBox="1">
                                <a:spLocks noChangeArrowheads="1"/>
                              </wps:cNvSpPr>
                              <wps:spPr bwMode="auto">
                                <a:xfrm>
                                  <a:off x="4879" y="3501"/>
                                  <a:ext cx="900" cy="468"/>
                                </a:xfrm>
                                <a:prstGeom prst="rect">
                                  <a:avLst/>
                                </a:prstGeom>
                                <a:noFill/>
                                <a:ln>
                                  <a:noFill/>
                                </a:ln>
                              </wps:spPr>
                              <wps:txbx>
                                <w:txbxContent>
                                  <w:p>
                                    <w:pPr>
                                      <w:rPr>
                                        <w:sz w:val="22"/>
                                        <w:szCs w:val="22"/>
                                      </w:rPr>
                                    </w:pPr>
                                    <w:r>
                                      <w:rPr>
                                        <w:rFonts w:hint="eastAsia"/>
                                        <w:sz w:val="22"/>
                                        <w:szCs w:val="22"/>
                                      </w:rPr>
                                      <w:t>固废S11</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70.15pt;margin-top:4.7pt;height:427.95pt;width:306.35pt;z-index:251665408;mso-width-relative:page;mso-height-relative:page;" coordsize="7603,8424" o:gfxdata="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">
                      <o:lock v:ext="edit" aspectratio="f"/>
                      <v:shape id="Text Box 185" o:spid="_x0000_s1026" o:spt="202" type="#_x0000_t202" style="position:absolute;left:1483;top:7956;height:468;width:3960;" fillcolor="#FFFFFF" filled="t" stroked="f" coordsize="21600,21600" o:gfxdata="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Jsn72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jc w:val="center"/>
                                <w:rPr>
                                  <w:sz w:val="24"/>
                                </w:rPr>
                              </w:pPr>
                              <w:r>
                                <w:rPr>
                                  <w:rFonts w:eastAsiaTheme="minorEastAsia"/>
                                  <w:b/>
                                  <w:sz w:val="24"/>
                                </w:rPr>
                                <w:t>图2-7总装车间生产工艺</w:t>
                              </w:r>
                              <w:r>
                                <w:rPr>
                                  <w:rFonts w:hint="eastAsia" w:ascii="黑体" w:hAnsi="黑体" w:eastAsia="黑体"/>
                                  <w:sz w:val="24"/>
                                </w:rPr>
                                <w:t>流程图</w:t>
                              </w:r>
                            </w:p>
                            <w:p/>
                          </w:txbxContent>
                        </v:textbox>
                      </v:shape>
                      <v:shape id="Text Box 186" o:spid="_x0000_s1026" o:spt="202" type="#_x0000_t202" style="position:absolute;left:1987;top:0;height:468;width:2268;" fillcolor="#FFFFFF" filled="t" stroked="f" coordsize="21600,21600" o:gfxdata="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IDom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center"/>
                                <w:rPr>
                                  <w:sz w:val="24"/>
                                </w:rPr>
                              </w:pPr>
                              <w:r>
                                <w:rPr>
                                  <w:rFonts w:hint="eastAsia"/>
                                  <w:sz w:val="24"/>
                                </w:rPr>
                                <w:t>表面处理车间车体</w:t>
                              </w:r>
                            </w:p>
                          </w:txbxContent>
                        </v:textbox>
                      </v:shape>
                      <v:shape id="Text Box 187" o:spid="_x0000_s1026" o:spt="202" type="#_x0000_t202" style="position:absolute;left:2163;top:654;height:468;width:2160;" fillcolor="#FFFFFF" filled="t" stroked="t" coordsize="21600,21600" o:gfxdata="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7XZ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sz w:val="24"/>
                                </w:rPr>
                              </w:pPr>
                              <w:r>
                                <w:rPr>
                                  <w:rFonts w:hint="eastAsia"/>
                                  <w:sz w:val="24"/>
                                </w:rPr>
                                <w:t>外壳组装</w:t>
                              </w:r>
                            </w:p>
                            <w:p>
                              <w:pPr>
                                <w:jc w:val="center"/>
                              </w:pPr>
                            </w:p>
                          </w:txbxContent>
                        </v:textbox>
                      </v:shape>
                      <v:line id="Line 188" o:spid="_x0000_s1026" o:spt="20" style="position:absolute;left:3243;top:333;height:309;width:0;" filled="f" stroked="t" coordsize="21600,21600" o:gfxdata="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Bt+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89" o:spid="_x0000_s1026" o:spt="20" style="position:absolute;left:3243;top:1134;height:624;width:0;" filled="f" stroked="t" coordsize="21600,21600" o:gfxdata="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oL5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90" o:spid="_x0000_s1026" o:spt="202" type="#_x0000_t202" style="position:absolute;left:2163;top:1782;height:468;width:2160;" fillcolor="#FFFFFF" filled="t" stroked="t" coordsize="21600,21600" o:gfxdata="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dPE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sz w:val="24"/>
                                </w:rPr>
                              </w:pPr>
                              <w:r>
                                <w:rPr>
                                  <w:rFonts w:hint="eastAsia"/>
                                  <w:sz w:val="24"/>
                                </w:rPr>
                                <w:t>车体淋雨检查</w:t>
                              </w:r>
                            </w:p>
                          </w:txbxContent>
                        </v:textbox>
                      </v:shape>
                      <v:line id="Line 191" o:spid="_x0000_s1026" o:spt="20" style="position:absolute;left:3243;top:2262;height:624;width:0;" filled="f" stroked="t" coordsize="21600,21600" o:gfxdata="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2FH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92" o:spid="_x0000_s1026" o:spt="202" type="#_x0000_t202" style="position:absolute;left:2163;top:2898;height:468;width:2160;" fillcolor="#FFFFFF" filled="t" stroked="t" coordsize="21600,21600" o:gfxdata="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8l0/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sz w:val="24"/>
                                </w:rPr>
                              </w:pPr>
                              <w:r>
                                <w:rPr>
                                  <w:rFonts w:hint="eastAsia"/>
                                  <w:sz w:val="24"/>
                                </w:rPr>
                                <w:t>地板安装</w:t>
                              </w:r>
                            </w:p>
                          </w:txbxContent>
                        </v:textbox>
                      </v:shape>
                      <v:line id="Line 193" o:spid="_x0000_s1026" o:spt="20" style="position:absolute;left:3243;top:3378;height:624;width:0;" filled="f" stroked="t" coordsize="21600,21600" o:gfxdata="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SW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194" o:spid="_x0000_s1026" o:spt="202" type="#_x0000_t202" style="position:absolute;left:1731;top:4014;height:468;width:3060;" fillcolor="#FFFFFF" filled="t" stroked="t" coordsize="21600,21600" o:gfxdata="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aRRe/&#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rPr>
                                  <w:sz w:val="24"/>
                                </w:rPr>
                              </w:pPr>
                              <w:r>
                                <w:rPr>
                                  <w:rFonts w:hint="eastAsia"/>
                                  <w:sz w:val="24"/>
                                </w:rPr>
                                <w:t>电气柜、车内配线、配管</w:t>
                              </w:r>
                            </w:p>
                          </w:txbxContent>
                        </v:textbox>
                      </v:shape>
                      <v:line id="Line 195" o:spid="_x0000_s1026" o:spt="20" style="position:absolute;left:3243;top:4494;height:397;width:0;" filled="f" stroked="t" coordsize="21600,21600" o:gfxdata="UEsDBAoAAAAAAIdO4kAAAAAAAAAAAAAAAAAEAAAAZHJzL1BLAwQUAAAACACHTuJAWMq/Sr0AAADc&#10;AAAADwAAAGRycy9kb3ducmV2LnhtbEVPz2vCMBS+C/sfwhO8adrJ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yr9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196" o:spid="_x0000_s1026" o:spt="202" type="#_x0000_t202" style="position:absolute;left:2167;top:4902;height:468;width:2160;" fillcolor="#FFFFFF" filled="t" stroked="t" coordsize="21600,21600" o:gfxdata="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d/M&#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jc w:val="center"/>
                                <w:rPr>
                                  <w:sz w:val="24"/>
                                </w:rPr>
                              </w:pPr>
                              <w:r>
                                <w:rPr>
                                  <w:rFonts w:hint="eastAsia"/>
                                  <w:sz w:val="24"/>
                                </w:rPr>
                                <w:t>内装安装</w:t>
                              </w:r>
                            </w:p>
                          </w:txbxContent>
                        </v:textbox>
                      </v:shape>
                      <v:line id="Line 197" o:spid="_x0000_s1026" o:spt="20" style="position:absolute;left:3247;top:5382;height:397;width:0;" filled="f" stroked="t" coordsize="21600,21600" o:gfxdata="UEsDBAoAAAAAAIdO4kAAAAAAAAAAAAAAAAAEAAAAZHJzL1BLAwQUAAAACACHTuJAx1SEps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noz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VIS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198" o:spid="_x0000_s1026" o:spt="202" type="#_x0000_t202" style="position:absolute;left:2167;top:5779;height:468;width:2160;" fillcolor="#FFFFFF" filled="t" stroked="t" coordsize="21600,21600" o:gfxdata="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K+Qg&#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jc w:val="center"/>
                                <w:rPr>
                                  <w:sz w:val="24"/>
                                </w:rPr>
                              </w:pPr>
                              <w:r>
                                <w:rPr>
                                  <w:rFonts w:hint="eastAsia"/>
                                  <w:sz w:val="24"/>
                                </w:rPr>
                                <w:t>落车</w:t>
                              </w:r>
                            </w:p>
                          </w:txbxContent>
                        </v:textbox>
                      </v:shape>
                      <v:shape id="Text Box 199" o:spid="_x0000_s1026" o:spt="202" type="#_x0000_t202" style="position:absolute;left:0;top:4925;height:468;width:1620;" fillcolor="#FFFFFF" filled="t" stroked="f" coordsize="21600,21600" o:gfxdata="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OD2O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rPr>
                                  <w:sz w:val="24"/>
                                </w:rPr>
                              </w:pPr>
                              <w:r>
                                <w:rPr>
                                  <w:rFonts w:hint="eastAsia"/>
                                  <w:sz w:val="24"/>
                                </w:rPr>
                                <w:t>空调机组</w:t>
                              </w:r>
                            </w:p>
                          </w:txbxContent>
                        </v:textbox>
                      </v:shape>
                      <v:line id="Line 200" o:spid="_x0000_s1026" o:spt="20" style="position:absolute;left:1440;top:5153;height:0;width:720;" filled="f" stroked="t" coordsize="21600,21600" o:gfxdata="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9HN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01" o:spid="_x0000_s1026" o:spt="20" style="position:absolute;left:3247;top:6259;height:397;width:0;" filled="f" stroked="t" coordsize="21600,21600" o:gfxdata="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vgq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202" o:spid="_x0000_s1026" o:spt="202" type="#_x0000_t202" style="position:absolute;left:2203;top:6656;height:468;width:2160;" fillcolor="#FFFFFF" filled="t" stroked="t" coordsize="21600,21600" o:gfxdata="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Q4iO/&#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rPr>
                                  <w:sz w:val="24"/>
                                </w:rPr>
                              </w:pPr>
                              <w:r>
                                <w:rPr>
                                  <w:rFonts w:hint="eastAsia"/>
                                  <w:sz w:val="24"/>
                                </w:rPr>
                                <w:t>电器系统检测</w:t>
                              </w:r>
                            </w:p>
                          </w:txbxContent>
                        </v:textbox>
                      </v:shape>
                      <v:line id="Line 203" o:spid="_x0000_s1026" o:spt="20" style="position:absolute;left:3283;top:7136;height:397;width:0;" filled="f" stroked="t" coordsize="21600,21600" o:gfxdata="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LN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204" o:spid="_x0000_s1026" o:spt="202" type="#_x0000_t202" style="position:absolute;left:2227;top:7488;height:468;width:2160;" fillcolor="#FFFFFF" filled="t" stroked="f" coordsize="21600,21600" o:gfxdata="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PoP2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rPr>
                                  <w:sz w:val="24"/>
                                </w:rPr>
                              </w:pPr>
                              <w:r>
                                <w:rPr>
                                  <w:rFonts w:hint="eastAsia"/>
                                  <w:sz w:val="24"/>
                                </w:rPr>
                                <w:t>送静调车间</w:t>
                              </w:r>
                            </w:p>
                          </w:txbxContent>
                        </v:textbox>
                      </v:shape>
                      <v:shape id="Text Box 205" o:spid="_x0000_s1026" o:spt="202" type="#_x0000_t202" style="position:absolute;left:187;top:664;height:468;width:900;" fillcolor="#FFFFFF" filled="t" stroked="f" coordsize="21600,21600" o:gfxdata="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52cPd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jc w:val="center"/>
                                <w:rPr>
                                  <w:sz w:val="24"/>
                                </w:rPr>
                              </w:pPr>
                              <w:r>
                                <w:rPr>
                                  <w:rFonts w:hint="eastAsia"/>
                                  <w:sz w:val="24"/>
                                </w:rPr>
                                <w:t>窗、门</w:t>
                              </w:r>
                            </w:p>
                            <w:p/>
                          </w:txbxContent>
                        </v:textbox>
                      </v:shape>
                      <v:line id="Line 206" o:spid="_x0000_s1026" o:spt="20" style="position:absolute;left:1087;top:904;height:0;width:1069;" filled="f" stroked="t" coordsize="21600,21600" o:gfxdata="UEsDBAoAAAAAAIdO4kAAAAAAAAAAAAAAAAAEAAAAZHJzL1BLAwQUAAAACACHTuJA+erQbL8AAADc&#10;AAAADwAAAGRycy9kb3ducmV2LnhtbEWPQWvCQBSE74L/YXlCb7pJCx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q0G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207" o:spid="_x0000_s1026" o:spt="202" type="#_x0000_t202" style="position:absolute;left:4372;top:120;height:624;width:1260;" filled="f" stroked="f" coordsize="21600,21600" o:gfxdata="UEsDBAoAAAAAAIdO4kAAAAAAAAAAAAAAAAAEAAAAZHJzL1BLAwQUAAAACACHTuJASAXmz7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m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Xmz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22"/>
                                  <w:szCs w:val="22"/>
                                </w:rPr>
                              </w:pPr>
                              <w:r>
                                <w:rPr>
                                  <w:rFonts w:hint="eastAsia"/>
                                  <w:sz w:val="22"/>
                                  <w:szCs w:val="22"/>
                                </w:rPr>
                                <w:t xml:space="preserve">噪声N6 </w:t>
                              </w:r>
                            </w:p>
                            <w:p>
                              <w:pPr>
                                <w:rPr>
                                  <w:sz w:val="22"/>
                                  <w:szCs w:val="22"/>
                                </w:rPr>
                              </w:pPr>
                              <w:r>
                                <w:rPr>
                                  <w:rFonts w:hint="eastAsia"/>
                                  <w:sz w:val="22"/>
                                  <w:szCs w:val="22"/>
                                </w:rPr>
                                <w:t>固废S9</w:t>
                              </w:r>
                            </w:p>
                          </w:txbxContent>
                        </v:textbox>
                      </v:shape>
                      <v:shape id="Text Box 208" o:spid="_x0000_s1026" o:spt="202" type="#_x0000_t202" style="position:absolute;left:1087;top:462;height:468;width:1080;" filled="f" stroked="f" coordsize="21600,21600" o:gfxdata="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xw1b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sz w:val="24"/>
                                </w:rPr>
                                <w:t>固体胶</w:t>
                              </w:r>
                            </w:p>
                          </w:txbxContent>
                        </v:textbox>
                      </v:shape>
                      <v:line id="Line 209" o:spid="_x0000_s1026" o:spt="20" style="position:absolute;left:4327;top:2047;height:0;width:1020;" filled="f" stroked="t" coordsize="21600,21600" o:gfxdata="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dc/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210" o:spid="_x0000_s1026" o:spt="202" type="#_x0000_t202" style="position:absolute;left:5359;top:1735;height:469;width:1260;" fillcolor="#FFFFFF" filled="t" stroked="t" coordsize="21600,21600" o:gfxdata="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Tc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循环水池</w:t>
                              </w:r>
                            </w:p>
                          </w:txbxContent>
                        </v:textbox>
                      </v:shape>
                      <v:line id="Line 211" o:spid="_x0000_s1026" o:spt="20" style="position:absolute;left:4327;top:1891;flip:x;height:0;width:1020;" filled="f" stroked="t" coordsize="21600,21600" o:gfxdata="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RK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12" o:spid="_x0000_s1026" o:spt="20" style="position:absolute;left:4171;top:520;flip:y;height:125;width:216;" filled="f" stroked="t" coordsize="21600,21600" o:gfxdata="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8eE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213" o:spid="_x0000_s1026" o:spt="202" type="#_x0000_t202" style="position:absolute;left:4567;top:1605;height:312;width:720;" filled="f" stroked="f" coordsize="21600,21600" o:gfxdata="UEsDBAoAAAAAAIdO4kAAAAAAAAAAAAAAAAAEAAAAZHJzL1BLAwQUAAAACACHTuJAKe3RJbsAAADc&#10;AAAADwAAAGRycy9kb3ducmV2LnhtbEVPy2oCMRTdF/yHcIXuamIL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3RJ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sz w:val="22"/>
                                  <w:szCs w:val="22"/>
                                </w:rPr>
                              </w:pPr>
                              <w:r>
                                <w:rPr>
                                  <w:rFonts w:hint="eastAsia"/>
                                  <w:sz w:val="22"/>
                                  <w:szCs w:val="22"/>
                                </w:rPr>
                                <w:t>循环水</w:t>
                              </w:r>
                            </w:p>
                          </w:txbxContent>
                        </v:textbox>
                      </v:shape>
                      <v:shape id="Text Box 214" o:spid="_x0000_s1026" o:spt="202" type="#_x0000_t202" style="position:absolute;left:4363;top:2049;height:312;width:1080;" filled="f" stroked="f" coordsize="21600,21600" o:gfxdata="UEsDBAoAAAAAAIdO4kAAAAAAAAAAAAAAAAAEAAAAZHJzL1BLAwQUAAAACACHTuJARqF0vr8AAADc&#10;AAAADwAAAGRycy9kb3ducmV2LnhtbEWPT2sCMRTE7wW/Q3gFbzWxwl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hd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22"/>
                                  <w:szCs w:val="22"/>
                                </w:rPr>
                              </w:pPr>
                              <w:r>
                                <w:rPr>
                                  <w:rFonts w:hint="eastAsia"/>
                                  <w:sz w:val="22"/>
                                  <w:szCs w:val="22"/>
                                </w:rPr>
                                <w:t>检查废水</w:t>
                              </w:r>
                            </w:p>
                          </w:txbxContent>
                        </v:textbox>
                      </v:shape>
                      <v:line id="Line 215" o:spid="_x0000_s1026" o:spt="20" style="position:absolute;left:4147;top:1449;flip:y;height:312;width:360;" filled="f" stroked="t" coordsize="21600,21600" o:gfxdata="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we+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216" o:spid="_x0000_s1026" o:spt="202" type="#_x0000_t202" style="position:absolute;left:4507;top:1209;height:300;width:1620;" filled="f" stroked="f" coordsize="21600,21600" o:gfxdata="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O7m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22"/>
                                  <w:szCs w:val="22"/>
                                </w:rPr>
                              </w:pPr>
                              <w:r>
                                <w:rPr>
                                  <w:rFonts w:hint="eastAsia"/>
                                  <w:sz w:val="22"/>
                                  <w:szCs w:val="22"/>
                                </w:rPr>
                                <w:t>车体带走损耗</w:t>
                              </w:r>
                            </w:p>
                          </w:txbxContent>
                        </v:textbox>
                      </v:shape>
                      <v:line id="Line 217" o:spid="_x0000_s1026" o:spt="20" style="position:absolute;left:4147;top:2733;flip:y;height:156;width:360;" filled="f" stroked="t" coordsize="21600,21600" o:gfxdata="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X9R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218" o:spid="_x0000_s1026" o:spt="202" type="#_x0000_t202" style="position:absolute;left:4507;top:2541;height:468;width:1080;" filled="f" stroked="f" coordsize="21600,21600" o:gfxdata="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Q1Y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22"/>
                                  <w:szCs w:val="22"/>
                                </w:rPr>
                              </w:pPr>
                              <w:r>
                                <w:rPr>
                                  <w:rFonts w:hint="eastAsia"/>
                                  <w:sz w:val="22"/>
                                  <w:szCs w:val="22"/>
                                </w:rPr>
                                <w:t>噪声N10</w:t>
                              </w:r>
                            </w:p>
                          </w:txbxContent>
                        </v:textbox>
                      </v:shape>
                      <v:line id="Line 219" o:spid="_x0000_s1026" o:spt="20" style="position:absolute;left:6331;top:1413;flip:y;height:312;width:360;" filled="f" stroked="t" coordsize="21600,21600" o:gfxdata="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um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220" o:spid="_x0000_s1026" o:spt="202" type="#_x0000_t202" style="position:absolute;left:6703;top:1221;height:468;width:900;" filled="f" stroked="f" coordsize="21600,21600" o:gfxdata="UEsDBAoAAAAAAIdO4kAAAAAAAAAAAAAAAAAEAAAAZHJzL1BLAwQUAAAACACHTuJAQjXoZr8AAADc&#10;AAAADwAAAGRycy9kb3ducmV2LnhtbEWPT2sCMRTE7wW/Q3gFbzWxoq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16G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22"/>
                                  <w:szCs w:val="22"/>
                                </w:rPr>
                              </w:pPr>
                              <w:r>
                                <w:rPr>
                                  <w:rFonts w:hint="eastAsia"/>
                                  <w:sz w:val="22"/>
                                  <w:szCs w:val="22"/>
                                </w:rPr>
                                <w:t>固废S10</w:t>
                              </w:r>
                            </w:p>
                          </w:txbxContent>
                        </v:textbox>
                      </v:shape>
                      <v:line id="Line 221" o:spid="_x0000_s1026" o:spt="20" style="position:absolute;left:4507;top:3693;flip:y;height:312;width:360;" filled="f" stroked="t" coordsize="21600,21600" o:gfxdata="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ZNJ1&#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222" o:spid="_x0000_s1026" o:spt="202" type="#_x0000_t202" style="position:absolute;left:4879;top:3501;height:468;width:900;" filled="f" stroked="f" coordsize="21600,21600" o:gfxdata="UEsDBAoAAAAAAIdO4kAAAAAAAAAAAAAAAAAEAAAAZHJzL1BLAwQUAAAACACHTuJA3avTir8AAADc&#10;AAAADwAAAGRycy9kb3ducmV2LnhtbEWPT2sCMRTE74V+h/AK3mpiB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r04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22"/>
                                  <w:szCs w:val="22"/>
                                </w:rPr>
                              </w:pPr>
                              <w:r>
                                <w:rPr>
                                  <w:rFonts w:hint="eastAsia"/>
                                  <w:sz w:val="22"/>
                                  <w:szCs w:val="22"/>
                                </w:rPr>
                                <w:t>固废S11</w:t>
                              </w:r>
                            </w:p>
                          </w:txbxContent>
                        </v:textbox>
                      </v:shape>
                    </v:group>
                  </w:pict>
                </mc:Fallback>
              </mc:AlternateContent>
            </w: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4710"/>
              </w:tabs>
              <w:spacing w:line="480" w:lineRule="atLeast"/>
              <w:ind w:firstLine="480" w:firstLineChars="200"/>
              <w:rPr>
                <w:sz w:val="24"/>
              </w:rPr>
            </w:pPr>
            <w:r>
              <w:rPr>
                <w:sz w:val="24"/>
              </w:rPr>
              <w:tab/>
            </w: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tabs>
                <w:tab w:val="left" w:pos="993"/>
              </w:tabs>
              <w:spacing w:line="480" w:lineRule="atLeast"/>
              <w:ind w:firstLine="480" w:firstLineChars="200"/>
              <w:rPr>
                <w:sz w:val="24"/>
              </w:rPr>
            </w:pPr>
          </w:p>
          <w:p>
            <w:pPr>
              <w:adjustRightInd w:val="0"/>
              <w:snapToGrid w:val="0"/>
              <w:spacing w:line="360" w:lineRule="auto"/>
              <w:ind w:firstLine="480" w:firstLineChars="200"/>
              <w:rPr>
                <w:bCs/>
                <w:sz w:val="24"/>
              </w:rPr>
            </w:pPr>
            <w:r>
              <w:rPr>
                <w:bCs/>
                <w:sz w:val="24"/>
              </w:rPr>
              <w:t>4、车辆静调车间工艺流程</w:t>
            </w:r>
          </w:p>
          <w:p>
            <w:pPr>
              <w:adjustRightInd w:val="0"/>
              <w:snapToGrid w:val="0"/>
              <w:spacing w:line="360" w:lineRule="auto"/>
              <w:ind w:firstLine="480" w:firstLineChars="200"/>
              <w:rPr>
                <w:bCs/>
                <w:sz w:val="24"/>
              </w:rPr>
            </w:pPr>
            <w:r>
              <w:rPr>
                <w:bCs/>
                <w:sz w:val="24"/>
              </w:rPr>
              <w:t>静调车间主要包括：气密性试验、空气制动装置性能试验、供风系统试验、耐压试验、车门动作试验、空调系统试验、辅助电源和照明试验、称重及模拟过弯道试验以及淋雨试验等工作。</w:t>
            </w:r>
          </w:p>
          <w:p>
            <w:pPr>
              <w:adjustRightInd w:val="0"/>
              <w:snapToGrid w:val="0"/>
              <w:spacing w:line="360" w:lineRule="auto"/>
              <w:ind w:firstLine="480" w:firstLineChars="200"/>
              <w:rPr>
                <w:bCs/>
                <w:sz w:val="24"/>
              </w:rPr>
            </w:pPr>
          </w:p>
          <w:p>
            <w:pPr>
              <w:adjustRightInd w:val="0"/>
              <w:snapToGrid w:val="0"/>
              <w:spacing w:line="360" w:lineRule="auto"/>
              <w:ind w:firstLine="480" w:firstLineChars="200"/>
              <w:rPr>
                <w:bCs/>
                <w:sz w:val="24"/>
              </w:rPr>
            </w:pPr>
          </w:p>
          <w:p>
            <w:pPr>
              <w:adjustRightInd w:val="0"/>
              <w:snapToGrid w:val="0"/>
              <w:spacing w:line="360" w:lineRule="auto"/>
              <w:ind w:firstLine="480" w:firstLineChars="200"/>
              <w:rPr>
                <w:bCs/>
                <w:sz w:val="24"/>
              </w:rPr>
            </w:pPr>
          </w:p>
          <w:p>
            <w:pPr>
              <w:adjustRightInd w:val="0"/>
              <w:snapToGrid w:val="0"/>
              <w:spacing w:line="360" w:lineRule="auto"/>
              <w:ind w:firstLine="480" w:firstLineChars="200"/>
              <w:rPr>
                <w:bCs/>
                <w:sz w:val="24"/>
              </w:rPr>
            </w:pPr>
          </w:p>
          <w:p>
            <w:pPr>
              <w:adjustRightInd w:val="0"/>
              <w:snapToGrid w:val="0"/>
              <w:spacing w:line="360" w:lineRule="auto"/>
              <w:ind w:firstLine="480" w:firstLineChars="200"/>
              <w:rPr>
                <w:bCs/>
                <w:sz w:val="24"/>
              </w:rPr>
            </w:pPr>
          </w:p>
          <w:p>
            <w:pPr>
              <w:adjustRightInd w:val="0"/>
              <w:snapToGrid w:val="0"/>
              <w:spacing w:line="360" w:lineRule="auto"/>
              <w:ind w:firstLine="480" w:firstLineChars="200"/>
              <w:rPr>
                <w:bCs/>
                <w:sz w:val="24"/>
              </w:rPr>
            </w:pPr>
            <w:r>
              <w:rPr>
                <w:bCs/>
                <w:sz w:val="24"/>
              </w:rPr>
              <mc:AlternateContent>
                <mc:Choice Requires="wpg">
                  <w:drawing>
                    <wp:inline distT="0" distB="0" distL="0" distR="0">
                      <wp:extent cx="4257675" cy="7924800"/>
                      <wp:effectExtent l="0" t="0" r="0" b="0"/>
                      <wp:docPr id="378" name="组合 378"/>
                      <wp:cNvGraphicFramePr/>
                      <a:graphic xmlns:a="http://schemas.openxmlformats.org/drawingml/2006/main">
                        <a:graphicData uri="http://schemas.microsoft.com/office/word/2010/wordprocessingGroup">
                          <wpg:wgp>
                            <wpg:cNvGrpSpPr/>
                            <wpg:grpSpPr>
                              <a:xfrm>
                                <a:off x="0" y="0"/>
                                <a:ext cx="4257675" cy="7924800"/>
                                <a:chOff x="0" y="0"/>
                                <a:chExt cx="8280" cy="13573"/>
                              </a:xfrm>
                            </wpg:grpSpPr>
                            <wps:wsp>
                              <wps:cNvPr id="379" name="Picture 224"/>
                              <wps:cNvSpPr>
                                <a:spLocks noChangeAspect="1" noChangeArrowheads="1" noTextEdit="1"/>
                              </wps:cNvSpPr>
                              <wps:spPr bwMode="auto">
                                <a:xfrm>
                                  <a:off x="0" y="0"/>
                                  <a:ext cx="8280" cy="13573"/>
                                </a:xfrm>
                                <a:prstGeom prst="rect">
                                  <a:avLst/>
                                </a:prstGeom>
                                <a:noFill/>
                                <a:ln>
                                  <a:noFill/>
                                </a:ln>
                              </wps:spPr>
                              <wps:bodyPr rot="0" vert="horz" wrap="square" lIns="91440" tIns="45720" rIns="91440" bIns="45720" anchor="t" anchorCtr="0" upright="1">
                                <a:noAutofit/>
                              </wps:bodyPr>
                            </wps:wsp>
                            <wps:wsp>
                              <wps:cNvPr id="380" name="Text Box 225"/>
                              <wps:cNvSpPr txBox="1">
                                <a:spLocks noChangeArrowheads="1"/>
                              </wps:cNvSpPr>
                              <wps:spPr bwMode="auto">
                                <a:xfrm>
                                  <a:off x="3240" y="0"/>
                                  <a:ext cx="1800" cy="469"/>
                                </a:xfrm>
                                <a:prstGeom prst="rect">
                                  <a:avLst/>
                                </a:prstGeom>
                                <a:noFill/>
                                <a:ln>
                                  <a:noFill/>
                                </a:ln>
                              </wps:spPr>
                              <wps:txbx>
                                <w:txbxContent>
                                  <w:p>
                                    <w:pPr>
                                      <w:jc w:val="center"/>
                                    </w:pPr>
                                    <w:r>
                                      <w:rPr>
                                        <w:rFonts w:hint="eastAsia"/>
                                      </w:rPr>
                                      <w:t>总装车间车体</w:t>
                                    </w:r>
                                  </w:p>
                                </w:txbxContent>
                              </wps:txbx>
                              <wps:bodyPr rot="0" vert="horz" wrap="square" lIns="91440" tIns="45720" rIns="91440" bIns="45720" anchor="t" anchorCtr="0" upright="1">
                                <a:noAutofit/>
                              </wps:bodyPr>
                            </wps:wsp>
                            <wps:wsp>
                              <wps:cNvPr id="381" name="Line 226"/>
                              <wps:cNvCnPr>
                                <a:cxnSpLocks noChangeShapeType="1"/>
                              </wps:cNvCnPr>
                              <wps:spPr bwMode="auto">
                                <a:xfrm>
                                  <a:off x="4140" y="469"/>
                                  <a:ext cx="0" cy="311"/>
                                </a:xfrm>
                                <a:prstGeom prst="line">
                                  <a:avLst/>
                                </a:prstGeom>
                                <a:noFill/>
                                <a:ln w="9525" cmpd="sng">
                                  <a:solidFill>
                                    <a:srgbClr val="000000"/>
                                  </a:solidFill>
                                  <a:round/>
                                  <a:tailEnd type="triangle" w="med" len="med"/>
                                </a:ln>
                              </wps:spPr>
                              <wps:bodyPr/>
                            </wps:wsp>
                            <wps:wsp>
                              <wps:cNvPr id="382" name="Text Box 227"/>
                              <wps:cNvSpPr txBox="1">
                                <a:spLocks noChangeArrowheads="1"/>
                              </wps:cNvSpPr>
                              <wps:spPr bwMode="auto">
                                <a:xfrm>
                                  <a:off x="3240" y="780"/>
                                  <a:ext cx="1800" cy="469"/>
                                </a:xfrm>
                                <a:prstGeom prst="rect">
                                  <a:avLst/>
                                </a:prstGeom>
                                <a:solidFill>
                                  <a:srgbClr val="FFFFFF"/>
                                </a:solidFill>
                                <a:ln w="9525" cmpd="sng">
                                  <a:solidFill>
                                    <a:srgbClr val="000000"/>
                                  </a:solidFill>
                                  <a:miter lim="800000"/>
                                </a:ln>
                              </wps:spPr>
                              <wps:txbx>
                                <w:txbxContent>
                                  <w:p>
                                    <w:pPr>
                                      <w:jc w:val="center"/>
                                    </w:pPr>
                                    <w:r>
                                      <w:rPr>
                                        <w:rFonts w:hint="eastAsia"/>
                                      </w:rPr>
                                      <w:t>气密性试验</w:t>
                                    </w:r>
                                  </w:p>
                                </w:txbxContent>
                              </wps:txbx>
                              <wps:bodyPr rot="0" vert="horz" wrap="square" lIns="91440" tIns="45720" rIns="91440" bIns="45720" anchor="t" anchorCtr="0" upright="1">
                                <a:noAutofit/>
                              </wps:bodyPr>
                            </wps:wsp>
                            <wps:wsp>
                              <wps:cNvPr id="383" name="Line 228"/>
                              <wps:cNvCnPr>
                                <a:cxnSpLocks noChangeShapeType="1"/>
                              </wps:cNvCnPr>
                              <wps:spPr bwMode="auto">
                                <a:xfrm>
                                  <a:off x="4140" y="1249"/>
                                  <a:ext cx="1" cy="311"/>
                                </a:xfrm>
                                <a:prstGeom prst="line">
                                  <a:avLst/>
                                </a:prstGeom>
                                <a:noFill/>
                                <a:ln w="9525" cmpd="sng">
                                  <a:solidFill>
                                    <a:srgbClr val="000000"/>
                                  </a:solidFill>
                                  <a:round/>
                                  <a:tailEnd type="triangle" w="med" len="med"/>
                                </a:ln>
                              </wps:spPr>
                              <wps:bodyPr/>
                            </wps:wsp>
                            <wps:wsp>
                              <wps:cNvPr id="384" name="Text Box 229"/>
                              <wps:cNvSpPr txBox="1">
                                <a:spLocks noChangeArrowheads="1"/>
                              </wps:cNvSpPr>
                              <wps:spPr bwMode="auto">
                                <a:xfrm>
                                  <a:off x="3240" y="1560"/>
                                  <a:ext cx="1800" cy="469"/>
                                </a:xfrm>
                                <a:prstGeom prst="rect">
                                  <a:avLst/>
                                </a:prstGeom>
                                <a:solidFill>
                                  <a:srgbClr val="FFFFFF"/>
                                </a:solidFill>
                                <a:ln w="9525" cmpd="sng">
                                  <a:solidFill>
                                    <a:srgbClr val="000000"/>
                                  </a:solidFill>
                                  <a:miter lim="800000"/>
                                </a:ln>
                              </wps:spPr>
                              <wps:txbx>
                                <w:txbxContent>
                                  <w:p>
                                    <w:pPr>
                                      <w:jc w:val="center"/>
                                    </w:pPr>
                                    <w:r>
                                      <w:rPr>
                                        <w:rFonts w:hint="eastAsia"/>
                                      </w:rPr>
                                      <w:t>线号校对检查</w:t>
                                    </w:r>
                                  </w:p>
                                </w:txbxContent>
                              </wps:txbx>
                              <wps:bodyPr rot="0" vert="horz" wrap="square" lIns="91440" tIns="45720" rIns="91440" bIns="45720" anchor="t" anchorCtr="0" upright="1">
                                <a:noAutofit/>
                              </wps:bodyPr>
                            </wps:wsp>
                            <wps:wsp>
                              <wps:cNvPr id="385" name="Line 230"/>
                              <wps:cNvCnPr>
                                <a:cxnSpLocks noChangeShapeType="1"/>
                              </wps:cNvCnPr>
                              <wps:spPr bwMode="auto">
                                <a:xfrm>
                                  <a:off x="4140" y="2029"/>
                                  <a:ext cx="1" cy="311"/>
                                </a:xfrm>
                                <a:prstGeom prst="line">
                                  <a:avLst/>
                                </a:prstGeom>
                                <a:noFill/>
                                <a:ln w="9525" cmpd="sng">
                                  <a:solidFill>
                                    <a:srgbClr val="000000"/>
                                  </a:solidFill>
                                  <a:round/>
                                  <a:tailEnd type="triangle" w="med" len="med"/>
                                </a:ln>
                              </wps:spPr>
                              <wps:bodyPr/>
                            </wps:wsp>
                            <wps:wsp>
                              <wps:cNvPr id="386" name="Text Box 231"/>
                              <wps:cNvSpPr txBox="1">
                                <a:spLocks noChangeArrowheads="1"/>
                              </wps:cNvSpPr>
                              <wps:spPr bwMode="auto">
                                <a:xfrm>
                                  <a:off x="3240" y="2340"/>
                                  <a:ext cx="1800" cy="468"/>
                                </a:xfrm>
                                <a:prstGeom prst="rect">
                                  <a:avLst/>
                                </a:prstGeom>
                                <a:solidFill>
                                  <a:srgbClr val="FFFFFF"/>
                                </a:solidFill>
                                <a:ln w="9525" cmpd="sng">
                                  <a:solidFill>
                                    <a:srgbClr val="000000"/>
                                  </a:solidFill>
                                  <a:miter lim="800000"/>
                                </a:ln>
                              </wps:spPr>
                              <wps:txbx>
                                <w:txbxContent>
                                  <w:p>
                                    <w:pPr>
                                      <w:jc w:val="center"/>
                                    </w:pPr>
                                    <w:r>
                                      <w:rPr>
                                        <w:rFonts w:hint="eastAsia"/>
                                      </w:rPr>
                                      <w:t>耐压试验</w:t>
                                    </w:r>
                                  </w:p>
                                </w:txbxContent>
                              </wps:txbx>
                              <wps:bodyPr rot="0" vert="horz" wrap="square" lIns="91440" tIns="45720" rIns="91440" bIns="45720" anchor="t" anchorCtr="0" upright="1">
                                <a:noAutofit/>
                              </wps:bodyPr>
                            </wps:wsp>
                            <wps:wsp>
                              <wps:cNvPr id="387" name="Line 232"/>
                              <wps:cNvCnPr>
                                <a:cxnSpLocks noChangeShapeType="1"/>
                              </wps:cNvCnPr>
                              <wps:spPr bwMode="auto">
                                <a:xfrm>
                                  <a:off x="4140" y="2808"/>
                                  <a:ext cx="1" cy="312"/>
                                </a:xfrm>
                                <a:prstGeom prst="line">
                                  <a:avLst/>
                                </a:prstGeom>
                                <a:noFill/>
                                <a:ln w="9525" cmpd="sng">
                                  <a:solidFill>
                                    <a:srgbClr val="000000"/>
                                  </a:solidFill>
                                  <a:round/>
                                  <a:tailEnd type="triangle" w="med" len="med"/>
                                </a:ln>
                              </wps:spPr>
                              <wps:bodyPr/>
                            </wps:wsp>
                            <wps:wsp>
                              <wps:cNvPr id="388" name="Text Box 233"/>
                              <wps:cNvSpPr txBox="1">
                                <a:spLocks noChangeArrowheads="1"/>
                              </wps:cNvSpPr>
                              <wps:spPr bwMode="auto">
                                <a:xfrm>
                                  <a:off x="3240" y="3120"/>
                                  <a:ext cx="1800" cy="469"/>
                                </a:xfrm>
                                <a:prstGeom prst="rect">
                                  <a:avLst/>
                                </a:prstGeom>
                                <a:solidFill>
                                  <a:srgbClr val="FFFFFF"/>
                                </a:solidFill>
                                <a:ln w="9525" cmpd="sng">
                                  <a:solidFill>
                                    <a:srgbClr val="000000"/>
                                  </a:solidFill>
                                  <a:miter lim="800000"/>
                                </a:ln>
                              </wps:spPr>
                              <wps:txbx>
                                <w:txbxContent>
                                  <w:p>
                                    <w:pPr>
                                      <w:jc w:val="center"/>
                                    </w:pPr>
                                    <w:r>
                                      <w:rPr>
                                        <w:rFonts w:hint="eastAsia"/>
                                      </w:rPr>
                                      <w:t>空气制动试验</w:t>
                                    </w:r>
                                  </w:p>
                                </w:txbxContent>
                              </wps:txbx>
                              <wps:bodyPr rot="0" vert="horz" wrap="square" lIns="91440" tIns="45720" rIns="91440" bIns="45720" anchor="t" anchorCtr="0" upright="1">
                                <a:noAutofit/>
                              </wps:bodyPr>
                            </wps:wsp>
                            <wps:wsp>
                              <wps:cNvPr id="389" name="Line 234"/>
                              <wps:cNvCnPr>
                                <a:cxnSpLocks noChangeShapeType="1"/>
                              </wps:cNvCnPr>
                              <wps:spPr bwMode="auto">
                                <a:xfrm>
                                  <a:off x="4140" y="3589"/>
                                  <a:ext cx="1" cy="311"/>
                                </a:xfrm>
                                <a:prstGeom prst="line">
                                  <a:avLst/>
                                </a:prstGeom>
                                <a:noFill/>
                                <a:ln w="9525" cmpd="sng">
                                  <a:solidFill>
                                    <a:srgbClr val="000000"/>
                                  </a:solidFill>
                                  <a:round/>
                                  <a:tailEnd type="triangle" w="med" len="med"/>
                                </a:ln>
                              </wps:spPr>
                              <wps:bodyPr/>
                            </wps:wsp>
                            <wps:wsp>
                              <wps:cNvPr id="390" name="Text Box 235"/>
                              <wps:cNvSpPr txBox="1">
                                <a:spLocks noChangeArrowheads="1"/>
                              </wps:cNvSpPr>
                              <wps:spPr bwMode="auto">
                                <a:xfrm>
                                  <a:off x="3240" y="3900"/>
                                  <a:ext cx="1800" cy="468"/>
                                </a:xfrm>
                                <a:prstGeom prst="rect">
                                  <a:avLst/>
                                </a:prstGeom>
                                <a:solidFill>
                                  <a:srgbClr val="FFFFFF"/>
                                </a:solidFill>
                                <a:ln w="9525" cmpd="sng">
                                  <a:solidFill>
                                    <a:srgbClr val="000000"/>
                                  </a:solidFill>
                                  <a:miter lim="800000"/>
                                </a:ln>
                              </wps:spPr>
                              <wps:txbx>
                                <w:txbxContent>
                                  <w:p>
                                    <w:pPr>
                                      <w:jc w:val="center"/>
                                    </w:pPr>
                                    <w:r>
                                      <w:rPr>
                                        <w:rFonts w:hint="eastAsia"/>
                                      </w:rPr>
                                      <w:t>供风系统试验</w:t>
                                    </w:r>
                                  </w:p>
                                </w:txbxContent>
                              </wps:txbx>
                              <wps:bodyPr rot="0" vert="horz" wrap="square" lIns="91440" tIns="45720" rIns="91440" bIns="45720" anchor="t" anchorCtr="0" upright="1">
                                <a:noAutofit/>
                              </wps:bodyPr>
                            </wps:wsp>
                            <wps:wsp>
                              <wps:cNvPr id="391" name="Line 236"/>
                              <wps:cNvCnPr>
                                <a:cxnSpLocks noChangeShapeType="1"/>
                              </wps:cNvCnPr>
                              <wps:spPr bwMode="auto">
                                <a:xfrm>
                                  <a:off x="4140" y="4368"/>
                                  <a:ext cx="1" cy="312"/>
                                </a:xfrm>
                                <a:prstGeom prst="line">
                                  <a:avLst/>
                                </a:prstGeom>
                                <a:noFill/>
                                <a:ln w="9525" cmpd="sng">
                                  <a:solidFill>
                                    <a:srgbClr val="000000"/>
                                  </a:solidFill>
                                  <a:round/>
                                  <a:tailEnd type="triangle" w="med" len="med"/>
                                </a:ln>
                              </wps:spPr>
                              <wps:bodyPr/>
                            </wps:wsp>
                            <wps:wsp>
                              <wps:cNvPr id="392" name="Text Box 237"/>
                              <wps:cNvSpPr txBox="1">
                                <a:spLocks noChangeArrowheads="1"/>
                              </wps:cNvSpPr>
                              <wps:spPr bwMode="auto">
                                <a:xfrm>
                                  <a:off x="3240" y="4680"/>
                                  <a:ext cx="1800" cy="469"/>
                                </a:xfrm>
                                <a:prstGeom prst="rect">
                                  <a:avLst/>
                                </a:prstGeom>
                                <a:solidFill>
                                  <a:srgbClr val="FFFFFF"/>
                                </a:solidFill>
                                <a:ln w="9525" cmpd="sng">
                                  <a:solidFill>
                                    <a:srgbClr val="000000"/>
                                  </a:solidFill>
                                  <a:miter lim="800000"/>
                                </a:ln>
                              </wps:spPr>
                              <wps:txbx>
                                <w:txbxContent>
                                  <w:p>
                                    <w:pPr>
                                      <w:jc w:val="center"/>
                                    </w:pPr>
                                    <w:r>
                                      <w:rPr>
                                        <w:rFonts w:hint="eastAsia"/>
                                      </w:rPr>
                                      <w:t>车门动作试验</w:t>
                                    </w:r>
                                  </w:p>
                                </w:txbxContent>
                              </wps:txbx>
                              <wps:bodyPr rot="0" vert="horz" wrap="square" lIns="91440" tIns="45720" rIns="91440" bIns="45720" anchor="t" anchorCtr="0" upright="1">
                                <a:noAutofit/>
                              </wps:bodyPr>
                            </wps:wsp>
                            <wps:wsp>
                              <wps:cNvPr id="393" name="Line 238"/>
                              <wps:cNvCnPr>
                                <a:cxnSpLocks noChangeShapeType="1"/>
                              </wps:cNvCnPr>
                              <wps:spPr bwMode="auto">
                                <a:xfrm>
                                  <a:off x="4140" y="5149"/>
                                  <a:ext cx="1" cy="312"/>
                                </a:xfrm>
                                <a:prstGeom prst="line">
                                  <a:avLst/>
                                </a:prstGeom>
                                <a:noFill/>
                                <a:ln w="9525" cmpd="sng">
                                  <a:solidFill>
                                    <a:srgbClr val="000000"/>
                                  </a:solidFill>
                                  <a:round/>
                                  <a:tailEnd type="triangle" w="med" len="med"/>
                                </a:ln>
                              </wps:spPr>
                              <wps:bodyPr/>
                            </wps:wsp>
                            <wps:wsp>
                              <wps:cNvPr id="394" name="Text Box 239"/>
                              <wps:cNvSpPr txBox="1">
                                <a:spLocks noChangeArrowheads="1"/>
                              </wps:cNvSpPr>
                              <wps:spPr bwMode="auto">
                                <a:xfrm>
                                  <a:off x="3240" y="5461"/>
                                  <a:ext cx="1800" cy="467"/>
                                </a:xfrm>
                                <a:prstGeom prst="rect">
                                  <a:avLst/>
                                </a:prstGeom>
                                <a:solidFill>
                                  <a:srgbClr val="FFFFFF"/>
                                </a:solidFill>
                                <a:ln w="9525" cmpd="sng">
                                  <a:solidFill>
                                    <a:srgbClr val="000000"/>
                                  </a:solidFill>
                                  <a:miter lim="800000"/>
                                </a:ln>
                              </wps:spPr>
                              <wps:txbx>
                                <w:txbxContent>
                                  <w:p>
                                    <w:pPr>
                                      <w:jc w:val="center"/>
                                    </w:pPr>
                                    <w:r>
                                      <w:rPr>
                                        <w:rFonts w:hint="eastAsia"/>
                                      </w:rPr>
                                      <w:t>空调系统试验</w:t>
                                    </w:r>
                                  </w:p>
                                </w:txbxContent>
                              </wps:txbx>
                              <wps:bodyPr rot="0" vert="horz" wrap="square" lIns="91440" tIns="45720" rIns="91440" bIns="45720" anchor="t" anchorCtr="0" upright="1">
                                <a:noAutofit/>
                              </wps:bodyPr>
                            </wps:wsp>
                            <wps:wsp>
                              <wps:cNvPr id="395" name="Line 240"/>
                              <wps:cNvCnPr>
                                <a:cxnSpLocks noChangeShapeType="1"/>
                              </wps:cNvCnPr>
                              <wps:spPr bwMode="auto">
                                <a:xfrm>
                                  <a:off x="4140" y="5928"/>
                                  <a:ext cx="1" cy="312"/>
                                </a:xfrm>
                                <a:prstGeom prst="line">
                                  <a:avLst/>
                                </a:prstGeom>
                                <a:noFill/>
                                <a:ln w="9525" cmpd="sng">
                                  <a:solidFill>
                                    <a:srgbClr val="000000"/>
                                  </a:solidFill>
                                  <a:round/>
                                  <a:tailEnd type="triangle" w="med" len="med"/>
                                </a:ln>
                              </wps:spPr>
                              <wps:bodyPr/>
                            </wps:wsp>
                            <wps:wsp>
                              <wps:cNvPr id="396" name="Text Box 241"/>
                              <wps:cNvSpPr txBox="1">
                                <a:spLocks noChangeArrowheads="1"/>
                              </wps:cNvSpPr>
                              <wps:spPr bwMode="auto">
                                <a:xfrm>
                                  <a:off x="2952" y="6240"/>
                                  <a:ext cx="2340" cy="469"/>
                                </a:xfrm>
                                <a:prstGeom prst="rect">
                                  <a:avLst/>
                                </a:prstGeom>
                                <a:solidFill>
                                  <a:srgbClr val="FFFFFF"/>
                                </a:solidFill>
                                <a:ln w="9525" cmpd="sng">
                                  <a:solidFill>
                                    <a:srgbClr val="000000"/>
                                  </a:solidFill>
                                  <a:miter lim="800000"/>
                                </a:ln>
                              </wps:spPr>
                              <wps:txbx>
                                <w:txbxContent>
                                  <w:p>
                                    <w:pPr>
                                      <w:jc w:val="center"/>
                                    </w:pPr>
                                    <w:r>
                                      <w:rPr>
                                        <w:rFonts w:hint="eastAsia"/>
                                      </w:rPr>
                                      <w:t>辅助电源和照明试验</w:t>
                                    </w:r>
                                  </w:p>
                                </w:txbxContent>
                              </wps:txbx>
                              <wps:bodyPr rot="0" vert="horz" wrap="square" lIns="91440" tIns="45720" rIns="91440" bIns="45720" anchor="t" anchorCtr="0" upright="1">
                                <a:noAutofit/>
                              </wps:bodyPr>
                            </wps:wsp>
                            <wps:wsp>
                              <wps:cNvPr id="397" name="Line 242"/>
                              <wps:cNvCnPr>
                                <a:cxnSpLocks noChangeShapeType="1"/>
                              </wps:cNvCnPr>
                              <wps:spPr bwMode="auto">
                                <a:xfrm>
                                  <a:off x="4140" y="6709"/>
                                  <a:ext cx="1" cy="312"/>
                                </a:xfrm>
                                <a:prstGeom prst="line">
                                  <a:avLst/>
                                </a:prstGeom>
                                <a:noFill/>
                                <a:ln w="9525" cmpd="sng">
                                  <a:solidFill>
                                    <a:srgbClr val="000000"/>
                                  </a:solidFill>
                                  <a:round/>
                                  <a:tailEnd type="triangle" w="med" len="med"/>
                                </a:ln>
                              </wps:spPr>
                              <wps:bodyPr/>
                            </wps:wsp>
                            <wps:wsp>
                              <wps:cNvPr id="398" name="Text Box 243"/>
                              <wps:cNvSpPr txBox="1">
                                <a:spLocks noChangeArrowheads="1"/>
                              </wps:cNvSpPr>
                              <wps:spPr bwMode="auto">
                                <a:xfrm>
                                  <a:off x="2784" y="7021"/>
                                  <a:ext cx="2700" cy="467"/>
                                </a:xfrm>
                                <a:prstGeom prst="rect">
                                  <a:avLst/>
                                </a:prstGeom>
                                <a:solidFill>
                                  <a:srgbClr val="FFFFFF"/>
                                </a:solidFill>
                                <a:ln w="9525" cmpd="sng">
                                  <a:solidFill>
                                    <a:srgbClr val="000000"/>
                                  </a:solidFill>
                                  <a:miter lim="800000"/>
                                </a:ln>
                              </wps:spPr>
                              <wps:txbx>
                                <w:txbxContent>
                                  <w:p>
                                    <w:pPr>
                                      <w:jc w:val="center"/>
                                    </w:pPr>
                                    <w:r>
                                      <w:rPr>
                                        <w:rFonts w:hint="eastAsia"/>
                                      </w:rPr>
                                      <w:t>列车广播和客室显示系统</w:t>
                                    </w:r>
                                  </w:p>
                                </w:txbxContent>
                              </wps:txbx>
                              <wps:bodyPr rot="0" vert="horz" wrap="square" lIns="91440" tIns="45720" rIns="91440" bIns="45720" anchor="t" anchorCtr="0" upright="1">
                                <a:noAutofit/>
                              </wps:bodyPr>
                            </wps:wsp>
                            <wps:wsp>
                              <wps:cNvPr id="399" name="Line 244"/>
                              <wps:cNvCnPr>
                                <a:cxnSpLocks noChangeShapeType="1"/>
                              </wps:cNvCnPr>
                              <wps:spPr bwMode="auto">
                                <a:xfrm>
                                  <a:off x="4140" y="7488"/>
                                  <a:ext cx="1" cy="312"/>
                                </a:xfrm>
                                <a:prstGeom prst="line">
                                  <a:avLst/>
                                </a:prstGeom>
                                <a:noFill/>
                                <a:ln w="9525" cmpd="sng">
                                  <a:solidFill>
                                    <a:srgbClr val="000000"/>
                                  </a:solidFill>
                                  <a:round/>
                                  <a:tailEnd type="triangle" w="med" len="med"/>
                                </a:ln>
                              </wps:spPr>
                              <wps:bodyPr/>
                            </wps:wsp>
                            <wps:wsp>
                              <wps:cNvPr id="400" name="Text Box 245"/>
                              <wps:cNvSpPr txBox="1">
                                <a:spLocks noChangeArrowheads="1"/>
                              </wps:cNvSpPr>
                              <wps:spPr bwMode="auto">
                                <a:xfrm>
                                  <a:off x="3240" y="7800"/>
                                  <a:ext cx="1800" cy="469"/>
                                </a:xfrm>
                                <a:prstGeom prst="rect">
                                  <a:avLst/>
                                </a:prstGeom>
                                <a:solidFill>
                                  <a:srgbClr val="FFFFFF"/>
                                </a:solidFill>
                                <a:ln w="9525" cmpd="sng">
                                  <a:solidFill>
                                    <a:srgbClr val="000000"/>
                                  </a:solidFill>
                                  <a:miter lim="800000"/>
                                </a:ln>
                              </wps:spPr>
                              <wps:txbx>
                                <w:txbxContent>
                                  <w:p>
                                    <w:pPr>
                                      <w:jc w:val="center"/>
                                    </w:pPr>
                                    <w:r>
                                      <w:rPr>
                                        <w:rFonts w:hint="eastAsia"/>
                                      </w:rPr>
                                      <w:t>整车称重试验</w:t>
                                    </w:r>
                                  </w:p>
                                </w:txbxContent>
                              </wps:txbx>
                              <wps:bodyPr rot="0" vert="horz" wrap="square" lIns="91440" tIns="45720" rIns="91440" bIns="45720" anchor="t" anchorCtr="0" upright="1">
                                <a:noAutofit/>
                              </wps:bodyPr>
                            </wps:wsp>
                            <wps:wsp>
                              <wps:cNvPr id="401" name="Line 246"/>
                              <wps:cNvCnPr>
                                <a:cxnSpLocks noChangeShapeType="1"/>
                              </wps:cNvCnPr>
                              <wps:spPr bwMode="auto">
                                <a:xfrm>
                                  <a:off x="4140" y="8269"/>
                                  <a:ext cx="1" cy="312"/>
                                </a:xfrm>
                                <a:prstGeom prst="line">
                                  <a:avLst/>
                                </a:prstGeom>
                                <a:noFill/>
                                <a:ln w="9525" cmpd="sng">
                                  <a:solidFill>
                                    <a:srgbClr val="000000"/>
                                  </a:solidFill>
                                  <a:round/>
                                  <a:tailEnd type="triangle" w="med" len="med"/>
                                </a:ln>
                              </wps:spPr>
                              <wps:bodyPr/>
                            </wps:wsp>
                            <wps:wsp>
                              <wps:cNvPr id="402" name="Text Box 247"/>
                              <wps:cNvSpPr txBox="1">
                                <a:spLocks noChangeArrowheads="1"/>
                              </wps:cNvSpPr>
                              <wps:spPr bwMode="auto">
                                <a:xfrm>
                                  <a:off x="3240" y="8581"/>
                                  <a:ext cx="1800" cy="467"/>
                                </a:xfrm>
                                <a:prstGeom prst="rect">
                                  <a:avLst/>
                                </a:prstGeom>
                                <a:solidFill>
                                  <a:srgbClr val="FFFFFF"/>
                                </a:solidFill>
                                <a:ln w="9525" cmpd="sng">
                                  <a:solidFill>
                                    <a:srgbClr val="000000"/>
                                  </a:solidFill>
                                  <a:miter lim="800000"/>
                                </a:ln>
                              </wps:spPr>
                              <wps:txbx>
                                <w:txbxContent>
                                  <w:p>
                                    <w:pPr>
                                      <w:jc w:val="center"/>
                                    </w:pPr>
                                    <w:r>
                                      <w:rPr>
                                        <w:rFonts w:hint="eastAsia"/>
                                      </w:rPr>
                                      <w:t>模拟弯道试验</w:t>
                                    </w:r>
                                  </w:p>
                                </w:txbxContent>
                              </wps:txbx>
                              <wps:bodyPr rot="0" vert="horz" wrap="square" lIns="91440" tIns="45720" rIns="91440" bIns="45720" anchor="t" anchorCtr="0" upright="1">
                                <a:noAutofit/>
                              </wps:bodyPr>
                            </wps:wsp>
                            <wps:wsp>
                              <wps:cNvPr id="403" name="Line 248"/>
                              <wps:cNvCnPr>
                                <a:cxnSpLocks noChangeShapeType="1"/>
                              </wps:cNvCnPr>
                              <wps:spPr bwMode="auto">
                                <a:xfrm>
                                  <a:off x="4140" y="9048"/>
                                  <a:ext cx="1" cy="312"/>
                                </a:xfrm>
                                <a:prstGeom prst="line">
                                  <a:avLst/>
                                </a:prstGeom>
                                <a:noFill/>
                                <a:ln w="9525" cmpd="sng">
                                  <a:solidFill>
                                    <a:srgbClr val="000000"/>
                                  </a:solidFill>
                                  <a:round/>
                                  <a:tailEnd type="triangle" w="med" len="med"/>
                                </a:ln>
                              </wps:spPr>
                              <wps:bodyPr/>
                            </wps:wsp>
                            <wps:wsp>
                              <wps:cNvPr id="404" name="Text Box 249"/>
                              <wps:cNvSpPr txBox="1">
                                <a:spLocks noChangeArrowheads="1"/>
                              </wps:cNvSpPr>
                              <wps:spPr bwMode="auto">
                                <a:xfrm>
                                  <a:off x="2880" y="9360"/>
                                  <a:ext cx="2520" cy="469"/>
                                </a:xfrm>
                                <a:prstGeom prst="rect">
                                  <a:avLst/>
                                </a:prstGeom>
                                <a:solidFill>
                                  <a:srgbClr val="FFFFFF"/>
                                </a:solidFill>
                                <a:ln w="9525" cmpd="sng">
                                  <a:solidFill>
                                    <a:srgbClr val="000000"/>
                                  </a:solidFill>
                                  <a:miter lim="800000"/>
                                </a:ln>
                              </wps:spPr>
                              <wps:txbx>
                                <w:txbxContent>
                                  <w:p>
                                    <w:pPr>
                                      <w:jc w:val="center"/>
                                    </w:pPr>
                                    <w:r>
                                      <w:rPr>
                                        <w:rFonts w:hint="eastAsia"/>
                                      </w:rPr>
                                      <w:t>半列编组、联调试验</w:t>
                                    </w:r>
                                  </w:p>
                                </w:txbxContent>
                              </wps:txbx>
                              <wps:bodyPr rot="0" vert="horz" wrap="square" lIns="91440" tIns="45720" rIns="91440" bIns="45720" anchor="t" anchorCtr="0" upright="1">
                                <a:noAutofit/>
                              </wps:bodyPr>
                            </wps:wsp>
                            <wps:wsp>
                              <wps:cNvPr id="405" name="Line 250"/>
                              <wps:cNvCnPr>
                                <a:cxnSpLocks noChangeShapeType="1"/>
                              </wps:cNvCnPr>
                              <wps:spPr bwMode="auto">
                                <a:xfrm>
                                  <a:off x="4140" y="9829"/>
                                  <a:ext cx="1" cy="312"/>
                                </a:xfrm>
                                <a:prstGeom prst="line">
                                  <a:avLst/>
                                </a:prstGeom>
                                <a:noFill/>
                                <a:ln w="9525" cmpd="sng">
                                  <a:solidFill>
                                    <a:srgbClr val="000000"/>
                                  </a:solidFill>
                                  <a:round/>
                                  <a:tailEnd type="triangle" w="med" len="med"/>
                                </a:ln>
                              </wps:spPr>
                              <wps:bodyPr/>
                            </wps:wsp>
                            <wps:wsp>
                              <wps:cNvPr id="406" name="Line 251"/>
                              <wps:cNvCnPr>
                                <a:cxnSpLocks noChangeShapeType="1"/>
                              </wps:cNvCnPr>
                              <wps:spPr bwMode="auto">
                                <a:xfrm>
                                  <a:off x="4140" y="10608"/>
                                  <a:ext cx="1" cy="312"/>
                                </a:xfrm>
                                <a:prstGeom prst="line">
                                  <a:avLst/>
                                </a:prstGeom>
                                <a:noFill/>
                                <a:ln w="9525" cmpd="sng">
                                  <a:solidFill>
                                    <a:srgbClr val="000000"/>
                                  </a:solidFill>
                                  <a:round/>
                                  <a:tailEnd type="triangle" w="med" len="med"/>
                                </a:ln>
                              </wps:spPr>
                              <wps:bodyPr/>
                            </wps:wsp>
                            <wps:wsp>
                              <wps:cNvPr id="407" name="Text Box 252"/>
                              <wps:cNvSpPr txBox="1">
                                <a:spLocks noChangeArrowheads="1"/>
                              </wps:cNvSpPr>
                              <wps:spPr bwMode="auto">
                                <a:xfrm>
                                  <a:off x="3240" y="10920"/>
                                  <a:ext cx="1800" cy="469"/>
                                </a:xfrm>
                                <a:prstGeom prst="rect">
                                  <a:avLst/>
                                </a:prstGeom>
                                <a:solidFill>
                                  <a:srgbClr val="FFFFFF"/>
                                </a:solidFill>
                                <a:ln w="9525" cmpd="sng">
                                  <a:solidFill>
                                    <a:srgbClr val="000000"/>
                                  </a:solidFill>
                                  <a:miter lim="800000"/>
                                </a:ln>
                              </wps:spPr>
                              <wps:txbx>
                                <w:txbxContent>
                                  <w:p>
                                    <w:pPr>
                                      <w:jc w:val="center"/>
                                    </w:pPr>
                                    <w:r>
                                      <w:rPr>
                                        <w:rFonts w:hint="eastAsia"/>
                                      </w:rPr>
                                      <w:t>风挡淋雨试验</w:t>
                                    </w:r>
                                  </w:p>
                                </w:txbxContent>
                              </wps:txbx>
                              <wps:bodyPr rot="0" vert="horz" wrap="square" lIns="91440" tIns="45720" rIns="91440" bIns="45720" anchor="t" anchorCtr="0" upright="1">
                                <a:noAutofit/>
                              </wps:bodyPr>
                            </wps:wsp>
                            <wps:wsp>
                              <wps:cNvPr id="408" name="Line 253"/>
                              <wps:cNvCnPr>
                                <a:cxnSpLocks noChangeShapeType="1"/>
                              </wps:cNvCnPr>
                              <wps:spPr bwMode="auto">
                                <a:xfrm>
                                  <a:off x="4140" y="11389"/>
                                  <a:ext cx="1" cy="312"/>
                                </a:xfrm>
                                <a:prstGeom prst="line">
                                  <a:avLst/>
                                </a:prstGeom>
                                <a:noFill/>
                                <a:ln w="9525" cmpd="sng">
                                  <a:solidFill>
                                    <a:srgbClr val="000000"/>
                                  </a:solidFill>
                                  <a:round/>
                                  <a:tailEnd type="triangle" w="med" len="med"/>
                                </a:ln>
                              </wps:spPr>
                              <wps:bodyPr/>
                            </wps:wsp>
                            <wps:wsp>
                              <wps:cNvPr id="409" name="Text Box 254"/>
                              <wps:cNvSpPr txBox="1">
                                <a:spLocks noChangeArrowheads="1"/>
                              </wps:cNvSpPr>
                              <wps:spPr bwMode="auto">
                                <a:xfrm>
                                  <a:off x="3060" y="11701"/>
                                  <a:ext cx="2160" cy="467"/>
                                </a:xfrm>
                                <a:prstGeom prst="rect">
                                  <a:avLst/>
                                </a:prstGeom>
                                <a:solidFill>
                                  <a:srgbClr val="FFFFFF"/>
                                </a:solidFill>
                                <a:ln w="9525" cmpd="sng">
                                  <a:solidFill>
                                    <a:srgbClr val="000000"/>
                                  </a:solidFill>
                                  <a:miter lim="800000"/>
                                </a:ln>
                              </wps:spPr>
                              <wps:txbx>
                                <w:txbxContent>
                                  <w:p>
                                    <w:pPr>
                                      <w:jc w:val="center"/>
                                    </w:pPr>
                                    <w:r>
                                      <w:rPr>
                                        <w:rFonts w:hint="eastAsia"/>
                                      </w:rPr>
                                      <w:t>列车安全装置检查</w:t>
                                    </w:r>
                                  </w:p>
                                </w:txbxContent>
                              </wps:txbx>
                              <wps:bodyPr rot="0" vert="horz" wrap="square" lIns="91440" tIns="45720" rIns="91440" bIns="45720" anchor="t" anchorCtr="0" upright="1">
                                <a:noAutofit/>
                              </wps:bodyPr>
                            </wps:wsp>
                            <wps:wsp>
                              <wps:cNvPr id="410" name="Line 255"/>
                              <wps:cNvCnPr>
                                <a:cxnSpLocks noChangeShapeType="1"/>
                              </wps:cNvCnPr>
                              <wps:spPr bwMode="auto">
                                <a:xfrm>
                                  <a:off x="4140" y="12168"/>
                                  <a:ext cx="1" cy="312"/>
                                </a:xfrm>
                                <a:prstGeom prst="line">
                                  <a:avLst/>
                                </a:prstGeom>
                                <a:noFill/>
                                <a:ln w="9525" cmpd="sng">
                                  <a:solidFill>
                                    <a:srgbClr val="000000"/>
                                  </a:solidFill>
                                  <a:round/>
                                  <a:tailEnd type="triangle" w="med" len="med"/>
                                </a:ln>
                              </wps:spPr>
                              <wps:bodyPr/>
                            </wps:wsp>
                            <wps:wsp>
                              <wps:cNvPr id="411" name="Text Box 256"/>
                              <wps:cNvSpPr txBox="1">
                                <a:spLocks noChangeArrowheads="1"/>
                              </wps:cNvSpPr>
                              <wps:spPr bwMode="auto">
                                <a:xfrm>
                                  <a:off x="3240" y="12480"/>
                                  <a:ext cx="1800" cy="469"/>
                                </a:xfrm>
                                <a:prstGeom prst="rect">
                                  <a:avLst/>
                                </a:prstGeom>
                                <a:solidFill>
                                  <a:srgbClr val="FFFFFF"/>
                                </a:solidFill>
                                <a:ln>
                                  <a:noFill/>
                                </a:ln>
                              </wps:spPr>
                              <wps:txbx>
                                <w:txbxContent>
                                  <w:p>
                                    <w:pPr>
                                      <w:jc w:val="center"/>
                                    </w:pPr>
                                    <w:r>
                                      <w:rPr>
                                        <w:rFonts w:hint="eastAsia"/>
                                      </w:rPr>
                                      <w:t>动调前准备</w:t>
                                    </w:r>
                                  </w:p>
                                </w:txbxContent>
                              </wps:txbx>
                              <wps:bodyPr rot="0" vert="horz" wrap="square" lIns="91440" tIns="45720" rIns="91440" bIns="45720" anchor="t" anchorCtr="0" upright="1">
                                <a:noAutofit/>
                              </wps:bodyPr>
                            </wps:wsp>
                            <wps:wsp>
                              <wps:cNvPr id="412" name="Text Box 257"/>
                              <wps:cNvSpPr txBox="1">
                                <a:spLocks noChangeArrowheads="1"/>
                              </wps:cNvSpPr>
                              <wps:spPr bwMode="auto">
                                <a:xfrm>
                                  <a:off x="2880" y="10140"/>
                                  <a:ext cx="2520" cy="469"/>
                                </a:xfrm>
                                <a:prstGeom prst="rect">
                                  <a:avLst/>
                                </a:prstGeom>
                                <a:solidFill>
                                  <a:srgbClr val="FFFFFF"/>
                                </a:solidFill>
                                <a:ln w="9525" cmpd="sng">
                                  <a:solidFill>
                                    <a:srgbClr val="000000"/>
                                  </a:solidFill>
                                  <a:miter lim="800000"/>
                                </a:ln>
                              </wps:spPr>
                              <wps:txbx>
                                <w:txbxContent>
                                  <w:p>
                                    <w:pPr>
                                      <w:jc w:val="center"/>
                                    </w:pPr>
                                    <w:r>
                                      <w:rPr>
                                        <w:rFonts w:hint="eastAsia"/>
                                      </w:rPr>
                                      <w:t>整列列编组、联调试验</w:t>
                                    </w:r>
                                  </w:p>
                                </w:txbxContent>
                              </wps:txbx>
                              <wps:bodyPr rot="0" vert="horz" wrap="square" lIns="91440" tIns="45720" rIns="91440" bIns="45720" anchor="t" anchorCtr="0" upright="1">
                                <a:noAutofit/>
                              </wps:bodyPr>
                            </wps:wsp>
                            <wps:wsp>
                              <wps:cNvPr id="413" name="Text Box 258"/>
                              <wps:cNvSpPr txBox="1">
                                <a:spLocks noChangeArrowheads="1"/>
                              </wps:cNvSpPr>
                              <wps:spPr bwMode="auto">
                                <a:xfrm>
                                  <a:off x="2220" y="13087"/>
                                  <a:ext cx="5063" cy="469"/>
                                </a:xfrm>
                                <a:prstGeom prst="rect">
                                  <a:avLst/>
                                </a:prstGeom>
                                <a:solidFill>
                                  <a:srgbClr val="FFFFFF"/>
                                </a:solidFill>
                                <a:ln>
                                  <a:noFill/>
                                </a:ln>
                              </wps:spPr>
                              <wps:txbx>
                                <w:txbxContent>
                                  <w:p>
                                    <w:pPr>
                                      <w:jc w:val="center"/>
                                      <w:rPr>
                                        <w:rFonts w:ascii="黑体" w:hAnsi="黑体" w:eastAsia="黑体"/>
                                        <w:sz w:val="24"/>
                                      </w:rPr>
                                    </w:pPr>
                                    <w:r>
                                      <w:rPr>
                                        <w:rFonts w:eastAsiaTheme="minorEastAsia"/>
                                        <w:b/>
                                        <w:sz w:val="24"/>
                                      </w:rPr>
                                      <w:t>图2-8静调车间生产工艺</w:t>
                                    </w:r>
                                    <w:r>
                                      <w:rPr>
                                        <w:rFonts w:hint="eastAsia" w:ascii="黑体" w:hAnsi="黑体" w:eastAsia="黑体"/>
                                        <w:b/>
                                        <w:sz w:val="24"/>
                                      </w:rPr>
                                      <w:t>流</w:t>
                                    </w:r>
                                    <w:r>
                                      <w:rPr>
                                        <w:rFonts w:hint="eastAsia" w:ascii="黑体" w:hAnsi="黑体" w:eastAsia="黑体"/>
                                        <w:sz w:val="24"/>
                                      </w:rPr>
                                      <w:t>程</w:t>
                                    </w:r>
                                    <w:r>
                                      <w:rPr>
                                        <w:rFonts w:hint="eastAsia" w:asciiTheme="minorEastAsia" w:hAnsiTheme="minorEastAsia" w:eastAsiaTheme="minorEastAsia"/>
                                        <w:b/>
                                        <w:sz w:val="24"/>
                                      </w:rPr>
                                      <w:t>图</w:t>
                                    </w:r>
                                  </w:p>
                                </w:txbxContent>
                              </wps:txbx>
                              <wps:bodyPr rot="0" vert="horz" wrap="square" lIns="91440" tIns="45720" rIns="91440" bIns="45720" anchor="t" anchorCtr="0" upright="1">
                                <a:noAutofit/>
                              </wps:bodyPr>
                            </wps:wsp>
                            <wps:wsp>
                              <wps:cNvPr id="414" name="Line 259"/>
                              <wps:cNvCnPr>
                                <a:cxnSpLocks noChangeShapeType="1"/>
                              </wps:cNvCnPr>
                              <wps:spPr bwMode="auto">
                                <a:xfrm flipH="1">
                                  <a:off x="5064" y="11208"/>
                                  <a:ext cx="1020" cy="1"/>
                                </a:xfrm>
                                <a:prstGeom prst="line">
                                  <a:avLst/>
                                </a:prstGeom>
                                <a:noFill/>
                                <a:ln w="9525" cmpd="sng">
                                  <a:solidFill>
                                    <a:srgbClr val="000000"/>
                                  </a:solidFill>
                                  <a:round/>
                                  <a:headEnd type="triangle" w="med" len="med"/>
                                </a:ln>
                              </wps:spPr>
                              <wps:bodyPr/>
                            </wps:wsp>
                          </wpg:wgp>
                        </a:graphicData>
                      </a:graphic>
                    </wp:inline>
                  </w:drawing>
                </mc:Choice>
                <mc:Fallback>
                  <w:pict>
                    <v:group id="_x0000_s1026" o:spid="_x0000_s1026" o:spt="203" style="height:624pt;width:335.25pt;" coordsize="8280,13573" o:gfxdata="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">
                      <o:lock v:ext="edit" aspectratio="f"/>
                      <v:rect id="Picture 224" o:spid="_x0000_s1026" o:spt="1" style="position:absolute;left:0;top:0;height:13573;width:8280;" filled="f" stroked="f" coordsize="21600,21600" o:gfxdata="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UKJ6/&#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225" o:spid="_x0000_s1026" o:spt="202" type="#_x0000_t202" style="position:absolute;left:3240;top:0;height:469;width:1800;" filled="f" stroked="f" coordsize="21600,21600" o:gfxdata="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GXXW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pPr>
                              <w:r>
                                <w:rPr>
                                  <w:rFonts w:hint="eastAsia"/>
                                </w:rPr>
                                <w:t>总装车间车体</w:t>
                              </w:r>
                            </w:p>
                          </w:txbxContent>
                        </v:textbox>
                      </v:shape>
                      <v:line id="Line 226" o:spid="_x0000_s1026" o:spt="20" style="position:absolute;left:4140;top:469;height:311;width:0;" filled="f" stroked="t" coordsize="21600,21600" o:gfxdata="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mNp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227" o:spid="_x0000_s1026" o:spt="202" type="#_x0000_t202" style="position:absolute;left:3240;top:780;height:469;width:1800;" fillcolor="#FFFFFF" filled="t" stroked="t" coordsize="21600,21600" o:gfxdata="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Hbfy/&#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pPr>
                              <w:r>
                                <w:rPr>
                                  <w:rFonts w:hint="eastAsia"/>
                                </w:rPr>
                                <w:t>气密性试验</w:t>
                              </w:r>
                            </w:p>
                          </w:txbxContent>
                        </v:textbox>
                      </v:shape>
                      <v:line id="Line 228" o:spid="_x0000_s1026" o:spt="20" style="position:absolute;left:4140;top:1249;height:311;width:1;" filled="f" stroked="t" coordsize="21600,21600" o:gfxdata="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4DX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229" o:spid="_x0000_s1026" o:spt="202" type="#_x0000_t202" style="position:absolute;left:3240;top:1560;height:469;width:1800;" fillcolor="#FFFFFF" filled="t" stroked="t" coordsize="21600,21600" o:gfxdata="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iUBO/&#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pPr>
                              <w:r>
                                <w:rPr>
                                  <w:rFonts w:hint="eastAsia"/>
                                </w:rPr>
                                <w:t>线号校对检查</w:t>
                              </w:r>
                            </w:p>
                          </w:txbxContent>
                        </v:textbox>
                      </v:shape>
                      <v:line id="Line 230" o:spid="_x0000_s1026" o:spt="20" style="position:absolute;left:4140;top:2029;height:311;width:1;" filled="f" stroked="t" coordsize="21600,21600" o:gfxdata="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3TC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231" o:spid="_x0000_s1026" o:spt="202" type="#_x0000_t202" style="position:absolute;left:3240;top:2340;height:468;width:1800;" fillcolor="#FFFFFF" filled="t" stroked="t" coordsize="21600,21600" o:gfxdata="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8a/+/&#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pPr>
                              <w:r>
                                <w:rPr>
                                  <w:rFonts w:hint="eastAsia"/>
                                </w:rPr>
                                <w:t>耐压试验</w:t>
                              </w:r>
                            </w:p>
                          </w:txbxContent>
                        </v:textbox>
                      </v:shape>
                      <v:line id="Line 232" o:spid="_x0000_s1026" o:spt="20" style="position:absolute;left:4140;top:2808;height:312;width:1;" filled="f" stroked="t" coordsize="21600,21600" o:gfxdata="UEsDBAoAAAAAAIdO4kAAAAAAAAAAAAAAAAAEAAAAZHJzL1BLAwQUAAAACACHTuJAqUMLecAAAADc&#10;AAAADwAAAGRycy9kb3ducmV2LnhtbEWPT2vCQBTE7wW/w/KE3uomFmqI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Qwt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233" o:spid="_x0000_s1026" o:spt="202" type="#_x0000_t202" style="position:absolute;left:3240;top:3120;height:469;width:1800;" fillcolor="#FFFFFF" filled="t" stroked="t" coordsize="21600,21600" o:gfxdata="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9aF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pPr>
                              <w:r>
                                <w:rPr>
                                  <w:rFonts w:hint="eastAsia"/>
                                </w:rPr>
                                <w:t>空气制动试验</w:t>
                              </w:r>
                            </w:p>
                          </w:txbxContent>
                        </v:textbox>
                      </v:shape>
                      <v:line id="Line 234" o:spid="_x0000_s1026" o:spt="20" style="position:absolute;left:4140;top:3589;height:311;width:1;" filled="f" stroked="t" coordsize="21600,21600" o:gfxdata="UEsDBAoAAAAAAIdO4kAAAAAAAAAAAAAAAAAEAAAAZHJzL1BLAwQUAAAACACHTuJAt5A6kMAAAADc&#10;AAAADwAAAGRycy9kb3ducmV2LnhtbEWPT2vCQBTE7wW/w/KE3uomFkqM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kDq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235" o:spid="_x0000_s1026" o:spt="202" type="#_x0000_t202" style="position:absolute;left:3240;top:3900;height:468;width:1800;" fillcolor="#FFFFFF" filled="t" stroked="t" coordsize="21600,21600" o:gfxdata="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AwM2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rPr>
                                  <w:rFonts w:hint="eastAsia"/>
                                </w:rPr>
                                <w:t>供风系统试验</w:t>
                              </w:r>
                            </w:p>
                          </w:txbxContent>
                        </v:textbox>
                      </v:shape>
                      <v:line id="Line 236" o:spid="_x0000_s1026" o:spt="20" style="position:absolute;left:4140;top:4368;height:312;width:1;" filled="f" stroked="t" coordsize="21600,21600" o:gfxdata="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P6B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237" o:spid="_x0000_s1026" o:spt="202" type="#_x0000_t202" style="position:absolute;left:3240;top:4680;height:469;width:1800;" fillcolor="#FFFFFF" filled="t" stroked="t" coordsize="21600,21600" o:gfxdata="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77I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车门动作试验</w:t>
                              </w:r>
                            </w:p>
                          </w:txbxContent>
                        </v:textbox>
                      </v:shape>
                      <v:line id="Line 238" o:spid="_x0000_s1026" o:spt="20" style="position:absolute;left:4140;top:5149;height:312;width:1;" filled="f" stroked="t" coordsize="21600,21600" o:gfxdata="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oZu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239" o:spid="_x0000_s1026" o:spt="202" type="#_x0000_t202" style="position:absolute;left:3240;top:5461;height:467;width:1800;" fillcolor="#FFFFFF" filled="t" stroked="t" coordsize="21600,21600" o:gfxdata="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7xs6/&#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pPr>
                              <w:r>
                                <w:rPr>
                                  <w:rFonts w:hint="eastAsia"/>
                                </w:rPr>
                                <w:t>空调系统试验</w:t>
                              </w:r>
                            </w:p>
                          </w:txbxContent>
                        </v:textbox>
                      </v:shape>
                      <v:line id="Line 240" o:spid="_x0000_s1026" o:spt="20" style="position:absolute;left:4140;top:5928;height:312;width:1;" filled="f" stroked="t" coordsize="21600,21600" o:gfxdata="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BKZ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241" o:spid="_x0000_s1026" o:spt="202" type="#_x0000_t202" style="position:absolute;left:2952;top:6240;height:469;width:2340;" fillcolor="#FFFFFF" filled="t" stroked="t" coordsize="21600,21600" o:gfxdata="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l/SK/&#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pPr>
                              <w:r>
                                <w:rPr>
                                  <w:rFonts w:hint="eastAsia"/>
                                </w:rPr>
                                <w:t>辅助电源和照明试验</w:t>
                              </w:r>
                            </w:p>
                          </w:txbxContent>
                        </v:textbox>
                      </v:shape>
                      <v:line id="Line 242" o:spid="_x0000_s1026" o:spt="20" style="position:absolute;left:4140;top:6709;height:312;width:1;" filled="f" stroked="t" coordsize="21600,21600" o:gfxdata="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mp2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243" o:spid="_x0000_s1026" o:spt="202" type="#_x0000_t202" style="position:absolute;left:2784;top:7021;height:467;width:2700;" fillcolor="#FFFFFF" filled="t" stroked="t" coordsize="21600,21600" o:gfxdata="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2zMu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rPr>
                                  <w:rFonts w:hint="eastAsia"/>
                                </w:rPr>
                                <w:t>列车广播和客室显示系统</w:t>
                              </w:r>
                            </w:p>
                          </w:txbxContent>
                        </v:textbox>
                      </v:shape>
                      <v:line id="Line 244" o:spid="_x0000_s1026" o:spt="20" style="position:absolute;left:4140;top:7488;height:312;width:1;" filled="f" stroked="t" coordsize="21600,21600" o:gfxdata="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JrE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245" o:spid="_x0000_s1026" o:spt="202" type="#_x0000_t202" style="position:absolute;left:3240;top:7800;height:469;width:1800;" fillcolor="#FFFFFF" filled="t" stroked="t" coordsize="21600,21600" o:gfxdata="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CYL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pPr>
                              <w:r>
                                <w:rPr>
                                  <w:rFonts w:hint="eastAsia"/>
                                </w:rPr>
                                <w:t>整车称重试验</w:t>
                              </w:r>
                            </w:p>
                          </w:txbxContent>
                        </v:textbox>
                      </v:shape>
                      <v:line id="Line 246" o:spid="_x0000_s1026" o:spt="20" style="position:absolute;left:4140;top:8269;height:312;width:1;" filled="f" stroked="t" coordsize="21600,21600" o:gfxdata="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f+K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247" o:spid="_x0000_s1026" o:spt="202" type="#_x0000_t202" style="position:absolute;left:3240;top:8581;height:467;width:1800;" fillcolor="#FFFFFF" filled="t" stroked="t" coordsize="21600,21600" o:gfxdata="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6jw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模拟弯道试验</w:t>
                              </w:r>
                            </w:p>
                          </w:txbxContent>
                        </v:textbox>
                      </v:shape>
                      <v:line id="Line 248" o:spid="_x0000_s1026" o:spt="20" style="position:absolute;left:4140;top:9048;height:312;width:1;" filled="f" stroked="t" coordsize="21600,21600" o:gfxdata="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AcN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249" o:spid="_x0000_s1026" o:spt="202" type="#_x0000_t202" style="position:absolute;left:2880;top:9360;height:469;width:2520;" fillcolor="#FFFFFF" filled="t" stroked="t" coordsize="21600,21600" o:gfxdata="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ueL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半列编组、联调试验</w:t>
                              </w:r>
                            </w:p>
                          </w:txbxContent>
                        </v:textbox>
                      </v:shape>
                      <v:line id="Line 250" o:spid="_x0000_s1026" o:spt="20" style="position:absolute;left:4140;top:9829;height:312;width:1;" filled="f" stroked="t" coordsize="21600,21600" o:gfxdata="UEsDBAoAAAAAAIdO4kAAAAAAAAAAAAAAAAAEAAAAZHJzL1BLAwQUAAAACACHTuJAm6T+qsAAAADc&#10;AAAADwAAAGRycy9kb3ducmV2LnhtbEWPQWsCMRSE7wX/Q3hCbzXZ0pZ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pP6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51" o:spid="_x0000_s1026" o:spt="20" style="position:absolute;left:4140;top:10608;height:312;width:1;" filled="f" stroked="t" coordsize="21600,21600" o:gfxdata="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2YN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252" o:spid="_x0000_s1026" o:spt="202" type="#_x0000_t202" style="position:absolute;left:3240;top:10920;height:469;width:1800;" fillcolor="#FFFFFF" filled="t" stroked="t" coordsize="21600,21600" o:gfxdata="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kAW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pPr>
                              <w:r>
                                <w:rPr>
                                  <w:rFonts w:hint="eastAsia"/>
                                </w:rPr>
                                <w:t>风挡淋雨试验</w:t>
                              </w:r>
                            </w:p>
                          </w:txbxContent>
                        </v:textbox>
                      </v:shape>
                      <v:line id="Line 253" o:spid="_x0000_s1026" o:spt="20" style="position:absolute;left:4140;top:11389;height:312;width:1;" filled="f" stroked="t" coordsize="21600,21600" o:gfxdata="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lUT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Text Box 254" o:spid="_x0000_s1026" o:spt="202" type="#_x0000_t202" style="position:absolute;left:3060;top:11701;height:467;width:2160;" fillcolor="#FFFFFF" filled="t" stroked="t" coordsize="21600,21600" o:gfxdata="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aMbK/&#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pPr>
                              <w:r>
                                <w:rPr>
                                  <w:rFonts w:hint="eastAsia"/>
                                </w:rPr>
                                <w:t>列车安全装置检查</w:t>
                              </w:r>
                            </w:p>
                          </w:txbxContent>
                        </v:textbox>
                      </v:shape>
                      <v:line id="Line 255" o:spid="_x0000_s1026" o:spt="20" style="position:absolute;left:4140;top:12168;height:312;width:1;" filled="f" stroked="t" coordsize="21600,21600" o:gfxdata="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sv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256" o:spid="_x0000_s1026" o:spt="202" type="#_x0000_t202" style="position:absolute;left:3240;top:12480;height:469;width:1800;" fillcolor="#FFFFFF" filled="t" stroked="f" coordsize="21600,21600" o:gfxdata="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452F6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pPr>
                              <w:r>
                                <w:rPr>
                                  <w:rFonts w:hint="eastAsia"/>
                                </w:rPr>
                                <w:t>动调前准备</w:t>
                              </w:r>
                            </w:p>
                          </w:txbxContent>
                        </v:textbox>
                      </v:shape>
                      <v:shape id="Text Box 257" o:spid="_x0000_s1026" o:spt="202" type="#_x0000_t202" style="position:absolute;left:2880;top:10140;height:469;width:2520;" fillcolor="#FFFFFF" filled="t" stroked="t" coordsize="21600,21600" o:gfxdata="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pzUe&#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jc w:val="center"/>
                              </w:pPr>
                              <w:r>
                                <w:rPr>
                                  <w:rFonts w:hint="eastAsia"/>
                                </w:rPr>
                                <w:t>整列列编组、联调试验</w:t>
                              </w:r>
                            </w:p>
                          </w:txbxContent>
                        </v:textbox>
                      </v:shape>
                      <v:shape id="Text Box 258" o:spid="_x0000_s1026" o:spt="202" type="#_x0000_t202" style="position:absolute;left:2220;top:13087;height:469;width:5063;" fillcolor="#FFFFFF" filled="t" stroked="f" coordsize="21600,21600" o:gfxdata="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p+Oy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center"/>
                                <w:rPr>
                                  <w:rFonts w:ascii="黑体" w:hAnsi="黑体" w:eastAsia="黑体"/>
                                  <w:sz w:val="24"/>
                                </w:rPr>
                              </w:pPr>
                              <w:r>
                                <w:rPr>
                                  <w:rFonts w:eastAsiaTheme="minorEastAsia"/>
                                  <w:b/>
                                  <w:sz w:val="24"/>
                                </w:rPr>
                                <w:t>图2-8静调车间生产工艺</w:t>
                              </w:r>
                              <w:r>
                                <w:rPr>
                                  <w:rFonts w:hint="eastAsia" w:ascii="黑体" w:hAnsi="黑体" w:eastAsia="黑体"/>
                                  <w:b/>
                                  <w:sz w:val="24"/>
                                </w:rPr>
                                <w:t>流</w:t>
                              </w:r>
                              <w:r>
                                <w:rPr>
                                  <w:rFonts w:hint="eastAsia" w:ascii="黑体" w:hAnsi="黑体" w:eastAsia="黑体"/>
                                  <w:sz w:val="24"/>
                                </w:rPr>
                                <w:t>程</w:t>
                              </w:r>
                              <w:r>
                                <w:rPr>
                                  <w:rFonts w:hint="eastAsia" w:asciiTheme="minorEastAsia" w:hAnsiTheme="minorEastAsia" w:eastAsiaTheme="minorEastAsia"/>
                                  <w:b/>
                                  <w:sz w:val="24"/>
                                </w:rPr>
                                <w:t>图</w:t>
                              </w:r>
                            </w:p>
                          </w:txbxContent>
                        </v:textbox>
                      </v:shape>
                      <v:line id="Line 259" o:spid="_x0000_s1026" o:spt="20" style="position:absolute;left:5064;top:11208;flip:x;height:1;width:1020;" filled="f" stroked="t" coordsize="21600,21600" o:gfxdata="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AAD74A&#10;AADc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w10:wrap type="none"/>
                      <w10:anchorlock/>
                    </v:group>
                  </w:pict>
                </mc:Fallback>
              </mc:AlternateContent>
            </w:r>
          </w:p>
          <w:p>
            <w:pPr>
              <w:adjustRightInd w:val="0"/>
              <w:snapToGrid w:val="0"/>
              <w:spacing w:line="360" w:lineRule="auto"/>
              <w:ind w:firstLine="480"/>
              <w:rPr>
                <w:bCs/>
                <w:sz w:val="24"/>
              </w:rPr>
            </w:pPr>
            <w:r>
              <w:rPr>
                <w:bCs/>
                <w:sz w:val="24"/>
              </w:rPr>
              <w:t>（3）一期项目主要污染源及治理情况</w:t>
            </w:r>
          </w:p>
          <w:p>
            <w:pPr>
              <w:adjustRightInd w:val="0"/>
              <w:snapToGrid w:val="0"/>
              <w:spacing w:line="360" w:lineRule="auto"/>
              <w:ind w:firstLine="480"/>
              <w:rPr>
                <w:bCs/>
                <w:sz w:val="24"/>
              </w:rPr>
            </w:pPr>
            <w:r>
              <w:rPr>
                <w:bCs/>
                <w:sz w:val="24"/>
              </w:rPr>
              <w:t>1）、废气</w:t>
            </w:r>
          </w:p>
          <w:p>
            <w:pPr>
              <w:spacing w:line="360" w:lineRule="auto"/>
              <w:ind w:firstLine="420"/>
              <w:rPr>
                <w:sz w:val="24"/>
                <w:szCs w:val="20"/>
              </w:rPr>
            </w:pPr>
            <w:r>
              <w:rPr>
                <w:rFonts w:hint="eastAsia" w:ascii="宋体" w:hAnsi="宋体" w:cs="宋体"/>
                <w:sz w:val="24"/>
                <w:szCs w:val="20"/>
              </w:rPr>
              <w:t>①</w:t>
            </w:r>
            <w:r>
              <w:rPr>
                <w:sz w:val="24"/>
                <w:szCs w:val="20"/>
              </w:rPr>
              <w:t>生产废气</w:t>
            </w:r>
          </w:p>
          <w:p>
            <w:pPr>
              <w:spacing w:line="360" w:lineRule="auto"/>
              <w:ind w:firstLine="420"/>
              <w:rPr>
                <w:snapToGrid w:val="0"/>
                <w:kern w:val="0"/>
                <w:sz w:val="24"/>
                <w:szCs w:val="20"/>
              </w:rPr>
            </w:pPr>
            <w:r>
              <w:rPr>
                <w:snapToGrid w:val="0"/>
                <w:kern w:val="0"/>
                <w:sz w:val="24"/>
                <w:szCs w:val="20"/>
              </w:rPr>
              <w:t>a.车体车间</w:t>
            </w:r>
          </w:p>
          <w:p>
            <w:pPr>
              <w:spacing w:line="360" w:lineRule="auto"/>
              <w:ind w:firstLine="420"/>
              <w:rPr>
                <w:snapToGrid w:val="0"/>
                <w:kern w:val="0"/>
                <w:sz w:val="24"/>
                <w:szCs w:val="20"/>
              </w:rPr>
            </w:pPr>
            <w:r>
              <w:rPr>
                <w:sz w:val="24"/>
              </w:rPr>
              <w:t>车体车间产生的废气包括焊接烟尘（G1）。</w:t>
            </w:r>
          </w:p>
          <w:p>
            <w:pPr>
              <w:spacing w:line="360" w:lineRule="auto"/>
              <w:ind w:firstLine="420"/>
              <w:rPr>
                <w:sz w:val="24"/>
              </w:rPr>
            </w:pPr>
            <w:r>
              <w:rPr>
                <w:sz w:val="24"/>
              </w:rPr>
              <w:t>G1：车体车间在进行总组焊和附件焊接的铝合金焊接时产生的焊接烟尘，车体焊接用焊丝为ER5087铝焊丝，一期项目焊条使用量约为5.6t/a，焊接材料发尘量为5-8g/kg，一期项目产生焊接烟尘量约0.05t/a，焊烟主要成份为直径在0.1～2μm的金属粉尘及氧化铁、氧化镁、氧化锰等金属氧化物等有害微粒及有害气体。一期项目焊接烟气采用焊接车间设置的2套移动式焊接烟尘净化装置进行处理，处理后在通过车间设置的除尘除湿系统处理，处理后焊接废气在车间通过抽排风无组织排放。</w:t>
            </w:r>
          </w:p>
          <w:p>
            <w:pPr>
              <w:spacing w:line="360" w:lineRule="auto"/>
              <w:ind w:left="567"/>
              <w:rPr>
                <w:sz w:val="24"/>
                <w:szCs w:val="20"/>
              </w:rPr>
            </w:pPr>
            <w:r>
              <w:rPr>
                <w:sz w:val="24"/>
                <w:szCs w:val="20"/>
              </w:rPr>
              <w:t>b.表面处理车间</w:t>
            </w:r>
          </w:p>
          <w:p>
            <w:pPr>
              <w:tabs>
                <w:tab w:val="left" w:pos="6580"/>
              </w:tabs>
              <w:spacing w:line="360" w:lineRule="auto"/>
              <w:ind w:firstLine="420"/>
              <w:rPr>
                <w:sz w:val="24"/>
                <w:szCs w:val="20"/>
              </w:rPr>
            </w:pPr>
            <w:r>
              <w:rPr>
                <w:sz w:val="24"/>
              </w:rPr>
              <w:t>表面处理车间产生的废气包括喷吵废气（G2）、打磨腻子时产生的粉尘（G3）和底漆、面漆喷烘时产生的有机废气（G4）。</w:t>
            </w:r>
          </w:p>
          <w:p>
            <w:pPr>
              <w:spacing w:line="360" w:lineRule="auto"/>
              <w:ind w:firstLine="420"/>
              <w:rPr>
                <w:sz w:val="24"/>
              </w:rPr>
            </w:pPr>
            <w:r>
              <w:rPr>
                <w:sz w:val="24"/>
              </w:rPr>
              <w:t>G2：项目设有一个喷砂车间，车体喷砂采用全自动封闭作业，并设有砂回收装置，能实现废砂和粉尘自动分离，车间内</w:t>
            </w:r>
            <w:r>
              <w:rPr>
                <w:sz w:val="24"/>
                <w:szCs w:val="20"/>
              </w:rPr>
              <w:t>设置2套滤筒干式过滤除尘装置（旋风除尘+滤筒除尘）收集喷砂过程产生的粉尘，处理后的废气分别通过16m的排气筒外排（1#、2#排气筒），收集的粉尘存于储灰桶内</w:t>
            </w:r>
            <w:r>
              <w:rPr>
                <w:sz w:val="24"/>
              </w:rPr>
              <w:t>。根据一期项目竣工环境保护验收监测和排污许可自行监测，喷砂废气经过2套滤筒干式过滤除尘装置（旋风除尘+滤筒除尘）处理后，1#、2#排气筒可以做到达标排放。</w:t>
            </w:r>
          </w:p>
          <w:p>
            <w:pPr>
              <w:spacing w:line="360" w:lineRule="auto"/>
              <w:ind w:firstLine="420"/>
              <w:jc w:val="center"/>
              <w:rPr>
                <w:b/>
                <w:sz w:val="24"/>
              </w:rPr>
            </w:pPr>
            <w:r>
              <w:rPr>
                <w:b/>
                <w:sz w:val="24"/>
              </w:rPr>
              <w:t>表2-12 一期项目喷砂房污染物产生及排放情况</w:t>
            </w:r>
          </w:p>
          <w:tbl>
            <w:tblPr>
              <w:tblStyle w:val="45"/>
              <w:tblW w:w="7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992"/>
              <w:gridCol w:w="992"/>
              <w:gridCol w:w="993"/>
              <w:gridCol w:w="1039"/>
              <w:gridCol w:w="992"/>
              <w:gridCol w:w="1276"/>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trPr>
              <w:tc>
                <w:tcPr>
                  <w:tcW w:w="992" w:type="dxa"/>
                  <w:vMerge w:val="restart"/>
                </w:tcPr>
                <w:p>
                  <w:pPr>
                    <w:jc w:val="center"/>
                    <w:rPr>
                      <w:szCs w:val="21"/>
                    </w:rPr>
                  </w:pPr>
                  <w:r>
                    <w:rPr>
                      <w:szCs w:val="21"/>
                    </w:rPr>
                    <w:t>排放口编号</w:t>
                  </w:r>
                </w:p>
              </w:tc>
              <w:tc>
                <w:tcPr>
                  <w:tcW w:w="992" w:type="dxa"/>
                  <w:vMerge w:val="restart"/>
                </w:tcPr>
                <w:p>
                  <w:pPr>
                    <w:jc w:val="center"/>
                    <w:rPr>
                      <w:szCs w:val="21"/>
                    </w:rPr>
                  </w:pPr>
                  <w:r>
                    <w:rPr>
                      <w:szCs w:val="21"/>
                    </w:rPr>
                    <w:t>污染物名称</w:t>
                  </w:r>
                </w:p>
              </w:tc>
              <w:tc>
                <w:tcPr>
                  <w:tcW w:w="1985" w:type="dxa"/>
                  <w:gridSpan w:val="2"/>
                </w:tcPr>
                <w:p>
                  <w:pPr>
                    <w:jc w:val="center"/>
                    <w:rPr>
                      <w:szCs w:val="21"/>
                    </w:rPr>
                  </w:pPr>
                  <w:r>
                    <w:rPr>
                      <w:szCs w:val="21"/>
                    </w:rPr>
                    <w:t>产生</w:t>
                  </w:r>
                </w:p>
              </w:tc>
              <w:tc>
                <w:tcPr>
                  <w:tcW w:w="3307" w:type="dxa"/>
                  <w:gridSpan w:val="3"/>
                </w:tcPr>
                <w:p>
                  <w:pPr>
                    <w:jc w:val="center"/>
                    <w:rPr>
                      <w:szCs w:val="21"/>
                    </w:rPr>
                  </w:pPr>
                  <w:r>
                    <w:rPr>
                      <w:szCs w:val="21"/>
                    </w:rPr>
                    <w:t>排放</w:t>
                  </w:r>
                </w:p>
              </w:tc>
              <w:tc>
                <w:tcPr>
                  <w:tcW w:w="663" w:type="dxa"/>
                  <w:vMerge w:val="restart"/>
                </w:tcPr>
                <w:p>
                  <w:pPr>
                    <w:jc w:val="center"/>
                    <w:rPr>
                      <w:szCs w:val="21"/>
                    </w:rPr>
                  </w:pPr>
                  <w:r>
                    <w:rPr>
                      <w:szCs w:val="21"/>
                    </w:rPr>
                    <w:t>治理措施处置效率（%）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 w:hRule="atLeast"/>
              </w:trPr>
              <w:tc>
                <w:tcPr>
                  <w:tcW w:w="992" w:type="dxa"/>
                  <w:vMerge w:val="continue"/>
                </w:tcPr>
                <w:p>
                  <w:pPr>
                    <w:jc w:val="center"/>
                    <w:rPr>
                      <w:szCs w:val="21"/>
                    </w:rPr>
                  </w:pPr>
                </w:p>
              </w:tc>
              <w:tc>
                <w:tcPr>
                  <w:tcW w:w="992" w:type="dxa"/>
                  <w:vMerge w:val="continue"/>
                </w:tcPr>
                <w:p>
                  <w:pPr>
                    <w:jc w:val="center"/>
                    <w:rPr>
                      <w:szCs w:val="21"/>
                    </w:rPr>
                  </w:pPr>
                </w:p>
              </w:tc>
              <w:tc>
                <w:tcPr>
                  <w:tcW w:w="992" w:type="dxa"/>
                </w:tcPr>
                <w:p>
                  <w:pPr>
                    <w:jc w:val="center"/>
                    <w:rPr>
                      <w:szCs w:val="21"/>
                    </w:rPr>
                  </w:pPr>
                  <w:r>
                    <w:rPr>
                      <w:szCs w:val="21"/>
                    </w:rPr>
                    <w:t>产生量（kg/h）</w:t>
                  </w:r>
                </w:p>
              </w:tc>
              <w:tc>
                <w:tcPr>
                  <w:tcW w:w="993" w:type="dxa"/>
                </w:tcPr>
                <w:p>
                  <w:pPr>
                    <w:jc w:val="center"/>
                    <w:rPr>
                      <w:szCs w:val="21"/>
                    </w:rPr>
                  </w:pPr>
                  <w:r>
                    <w:rPr>
                      <w:szCs w:val="21"/>
                    </w:rPr>
                    <w:t>产生浓度（mg/标m³）</w:t>
                  </w:r>
                </w:p>
              </w:tc>
              <w:tc>
                <w:tcPr>
                  <w:tcW w:w="1039" w:type="dxa"/>
                </w:tcPr>
                <w:p>
                  <w:pPr>
                    <w:jc w:val="center"/>
                    <w:rPr>
                      <w:szCs w:val="21"/>
                    </w:rPr>
                  </w:pPr>
                  <w:r>
                    <w:rPr>
                      <w:szCs w:val="21"/>
                    </w:rPr>
                    <w:t>废气排放量（标Nm³/h）</w:t>
                  </w:r>
                </w:p>
              </w:tc>
              <w:tc>
                <w:tcPr>
                  <w:tcW w:w="992" w:type="dxa"/>
                </w:tcPr>
                <w:p>
                  <w:pPr>
                    <w:jc w:val="center"/>
                    <w:rPr>
                      <w:szCs w:val="21"/>
                    </w:rPr>
                  </w:pPr>
                  <w:r>
                    <w:rPr>
                      <w:szCs w:val="21"/>
                    </w:rPr>
                    <w:t>排放量（kg/h）</w:t>
                  </w:r>
                </w:p>
              </w:tc>
              <w:tc>
                <w:tcPr>
                  <w:tcW w:w="1276" w:type="dxa"/>
                </w:tcPr>
                <w:p>
                  <w:pPr>
                    <w:jc w:val="center"/>
                    <w:rPr>
                      <w:szCs w:val="21"/>
                    </w:rPr>
                  </w:pPr>
                  <w:r>
                    <w:rPr>
                      <w:szCs w:val="21"/>
                    </w:rPr>
                    <w:t>排放浓度（mg/m³）</w:t>
                  </w:r>
                </w:p>
              </w:tc>
              <w:tc>
                <w:tcPr>
                  <w:tcW w:w="663" w:type="dxa"/>
                  <w:vMerge w:val="continue"/>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992" w:type="dxa"/>
                </w:tcPr>
                <w:p>
                  <w:pPr>
                    <w:jc w:val="center"/>
                    <w:rPr>
                      <w:szCs w:val="21"/>
                    </w:rPr>
                  </w:pPr>
                  <w:r>
                    <w:rPr>
                      <w:szCs w:val="21"/>
                    </w:rPr>
                    <w:t>1#</w:t>
                  </w:r>
                </w:p>
              </w:tc>
              <w:tc>
                <w:tcPr>
                  <w:tcW w:w="992" w:type="dxa"/>
                  <w:vMerge w:val="restart"/>
                </w:tcPr>
                <w:p>
                  <w:pPr>
                    <w:jc w:val="center"/>
                    <w:rPr>
                      <w:szCs w:val="21"/>
                    </w:rPr>
                  </w:pPr>
                  <w:r>
                    <w:rPr>
                      <w:szCs w:val="21"/>
                    </w:rPr>
                    <w:t>颗粒物</w:t>
                  </w:r>
                </w:p>
              </w:tc>
              <w:tc>
                <w:tcPr>
                  <w:tcW w:w="992" w:type="dxa"/>
                </w:tcPr>
                <w:p>
                  <w:pPr>
                    <w:jc w:val="center"/>
                    <w:rPr>
                      <w:szCs w:val="21"/>
                    </w:rPr>
                  </w:pPr>
                  <w:r>
                    <w:rPr>
                      <w:szCs w:val="21"/>
                    </w:rPr>
                    <w:t>2.24</w:t>
                  </w:r>
                </w:p>
              </w:tc>
              <w:tc>
                <w:tcPr>
                  <w:tcW w:w="993" w:type="dxa"/>
                </w:tcPr>
                <w:p>
                  <w:pPr>
                    <w:jc w:val="center"/>
                    <w:rPr>
                      <w:szCs w:val="21"/>
                    </w:rPr>
                  </w:pPr>
                  <w:r>
                    <w:rPr>
                      <w:szCs w:val="21"/>
                    </w:rPr>
                    <w:t>71.4</w:t>
                  </w:r>
                </w:p>
              </w:tc>
              <w:tc>
                <w:tcPr>
                  <w:tcW w:w="1039" w:type="dxa"/>
                </w:tcPr>
                <w:p>
                  <w:pPr>
                    <w:jc w:val="center"/>
                    <w:rPr>
                      <w:szCs w:val="21"/>
                    </w:rPr>
                  </w:pPr>
                  <w:r>
                    <w:rPr>
                      <w:szCs w:val="21"/>
                    </w:rPr>
                    <w:t>31446</w:t>
                  </w:r>
                </w:p>
              </w:tc>
              <w:tc>
                <w:tcPr>
                  <w:tcW w:w="992" w:type="dxa"/>
                </w:tcPr>
                <w:p>
                  <w:pPr>
                    <w:jc w:val="center"/>
                    <w:rPr>
                      <w:szCs w:val="21"/>
                    </w:rPr>
                  </w:pPr>
                  <w:r>
                    <w:rPr>
                      <w:szCs w:val="21"/>
                    </w:rPr>
                    <w:t>0.112</w:t>
                  </w:r>
                </w:p>
              </w:tc>
              <w:tc>
                <w:tcPr>
                  <w:tcW w:w="1276" w:type="dxa"/>
                </w:tcPr>
                <w:p>
                  <w:pPr>
                    <w:jc w:val="center"/>
                    <w:rPr>
                      <w:szCs w:val="21"/>
                    </w:rPr>
                  </w:pPr>
                  <w:r>
                    <w:rPr>
                      <w:szCs w:val="21"/>
                    </w:rPr>
                    <w:t>3.57</w:t>
                  </w:r>
                </w:p>
              </w:tc>
              <w:tc>
                <w:tcPr>
                  <w:tcW w:w="663" w:type="dxa"/>
                </w:tcPr>
                <w:p>
                  <w:pPr>
                    <w:jc w:val="center"/>
                    <w:rPr>
                      <w:szCs w:val="21"/>
                    </w:rP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92" w:type="dxa"/>
                </w:tcPr>
                <w:p>
                  <w:pPr>
                    <w:jc w:val="center"/>
                    <w:rPr>
                      <w:szCs w:val="21"/>
                    </w:rPr>
                  </w:pPr>
                  <w:r>
                    <w:rPr>
                      <w:szCs w:val="21"/>
                    </w:rPr>
                    <w:t>2#</w:t>
                  </w:r>
                </w:p>
              </w:tc>
              <w:tc>
                <w:tcPr>
                  <w:tcW w:w="992" w:type="dxa"/>
                  <w:vMerge w:val="continue"/>
                </w:tcPr>
                <w:p>
                  <w:pPr>
                    <w:jc w:val="center"/>
                    <w:rPr>
                      <w:szCs w:val="21"/>
                    </w:rPr>
                  </w:pPr>
                </w:p>
              </w:tc>
              <w:tc>
                <w:tcPr>
                  <w:tcW w:w="992" w:type="dxa"/>
                </w:tcPr>
                <w:p>
                  <w:pPr>
                    <w:jc w:val="center"/>
                    <w:rPr>
                      <w:szCs w:val="21"/>
                    </w:rPr>
                  </w:pPr>
                  <w:r>
                    <w:rPr>
                      <w:szCs w:val="21"/>
                    </w:rPr>
                    <w:t>2.58</w:t>
                  </w:r>
                </w:p>
              </w:tc>
              <w:tc>
                <w:tcPr>
                  <w:tcW w:w="993" w:type="dxa"/>
                </w:tcPr>
                <w:p>
                  <w:pPr>
                    <w:jc w:val="center"/>
                    <w:rPr>
                      <w:szCs w:val="21"/>
                    </w:rPr>
                  </w:pPr>
                  <w:r>
                    <w:rPr>
                      <w:szCs w:val="21"/>
                    </w:rPr>
                    <w:t>76.2</w:t>
                  </w:r>
                </w:p>
              </w:tc>
              <w:tc>
                <w:tcPr>
                  <w:tcW w:w="1039" w:type="dxa"/>
                </w:tcPr>
                <w:p>
                  <w:pPr>
                    <w:jc w:val="center"/>
                    <w:rPr>
                      <w:szCs w:val="21"/>
                    </w:rPr>
                  </w:pPr>
                  <w:r>
                    <w:rPr>
                      <w:szCs w:val="21"/>
                    </w:rPr>
                    <w:t>33909</w:t>
                  </w:r>
                </w:p>
              </w:tc>
              <w:tc>
                <w:tcPr>
                  <w:tcW w:w="992" w:type="dxa"/>
                </w:tcPr>
                <w:p>
                  <w:pPr>
                    <w:jc w:val="center"/>
                    <w:rPr>
                      <w:szCs w:val="21"/>
                    </w:rPr>
                  </w:pPr>
                  <w:r>
                    <w:rPr>
                      <w:szCs w:val="21"/>
                    </w:rPr>
                    <w:t>0.129</w:t>
                  </w:r>
                </w:p>
              </w:tc>
              <w:tc>
                <w:tcPr>
                  <w:tcW w:w="1276" w:type="dxa"/>
                </w:tcPr>
                <w:p>
                  <w:pPr>
                    <w:jc w:val="center"/>
                    <w:rPr>
                      <w:szCs w:val="21"/>
                    </w:rPr>
                  </w:pPr>
                  <w:r>
                    <w:rPr>
                      <w:szCs w:val="21"/>
                    </w:rPr>
                    <w:t>3.81</w:t>
                  </w:r>
                </w:p>
              </w:tc>
              <w:tc>
                <w:tcPr>
                  <w:tcW w:w="663" w:type="dxa"/>
                </w:tcPr>
                <w:p>
                  <w:pPr>
                    <w:jc w:val="center"/>
                    <w:rPr>
                      <w:szCs w:val="21"/>
                    </w:rPr>
                  </w:pPr>
                  <w:r>
                    <w:rPr>
                      <w:szCs w:val="21"/>
                    </w:rPr>
                    <w:t>95</w:t>
                  </w:r>
                </w:p>
              </w:tc>
            </w:tr>
          </w:tbl>
          <w:p>
            <w:pPr>
              <w:spacing w:line="360" w:lineRule="auto"/>
              <w:ind w:firstLine="420"/>
              <w:rPr>
                <w:sz w:val="24"/>
              </w:rPr>
            </w:pPr>
            <w:r>
              <w:rPr>
                <w:sz w:val="24"/>
              </w:rPr>
              <w:t>G3：项目设有两个腻子打磨房，腻子打磨在打磨房内进行，主要采用气动打磨机以研磨方式进行打磨。每个打磨房排气量为50000m</w:t>
            </w:r>
            <w:r>
              <w:rPr>
                <w:sz w:val="24"/>
                <w:vertAlign w:val="superscript"/>
              </w:rPr>
              <w:t>3</w:t>
            </w:r>
            <w:r>
              <w:rPr>
                <w:sz w:val="24"/>
              </w:rPr>
              <w:t>/h，每个打磨房内设分别置4套</w:t>
            </w:r>
            <w:r>
              <w:rPr>
                <w:sz w:val="24"/>
                <w:szCs w:val="20"/>
              </w:rPr>
              <w:t>滤筒干式过滤除尘装置（旋风除尘+滤芯过滤+空气动力过滤）收集打磨过程产生的粉尘，经每套除尘装置过滤后的废气分别通过16m的排气筒外排，收集的粉尘存于储灰桶内</w:t>
            </w:r>
            <w:r>
              <w:rPr>
                <w:sz w:val="24"/>
              </w:rPr>
              <w:t>。根据一期项目竣工环境保护验收监测和排污许可自行监测，打磨房污染物可以做到达标排放。</w:t>
            </w:r>
          </w:p>
          <w:p>
            <w:pPr>
              <w:spacing w:line="360" w:lineRule="auto"/>
              <w:ind w:firstLine="420"/>
              <w:jc w:val="center"/>
              <w:rPr>
                <w:b/>
                <w:sz w:val="24"/>
              </w:rPr>
            </w:pPr>
            <w:r>
              <w:rPr>
                <w:b/>
                <w:sz w:val="24"/>
              </w:rPr>
              <w:t>表2-13 一期项目打磨污染物产生及排放情况</w:t>
            </w:r>
          </w:p>
          <w:tbl>
            <w:tblPr>
              <w:tblStyle w:val="45"/>
              <w:tblW w:w="7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992"/>
              <w:gridCol w:w="992"/>
              <w:gridCol w:w="993"/>
              <w:gridCol w:w="1039"/>
              <w:gridCol w:w="992"/>
              <w:gridCol w:w="1276"/>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trPr>
              <w:tc>
                <w:tcPr>
                  <w:tcW w:w="992" w:type="dxa"/>
                  <w:vMerge w:val="restart"/>
                </w:tcPr>
                <w:p>
                  <w:pPr>
                    <w:jc w:val="center"/>
                    <w:rPr>
                      <w:szCs w:val="21"/>
                    </w:rPr>
                  </w:pPr>
                  <w:r>
                    <w:rPr>
                      <w:szCs w:val="21"/>
                    </w:rPr>
                    <w:t>排放口编号</w:t>
                  </w:r>
                </w:p>
              </w:tc>
              <w:tc>
                <w:tcPr>
                  <w:tcW w:w="992" w:type="dxa"/>
                  <w:vMerge w:val="restart"/>
                </w:tcPr>
                <w:p>
                  <w:pPr>
                    <w:jc w:val="center"/>
                    <w:rPr>
                      <w:szCs w:val="21"/>
                    </w:rPr>
                  </w:pPr>
                  <w:r>
                    <w:rPr>
                      <w:szCs w:val="21"/>
                    </w:rPr>
                    <w:t>污染物名称</w:t>
                  </w:r>
                </w:p>
              </w:tc>
              <w:tc>
                <w:tcPr>
                  <w:tcW w:w="1985" w:type="dxa"/>
                  <w:gridSpan w:val="2"/>
                </w:tcPr>
                <w:p>
                  <w:pPr>
                    <w:jc w:val="center"/>
                    <w:rPr>
                      <w:szCs w:val="21"/>
                    </w:rPr>
                  </w:pPr>
                  <w:r>
                    <w:rPr>
                      <w:szCs w:val="21"/>
                    </w:rPr>
                    <w:t>产生</w:t>
                  </w:r>
                </w:p>
              </w:tc>
              <w:tc>
                <w:tcPr>
                  <w:tcW w:w="3307" w:type="dxa"/>
                  <w:gridSpan w:val="3"/>
                </w:tcPr>
                <w:p>
                  <w:pPr>
                    <w:jc w:val="center"/>
                    <w:rPr>
                      <w:szCs w:val="21"/>
                    </w:rPr>
                  </w:pPr>
                  <w:r>
                    <w:rPr>
                      <w:szCs w:val="21"/>
                    </w:rPr>
                    <w:t>排放</w:t>
                  </w:r>
                </w:p>
              </w:tc>
              <w:tc>
                <w:tcPr>
                  <w:tcW w:w="663" w:type="dxa"/>
                  <w:vMerge w:val="restart"/>
                </w:tcPr>
                <w:p>
                  <w:pPr>
                    <w:jc w:val="center"/>
                    <w:rPr>
                      <w:szCs w:val="21"/>
                    </w:rPr>
                  </w:pPr>
                  <w:r>
                    <w:rPr>
                      <w:szCs w:val="21"/>
                    </w:rPr>
                    <w:t>治理措施处置效率（%）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 w:hRule="atLeast"/>
              </w:trPr>
              <w:tc>
                <w:tcPr>
                  <w:tcW w:w="992" w:type="dxa"/>
                  <w:vMerge w:val="continue"/>
                </w:tcPr>
                <w:p>
                  <w:pPr>
                    <w:jc w:val="center"/>
                    <w:rPr>
                      <w:szCs w:val="21"/>
                    </w:rPr>
                  </w:pPr>
                </w:p>
              </w:tc>
              <w:tc>
                <w:tcPr>
                  <w:tcW w:w="992" w:type="dxa"/>
                  <w:vMerge w:val="continue"/>
                </w:tcPr>
                <w:p>
                  <w:pPr>
                    <w:jc w:val="center"/>
                    <w:rPr>
                      <w:szCs w:val="21"/>
                    </w:rPr>
                  </w:pPr>
                </w:p>
              </w:tc>
              <w:tc>
                <w:tcPr>
                  <w:tcW w:w="992" w:type="dxa"/>
                </w:tcPr>
                <w:p>
                  <w:pPr>
                    <w:jc w:val="center"/>
                    <w:rPr>
                      <w:szCs w:val="21"/>
                    </w:rPr>
                  </w:pPr>
                  <w:r>
                    <w:rPr>
                      <w:szCs w:val="21"/>
                    </w:rPr>
                    <w:t>产生量（kg/h）</w:t>
                  </w:r>
                </w:p>
              </w:tc>
              <w:tc>
                <w:tcPr>
                  <w:tcW w:w="993" w:type="dxa"/>
                </w:tcPr>
                <w:p>
                  <w:pPr>
                    <w:jc w:val="center"/>
                    <w:rPr>
                      <w:szCs w:val="21"/>
                    </w:rPr>
                  </w:pPr>
                  <w:r>
                    <w:rPr>
                      <w:szCs w:val="21"/>
                    </w:rPr>
                    <w:t>产生浓度（mg/标m³）</w:t>
                  </w:r>
                </w:p>
              </w:tc>
              <w:tc>
                <w:tcPr>
                  <w:tcW w:w="1039" w:type="dxa"/>
                </w:tcPr>
                <w:p>
                  <w:pPr>
                    <w:jc w:val="center"/>
                    <w:rPr>
                      <w:szCs w:val="21"/>
                    </w:rPr>
                  </w:pPr>
                  <w:r>
                    <w:rPr>
                      <w:szCs w:val="21"/>
                    </w:rPr>
                    <w:t>废气排放量（标Nm³/h）</w:t>
                  </w:r>
                </w:p>
              </w:tc>
              <w:tc>
                <w:tcPr>
                  <w:tcW w:w="992" w:type="dxa"/>
                </w:tcPr>
                <w:p>
                  <w:pPr>
                    <w:jc w:val="center"/>
                    <w:rPr>
                      <w:szCs w:val="21"/>
                    </w:rPr>
                  </w:pPr>
                  <w:r>
                    <w:rPr>
                      <w:szCs w:val="21"/>
                    </w:rPr>
                    <w:t>排放量（kg/h）</w:t>
                  </w:r>
                </w:p>
              </w:tc>
              <w:tc>
                <w:tcPr>
                  <w:tcW w:w="1276" w:type="dxa"/>
                </w:tcPr>
                <w:p>
                  <w:pPr>
                    <w:jc w:val="center"/>
                    <w:rPr>
                      <w:szCs w:val="21"/>
                    </w:rPr>
                  </w:pPr>
                  <w:r>
                    <w:rPr>
                      <w:szCs w:val="21"/>
                    </w:rPr>
                    <w:t>排放浓度（mg/m³）</w:t>
                  </w:r>
                </w:p>
              </w:tc>
              <w:tc>
                <w:tcPr>
                  <w:tcW w:w="663" w:type="dxa"/>
                  <w:vMerge w:val="continue"/>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992" w:type="dxa"/>
                </w:tcPr>
                <w:p>
                  <w:pPr>
                    <w:jc w:val="center"/>
                    <w:rPr>
                      <w:szCs w:val="21"/>
                    </w:rPr>
                  </w:pPr>
                  <w:r>
                    <w:rPr>
                      <w:szCs w:val="21"/>
                    </w:rPr>
                    <w:t>3#</w:t>
                  </w:r>
                </w:p>
              </w:tc>
              <w:tc>
                <w:tcPr>
                  <w:tcW w:w="992" w:type="dxa"/>
                  <w:vMerge w:val="restart"/>
                </w:tcPr>
                <w:p>
                  <w:pPr>
                    <w:jc w:val="center"/>
                    <w:rPr>
                      <w:szCs w:val="21"/>
                    </w:rPr>
                  </w:pPr>
                  <w:r>
                    <w:rPr>
                      <w:szCs w:val="21"/>
                    </w:rPr>
                    <w:t>颗粒物</w:t>
                  </w:r>
                </w:p>
              </w:tc>
              <w:tc>
                <w:tcPr>
                  <w:tcW w:w="992" w:type="dxa"/>
                </w:tcPr>
                <w:p>
                  <w:pPr>
                    <w:jc w:val="center"/>
                    <w:rPr>
                      <w:szCs w:val="21"/>
                    </w:rPr>
                  </w:pPr>
                  <w:r>
                    <w:rPr>
                      <w:szCs w:val="21"/>
                    </w:rPr>
                    <w:t>1.68</w:t>
                  </w:r>
                </w:p>
              </w:tc>
              <w:tc>
                <w:tcPr>
                  <w:tcW w:w="993" w:type="dxa"/>
                </w:tcPr>
                <w:p>
                  <w:pPr>
                    <w:jc w:val="center"/>
                    <w:rPr>
                      <w:szCs w:val="21"/>
                    </w:rPr>
                  </w:pPr>
                  <w:r>
                    <w:rPr>
                      <w:szCs w:val="21"/>
                    </w:rPr>
                    <w:t>73.4</w:t>
                  </w:r>
                </w:p>
              </w:tc>
              <w:tc>
                <w:tcPr>
                  <w:tcW w:w="1039" w:type="dxa"/>
                </w:tcPr>
                <w:p>
                  <w:pPr>
                    <w:jc w:val="center"/>
                    <w:rPr>
                      <w:szCs w:val="21"/>
                    </w:rPr>
                  </w:pPr>
                  <w:r>
                    <w:rPr>
                      <w:szCs w:val="21"/>
                    </w:rPr>
                    <w:t>22886</w:t>
                  </w:r>
                </w:p>
              </w:tc>
              <w:tc>
                <w:tcPr>
                  <w:tcW w:w="992" w:type="dxa"/>
                </w:tcPr>
                <w:p>
                  <w:pPr>
                    <w:jc w:val="center"/>
                    <w:rPr>
                      <w:szCs w:val="21"/>
                    </w:rPr>
                  </w:pPr>
                  <w:r>
                    <w:rPr>
                      <w:szCs w:val="21"/>
                    </w:rPr>
                    <w:t>0.084</w:t>
                  </w:r>
                </w:p>
              </w:tc>
              <w:tc>
                <w:tcPr>
                  <w:tcW w:w="1276" w:type="dxa"/>
                </w:tcPr>
                <w:p>
                  <w:pPr>
                    <w:jc w:val="center"/>
                    <w:rPr>
                      <w:szCs w:val="21"/>
                    </w:rPr>
                  </w:pPr>
                  <w:r>
                    <w:rPr>
                      <w:szCs w:val="21"/>
                    </w:rPr>
                    <w:t>3.67</w:t>
                  </w:r>
                </w:p>
              </w:tc>
              <w:tc>
                <w:tcPr>
                  <w:tcW w:w="663" w:type="dxa"/>
                </w:tcPr>
                <w:p>
                  <w:pPr>
                    <w:jc w:val="center"/>
                    <w:rPr>
                      <w:szCs w:val="21"/>
                    </w:rP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92" w:type="dxa"/>
                </w:tcPr>
                <w:p>
                  <w:pPr>
                    <w:jc w:val="center"/>
                    <w:rPr>
                      <w:szCs w:val="21"/>
                    </w:rPr>
                  </w:pPr>
                  <w:r>
                    <w:rPr>
                      <w:szCs w:val="21"/>
                    </w:rPr>
                    <w:t>4#</w:t>
                  </w:r>
                </w:p>
              </w:tc>
              <w:tc>
                <w:tcPr>
                  <w:tcW w:w="992" w:type="dxa"/>
                  <w:vMerge w:val="continue"/>
                </w:tcPr>
                <w:p>
                  <w:pPr>
                    <w:jc w:val="center"/>
                    <w:rPr>
                      <w:szCs w:val="21"/>
                    </w:rPr>
                  </w:pPr>
                </w:p>
              </w:tc>
              <w:tc>
                <w:tcPr>
                  <w:tcW w:w="992" w:type="dxa"/>
                </w:tcPr>
                <w:p>
                  <w:pPr>
                    <w:jc w:val="center"/>
                    <w:rPr>
                      <w:szCs w:val="21"/>
                    </w:rPr>
                  </w:pPr>
                  <w:r>
                    <w:rPr>
                      <w:szCs w:val="21"/>
                    </w:rPr>
                    <w:t>2.36</w:t>
                  </w:r>
                </w:p>
              </w:tc>
              <w:tc>
                <w:tcPr>
                  <w:tcW w:w="993" w:type="dxa"/>
                </w:tcPr>
                <w:p>
                  <w:pPr>
                    <w:jc w:val="center"/>
                    <w:rPr>
                      <w:szCs w:val="21"/>
                    </w:rPr>
                  </w:pPr>
                  <w:r>
                    <w:rPr>
                      <w:szCs w:val="21"/>
                    </w:rPr>
                    <w:t>104</w:t>
                  </w:r>
                </w:p>
              </w:tc>
              <w:tc>
                <w:tcPr>
                  <w:tcW w:w="1039" w:type="dxa"/>
                </w:tcPr>
                <w:p>
                  <w:pPr>
                    <w:jc w:val="center"/>
                    <w:rPr>
                      <w:szCs w:val="21"/>
                    </w:rPr>
                  </w:pPr>
                  <w:r>
                    <w:rPr>
                      <w:szCs w:val="21"/>
                    </w:rPr>
                    <w:t>22800</w:t>
                  </w:r>
                </w:p>
              </w:tc>
              <w:tc>
                <w:tcPr>
                  <w:tcW w:w="992" w:type="dxa"/>
                </w:tcPr>
                <w:p>
                  <w:pPr>
                    <w:jc w:val="center"/>
                    <w:rPr>
                      <w:szCs w:val="21"/>
                    </w:rPr>
                  </w:pPr>
                  <w:r>
                    <w:rPr>
                      <w:szCs w:val="21"/>
                    </w:rPr>
                    <w:t>0.118</w:t>
                  </w:r>
                </w:p>
              </w:tc>
              <w:tc>
                <w:tcPr>
                  <w:tcW w:w="1276" w:type="dxa"/>
                </w:tcPr>
                <w:p>
                  <w:pPr>
                    <w:jc w:val="center"/>
                    <w:rPr>
                      <w:szCs w:val="21"/>
                    </w:rPr>
                  </w:pPr>
                  <w:r>
                    <w:rPr>
                      <w:szCs w:val="21"/>
                    </w:rPr>
                    <w:t>5.2</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92" w:type="dxa"/>
                </w:tcPr>
                <w:p>
                  <w:pPr>
                    <w:jc w:val="center"/>
                    <w:rPr>
                      <w:szCs w:val="21"/>
                    </w:rPr>
                  </w:pPr>
                  <w:r>
                    <w:rPr>
                      <w:szCs w:val="21"/>
                    </w:rPr>
                    <w:t>5#</w:t>
                  </w:r>
                </w:p>
              </w:tc>
              <w:tc>
                <w:tcPr>
                  <w:tcW w:w="992" w:type="dxa"/>
                  <w:vMerge w:val="continue"/>
                </w:tcPr>
                <w:p>
                  <w:pPr>
                    <w:jc w:val="center"/>
                    <w:rPr>
                      <w:szCs w:val="21"/>
                    </w:rPr>
                  </w:pPr>
                </w:p>
              </w:tc>
              <w:tc>
                <w:tcPr>
                  <w:tcW w:w="992" w:type="dxa"/>
                </w:tcPr>
                <w:p>
                  <w:pPr>
                    <w:jc w:val="center"/>
                    <w:rPr>
                      <w:szCs w:val="21"/>
                    </w:rPr>
                  </w:pPr>
                  <w:r>
                    <w:rPr>
                      <w:szCs w:val="21"/>
                    </w:rPr>
                    <w:t>2.14</w:t>
                  </w:r>
                </w:p>
              </w:tc>
              <w:tc>
                <w:tcPr>
                  <w:tcW w:w="993" w:type="dxa"/>
                </w:tcPr>
                <w:p>
                  <w:pPr>
                    <w:jc w:val="center"/>
                    <w:rPr>
                      <w:szCs w:val="21"/>
                    </w:rPr>
                  </w:pPr>
                  <w:r>
                    <w:rPr>
                      <w:szCs w:val="21"/>
                    </w:rPr>
                    <w:t>97.6</w:t>
                  </w:r>
                </w:p>
              </w:tc>
              <w:tc>
                <w:tcPr>
                  <w:tcW w:w="1039" w:type="dxa"/>
                </w:tcPr>
                <w:p>
                  <w:pPr>
                    <w:jc w:val="center"/>
                    <w:rPr>
                      <w:szCs w:val="21"/>
                    </w:rPr>
                  </w:pPr>
                  <w:r>
                    <w:rPr>
                      <w:szCs w:val="21"/>
                    </w:rPr>
                    <w:t>22010</w:t>
                  </w:r>
                </w:p>
              </w:tc>
              <w:tc>
                <w:tcPr>
                  <w:tcW w:w="992" w:type="dxa"/>
                </w:tcPr>
                <w:p>
                  <w:pPr>
                    <w:jc w:val="center"/>
                    <w:rPr>
                      <w:szCs w:val="21"/>
                    </w:rPr>
                  </w:pPr>
                  <w:r>
                    <w:rPr>
                      <w:szCs w:val="21"/>
                    </w:rPr>
                    <w:t>0.107</w:t>
                  </w:r>
                </w:p>
              </w:tc>
              <w:tc>
                <w:tcPr>
                  <w:tcW w:w="1276" w:type="dxa"/>
                </w:tcPr>
                <w:p>
                  <w:pPr>
                    <w:jc w:val="center"/>
                    <w:rPr>
                      <w:szCs w:val="21"/>
                    </w:rPr>
                  </w:pPr>
                  <w:r>
                    <w:rPr>
                      <w:szCs w:val="21"/>
                    </w:rPr>
                    <w:t>4.88</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92" w:type="dxa"/>
                </w:tcPr>
                <w:p>
                  <w:pPr>
                    <w:jc w:val="center"/>
                    <w:rPr>
                      <w:szCs w:val="21"/>
                    </w:rPr>
                  </w:pPr>
                  <w:r>
                    <w:rPr>
                      <w:szCs w:val="21"/>
                    </w:rPr>
                    <w:t>6#</w:t>
                  </w:r>
                </w:p>
              </w:tc>
              <w:tc>
                <w:tcPr>
                  <w:tcW w:w="992" w:type="dxa"/>
                  <w:vMerge w:val="continue"/>
                </w:tcPr>
                <w:p>
                  <w:pPr>
                    <w:jc w:val="center"/>
                    <w:rPr>
                      <w:szCs w:val="21"/>
                    </w:rPr>
                  </w:pPr>
                </w:p>
              </w:tc>
              <w:tc>
                <w:tcPr>
                  <w:tcW w:w="992" w:type="dxa"/>
                </w:tcPr>
                <w:p>
                  <w:pPr>
                    <w:jc w:val="center"/>
                    <w:rPr>
                      <w:szCs w:val="21"/>
                    </w:rPr>
                  </w:pPr>
                  <w:r>
                    <w:rPr>
                      <w:szCs w:val="21"/>
                    </w:rPr>
                    <w:t>1.72</w:t>
                  </w:r>
                </w:p>
              </w:tc>
              <w:tc>
                <w:tcPr>
                  <w:tcW w:w="993" w:type="dxa"/>
                </w:tcPr>
                <w:p>
                  <w:pPr>
                    <w:jc w:val="center"/>
                    <w:rPr>
                      <w:szCs w:val="21"/>
                    </w:rPr>
                  </w:pPr>
                  <w:r>
                    <w:rPr>
                      <w:szCs w:val="21"/>
                    </w:rPr>
                    <w:t>76.2</w:t>
                  </w:r>
                </w:p>
              </w:tc>
              <w:tc>
                <w:tcPr>
                  <w:tcW w:w="1039" w:type="dxa"/>
                </w:tcPr>
                <w:p>
                  <w:pPr>
                    <w:jc w:val="center"/>
                    <w:rPr>
                      <w:szCs w:val="21"/>
                    </w:rPr>
                  </w:pPr>
                  <w:r>
                    <w:rPr>
                      <w:szCs w:val="21"/>
                    </w:rPr>
                    <w:t>22472</w:t>
                  </w:r>
                </w:p>
              </w:tc>
              <w:tc>
                <w:tcPr>
                  <w:tcW w:w="992" w:type="dxa"/>
                </w:tcPr>
                <w:p>
                  <w:pPr>
                    <w:jc w:val="center"/>
                    <w:rPr>
                      <w:szCs w:val="21"/>
                    </w:rPr>
                  </w:pPr>
                  <w:r>
                    <w:rPr>
                      <w:szCs w:val="21"/>
                    </w:rPr>
                    <w:t>0.086</w:t>
                  </w:r>
                </w:p>
              </w:tc>
              <w:tc>
                <w:tcPr>
                  <w:tcW w:w="1276" w:type="dxa"/>
                </w:tcPr>
                <w:p>
                  <w:pPr>
                    <w:jc w:val="center"/>
                    <w:rPr>
                      <w:szCs w:val="21"/>
                    </w:rPr>
                  </w:pPr>
                  <w:r>
                    <w:rPr>
                      <w:szCs w:val="21"/>
                    </w:rPr>
                    <w:t>3.81</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92" w:type="dxa"/>
                </w:tcPr>
                <w:p>
                  <w:pPr>
                    <w:jc w:val="center"/>
                    <w:rPr>
                      <w:szCs w:val="21"/>
                    </w:rPr>
                  </w:pPr>
                  <w:r>
                    <w:rPr>
                      <w:szCs w:val="21"/>
                    </w:rPr>
                    <w:t>7#</w:t>
                  </w:r>
                </w:p>
              </w:tc>
              <w:tc>
                <w:tcPr>
                  <w:tcW w:w="992" w:type="dxa"/>
                  <w:vMerge w:val="continue"/>
                </w:tcPr>
                <w:p>
                  <w:pPr>
                    <w:jc w:val="center"/>
                    <w:rPr>
                      <w:szCs w:val="21"/>
                    </w:rPr>
                  </w:pPr>
                </w:p>
              </w:tc>
              <w:tc>
                <w:tcPr>
                  <w:tcW w:w="992" w:type="dxa"/>
                </w:tcPr>
                <w:p>
                  <w:pPr>
                    <w:jc w:val="center"/>
                    <w:rPr>
                      <w:szCs w:val="21"/>
                    </w:rPr>
                  </w:pPr>
                  <w:r>
                    <w:rPr>
                      <w:szCs w:val="21"/>
                    </w:rPr>
                    <w:t>31.16</w:t>
                  </w:r>
                </w:p>
              </w:tc>
              <w:tc>
                <w:tcPr>
                  <w:tcW w:w="993" w:type="dxa"/>
                </w:tcPr>
                <w:p>
                  <w:pPr>
                    <w:jc w:val="center"/>
                    <w:rPr>
                      <w:szCs w:val="21"/>
                    </w:rPr>
                  </w:pPr>
                  <w:r>
                    <w:rPr>
                      <w:szCs w:val="21"/>
                    </w:rPr>
                    <w:t>140.6</w:t>
                  </w:r>
                </w:p>
              </w:tc>
              <w:tc>
                <w:tcPr>
                  <w:tcW w:w="1039" w:type="dxa"/>
                </w:tcPr>
                <w:p>
                  <w:pPr>
                    <w:jc w:val="center"/>
                    <w:rPr>
                      <w:szCs w:val="21"/>
                    </w:rPr>
                  </w:pPr>
                  <w:r>
                    <w:rPr>
                      <w:szCs w:val="21"/>
                    </w:rPr>
                    <w:t>221499</w:t>
                  </w:r>
                </w:p>
              </w:tc>
              <w:tc>
                <w:tcPr>
                  <w:tcW w:w="992" w:type="dxa"/>
                </w:tcPr>
                <w:p>
                  <w:pPr>
                    <w:jc w:val="center"/>
                    <w:rPr>
                      <w:szCs w:val="21"/>
                    </w:rPr>
                  </w:pPr>
                  <w:r>
                    <w:rPr>
                      <w:szCs w:val="21"/>
                    </w:rPr>
                    <w:t>1.558</w:t>
                  </w:r>
                </w:p>
              </w:tc>
              <w:tc>
                <w:tcPr>
                  <w:tcW w:w="1276" w:type="dxa"/>
                </w:tcPr>
                <w:p>
                  <w:pPr>
                    <w:jc w:val="center"/>
                    <w:rPr>
                      <w:szCs w:val="21"/>
                    </w:rPr>
                  </w:pPr>
                  <w:r>
                    <w:rPr>
                      <w:szCs w:val="21"/>
                    </w:rPr>
                    <w:t>7.03</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92" w:type="dxa"/>
                </w:tcPr>
                <w:p>
                  <w:pPr>
                    <w:jc w:val="center"/>
                    <w:rPr>
                      <w:szCs w:val="21"/>
                    </w:rPr>
                  </w:pPr>
                  <w:r>
                    <w:rPr>
                      <w:szCs w:val="21"/>
                    </w:rPr>
                    <w:t>8#</w:t>
                  </w:r>
                </w:p>
              </w:tc>
              <w:tc>
                <w:tcPr>
                  <w:tcW w:w="992" w:type="dxa"/>
                  <w:vMerge w:val="continue"/>
                </w:tcPr>
                <w:p>
                  <w:pPr>
                    <w:jc w:val="center"/>
                    <w:rPr>
                      <w:szCs w:val="21"/>
                    </w:rPr>
                  </w:pPr>
                </w:p>
              </w:tc>
              <w:tc>
                <w:tcPr>
                  <w:tcW w:w="992" w:type="dxa"/>
                </w:tcPr>
                <w:p>
                  <w:pPr>
                    <w:jc w:val="center"/>
                    <w:rPr>
                      <w:szCs w:val="21"/>
                    </w:rPr>
                  </w:pPr>
                  <w:r>
                    <w:rPr>
                      <w:szCs w:val="21"/>
                    </w:rPr>
                    <w:t>2.5</w:t>
                  </w:r>
                </w:p>
              </w:tc>
              <w:tc>
                <w:tcPr>
                  <w:tcW w:w="993" w:type="dxa"/>
                </w:tcPr>
                <w:p>
                  <w:pPr>
                    <w:jc w:val="center"/>
                    <w:rPr>
                      <w:szCs w:val="21"/>
                    </w:rPr>
                  </w:pPr>
                  <w:r>
                    <w:rPr>
                      <w:szCs w:val="21"/>
                    </w:rPr>
                    <w:t>113.8</w:t>
                  </w:r>
                </w:p>
              </w:tc>
              <w:tc>
                <w:tcPr>
                  <w:tcW w:w="1039" w:type="dxa"/>
                </w:tcPr>
                <w:p>
                  <w:pPr>
                    <w:jc w:val="center"/>
                    <w:rPr>
                      <w:szCs w:val="21"/>
                    </w:rPr>
                  </w:pPr>
                  <w:r>
                    <w:rPr>
                      <w:szCs w:val="21"/>
                    </w:rPr>
                    <w:t>22015</w:t>
                  </w:r>
                </w:p>
              </w:tc>
              <w:tc>
                <w:tcPr>
                  <w:tcW w:w="992" w:type="dxa"/>
                </w:tcPr>
                <w:p>
                  <w:pPr>
                    <w:jc w:val="center"/>
                    <w:rPr>
                      <w:szCs w:val="21"/>
                    </w:rPr>
                  </w:pPr>
                  <w:r>
                    <w:rPr>
                      <w:szCs w:val="21"/>
                    </w:rPr>
                    <w:t>0.125</w:t>
                  </w:r>
                </w:p>
              </w:tc>
              <w:tc>
                <w:tcPr>
                  <w:tcW w:w="1276" w:type="dxa"/>
                </w:tcPr>
                <w:p>
                  <w:pPr>
                    <w:jc w:val="center"/>
                    <w:rPr>
                      <w:szCs w:val="21"/>
                    </w:rPr>
                  </w:pPr>
                  <w:r>
                    <w:rPr>
                      <w:szCs w:val="21"/>
                    </w:rPr>
                    <w:t>5.69</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92" w:type="dxa"/>
                </w:tcPr>
                <w:p>
                  <w:pPr>
                    <w:jc w:val="center"/>
                    <w:rPr>
                      <w:szCs w:val="21"/>
                    </w:rPr>
                  </w:pPr>
                  <w:r>
                    <w:rPr>
                      <w:szCs w:val="21"/>
                    </w:rPr>
                    <w:t>9#</w:t>
                  </w:r>
                </w:p>
              </w:tc>
              <w:tc>
                <w:tcPr>
                  <w:tcW w:w="992" w:type="dxa"/>
                  <w:vMerge w:val="continue"/>
                </w:tcPr>
                <w:p>
                  <w:pPr>
                    <w:jc w:val="center"/>
                    <w:rPr>
                      <w:szCs w:val="21"/>
                    </w:rPr>
                  </w:pPr>
                </w:p>
              </w:tc>
              <w:tc>
                <w:tcPr>
                  <w:tcW w:w="992" w:type="dxa"/>
                </w:tcPr>
                <w:p>
                  <w:pPr>
                    <w:jc w:val="center"/>
                    <w:rPr>
                      <w:szCs w:val="21"/>
                    </w:rPr>
                  </w:pPr>
                  <w:r>
                    <w:rPr>
                      <w:szCs w:val="21"/>
                    </w:rPr>
                    <w:t>1.58</w:t>
                  </w:r>
                </w:p>
              </w:tc>
              <w:tc>
                <w:tcPr>
                  <w:tcW w:w="993" w:type="dxa"/>
                </w:tcPr>
                <w:p>
                  <w:pPr>
                    <w:jc w:val="center"/>
                    <w:rPr>
                      <w:szCs w:val="21"/>
                    </w:rPr>
                  </w:pPr>
                  <w:r>
                    <w:rPr>
                      <w:szCs w:val="21"/>
                    </w:rPr>
                    <w:t>75.6</w:t>
                  </w:r>
                </w:p>
              </w:tc>
              <w:tc>
                <w:tcPr>
                  <w:tcW w:w="1039" w:type="dxa"/>
                </w:tcPr>
                <w:p>
                  <w:pPr>
                    <w:jc w:val="center"/>
                    <w:rPr>
                      <w:szCs w:val="21"/>
                    </w:rPr>
                  </w:pPr>
                  <w:r>
                    <w:rPr>
                      <w:szCs w:val="21"/>
                    </w:rPr>
                    <w:t>20816</w:t>
                  </w:r>
                </w:p>
              </w:tc>
              <w:tc>
                <w:tcPr>
                  <w:tcW w:w="992" w:type="dxa"/>
                </w:tcPr>
                <w:p>
                  <w:pPr>
                    <w:jc w:val="center"/>
                    <w:rPr>
                      <w:szCs w:val="21"/>
                    </w:rPr>
                  </w:pPr>
                  <w:r>
                    <w:rPr>
                      <w:szCs w:val="21"/>
                    </w:rPr>
                    <w:t>0.079</w:t>
                  </w:r>
                </w:p>
              </w:tc>
              <w:tc>
                <w:tcPr>
                  <w:tcW w:w="1276" w:type="dxa"/>
                </w:tcPr>
                <w:p>
                  <w:pPr>
                    <w:jc w:val="center"/>
                    <w:rPr>
                      <w:szCs w:val="21"/>
                    </w:rPr>
                  </w:pPr>
                  <w:r>
                    <w:rPr>
                      <w:szCs w:val="21"/>
                    </w:rPr>
                    <w:t>3.78</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992" w:type="dxa"/>
                </w:tcPr>
                <w:p>
                  <w:pPr>
                    <w:jc w:val="center"/>
                    <w:rPr>
                      <w:szCs w:val="21"/>
                    </w:rPr>
                  </w:pPr>
                  <w:r>
                    <w:rPr>
                      <w:szCs w:val="21"/>
                    </w:rPr>
                    <w:t>10#</w:t>
                  </w:r>
                </w:p>
              </w:tc>
              <w:tc>
                <w:tcPr>
                  <w:tcW w:w="992" w:type="dxa"/>
                  <w:vMerge w:val="continue"/>
                </w:tcPr>
                <w:p>
                  <w:pPr>
                    <w:jc w:val="center"/>
                    <w:rPr>
                      <w:szCs w:val="21"/>
                    </w:rPr>
                  </w:pPr>
                </w:p>
              </w:tc>
              <w:tc>
                <w:tcPr>
                  <w:tcW w:w="992" w:type="dxa"/>
                </w:tcPr>
                <w:p>
                  <w:pPr>
                    <w:jc w:val="center"/>
                    <w:rPr>
                      <w:szCs w:val="21"/>
                    </w:rPr>
                  </w:pPr>
                  <w:r>
                    <w:rPr>
                      <w:szCs w:val="21"/>
                    </w:rPr>
                    <w:t>2.54</w:t>
                  </w:r>
                </w:p>
              </w:tc>
              <w:tc>
                <w:tcPr>
                  <w:tcW w:w="993" w:type="dxa"/>
                </w:tcPr>
                <w:p>
                  <w:pPr>
                    <w:jc w:val="center"/>
                    <w:rPr>
                      <w:szCs w:val="21"/>
                    </w:rPr>
                  </w:pPr>
                  <w:r>
                    <w:rPr>
                      <w:szCs w:val="21"/>
                    </w:rPr>
                    <w:t>124.8</w:t>
                  </w:r>
                </w:p>
              </w:tc>
              <w:tc>
                <w:tcPr>
                  <w:tcW w:w="1039" w:type="dxa"/>
                </w:tcPr>
                <w:p>
                  <w:pPr>
                    <w:jc w:val="center"/>
                    <w:rPr>
                      <w:szCs w:val="21"/>
                    </w:rPr>
                  </w:pPr>
                  <w:r>
                    <w:rPr>
                      <w:szCs w:val="21"/>
                    </w:rPr>
                    <w:t>20292</w:t>
                  </w:r>
                </w:p>
              </w:tc>
              <w:tc>
                <w:tcPr>
                  <w:tcW w:w="992" w:type="dxa"/>
                </w:tcPr>
                <w:p>
                  <w:pPr>
                    <w:jc w:val="center"/>
                    <w:rPr>
                      <w:szCs w:val="21"/>
                    </w:rPr>
                  </w:pPr>
                  <w:r>
                    <w:rPr>
                      <w:szCs w:val="21"/>
                    </w:rPr>
                    <w:t>0.127</w:t>
                  </w:r>
                </w:p>
              </w:tc>
              <w:tc>
                <w:tcPr>
                  <w:tcW w:w="1276" w:type="dxa"/>
                </w:tcPr>
                <w:p>
                  <w:pPr>
                    <w:jc w:val="center"/>
                    <w:rPr>
                      <w:szCs w:val="21"/>
                    </w:rPr>
                  </w:pPr>
                  <w:r>
                    <w:rPr>
                      <w:szCs w:val="21"/>
                    </w:rPr>
                    <w:t>6.24</w:t>
                  </w:r>
                </w:p>
              </w:tc>
              <w:tc>
                <w:tcPr>
                  <w:tcW w:w="663" w:type="dxa"/>
                </w:tcPr>
                <w:p>
                  <w:pPr>
                    <w:jc w:val="center"/>
                  </w:pPr>
                  <w:r>
                    <w:rPr>
                      <w:szCs w:val="21"/>
                    </w:rPr>
                    <w:t>95</w:t>
                  </w:r>
                </w:p>
              </w:tc>
            </w:tr>
          </w:tbl>
          <w:p>
            <w:pPr>
              <w:spacing w:line="360" w:lineRule="auto"/>
              <w:ind w:firstLine="420"/>
              <w:rPr>
                <w:sz w:val="24"/>
              </w:rPr>
            </w:pPr>
            <w:r>
              <w:rPr>
                <w:sz w:val="24"/>
              </w:rPr>
              <w:t>G4：项目设四个油漆喷烘车间，均位于表面处理车间内，其中两个为底漆喷漆房，两个为面漆喷漆房。每个喷漆房分别设置4套处理设备，处理工艺为过滤棉吸附+活性炭箱吸附，处理后分别通过一根排气筒排放，4个喷漆房共设置16套处理设备和16根16m高排气筒。根据一期项目竣工环境保护验收监测和排污许可自行监测，喷漆废气可以做到达标排放。</w:t>
            </w:r>
          </w:p>
          <w:p>
            <w:pPr>
              <w:spacing w:line="360" w:lineRule="auto"/>
              <w:ind w:firstLine="420"/>
              <w:jc w:val="center"/>
              <w:rPr>
                <w:b/>
                <w:sz w:val="24"/>
              </w:rPr>
            </w:pPr>
            <w:r>
              <w:rPr>
                <w:b/>
                <w:sz w:val="24"/>
              </w:rPr>
              <w:t>表2-14 一期项目喷漆污染物产生及排放情况</w:t>
            </w:r>
          </w:p>
          <w:tbl>
            <w:tblPr>
              <w:tblStyle w:val="45"/>
              <w:tblW w:w="7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992"/>
              <w:gridCol w:w="992"/>
              <w:gridCol w:w="993"/>
              <w:gridCol w:w="1039"/>
              <w:gridCol w:w="992"/>
              <w:gridCol w:w="1276"/>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trPr>
              <w:tc>
                <w:tcPr>
                  <w:tcW w:w="992" w:type="dxa"/>
                  <w:vMerge w:val="restart"/>
                </w:tcPr>
                <w:p>
                  <w:pPr>
                    <w:jc w:val="center"/>
                    <w:rPr>
                      <w:szCs w:val="21"/>
                    </w:rPr>
                  </w:pPr>
                  <w:r>
                    <w:rPr>
                      <w:szCs w:val="21"/>
                    </w:rPr>
                    <w:t>排放口编号</w:t>
                  </w:r>
                </w:p>
              </w:tc>
              <w:tc>
                <w:tcPr>
                  <w:tcW w:w="992" w:type="dxa"/>
                  <w:vMerge w:val="restart"/>
                </w:tcPr>
                <w:p>
                  <w:pPr>
                    <w:jc w:val="center"/>
                    <w:rPr>
                      <w:szCs w:val="21"/>
                    </w:rPr>
                  </w:pPr>
                  <w:r>
                    <w:rPr>
                      <w:szCs w:val="21"/>
                    </w:rPr>
                    <w:t>污染物名称</w:t>
                  </w:r>
                </w:p>
              </w:tc>
              <w:tc>
                <w:tcPr>
                  <w:tcW w:w="1985" w:type="dxa"/>
                  <w:gridSpan w:val="2"/>
                </w:tcPr>
                <w:p>
                  <w:pPr>
                    <w:jc w:val="center"/>
                    <w:rPr>
                      <w:szCs w:val="21"/>
                    </w:rPr>
                  </w:pPr>
                  <w:r>
                    <w:rPr>
                      <w:szCs w:val="21"/>
                    </w:rPr>
                    <w:t>产生</w:t>
                  </w:r>
                </w:p>
              </w:tc>
              <w:tc>
                <w:tcPr>
                  <w:tcW w:w="3307" w:type="dxa"/>
                  <w:gridSpan w:val="3"/>
                </w:tcPr>
                <w:p>
                  <w:pPr>
                    <w:jc w:val="center"/>
                    <w:rPr>
                      <w:szCs w:val="21"/>
                    </w:rPr>
                  </w:pPr>
                  <w:r>
                    <w:rPr>
                      <w:szCs w:val="21"/>
                    </w:rPr>
                    <w:t>排放</w:t>
                  </w:r>
                </w:p>
              </w:tc>
              <w:tc>
                <w:tcPr>
                  <w:tcW w:w="663" w:type="dxa"/>
                  <w:vMerge w:val="restart"/>
                </w:tcPr>
                <w:p>
                  <w:pPr>
                    <w:jc w:val="center"/>
                    <w:rPr>
                      <w:szCs w:val="21"/>
                    </w:rPr>
                  </w:pPr>
                  <w:r>
                    <w:rPr>
                      <w:szCs w:val="21"/>
                    </w:rPr>
                    <w:t>治理措施处置效率（%）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 w:hRule="atLeast"/>
              </w:trPr>
              <w:tc>
                <w:tcPr>
                  <w:tcW w:w="992" w:type="dxa"/>
                  <w:vMerge w:val="continue"/>
                </w:tcPr>
                <w:p>
                  <w:pPr>
                    <w:jc w:val="center"/>
                    <w:rPr>
                      <w:szCs w:val="21"/>
                    </w:rPr>
                  </w:pPr>
                </w:p>
              </w:tc>
              <w:tc>
                <w:tcPr>
                  <w:tcW w:w="992" w:type="dxa"/>
                  <w:vMerge w:val="continue"/>
                </w:tcPr>
                <w:p>
                  <w:pPr>
                    <w:jc w:val="center"/>
                    <w:rPr>
                      <w:szCs w:val="21"/>
                    </w:rPr>
                  </w:pPr>
                </w:p>
              </w:tc>
              <w:tc>
                <w:tcPr>
                  <w:tcW w:w="992" w:type="dxa"/>
                </w:tcPr>
                <w:p>
                  <w:pPr>
                    <w:jc w:val="center"/>
                    <w:rPr>
                      <w:szCs w:val="21"/>
                    </w:rPr>
                  </w:pPr>
                  <w:r>
                    <w:rPr>
                      <w:szCs w:val="21"/>
                    </w:rPr>
                    <w:t>产生量（kg/h）</w:t>
                  </w:r>
                </w:p>
              </w:tc>
              <w:tc>
                <w:tcPr>
                  <w:tcW w:w="993" w:type="dxa"/>
                </w:tcPr>
                <w:p>
                  <w:pPr>
                    <w:jc w:val="center"/>
                    <w:rPr>
                      <w:szCs w:val="21"/>
                    </w:rPr>
                  </w:pPr>
                  <w:r>
                    <w:rPr>
                      <w:szCs w:val="21"/>
                    </w:rPr>
                    <w:t>产生浓度（mg/标m³）</w:t>
                  </w:r>
                </w:p>
              </w:tc>
              <w:tc>
                <w:tcPr>
                  <w:tcW w:w="1039" w:type="dxa"/>
                </w:tcPr>
                <w:p>
                  <w:pPr>
                    <w:jc w:val="center"/>
                    <w:rPr>
                      <w:szCs w:val="21"/>
                    </w:rPr>
                  </w:pPr>
                  <w:r>
                    <w:rPr>
                      <w:szCs w:val="21"/>
                    </w:rPr>
                    <w:t>废气排放量（标Nm³/h）</w:t>
                  </w:r>
                </w:p>
              </w:tc>
              <w:tc>
                <w:tcPr>
                  <w:tcW w:w="992" w:type="dxa"/>
                </w:tcPr>
                <w:p>
                  <w:pPr>
                    <w:jc w:val="center"/>
                    <w:rPr>
                      <w:szCs w:val="21"/>
                    </w:rPr>
                  </w:pPr>
                  <w:r>
                    <w:rPr>
                      <w:szCs w:val="21"/>
                    </w:rPr>
                    <w:t>排放量（kg/h）</w:t>
                  </w:r>
                </w:p>
              </w:tc>
              <w:tc>
                <w:tcPr>
                  <w:tcW w:w="1276" w:type="dxa"/>
                </w:tcPr>
                <w:p>
                  <w:pPr>
                    <w:jc w:val="center"/>
                    <w:rPr>
                      <w:szCs w:val="21"/>
                    </w:rPr>
                  </w:pPr>
                  <w:r>
                    <w:rPr>
                      <w:szCs w:val="21"/>
                    </w:rPr>
                    <w:t>排放浓度（mg/m³）</w:t>
                  </w:r>
                </w:p>
              </w:tc>
              <w:tc>
                <w:tcPr>
                  <w:tcW w:w="663" w:type="dxa"/>
                  <w:vMerge w:val="continue"/>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trPr>
              <w:tc>
                <w:tcPr>
                  <w:tcW w:w="992" w:type="dxa"/>
                  <w:vMerge w:val="restart"/>
                </w:tcPr>
                <w:p>
                  <w:pPr>
                    <w:jc w:val="center"/>
                    <w:rPr>
                      <w:szCs w:val="21"/>
                    </w:rPr>
                  </w:pPr>
                  <w:r>
                    <w:rPr>
                      <w:szCs w:val="21"/>
                    </w:rPr>
                    <w:t>11#</w:t>
                  </w:r>
                </w:p>
              </w:tc>
              <w:tc>
                <w:tcPr>
                  <w:tcW w:w="992" w:type="dxa"/>
                </w:tcPr>
                <w:p>
                  <w:pPr>
                    <w:jc w:val="center"/>
                    <w:rPr>
                      <w:szCs w:val="21"/>
                    </w:rPr>
                  </w:pPr>
                  <w:r>
                    <w:rPr>
                      <w:szCs w:val="21"/>
                    </w:rPr>
                    <w:t>SO</w:t>
                  </w:r>
                  <w:r>
                    <w:rPr>
                      <w:szCs w:val="21"/>
                      <w:vertAlign w:val="subscript"/>
                    </w:rPr>
                    <w:t>2</w:t>
                  </w:r>
                </w:p>
              </w:tc>
              <w:tc>
                <w:tcPr>
                  <w:tcW w:w="992" w:type="dxa"/>
                </w:tcPr>
                <w:p>
                  <w:pPr>
                    <w:jc w:val="center"/>
                    <w:rPr>
                      <w:szCs w:val="21"/>
                    </w:rPr>
                  </w:pPr>
                  <w:r>
                    <w:rPr>
                      <w:szCs w:val="21"/>
                    </w:rPr>
                    <w:t>0.110</w:t>
                  </w:r>
                </w:p>
              </w:tc>
              <w:tc>
                <w:tcPr>
                  <w:tcW w:w="993" w:type="dxa"/>
                </w:tcPr>
                <w:p>
                  <w:pPr>
                    <w:jc w:val="center"/>
                    <w:rPr>
                      <w:szCs w:val="21"/>
                    </w:rPr>
                  </w:pPr>
                  <w:r>
                    <w:rPr>
                      <w:szCs w:val="21"/>
                    </w:rPr>
                    <w:t>3</w:t>
                  </w:r>
                </w:p>
              </w:tc>
              <w:tc>
                <w:tcPr>
                  <w:tcW w:w="1039" w:type="dxa"/>
                  <w:vMerge w:val="restart"/>
                </w:tcPr>
                <w:p>
                  <w:pPr>
                    <w:jc w:val="center"/>
                    <w:rPr>
                      <w:szCs w:val="21"/>
                    </w:rPr>
                  </w:pPr>
                  <w:r>
                    <w:rPr>
                      <w:szCs w:val="21"/>
                    </w:rPr>
                    <w:t>33102</w:t>
                  </w:r>
                </w:p>
              </w:tc>
              <w:tc>
                <w:tcPr>
                  <w:tcW w:w="992" w:type="dxa"/>
                </w:tcPr>
                <w:p>
                  <w:pPr>
                    <w:jc w:val="center"/>
                    <w:rPr>
                      <w:szCs w:val="21"/>
                    </w:rPr>
                  </w:pPr>
                  <w:r>
                    <w:rPr>
                      <w:szCs w:val="21"/>
                    </w:rPr>
                    <w:t>0.110</w:t>
                  </w:r>
                </w:p>
              </w:tc>
              <w:tc>
                <w:tcPr>
                  <w:tcW w:w="1276" w:type="dxa"/>
                </w:tcPr>
                <w:p>
                  <w:pPr>
                    <w:jc w:val="center"/>
                    <w:rPr>
                      <w:szCs w:val="21"/>
                    </w:rPr>
                  </w:pPr>
                  <w:r>
                    <w:rPr>
                      <w:szCs w:val="21"/>
                    </w:rPr>
                    <w:t>3</w:t>
                  </w:r>
                </w:p>
              </w:tc>
              <w:tc>
                <w:tcPr>
                  <w:tcW w:w="663" w:type="dxa"/>
                </w:tcPr>
                <w:p>
                  <w:pPr>
                    <w:jc w:val="center"/>
                    <w:rPr>
                      <w:szCs w:val="21"/>
                    </w:rP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trPr>
              <w:tc>
                <w:tcPr>
                  <w:tcW w:w="992" w:type="dxa"/>
                  <w:vMerge w:val="continue"/>
                </w:tcPr>
                <w:p>
                  <w:pPr>
                    <w:jc w:val="center"/>
                    <w:rPr>
                      <w:szCs w:val="21"/>
                    </w:rPr>
                  </w:pPr>
                </w:p>
              </w:tc>
              <w:tc>
                <w:tcPr>
                  <w:tcW w:w="992" w:type="dxa"/>
                </w:tcPr>
                <w:p>
                  <w:pPr>
                    <w:jc w:val="center"/>
                    <w:rPr>
                      <w:szCs w:val="21"/>
                    </w:rPr>
                  </w:pPr>
                  <w:r>
                    <w:rPr>
                      <w:szCs w:val="21"/>
                    </w:rPr>
                    <w:t xml:space="preserve">NOx </w:t>
                  </w:r>
                </w:p>
              </w:tc>
              <w:tc>
                <w:tcPr>
                  <w:tcW w:w="992" w:type="dxa"/>
                </w:tcPr>
                <w:p>
                  <w:pPr>
                    <w:jc w:val="center"/>
                    <w:rPr>
                      <w:szCs w:val="21"/>
                    </w:rPr>
                  </w:pPr>
                  <w:r>
                    <w:rPr>
                      <w:szCs w:val="21"/>
                    </w:rPr>
                    <w:t>0.067</w:t>
                  </w:r>
                </w:p>
              </w:tc>
              <w:tc>
                <w:tcPr>
                  <w:tcW w:w="993" w:type="dxa"/>
                </w:tcPr>
                <w:p>
                  <w:pPr>
                    <w:jc w:val="center"/>
                    <w:rPr>
                      <w:szCs w:val="21"/>
                    </w:rPr>
                  </w:pPr>
                  <w:r>
                    <w:rPr>
                      <w:szCs w:val="21"/>
                    </w:rPr>
                    <w:t>2</w:t>
                  </w:r>
                </w:p>
              </w:tc>
              <w:tc>
                <w:tcPr>
                  <w:tcW w:w="1039" w:type="dxa"/>
                  <w:vMerge w:val="continue"/>
                </w:tcPr>
                <w:p>
                  <w:pPr>
                    <w:jc w:val="center"/>
                    <w:rPr>
                      <w:szCs w:val="21"/>
                    </w:rPr>
                  </w:pPr>
                </w:p>
              </w:tc>
              <w:tc>
                <w:tcPr>
                  <w:tcW w:w="992" w:type="dxa"/>
                </w:tcPr>
                <w:p>
                  <w:pPr>
                    <w:jc w:val="center"/>
                    <w:rPr>
                      <w:szCs w:val="21"/>
                    </w:rPr>
                  </w:pPr>
                  <w:r>
                    <w:rPr>
                      <w:szCs w:val="21"/>
                    </w:rPr>
                    <w:t>0.067</w:t>
                  </w:r>
                </w:p>
              </w:tc>
              <w:tc>
                <w:tcPr>
                  <w:tcW w:w="1276" w:type="dxa"/>
                </w:tcPr>
                <w:p>
                  <w:pPr>
                    <w:jc w:val="center"/>
                    <w:rPr>
                      <w:szCs w:val="21"/>
                    </w:rPr>
                  </w:pPr>
                  <w:r>
                    <w:rPr>
                      <w:szCs w:val="21"/>
                    </w:rPr>
                    <w:t>2</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 w:hRule="atLeast"/>
              </w:trPr>
              <w:tc>
                <w:tcPr>
                  <w:tcW w:w="992" w:type="dxa"/>
                  <w:vMerge w:val="continue"/>
                </w:tcPr>
                <w:p>
                  <w:pPr>
                    <w:jc w:val="center"/>
                    <w:rPr>
                      <w:szCs w:val="21"/>
                    </w:rPr>
                  </w:pPr>
                </w:p>
              </w:tc>
              <w:tc>
                <w:tcPr>
                  <w:tcW w:w="992" w:type="dxa"/>
                </w:tcPr>
                <w:p>
                  <w:pPr>
                    <w:jc w:val="center"/>
                    <w:rPr>
                      <w:szCs w:val="21"/>
                    </w:rPr>
                  </w:pPr>
                  <w:r>
                    <w:rPr>
                      <w:szCs w:val="21"/>
                    </w:rPr>
                    <w:t>苯</w:t>
                  </w:r>
                </w:p>
              </w:tc>
              <w:tc>
                <w:tcPr>
                  <w:tcW w:w="992" w:type="dxa"/>
                </w:tcPr>
                <w:p>
                  <w:pPr>
                    <w:jc w:val="center"/>
                    <w:rPr>
                      <w:szCs w:val="21"/>
                    </w:rPr>
                  </w:pPr>
                  <w:r>
                    <w:rPr>
                      <w:szCs w:val="21"/>
                    </w:rPr>
                    <w:t>0.0458</w:t>
                  </w:r>
                </w:p>
              </w:tc>
              <w:tc>
                <w:tcPr>
                  <w:tcW w:w="993" w:type="dxa"/>
                </w:tcPr>
                <w:p>
                  <w:pPr>
                    <w:jc w:val="center"/>
                    <w:rPr>
                      <w:szCs w:val="21"/>
                    </w:rPr>
                  </w:pPr>
                  <w:r>
                    <w:rPr>
                      <w:szCs w:val="21"/>
                    </w:rPr>
                    <w:t>1.38</w:t>
                  </w:r>
                </w:p>
              </w:tc>
              <w:tc>
                <w:tcPr>
                  <w:tcW w:w="1039" w:type="dxa"/>
                  <w:vMerge w:val="continue"/>
                </w:tcPr>
                <w:p>
                  <w:pPr>
                    <w:jc w:val="center"/>
                    <w:rPr>
                      <w:szCs w:val="21"/>
                    </w:rPr>
                  </w:pPr>
                </w:p>
              </w:tc>
              <w:tc>
                <w:tcPr>
                  <w:tcW w:w="992" w:type="dxa"/>
                </w:tcPr>
                <w:p>
                  <w:pPr>
                    <w:jc w:val="center"/>
                    <w:rPr>
                      <w:szCs w:val="21"/>
                    </w:rPr>
                  </w:pPr>
                  <w:r>
                    <w:rPr>
                      <w:szCs w:val="21"/>
                    </w:rPr>
                    <w:t>0.00229</w:t>
                  </w:r>
                </w:p>
              </w:tc>
              <w:tc>
                <w:tcPr>
                  <w:tcW w:w="1276" w:type="dxa"/>
                </w:tcPr>
                <w:p>
                  <w:pPr>
                    <w:jc w:val="center"/>
                    <w:rPr>
                      <w:szCs w:val="21"/>
                    </w:rPr>
                  </w:pPr>
                  <w:r>
                    <w:rPr>
                      <w:szCs w:val="21"/>
                    </w:rPr>
                    <w:t>0.069</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trPr>
              <w:tc>
                <w:tcPr>
                  <w:tcW w:w="992" w:type="dxa"/>
                  <w:vMerge w:val="continue"/>
                </w:tcPr>
                <w:p>
                  <w:pPr>
                    <w:jc w:val="center"/>
                    <w:rPr>
                      <w:szCs w:val="21"/>
                    </w:rPr>
                  </w:pPr>
                </w:p>
              </w:tc>
              <w:tc>
                <w:tcPr>
                  <w:tcW w:w="992" w:type="dxa"/>
                </w:tcPr>
                <w:p>
                  <w:pPr>
                    <w:jc w:val="center"/>
                    <w:rPr>
                      <w:szCs w:val="21"/>
                    </w:rPr>
                  </w:pPr>
                  <w:r>
                    <w:rPr>
                      <w:szCs w:val="21"/>
                    </w:rPr>
                    <w:t>甲苯</w:t>
                  </w:r>
                </w:p>
              </w:tc>
              <w:tc>
                <w:tcPr>
                  <w:tcW w:w="992" w:type="dxa"/>
                </w:tcPr>
                <w:p>
                  <w:pPr>
                    <w:jc w:val="center"/>
                    <w:rPr>
                      <w:szCs w:val="21"/>
                    </w:rPr>
                  </w:pPr>
                  <w:r>
                    <w:rPr>
                      <w:szCs w:val="21"/>
                    </w:rPr>
                    <w:t>0.1166</w:t>
                  </w:r>
                </w:p>
              </w:tc>
              <w:tc>
                <w:tcPr>
                  <w:tcW w:w="993" w:type="dxa"/>
                </w:tcPr>
                <w:p>
                  <w:pPr>
                    <w:jc w:val="center"/>
                    <w:rPr>
                      <w:szCs w:val="21"/>
                    </w:rPr>
                  </w:pPr>
                  <w:r>
                    <w:rPr>
                      <w:szCs w:val="21"/>
                    </w:rPr>
                    <w:t>3.52</w:t>
                  </w:r>
                </w:p>
              </w:tc>
              <w:tc>
                <w:tcPr>
                  <w:tcW w:w="1039" w:type="dxa"/>
                  <w:vMerge w:val="continue"/>
                </w:tcPr>
                <w:p>
                  <w:pPr>
                    <w:jc w:val="center"/>
                    <w:rPr>
                      <w:szCs w:val="21"/>
                    </w:rPr>
                  </w:pPr>
                </w:p>
              </w:tc>
              <w:tc>
                <w:tcPr>
                  <w:tcW w:w="992" w:type="dxa"/>
                </w:tcPr>
                <w:p>
                  <w:pPr>
                    <w:jc w:val="center"/>
                    <w:rPr>
                      <w:szCs w:val="21"/>
                    </w:rPr>
                  </w:pPr>
                  <w:r>
                    <w:rPr>
                      <w:szCs w:val="21"/>
                    </w:rPr>
                    <w:t>0.00583</w:t>
                  </w:r>
                </w:p>
              </w:tc>
              <w:tc>
                <w:tcPr>
                  <w:tcW w:w="1276" w:type="dxa"/>
                </w:tcPr>
                <w:p>
                  <w:pPr>
                    <w:jc w:val="center"/>
                    <w:rPr>
                      <w:szCs w:val="21"/>
                    </w:rPr>
                  </w:pPr>
                  <w:r>
                    <w:rPr>
                      <w:szCs w:val="21"/>
                    </w:rPr>
                    <w:t>0.176</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trPr>
              <w:tc>
                <w:tcPr>
                  <w:tcW w:w="992" w:type="dxa"/>
                  <w:vMerge w:val="continue"/>
                </w:tcPr>
                <w:p>
                  <w:pPr>
                    <w:jc w:val="center"/>
                    <w:rPr>
                      <w:szCs w:val="21"/>
                    </w:rPr>
                  </w:pPr>
                </w:p>
              </w:tc>
              <w:tc>
                <w:tcPr>
                  <w:tcW w:w="992" w:type="dxa"/>
                </w:tcPr>
                <w:p>
                  <w:pPr>
                    <w:jc w:val="center"/>
                    <w:rPr>
                      <w:szCs w:val="21"/>
                    </w:rPr>
                  </w:pPr>
                  <w:r>
                    <w:rPr>
                      <w:szCs w:val="21"/>
                    </w:rPr>
                    <w:t>二甲苯</w:t>
                  </w:r>
                </w:p>
              </w:tc>
              <w:tc>
                <w:tcPr>
                  <w:tcW w:w="992" w:type="dxa"/>
                </w:tcPr>
                <w:p>
                  <w:pPr>
                    <w:jc w:val="center"/>
                    <w:rPr>
                      <w:szCs w:val="21"/>
                    </w:rPr>
                  </w:pPr>
                  <w:r>
                    <w:rPr>
                      <w:szCs w:val="21"/>
                    </w:rPr>
                    <w:t>5.74</w:t>
                  </w:r>
                </w:p>
              </w:tc>
              <w:tc>
                <w:tcPr>
                  <w:tcW w:w="993" w:type="dxa"/>
                </w:tcPr>
                <w:p>
                  <w:pPr>
                    <w:jc w:val="center"/>
                    <w:rPr>
                      <w:szCs w:val="21"/>
                    </w:rPr>
                  </w:pPr>
                  <w:r>
                    <w:rPr>
                      <w:szCs w:val="21"/>
                    </w:rPr>
                    <w:t>173.2</w:t>
                  </w:r>
                </w:p>
              </w:tc>
              <w:tc>
                <w:tcPr>
                  <w:tcW w:w="1039" w:type="dxa"/>
                  <w:vMerge w:val="continue"/>
                </w:tcPr>
                <w:p>
                  <w:pPr>
                    <w:jc w:val="center"/>
                    <w:rPr>
                      <w:szCs w:val="21"/>
                    </w:rPr>
                  </w:pPr>
                </w:p>
              </w:tc>
              <w:tc>
                <w:tcPr>
                  <w:tcW w:w="992" w:type="dxa"/>
                </w:tcPr>
                <w:p>
                  <w:pPr>
                    <w:jc w:val="center"/>
                    <w:rPr>
                      <w:szCs w:val="21"/>
                    </w:rPr>
                  </w:pPr>
                  <w:r>
                    <w:rPr>
                      <w:szCs w:val="21"/>
                    </w:rPr>
                    <w:t>0.287</w:t>
                  </w:r>
                </w:p>
              </w:tc>
              <w:tc>
                <w:tcPr>
                  <w:tcW w:w="1276" w:type="dxa"/>
                </w:tcPr>
                <w:p>
                  <w:pPr>
                    <w:jc w:val="center"/>
                    <w:rPr>
                      <w:szCs w:val="21"/>
                    </w:rPr>
                  </w:pPr>
                  <w:r>
                    <w:rPr>
                      <w:szCs w:val="21"/>
                    </w:rPr>
                    <w:t>8.66</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trPr>
              <w:tc>
                <w:tcPr>
                  <w:tcW w:w="992" w:type="dxa"/>
                  <w:vMerge w:val="restart"/>
                </w:tcPr>
                <w:p>
                  <w:pPr>
                    <w:jc w:val="center"/>
                    <w:rPr>
                      <w:szCs w:val="21"/>
                    </w:rPr>
                  </w:pPr>
                  <w:r>
                    <w:rPr>
                      <w:szCs w:val="21"/>
                    </w:rPr>
                    <w:t>12#</w:t>
                  </w:r>
                </w:p>
              </w:tc>
              <w:tc>
                <w:tcPr>
                  <w:tcW w:w="992" w:type="dxa"/>
                </w:tcPr>
                <w:p>
                  <w:pPr>
                    <w:jc w:val="center"/>
                    <w:rPr>
                      <w:szCs w:val="21"/>
                    </w:rPr>
                  </w:pPr>
                  <w:r>
                    <w:rPr>
                      <w:szCs w:val="21"/>
                    </w:rPr>
                    <w:t>SO</w:t>
                  </w:r>
                  <w:r>
                    <w:rPr>
                      <w:szCs w:val="21"/>
                      <w:vertAlign w:val="subscript"/>
                    </w:rPr>
                    <w:t>2</w:t>
                  </w:r>
                </w:p>
              </w:tc>
              <w:tc>
                <w:tcPr>
                  <w:tcW w:w="992" w:type="dxa"/>
                </w:tcPr>
                <w:p>
                  <w:pPr>
                    <w:jc w:val="center"/>
                    <w:rPr>
                      <w:szCs w:val="21"/>
                    </w:rPr>
                  </w:pPr>
                  <w:r>
                    <w:rPr>
                      <w:szCs w:val="21"/>
                    </w:rPr>
                    <w:t>0.033</w:t>
                  </w:r>
                </w:p>
              </w:tc>
              <w:tc>
                <w:tcPr>
                  <w:tcW w:w="993" w:type="dxa"/>
                </w:tcPr>
                <w:p>
                  <w:pPr>
                    <w:jc w:val="center"/>
                    <w:rPr>
                      <w:szCs w:val="21"/>
                    </w:rPr>
                  </w:pPr>
                  <w:r>
                    <w:rPr>
                      <w:szCs w:val="21"/>
                    </w:rPr>
                    <w:t>4</w:t>
                  </w:r>
                </w:p>
              </w:tc>
              <w:tc>
                <w:tcPr>
                  <w:tcW w:w="1039" w:type="dxa"/>
                  <w:vMerge w:val="restart"/>
                </w:tcPr>
                <w:p>
                  <w:pPr>
                    <w:jc w:val="center"/>
                    <w:rPr>
                      <w:szCs w:val="21"/>
                    </w:rPr>
                  </w:pPr>
                  <w:r>
                    <w:rPr>
                      <w:szCs w:val="21"/>
                    </w:rPr>
                    <w:t>8631</w:t>
                  </w:r>
                </w:p>
              </w:tc>
              <w:tc>
                <w:tcPr>
                  <w:tcW w:w="992" w:type="dxa"/>
                </w:tcPr>
                <w:p>
                  <w:pPr>
                    <w:jc w:val="center"/>
                    <w:rPr>
                      <w:szCs w:val="21"/>
                    </w:rPr>
                  </w:pPr>
                  <w:r>
                    <w:rPr>
                      <w:szCs w:val="21"/>
                    </w:rPr>
                    <w:t>0.033</w:t>
                  </w:r>
                </w:p>
              </w:tc>
              <w:tc>
                <w:tcPr>
                  <w:tcW w:w="1276" w:type="dxa"/>
                </w:tcPr>
                <w:p>
                  <w:pPr>
                    <w:jc w:val="center"/>
                    <w:rPr>
                      <w:szCs w:val="21"/>
                    </w:rPr>
                  </w:pPr>
                  <w:r>
                    <w:rPr>
                      <w:szCs w:val="21"/>
                    </w:rPr>
                    <w:t>4</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trPr>
              <w:tc>
                <w:tcPr>
                  <w:tcW w:w="992" w:type="dxa"/>
                  <w:vMerge w:val="continue"/>
                </w:tcPr>
                <w:p>
                  <w:pPr>
                    <w:jc w:val="center"/>
                    <w:rPr>
                      <w:szCs w:val="21"/>
                    </w:rPr>
                  </w:pPr>
                </w:p>
              </w:tc>
              <w:tc>
                <w:tcPr>
                  <w:tcW w:w="992" w:type="dxa"/>
                </w:tcPr>
                <w:p>
                  <w:pPr>
                    <w:jc w:val="center"/>
                    <w:rPr>
                      <w:szCs w:val="21"/>
                    </w:rPr>
                  </w:pPr>
                  <w:r>
                    <w:rPr>
                      <w:szCs w:val="21"/>
                    </w:rPr>
                    <w:t xml:space="preserve">NOx </w:t>
                  </w:r>
                </w:p>
              </w:tc>
              <w:tc>
                <w:tcPr>
                  <w:tcW w:w="992" w:type="dxa"/>
                </w:tcPr>
                <w:p>
                  <w:pPr>
                    <w:jc w:val="center"/>
                    <w:rPr>
                      <w:szCs w:val="21"/>
                    </w:rPr>
                  </w:pPr>
                  <w:r>
                    <w:rPr>
                      <w:szCs w:val="21"/>
                    </w:rPr>
                    <w:t>0.035</w:t>
                  </w:r>
                </w:p>
              </w:tc>
              <w:tc>
                <w:tcPr>
                  <w:tcW w:w="993" w:type="dxa"/>
                </w:tcPr>
                <w:p>
                  <w:pPr>
                    <w:jc w:val="center"/>
                    <w:rPr>
                      <w:szCs w:val="21"/>
                    </w:rPr>
                  </w:pPr>
                  <w:r>
                    <w:rPr>
                      <w:szCs w:val="21"/>
                    </w:rPr>
                    <w:t>4</w:t>
                  </w:r>
                </w:p>
              </w:tc>
              <w:tc>
                <w:tcPr>
                  <w:tcW w:w="1039" w:type="dxa"/>
                  <w:vMerge w:val="continue"/>
                </w:tcPr>
                <w:p>
                  <w:pPr>
                    <w:jc w:val="center"/>
                    <w:rPr>
                      <w:szCs w:val="21"/>
                    </w:rPr>
                  </w:pPr>
                </w:p>
              </w:tc>
              <w:tc>
                <w:tcPr>
                  <w:tcW w:w="992" w:type="dxa"/>
                </w:tcPr>
                <w:p>
                  <w:pPr>
                    <w:jc w:val="center"/>
                    <w:rPr>
                      <w:szCs w:val="21"/>
                    </w:rPr>
                  </w:pPr>
                  <w:r>
                    <w:rPr>
                      <w:szCs w:val="21"/>
                    </w:rPr>
                    <w:t>0.035</w:t>
                  </w:r>
                </w:p>
              </w:tc>
              <w:tc>
                <w:tcPr>
                  <w:tcW w:w="1276" w:type="dxa"/>
                </w:tcPr>
                <w:p>
                  <w:pPr>
                    <w:jc w:val="center"/>
                    <w:rPr>
                      <w:szCs w:val="21"/>
                    </w:rPr>
                  </w:pPr>
                  <w:r>
                    <w:rPr>
                      <w:szCs w:val="21"/>
                    </w:rPr>
                    <w:t>4</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trPr>
              <w:tc>
                <w:tcPr>
                  <w:tcW w:w="992" w:type="dxa"/>
                  <w:vMerge w:val="continue"/>
                </w:tcPr>
                <w:p>
                  <w:pPr>
                    <w:jc w:val="center"/>
                    <w:rPr>
                      <w:szCs w:val="21"/>
                    </w:rPr>
                  </w:pPr>
                </w:p>
              </w:tc>
              <w:tc>
                <w:tcPr>
                  <w:tcW w:w="992" w:type="dxa"/>
                </w:tcPr>
                <w:p>
                  <w:pPr>
                    <w:jc w:val="center"/>
                    <w:rPr>
                      <w:szCs w:val="21"/>
                    </w:rPr>
                  </w:pPr>
                  <w:r>
                    <w:rPr>
                      <w:szCs w:val="21"/>
                    </w:rPr>
                    <w:t>苯</w:t>
                  </w:r>
                </w:p>
              </w:tc>
              <w:tc>
                <w:tcPr>
                  <w:tcW w:w="992" w:type="dxa"/>
                </w:tcPr>
                <w:p>
                  <w:pPr>
                    <w:jc w:val="center"/>
                    <w:rPr>
                      <w:szCs w:val="21"/>
                    </w:rPr>
                  </w:pPr>
                  <w:r>
                    <w:rPr>
                      <w:szCs w:val="21"/>
                    </w:rPr>
                    <w:t>0.0074</w:t>
                  </w:r>
                </w:p>
              </w:tc>
              <w:tc>
                <w:tcPr>
                  <w:tcW w:w="993" w:type="dxa"/>
                </w:tcPr>
                <w:p>
                  <w:pPr>
                    <w:jc w:val="center"/>
                    <w:rPr>
                      <w:szCs w:val="21"/>
                    </w:rPr>
                  </w:pPr>
                  <w:r>
                    <w:rPr>
                      <w:szCs w:val="21"/>
                    </w:rPr>
                    <w:t>0.86</w:t>
                  </w:r>
                </w:p>
              </w:tc>
              <w:tc>
                <w:tcPr>
                  <w:tcW w:w="1039" w:type="dxa"/>
                  <w:vMerge w:val="continue"/>
                </w:tcPr>
                <w:p>
                  <w:pPr>
                    <w:jc w:val="center"/>
                    <w:rPr>
                      <w:szCs w:val="21"/>
                    </w:rPr>
                  </w:pPr>
                </w:p>
              </w:tc>
              <w:tc>
                <w:tcPr>
                  <w:tcW w:w="992" w:type="dxa"/>
                </w:tcPr>
                <w:p>
                  <w:pPr>
                    <w:jc w:val="center"/>
                    <w:rPr>
                      <w:szCs w:val="21"/>
                    </w:rPr>
                  </w:pPr>
                  <w:r>
                    <w:rPr>
                      <w:szCs w:val="21"/>
                    </w:rPr>
                    <w:t>0.00037</w:t>
                  </w:r>
                </w:p>
              </w:tc>
              <w:tc>
                <w:tcPr>
                  <w:tcW w:w="1276" w:type="dxa"/>
                </w:tcPr>
                <w:p>
                  <w:pPr>
                    <w:jc w:val="center"/>
                    <w:rPr>
                      <w:szCs w:val="21"/>
                    </w:rPr>
                  </w:pPr>
                  <w:r>
                    <w:rPr>
                      <w:szCs w:val="21"/>
                    </w:rPr>
                    <w:t>0.043</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trPr>
              <w:tc>
                <w:tcPr>
                  <w:tcW w:w="992" w:type="dxa"/>
                  <w:vMerge w:val="continue"/>
                </w:tcPr>
                <w:p>
                  <w:pPr>
                    <w:jc w:val="center"/>
                    <w:rPr>
                      <w:szCs w:val="21"/>
                    </w:rPr>
                  </w:pPr>
                </w:p>
              </w:tc>
              <w:tc>
                <w:tcPr>
                  <w:tcW w:w="992" w:type="dxa"/>
                </w:tcPr>
                <w:p>
                  <w:pPr>
                    <w:jc w:val="center"/>
                    <w:rPr>
                      <w:szCs w:val="21"/>
                    </w:rPr>
                  </w:pPr>
                  <w:r>
                    <w:rPr>
                      <w:szCs w:val="21"/>
                    </w:rPr>
                    <w:t>甲苯</w:t>
                  </w:r>
                </w:p>
              </w:tc>
              <w:tc>
                <w:tcPr>
                  <w:tcW w:w="992" w:type="dxa"/>
                </w:tcPr>
                <w:p>
                  <w:pPr>
                    <w:jc w:val="center"/>
                    <w:rPr>
                      <w:szCs w:val="21"/>
                    </w:rPr>
                  </w:pPr>
                  <w:r>
                    <w:rPr>
                      <w:szCs w:val="21"/>
                    </w:rPr>
                    <w:t>0.041</w:t>
                  </w:r>
                </w:p>
              </w:tc>
              <w:tc>
                <w:tcPr>
                  <w:tcW w:w="993" w:type="dxa"/>
                </w:tcPr>
                <w:p>
                  <w:pPr>
                    <w:jc w:val="center"/>
                    <w:rPr>
                      <w:szCs w:val="21"/>
                    </w:rPr>
                  </w:pPr>
                  <w:r>
                    <w:rPr>
                      <w:szCs w:val="21"/>
                    </w:rPr>
                    <w:t>4.74</w:t>
                  </w:r>
                </w:p>
              </w:tc>
              <w:tc>
                <w:tcPr>
                  <w:tcW w:w="1039" w:type="dxa"/>
                  <w:vMerge w:val="continue"/>
                </w:tcPr>
                <w:p>
                  <w:pPr>
                    <w:jc w:val="center"/>
                    <w:rPr>
                      <w:szCs w:val="21"/>
                    </w:rPr>
                  </w:pPr>
                </w:p>
              </w:tc>
              <w:tc>
                <w:tcPr>
                  <w:tcW w:w="992" w:type="dxa"/>
                </w:tcPr>
                <w:p>
                  <w:pPr>
                    <w:jc w:val="center"/>
                    <w:rPr>
                      <w:szCs w:val="21"/>
                    </w:rPr>
                  </w:pPr>
                  <w:r>
                    <w:rPr>
                      <w:szCs w:val="21"/>
                    </w:rPr>
                    <w:t>0.00205</w:t>
                  </w:r>
                </w:p>
              </w:tc>
              <w:tc>
                <w:tcPr>
                  <w:tcW w:w="1276" w:type="dxa"/>
                </w:tcPr>
                <w:p>
                  <w:pPr>
                    <w:jc w:val="center"/>
                    <w:rPr>
                      <w:szCs w:val="21"/>
                    </w:rPr>
                  </w:pPr>
                  <w:r>
                    <w:rPr>
                      <w:szCs w:val="21"/>
                    </w:rPr>
                    <w:t>0.237</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trPr>
              <w:tc>
                <w:tcPr>
                  <w:tcW w:w="992" w:type="dxa"/>
                  <w:vMerge w:val="continue"/>
                </w:tcPr>
                <w:p>
                  <w:pPr>
                    <w:jc w:val="center"/>
                    <w:rPr>
                      <w:szCs w:val="21"/>
                    </w:rPr>
                  </w:pPr>
                </w:p>
              </w:tc>
              <w:tc>
                <w:tcPr>
                  <w:tcW w:w="992" w:type="dxa"/>
                </w:tcPr>
                <w:p>
                  <w:pPr>
                    <w:jc w:val="center"/>
                    <w:rPr>
                      <w:szCs w:val="21"/>
                    </w:rPr>
                  </w:pPr>
                  <w:r>
                    <w:rPr>
                      <w:szCs w:val="21"/>
                    </w:rPr>
                    <w:t>二甲苯</w:t>
                  </w:r>
                </w:p>
              </w:tc>
              <w:tc>
                <w:tcPr>
                  <w:tcW w:w="992" w:type="dxa"/>
                </w:tcPr>
                <w:p>
                  <w:pPr>
                    <w:jc w:val="center"/>
                    <w:rPr>
                      <w:szCs w:val="21"/>
                    </w:rPr>
                  </w:pPr>
                  <w:r>
                    <w:rPr>
                      <w:szCs w:val="21"/>
                    </w:rPr>
                    <w:t>8.44</w:t>
                  </w:r>
                </w:p>
              </w:tc>
              <w:tc>
                <w:tcPr>
                  <w:tcW w:w="993" w:type="dxa"/>
                </w:tcPr>
                <w:p>
                  <w:pPr>
                    <w:jc w:val="center"/>
                    <w:rPr>
                      <w:szCs w:val="21"/>
                    </w:rPr>
                  </w:pPr>
                  <w:r>
                    <w:rPr>
                      <w:szCs w:val="21"/>
                    </w:rPr>
                    <w:t>987</w:t>
                  </w:r>
                </w:p>
              </w:tc>
              <w:tc>
                <w:tcPr>
                  <w:tcW w:w="1039" w:type="dxa"/>
                  <w:vMerge w:val="continue"/>
                </w:tcPr>
                <w:p>
                  <w:pPr>
                    <w:jc w:val="center"/>
                    <w:rPr>
                      <w:szCs w:val="21"/>
                    </w:rPr>
                  </w:pPr>
                </w:p>
              </w:tc>
              <w:tc>
                <w:tcPr>
                  <w:tcW w:w="992" w:type="dxa"/>
                </w:tcPr>
                <w:p>
                  <w:pPr>
                    <w:jc w:val="center"/>
                    <w:rPr>
                      <w:szCs w:val="21"/>
                    </w:rPr>
                  </w:pPr>
                  <w:r>
                    <w:rPr>
                      <w:szCs w:val="21"/>
                    </w:rPr>
                    <w:t>0.422</w:t>
                  </w:r>
                </w:p>
              </w:tc>
              <w:tc>
                <w:tcPr>
                  <w:tcW w:w="1276" w:type="dxa"/>
                </w:tcPr>
                <w:p>
                  <w:pPr>
                    <w:jc w:val="center"/>
                    <w:rPr>
                      <w:szCs w:val="21"/>
                    </w:rPr>
                  </w:pPr>
                  <w:r>
                    <w:rPr>
                      <w:szCs w:val="21"/>
                    </w:rPr>
                    <w:t>48.9</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 w:hRule="atLeast"/>
              </w:trPr>
              <w:tc>
                <w:tcPr>
                  <w:tcW w:w="992" w:type="dxa"/>
                  <w:vMerge w:val="restart"/>
                </w:tcPr>
                <w:p>
                  <w:pPr>
                    <w:jc w:val="center"/>
                    <w:rPr>
                      <w:szCs w:val="21"/>
                    </w:rPr>
                  </w:pPr>
                  <w:r>
                    <w:rPr>
                      <w:szCs w:val="21"/>
                    </w:rPr>
                    <w:t>13#</w:t>
                  </w:r>
                </w:p>
              </w:tc>
              <w:tc>
                <w:tcPr>
                  <w:tcW w:w="992" w:type="dxa"/>
                </w:tcPr>
                <w:p>
                  <w:pPr>
                    <w:jc w:val="center"/>
                    <w:rPr>
                      <w:szCs w:val="21"/>
                    </w:rPr>
                  </w:pPr>
                  <w:r>
                    <w:rPr>
                      <w:szCs w:val="21"/>
                    </w:rPr>
                    <w:t>SO</w:t>
                  </w:r>
                  <w:r>
                    <w:rPr>
                      <w:szCs w:val="21"/>
                      <w:vertAlign w:val="subscript"/>
                    </w:rPr>
                    <w:t>2</w:t>
                  </w:r>
                </w:p>
              </w:tc>
              <w:tc>
                <w:tcPr>
                  <w:tcW w:w="992" w:type="dxa"/>
                </w:tcPr>
                <w:p>
                  <w:pPr>
                    <w:jc w:val="center"/>
                    <w:rPr>
                      <w:szCs w:val="21"/>
                    </w:rPr>
                  </w:pPr>
                  <w:r>
                    <w:rPr>
                      <w:szCs w:val="21"/>
                    </w:rPr>
                    <w:t>0.014</w:t>
                  </w:r>
                </w:p>
              </w:tc>
              <w:tc>
                <w:tcPr>
                  <w:tcW w:w="993" w:type="dxa"/>
                </w:tcPr>
                <w:p>
                  <w:pPr>
                    <w:jc w:val="center"/>
                    <w:rPr>
                      <w:szCs w:val="21"/>
                    </w:rPr>
                  </w:pPr>
                  <w:r>
                    <w:rPr>
                      <w:szCs w:val="21"/>
                    </w:rPr>
                    <w:t>3</w:t>
                  </w:r>
                </w:p>
              </w:tc>
              <w:tc>
                <w:tcPr>
                  <w:tcW w:w="1039" w:type="dxa"/>
                  <w:vMerge w:val="restart"/>
                </w:tcPr>
                <w:p>
                  <w:pPr>
                    <w:jc w:val="center"/>
                    <w:rPr>
                      <w:szCs w:val="21"/>
                    </w:rPr>
                  </w:pPr>
                  <w:r>
                    <w:rPr>
                      <w:szCs w:val="21"/>
                    </w:rPr>
                    <w:t>4523</w:t>
                  </w:r>
                </w:p>
              </w:tc>
              <w:tc>
                <w:tcPr>
                  <w:tcW w:w="992" w:type="dxa"/>
                </w:tcPr>
                <w:p>
                  <w:pPr>
                    <w:jc w:val="center"/>
                    <w:rPr>
                      <w:szCs w:val="21"/>
                    </w:rPr>
                  </w:pPr>
                  <w:r>
                    <w:rPr>
                      <w:szCs w:val="21"/>
                    </w:rPr>
                    <w:t>0.014</w:t>
                  </w:r>
                </w:p>
              </w:tc>
              <w:tc>
                <w:tcPr>
                  <w:tcW w:w="1276" w:type="dxa"/>
                </w:tcPr>
                <w:p>
                  <w:pPr>
                    <w:jc w:val="center"/>
                    <w:rPr>
                      <w:szCs w:val="21"/>
                    </w:rPr>
                  </w:pPr>
                  <w:r>
                    <w:rPr>
                      <w:szCs w:val="21"/>
                    </w:rPr>
                    <w:t>3</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 w:hRule="atLeast"/>
              </w:trPr>
              <w:tc>
                <w:tcPr>
                  <w:tcW w:w="992" w:type="dxa"/>
                  <w:vMerge w:val="continue"/>
                </w:tcPr>
                <w:p>
                  <w:pPr>
                    <w:jc w:val="center"/>
                    <w:rPr>
                      <w:szCs w:val="21"/>
                    </w:rPr>
                  </w:pPr>
                </w:p>
              </w:tc>
              <w:tc>
                <w:tcPr>
                  <w:tcW w:w="992" w:type="dxa"/>
                </w:tcPr>
                <w:p>
                  <w:pPr>
                    <w:jc w:val="center"/>
                    <w:rPr>
                      <w:szCs w:val="21"/>
                    </w:rPr>
                  </w:pPr>
                  <w:r>
                    <w:rPr>
                      <w:szCs w:val="21"/>
                    </w:rPr>
                    <w:t xml:space="preserve">NOx </w:t>
                  </w:r>
                </w:p>
              </w:tc>
              <w:tc>
                <w:tcPr>
                  <w:tcW w:w="992" w:type="dxa"/>
                </w:tcPr>
                <w:p>
                  <w:pPr>
                    <w:jc w:val="center"/>
                    <w:rPr>
                      <w:szCs w:val="21"/>
                    </w:rPr>
                  </w:pPr>
                  <w:r>
                    <w:rPr>
                      <w:szCs w:val="21"/>
                    </w:rPr>
                    <w:t>0.014</w:t>
                  </w:r>
                </w:p>
              </w:tc>
              <w:tc>
                <w:tcPr>
                  <w:tcW w:w="993" w:type="dxa"/>
                </w:tcPr>
                <w:p>
                  <w:pPr>
                    <w:jc w:val="center"/>
                    <w:rPr>
                      <w:szCs w:val="21"/>
                    </w:rPr>
                  </w:pPr>
                  <w:r>
                    <w:rPr>
                      <w:szCs w:val="21"/>
                    </w:rPr>
                    <w:t>3</w:t>
                  </w:r>
                </w:p>
              </w:tc>
              <w:tc>
                <w:tcPr>
                  <w:tcW w:w="1039" w:type="dxa"/>
                  <w:vMerge w:val="continue"/>
                </w:tcPr>
                <w:p>
                  <w:pPr>
                    <w:jc w:val="center"/>
                    <w:rPr>
                      <w:szCs w:val="21"/>
                    </w:rPr>
                  </w:pPr>
                </w:p>
              </w:tc>
              <w:tc>
                <w:tcPr>
                  <w:tcW w:w="992" w:type="dxa"/>
                </w:tcPr>
                <w:p>
                  <w:pPr>
                    <w:jc w:val="center"/>
                    <w:rPr>
                      <w:szCs w:val="21"/>
                    </w:rPr>
                  </w:pPr>
                  <w:r>
                    <w:rPr>
                      <w:szCs w:val="21"/>
                    </w:rPr>
                    <w:t>0.014</w:t>
                  </w:r>
                </w:p>
              </w:tc>
              <w:tc>
                <w:tcPr>
                  <w:tcW w:w="1276" w:type="dxa"/>
                </w:tcPr>
                <w:p>
                  <w:pPr>
                    <w:jc w:val="center"/>
                    <w:rPr>
                      <w:szCs w:val="21"/>
                    </w:rPr>
                  </w:pPr>
                  <w:r>
                    <w:rPr>
                      <w:szCs w:val="21"/>
                    </w:rPr>
                    <w:t>3</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trPr>
              <w:tc>
                <w:tcPr>
                  <w:tcW w:w="992" w:type="dxa"/>
                  <w:vMerge w:val="continue"/>
                </w:tcPr>
                <w:p>
                  <w:pPr>
                    <w:jc w:val="center"/>
                    <w:rPr>
                      <w:szCs w:val="21"/>
                    </w:rPr>
                  </w:pPr>
                </w:p>
              </w:tc>
              <w:tc>
                <w:tcPr>
                  <w:tcW w:w="992" w:type="dxa"/>
                </w:tcPr>
                <w:p>
                  <w:pPr>
                    <w:jc w:val="center"/>
                    <w:rPr>
                      <w:szCs w:val="21"/>
                    </w:rPr>
                  </w:pPr>
                  <w:r>
                    <w:rPr>
                      <w:szCs w:val="21"/>
                    </w:rPr>
                    <w:t>苯</w:t>
                  </w:r>
                </w:p>
              </w:tc>
              <w:tc>
                <w:tcPr>
                  <w:tcW w:w="992" w:type="dxa"/>
                </w:tcPr>
                <w:p>
                  <w:pPr>
                    <w:jc w:val="center"/>
                    <w:rPr>
                      <w:szCs w:val="21"/>
                    </w:rPr>
                  </w:pPr>
                  <w:r>
                    <w:rPr>
                      <w:szCs w:val="21"/>
                    </w:rPr>
                    <w:t>0.00738</w:t>
                  </w:r>
                </w:p>
              </w:tc>
              <w:tc>
                <w:tcPr>
                  <w:tcW w:w="993" w:type="dxa"/>
                </w:tcPr>
                <w:p>
                  <w:pPr>
                    <w:jc w:val="center"/>
                    <w:rPr>
                      <w:szCs w:val="21"/>
                    </w:rPr>
                  </w:pPr>
                  <w:r>
                    <w:rPr>
                      <w:szCs w:val="21"/>
                    </w:rPr>
                    <w:t>1.64</w:t>
                  </w:r>
                </w:p>
              </w:tc>
              <w:tc>
                <w:tcPr>
                  <w:tcW w:w="1039" w:type="dxa"/>
                  <w:vMerge w:val="continue"/>
                </w:tcPr>
                <w:p>
                  <w:pPr>
                    <w:jc w:val="center"/>
                    <w:rPr>
                      <w:szCs w:val="21"/>
                    </w:rPr>
                  </w:pPr>
                </w:p>
              </w:tc>
              <w:tc>
                <w:tcPr>
                  <w:tcW w:w="992" w:type="dxa"/>
                </w:tcPr>
                <w:p>
                  <w:pPr>
                    <w:jc w:val="center"/>
                    <w:rPr>
                      <w:szCs w:val="21"/>
                    </w:rPr>
                  </w:pPr>
                  <w:r>
                    <w:rPr>
                      <w:szCs w:val="21"/>
                    </w:rPr>
                    <w:t>0.000369</w:t>
                  </w:r>
                </w:p>
              </w:tc>
              <w:tc>
                <w:tcPr>
                  <w:tcW w:w="1276" w:type="dxa"/>
                </w:tcPr>
                <w:p>
                  <w:pPr>
                    <w:jc w:val="center"/>
                    <w:rPr>
                      <w:szCs w:val="21"/>
                    </w:rPr>
                  </w:pPr>
                  <w:r>
                    <w:rPr>
                      <w:szCs w:val="21"/>
                    </w:rPr>
                    <w:t>0.082</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trPr>
              <w:tc>
                <w:tcPr>
                  <w:tcW w:w="992" w:type="dxa"/>
                  <w:vMerge w:val="continue"/>
                </w:tcPr>
                <w:p>
                  <w:pPr>
                    <w:jc w:val="center"/>
                    <w:rPr>
                      <w:szCs w:val="21"/>
                    </w:rPr>
                  </w:pPr>
                </w:p>
              </w:tc>
              <w:tc>
                <w:tcPr>
                  <w:tcW w:w="992" w:type="dxa"/>
                </w:tcPr>
                <w:p>
                  <w:pPr>
                    <w:jc w:val="center"/>
                    <w:rPr>
                      <w:szCs w:val="21"/>
                    </w:rPr>
                  </w:pPr>
                  <w:r>
                    <w:rPr>
                      <w:szCs w:val="21"/>
                    </w:rPr>
                    <w:t>甲苯</w:t>
                  </w:r>
                </w:p>
              </w:tc>
              <w:tc>
                <w:tcPr>
                  <w:tcW w:w="992" w:type="dxa"/>
                </w:tcPr>
                <w:p>
                  <w:pPr>
                    <w:jc w:val="center"/>
                    <w:rPr>
                      <w:szCs w:val="21"/>
                    </w:rPr>
                  </w:pPr>
                  <w:r>
                    <w:rPr>
                      <w:szCs w:val="21"/>
                    </w:rPr>
                    <w:t>0.0276</w:t>
                  </w:r>
                </w:p>
              </w:tc>
              <w:tc>
                <w:tcPr>
                  <w:tcW w:w="993" w:type="dxa"/>
                </w:tcPr>
                <w:p>
                  <w:pPr>
                    <w:jc w:val="center"/>
                    <w:rPr>
                      <w:szCs w:val="21"/>
                    </w:rPr>
                  </w:pPr>
                  <w:r>
                    <w:rPr>
                      <w:szCs w:val="21"/>
                    </w:rPr>
                    <w:t>6.1</w:t>
                  </w:r>
                </w:p>
              </w:tc>
              <w:tc>
                <w:tcPr>
                  <w:tcW w:w="1039" w:type="dxa"/>
                  <w:vMerge w:val="continue"/>
                </w:tcPr>
                <w:p>
                  <w:pPr>
                    <w:jc w:val="center"/>
                    <w:rPr>
                      <w:szCs w:val="21"/>
                    </w:rPr>
                  </w:pPr>
                </w:p>
              </w:tc>
              <w:tc>
                <w:tcPr>
                  <w:tcW w:w="992" w:type="dxa"/>
                </w:tcPr>
                <w:p>
                  <w:pPr>
                    <w:jc w:val="center"/>
                    <w:rPr>
                      <w:szCs w:val="21"/>
                    </w:rPr>
                  </w:pPr>
                  <w:r>
                    <w:rPr>
                      <w:szCs w:val="21"/>
                    </w:rPr>
                    <w:t>0.00138</w:t>
                  </w:r>
                </w:p>
              </w:tc>
              <w:tc>
                <w:tcPr>
                  <w:tcW w:w="1276" w:type="dxa"/>
                </w:tcPr>
                <w:p>
                  <w:pPr>
                    <w:jc w:val="center"/>
                    <w:rPr>
                      <w:szCs w:val="21"/>
                    </w:rPr>
                  </w:pPr>
                  <w:r>
                    <w:rPr>
                      <w:szCs w:val="21"/>
                    </w:rPr>
                    <w:t>0.305</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trPr>
              <w:tc>
                <w:tcPr>
                  <w:tcW w:w="992" w:type="dxa"/>
                  <w:vMerge w:val="continue"/>
                </w:tcPr>
                <w:p>
                  <w:pPr>
                    <w:jc w:val="center"/>
                    <w:rPr>
                      <w:szCs w:val="21"/>
                    </w:rPr>
                  </w:pPr>
                </w:p>
              </w:tc>
              <w:tc>
                <w:tcPr>
                  <w:tcW w:w="992" w:type="dxa"/>
                </w:tcPr>
                <w:p>
                  <w:pPr>
                    <w:jc w:val="center"/>
                    <w:rPr>
                      <w:szCs w:val="21"/>
                    </w:rPr>
                  </w:pPr>
                  <w:r>
                    <w:rPr>
                      <w:szCs w:val="21"/>
                    </w:rPr>
                    <w:t>二甲苯</w:t>
                  </w:r>
                </w:p>
              </w:tc>
              <w:tc>
                <w:tcPr>
                  <w:tcW w:w="992" w:type="dxa"/>
                </w:tcPr>
                <w:p>
                  <w:pPr>
                    <w:jc w:val="center"/>
                    <w:rPr>
                      <w:szCs w:val="21"/>
                    </w:rPr>
                  </w:pPr>
                  <w:r>
                    <w:rPr>
                      <w:szCs w:val="21"/>
                    </w:rPr>
                    <w:t>4.28</w:t>
                  </w:r>
                </w:p>
              </w:tc>
              <w:tc>
                <w:tcPr>
                  <w:tcW w:w="993" w:type="dxa"/>
                </w:tcPr>
                <w:p>
                  <w:pPr>
                    <w:jc w:val="center"/>
                    <w:rPr>
                      <w:szCs w:val="21"/>
                    </w:rPr>
                  </w:pPr>
                  <w:r>
                    <w:rPr>
                      <w:szCs w:val="21"/>
                    </w:rPr>
                    <w:t>948</w:t>
                  </w:r>
                </w:p>
              </w:tc>
              <w:tc>
                <w:tcPr>
                  <w:tcW w:w="1039" w:type="dxa"/>
                  <w:vMerge w:val="continue"/>
                </w:tcPr>
                <w:p>
                  <w:pPr>
                    <w:jc w:val="center"/>
                    <w:rPr>
                      <w:szCs w:val="21"/>
                    </w:rPr>
                  </w:pPr>
                </w:p>
              </w:tc>
              <w:tc>
                <w:tcPr>
                  <w:tcW w:w="992" w:type="dxa"/>
                </w:tcPr>
                <w:p>
                  <w:pPr>
                    <w:jc w:val="center"/>
                    <w:rPr>
                      <w:szCs w:val="21"/>
                    </w:rPr>
                  </w:pPr>
                  <w:r>
                    <w:rPr>
                      <w:szCs w:val="21"/>
                    </w:rPr>
                    <w:t>0.214</w:t>
                  </w:r>
                </w:p>
              </w:tc>
              <w:tc>
                <w:tcPr>
                  <w:tcW w:w="1276" w:type="dxa"/>
                </w:tcPr>
                <w:p>
                  <w:pPr>
                    <w:jc w:val="center"/>
                    <w:rPr>
                      <w:szCs w:val="21"/>
                    </w:rPr>
                  </w:pPr>
                  <w:r>
                    <w:rPr>
                      <w:szCs w:val="21"/>
                    </w:rPr>
                    <w:t>47.4</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trPr>
              <w:tc>
                <w:tcPr>
                  <w:tcW w:w="992" w:type="dxa"/>
                  <w:vMerge w:val="restart"/>
                </w:tcPr>
                <w:p>
                  <w:pPr>
                    <w:jc w:val="center"/>
                    <w:rPr>
                      <w:szCs w:val="21"/>
                    </w:rPr>
                  </w:pPr>
                  <w:r>
                    <w:rPr>
                      <w:szCs w:val="21"/>
                    </w:rPr>
                    <w:t>14#</w:t>
                  </w:r>
                </w:p>
              </w:tc>
              <w:tc>
                <w:tcPr>
                  <w:tcW w:w="992" w:type="dxa"/>
                </w:tcPr>
                <w:p>
                  <w:pPr>
                    <w:jc w:val="center"/>
                    <w:rPr>
                      <w:szCs w:val="21"/>
                    </w:rPr>
                  </w:pPr>
                  <w:r>
                    <w:rPr>
                      <w:szCs w:val="21"/>
                    </w:rPr>
                    <w:t>SO</w:t>
                  </w:r>
                  <w:r>
                    <w:rPr>
                      <w:szCs w:val="21"/>
                      <w:vertAlign w:val="subscript"/>
                    </w:rPr>
                    <w:t>2</w:t>
                  </w:r>
                </w:p>
              </w:tc>
              <w:tc>
                <w:tcPr>
                  <w:tcW w:w="992" w:type="dxa"/>
                </w:tcPr>
                <w:p>
                  <w:pPr>
                    <w:jc w:val="center"/>
                    <w:rPr>
                      <w:szCs w:val="21"/>
                    </w:rPr>
                  </w:pPr>
                  <w:r>
                    <w:rPr>
                      <w:szCs w:val="21"/>
                    </w:rPr>
                    <w:t>0.013</w:t>
                  </w:r>
                </w:p>
              </w:tc>
              <w:tc>
                <w:tcPr>
                  <w:tcW w:w="993" w:type="dxa"/>
                </w:tcPr>
                <w:p>
                  <w:pPr>
                    <w:jc w:val="center"/>
                    <w:rPr>
                      <w:szCs w:val="21"/>
                    </w:rPr>
                  </w:pPr>
                  <w:r>
                    <w:rPr>
                      <w:szCs w:val="21"/>
                    </w:rPr>
                    <w:t>2</w:t>
                  </w:r>
                </w:p>
              </w:tc>
              <w:tc>
                <w:tcPr>
                  <w:tcW w:w="1039" w:type="dxa"/>
                  <w:vMerge w:val="restart"/>
                </w:tcPr>
                <w:p>
                  <w:pPr>
                    <w:jc w:val="center"/>
                    <w:rPr>
                      <w:szCs w:val="21"/>
                    </w:rPr>
                  </w:pPr>
                  <w:r>
                    <w:rPr>
                      <w:szCs w:val="21"/>
                    </w:rPr>
                    <w:t>7991</w:t>
                  </w:r>
                </w:p>
              </w:tc>
              <w:tc>
                <w:tcPr>
                  <w:tcW w:w="992" w:type="dxa"/>
                </w:tcPr>
                <w:p>
                  <w:pPr>
                    <w:jc w:val="center"/>
                    <w:rPr>
                      <w:szCs w:val="21"/>
                    </w:rPr>
                  </w:pPr>
                  <w:r>
                    <w:rPr>
                      <w:szCs w:val="21"/>
                    </w:rPr>
                    <w:t>0.013</w:t>
                  </w:r>
                </w:p>
              </w:tc>
              <w:tc>
                <w:tcPr>
                  <w:tcW w:w="1276" w:type="dxa"/>
                </w:tcPr>
                <w:p>
                  <w:pPr>
                    <w:jc w:val="center"/>
                    <w:rPr>
                      <w:szCs w:val="21"/>
                    </w:rPr>
                  </w:pPr>
                  <w:r>
                    <w:rPr>
                      <w:szCs w:val="21"/>
                    </w:rPr>
                    <w:t>2</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 w:hRule="atLeast"/>
              </w:trPr>
              <w:tc>
                <w:tcPr>
                  <w:tcW w:w="992" w:type="dxa"/>
                  <w:vMerge w:val="continue"/>
                </w:tcPr>
                <w:p>
                  <w:pPr>
                    <w:jc w:val="center"/>
                    <w:rPr>
                      <w:szCs w:val="21"/>
                    </w:rPr>
                  </w:pPr>
                </w:p>
              </w:tc>
              <w:tc>
                <w:tcPr>
                  <w:tcW w:w="992" w:type="dxa"/>
                </w:tcPr>
                <w:p>
                  <w:pPr>
                    <w:jc w:val="center"/>
                    <w:rPr>
                      <w:szCs w:val="21"/>
                    </w:rPr>
                  </w:pPr>
                  <w:r>
                    <w:rPr>
                      <w:szCs w:val="21"/>
                    </w:rPr>
                    <w:t xml:space="preserve">NOx </w:t>
                  </w:r>
                </w:p>
              </w:tc>
              <w:tc>
                <w:tcPr>
                  <w:tcW w:w="992" w:type="dxa"/>
                </w:tcPr>
                <w:p>
                  <w:pPr>
                    <w:jc w:val="center"/>
                    <w:rPr>
                      <w:szCs w:val="21"/>
                    </w:rPr>
                  </w:pPr>
                  <w:r>
                    <w:rPr>
                      <w:szCs w:val="21"/>
                    </w:rPr>
                    <w:t>0.025</w:t>
                  </w:r>
                </w:p>
              </w:tc>
              <w:tc>
                <w:tcPr>
                  <w:tcW w:w="993" w:type="dxa"/>
                </w:tcPr>
                <w:p>
                  <w:pPr>
                    <w:jc w:val="center"/>
                    <w:rPr>
                      <w:szCs w:val="21"/>
                    </w:rPr>
                  </w:pPr>
                  <w:r>
                    <w:rPr>
                      <w:szCs w:val="21"/>
                    </w:rPr>
                    <w:t>3</w:t>
                  </w:r>
                </w:p>
              </w:tc>
              <w:tc>
                <w:tcPr>
                  <w:tcW w:w="1039" w:type="dxa"/>
                  <w:vMerge w:val="continue"/>
                </w:tcPr>
                <w:p>
                  <w:pPr>
                    <w:jc w:val="center"/>
                    <w:rPr>
                      <w:szCs w:val="21"/>
                    </w:rPr>
                  </w:pPr>
                </w:p>
              </w:tc>
              <w:tc>
                <w:tcPr>
                  <w:tcW w:w="992" w:type="dxa"/>
                </w:tcPr>
                <w:p>
                  <w:pPr>
                    <w:jc w:val="center"/>
                    <w:rPr>
                      <w:szCs w:val="21"/>
                    </w:rPr>
                  </w:pPr>
                  <w:r>
                    <w:rPr>
                      <w:szCs w:val="21"/>
                    </w:rPr>
                    <w:t>0.025</w:t>
                  </w:r>
                </w:p>
              </w:tc>
              <w:tc>
                <w:tcPr>
                  <w:tcW w:w="1276" w:type="dxa"/>
                </w:tcPr>
                <w:p>
                  <w:pPr>
                    <w:jc w:val="center"/>
                    <w:rPr>
                      <w:szCs w:val="21"/>
                    </w:rPr>
                  </w:pPr>
                  <w:r>
                    <w:rPr>
                      <w:szCs w:val="21"/>
                    </w:rPr>
                    <w:t>3</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 w:hRule="atLeast"/>
              </w:trPr>
              <w:tc>
                <w:tcPr>
                  <w:tcW w:w="992" w:type="dxa"/>
                  <w:vMerge w:val="continue"/>
                </w:tcPr>
                <w:p>
                  <w:pPr>
                    <w:jc w:val="center"/>
                    <w:rPr>
                      <w:szCs w:val="21"/>
                    </w:rPr>
                  </w:pPr>
                </w:p>
              </w:tc>
              <w:tc>
                <w:tcPr>
                  <w:tcW w:w="992" w:type="dxa"/>
                </w:tcPr>
                <w:p>
                  <w:pPr>
                    <w:jc w:val="center"/>
                    <w:rPr>
                      <w:szCs w:val="21"/>
                    </w:rPr>
                  </w:pPr>
                  <w:r>
                    <w:rPr>
                      <w:szCs w:val="21"/>
                    </w:rPr>
                    <w:t>苯</w:t>
                  </w:r>
                </w:p>
              </w:tc>
              <w:tc>
                <w:tcPr>
                  <w:tcW w:w="992" w:type="dxa"/>
                </w:tcPr>
                <w:p>
                  <w:pPr>
                    <w:jc w:val="center"/>
                    <w:rPr>
                      <w:szCs w:val="21"/>
                    </w:rPr>
                  </w:pPr>
                  <w:r>
                    <w:rPr>
                      <w:szCs w:val="21"/>
                    </w:rPr>
                    <w:t>0.00656</w:t>
                  </w:r>
                </w:p>
              </w:tc>
              <w:tc>
                <w:tcPr>
                  <w:tcW w:w="993" w:type="dxa"/>
                </w:tcPr>
                <w:p>
                  <w:pPr>
                    <w:jc w:val="center"/>
                    <w:rPr>
                      <w:szCs w:val="21"/>
                    </w:rPr>
                  </w:pPr>
                  <w:r>
                    <w:rPr>
                      <w:szCs w:val="21"/>
                    </w:rPr>
                    <w:t>0.82</w:t>
                  </w:r>
                </w:p>
              </w:tc>
              <w:tc>
                <w:tcPr>
                  <w:tcW w:w="1039" w:type="dxa"/>
                  <w:vMerge w:val="continue"/>
                </w:tcPr>
                <w:p>
                  <w:pPr>
                    <w:jc w:val="center"/>
                    <w:rPr>
                      <w:szCs w:val="21"/>
                    </w:rPr>
                  </w:pPr>
                </w:p>
              </w:tc>
              <w:tc>
                <w:tcPr>
                  <w:tcW w:w="992" w:type="dxa"/>
                </w:tcPr>
                <w:p>
                  <w:pPr>
                    <w:jc w:val="center"/>
                    <w:rPr>
                      <w:szCs w:val="21"/>
                    </w:rPr>
                  </w:pPr>
                  <w:r>
                    <w:rPr>
                      <w:szCs w:val="21"/>
                    </w:rPr>
                    <w:t>0.000328</w:t>
                  </w:r>
                </w:p>
              </w:tc>
              <w:tc>
                <w:tcPr>
                  <w:tcW w:w="1276" w:type="dxa"/>
                </w:tcPr>
                <w:p>
                  <w:pPr>
                    <w:jc w:val="center"/>
                    <w:rPr>
                      <w:szCs w:val="21"/>
                    </w:rPr>
                  </w:pPr>
                  <w:r>
                    <w:rPr>
                      <w:szCs w:val="21"/>
                    </w:rPr>
                    <w:t>0.041</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trPr>
              <w:tc>
                <w:tcPr>
                  <w:tcW w:w="992" w:type="dxa"/>
                  <w:vMerge w:val="continue"/>
                </w:tcPr>
                <w:p>
                  <w:pPr>
                    <w:jc w:val="center"/>
                    <w:rPr>
                      <w:szCs w:val="21"/>
                    </w:rPr>
                  </w:pPr>
                </w:p>
              </w:tc>
              <w:tc>
                <w:tcPr>
                  <w:tcW w:w="992" w:type="dxa"/>
                </w:tcPr>
                <w:p>
                  <w:pPr>
                    <w:jc w:val="center"/>
                    <w:rPr>
                      <w:szCs w:val="21"/>
                    </w:rPr>
                  </w:pPr>
                  <w:r>
                    <w:rPr>
                      <w:szCs w:val="21"/>
                    </w:rPr>
                    <w:t>甲苯</w:t>
                  </w:r>
                </w:p>
              </w:tc>
              <w:tc>
                <w:tcPr>
                  <w:tcW w:w="992" w:type="dxa"/>
                </w:tcPr>
                <w:p>
                  <w:pPr>
                    <w:jc w:val="center"/>
                    <w:rPr>
                      <w:szCs w:val="21"/>
                    </w:rPr>
                  </w:pPr>
                  <w:r>
                    <w:rPr>
                      <w:szCs w:val="21"/>
                    </w:rPr>
                    <w:t>0.0107</w:t>
                  </w:r>
                </w:p>
              </w:tc>
              <w:tc>
                <w:tcPr>
                  <w:tcW w:w="993" w:type="dxa"/>
                </w:tcPr>
                <w:p>
                  <w:pPr>
                    <w:jc w:val="center"/>
                    <w:rPr>
                      <w:szCs w:val="21"/>
                    </w:rPr>
                  </w:pPr>
                  <w:r>
                    <w:rPr>
                      <w:szCs w:val="21"/>
                    </w:rPr>
                    <w:t>1.34</w:t>
                  </w:r>
                </w:p>
              </w:tc>
              <w:tc>
                <w:tcPr>
                  <w:tcW w:w="1039" w:type="dxa"/>
                  <w:vMerge w:val="continue"/>
                </w:tcPr>
                <w:p>
                  <w:pPr>
                    <w:jc w:val="center"/>
                    <w:rPr>
                      <w:szCs w:val="21"/>
                    </w:rPr>
                  </w:pPr>
                </w:p>
              </w:tc>
              <w:tc>
                <w:tcPr>
                  <w:tcW w:w="992" w:type="dxa"/>
                </w:tcPr>
                <w:p>
                  <w:pPr>
                    <w:jc w:val="center"/>
                    <w:rPr>
                      <w:szCs w:val="21"/>
                    </w:rPr>
                  </w:pPr>
                  <w:r>
                    <w:rPr>
                      <w:szCs w:val="21"/>
                    </w:rPr>
                    <w:t>0.000535</w:t>
                  </w:r>
                </w:p>
              </w:tc>
              <w:tc>
                <w:tcPr>
                  <w:tcW w:w="1276" w:type="dxa"/>
                </w:tcPr>
                <w:p>
                  <w:pPr>
                    <w:jc w:val="center"/>
                    <w:rPr>
                      <w:szCs w:val="21"/>
                    </w:rPr>
                  </w:pPr>
                  <w:r>
                    <w:rPr>
                      <w:szCs w:val="21"/>
                    </w:rPr>
                    <w:t>0.067</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trPr>
              <w:tc>
                <w:tcPr>
                  <w:tcW w:w="992" w:type="dxa"/>
                  <w:vMerge w:val="continue"/>
                </w:tcPr>
                <w:p>
                  <w:pPr>
                    <w:jc w:val="center"/>
                    <w:rPr>
                      <w:szCs w:val="21"/>
                    </w:rPr>
                  </w:pPr>
                </w:p>
              </w:tc>
              <w:tc>
                <w:tcPr>
                  <w:tcW w:w="992" w:type="dxa"/>
                </w:tcPr>
                <w:p>
                  <w:pPr>
                    <w:jc w:val="center"/>
                    <w:rPr>
                      <w:szCs w:val="21"/>
                    </w:rPr>
                  </w:pPr>
                  <w:r>
                    <w:rPr>
                      <w:szCs w:val="21"/>
                    </w:rPr>
                    <w:t>二甲苯</w:t>
                  </w:r>
                </w:p>
              </w:tc>
              <w:tc>
                <w:tcPr>
                  <w:tcW w:w="992" w:type="dxa"/>
                </w:tcPr>
                <w:p>
                  <w:pPr>
                    <w:jc w:val="center"/>
                    <w:rPr>
                      <w:szCs w:val="21"/>
                    </w:rPr>
                  </w:pPr>
                  <w:r>
                    <w:rPr>
                      <w:szCs w:val="21"/>
                    </w:rPr>
                    <w:t>0.0746</w:t>
                  </w:r>
                </w:p>
              </w:tc>
              <w:tc>
                <w:tcPr>
                  <w:tcW w:w="993" w:type="dxa"/>
                </w:tcPr>
                <w:p>
                  <w:pPr>
                    <w:jc w:val="center"/>
                    <w:rPr>
                      <w:szCs w:val="21"/>
                    </w:rPr>
                  </w:pPr>
                  <w:r>
                    <w:rPr>
                      <w:szCs w:val="21"/>
                    </w:rPr>
                    <w:t>9.34</w:t>
                  </w:r>
                </w:p>
              </w:tc>
              <w:tc>
                <w:tcPr>
                  <w:tcW w:w="1039" w:type="dxa"/>
                  <w:vMerge w:val="continue"/>
                </w:tcPr>
                <w:p>
                  <w:pPr>
                    <w:jc w:val="center"/>
                    <w:rPr>
                      <w:szCs w:val="21"/>
                    </w:rPr>
                  </w:pPr>
                </w:p>
              </w:tc>
              <w:tc>
                <w:tcPr>
                  <w:tcW w:w="992" w:type="dxa"/>
                </w:tcPr>
                <w:p>
                  <w:pPr>
                    <w:jc w:val="center"/>
                    <w:rPr>
                      <w:szCs w:val="21"/>
                    </w:rPr>
                  </w:pPr>
                  <w:r>
                    <w:rPr>
                      <w:szCs w:val="21"/>
                    </w:rPr>
                    <w:t>0.00373</w:t>
                  </w:r>
                </w:p>
              </w:tc>
              <w:tc>
                <w:tcPr>
                  <w:tcW w:w="1276" w:type="dxa"/>
                </w:tcPr>
                <w:p>
                  <w:pPr>
                    <w:jc w:val="center"/>
                    <w:rPr>
                      <w:szCs w:val="21"/>
                    </w:rPr>
                  </w:pPr>
                  <w:r>
                    <w:rPr>
                      <w:szCs w:val="21"/>
                    </w:rPr>
                    <w:t>0.467</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trPr>
              <w:tc>
                <w:tcPr>
                  <w:tcW w:w="992" w:type="dxa"/>
                  <w:vMerge w:val="restart"/>
                </w:tcPr>
                <w:p>
                  <w:pPr>
                    <w:jc w:val="center"/>
                    <w:rPr>
                      <w:szCs w:val="21"/>
                    </w:rPr>
                  </w:pPr>
                  <w:r>
                    <w:rPr>
                      <w:szCs w:val="21"/>
                    </w:rPr>
                    <w:t>15#</w:t>
                  </w:r>
                </w:p>
              </w:tc>
              <w:tc>
                <w:tcPr>
                  <w:tcW w:w="992" w:type="dxa"/>
                </w:tcPr>
                <w:p>
                  <w:pPr>
                    <w:jc w:val="center"/>
                    <w:rPr>
                      <w:szCs w:val="21"/>
                    </w:rPr>
                  </w:pPr>
                  <w:r>
                    <w:rPr>
                      <w:szCs w:val="21"/>
                    </w:rPr>
                    <w:t>SO</w:t>
                  </w:r>
                  <w:r>
                    <w:rPr>
                      <w:szCs w:val="21"/>
                      <w:vertAlign w:val="subscript"/>
                    </w:rPr>
                    <w:t>2</w:t>
                  </w:r>
                </w:p>
              </w:tc>
              <w:tc>
                <w:tcPr>
                  <w:tcW w:w="992" w:type="dxa"/>
                </w:tcPr>
                <w:p>
                  <w:pPr>
                    <w:jc w:val="center"/>
                    <w:rPr>
                      <w:szCs w:val="21"/>
                    </w:rPr>
                  </w:pPr>
                  <w:r>
                    <w:rPr>
                      <w:szCs w:val="21"/>
                    </w:rPr>
                    <w:t>0.079</w:t>
                  </w:r>
                </w:p>
              </w:tc>
              <w:tc>
                <w:tcPr>
                  <w:tcW w:w="993" w:type="dxa"/>
                </w:tcPr>
                <w:p>
                  <w:pPr>
                    <w:jc w:val="center"/>
                    <w:rPr>
                      <w:szCs w:val="21"/>
                    </w:rPr>
                  </w:pPr>
                  <w:r>
                    <w:rPr>
                      <w:szCs w:val="21"/>
                    </w:rPr>
                    <w:t>3</w:t>
                  </w:r>
                </w:p>
              </w:tc>
              <w:tc>
                <w:tcPr>
                  <w:tcW w:w="1039" w:type="dxa"/>
                  <w:vMerge w:val="restart"/>
                </w:tcPr>
                <w:p>
                  <w:pPr>
                    <w:jc w:val="center"/>
                    <w:rPr>
                      <w:szCs w:val="21"/>
                    </w:rPr>
                  </w:pPr>
                  <w:r>
                    <w:rPr>
                      <w:szCs w:val="21"/>
                    </w:rPr>
                    <w:t>28002</w:t>
                  </w:r>
                </w:p>
              </w:tc>
              <w:tc>
                <w:tcPr>
                  <w:tcW w:w="992" w:type="dxa"/>
                </w:tcPr>
                <w:p>
                  <w:pPr>
                    <w:jc w:val="center"/>
                    <w:rPr>
                      <w:szCs w:val="21"/>
                    </w:rPr>
                  </w:pPr>
                  <w:r>
                    <w:rPr>
                      <w:szCs w:val="21"/>
                    </w:rPr>
                    <w:t>0.079</w:t>
                  </w:r>
                </w:p>
              </w:tc>
              <w:tc>
                <w:tcPr>
                  <w:tcW w:w="1276" w:type="dxa"/>
                </w:tcPr>
                <w:p>
                  <w:pPr>
                    <w:jc w:val="center"/>
                    <w:rPr>
                      <w:szCs w:val="21"/>
                    </w:rPr>
                  </w:pPr>
                  <w:r>
                    <w:rPr>
                      <w:szCs w:val="21"/>
                    </w:rPr>
                    <w:t>3</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trPr>
              <w:tc>
                <w:tcPr>
                  <w:tcW w:w="992" w:type="dxa"/>
                  <w:vMerge w:val="continue"/>
                </w:tcPr>
                <w:p>
                  <w:pPr>
                    <w:jc w:val="center"/>
                    <w:rPr>
                      <w:szCs w:val="21"/>
                    </w:rPr>
                  </w:pPr>
                </w:p>
              </w:tc>
              <w:tc>
                <w:tcPr>
                  <w:tcW w:w="992" w:type="dxa"/>
                </w:tcPr>
                <w:p>
                  <w:pPr>
                    <w:jc w:val="center"/>
                    <w:rPr>
                      <w:szCs w:val="21"/>
                    </w:rPr>
                  </w:pPr>
                  <w:r>
                    <w:rPr>
                      <w:szCs w:val="21"/>
                    </w:rPr>
                    <w:t xml:space="preserve">NOx </w:t>
                  </w:r>
                </w:p>
              </w:tc>
              <w:tc>
                <w:tcPr>
                  <w:tcW w:w="992" w:type="dxa"/>
                </w:tcPr>
                <w:p>
                  <w:pPr>
                    <w:jc w:val="center"/>
                    <w:rPr>
                      <w:szCs w:val="21"/>
                    </w:rPr>
                  </w:pPr>
                  <w:r>
                    <w:rPr>
                      <w:szCs w:val="21"/>
                    </w:rPr>
                    <w:t>0.09</w:t>
                  </w:r>
                </w:p>
              </w:tc>
              <w:tc>
                <w:tcPr>
                  <w:tcW w:w="993" w:type="dxa"/>
                </w:tcPr>
                <w:p>
                  <w:pPr>
                    <w:jc w:val="center"/>
                    <w:rPr>
                      <w:szCs w:val="21"/>
                    </w:rPr>
                  </w:pPr>
                  <w:r>
                    <w:rPr>
                      <w:szCs w:val="21"/>
                    </w:rPr>
                    <w:t>3</w:t>
                  </w:r>
                </w:p>
              </w:tc>
              <w:tc>
                <w:tcPr>
                  <w:tcW w:w="1039" w:type="dxa"/>
                  <w:vMerge w:val="continue"/>
                </w:tcPr>
                <w:p>
                  <w:pPr>
                    <w:jc w:val="center"/>
                    <w:rPr>
                      <w:szCs w:val="21"/>
                    </w:rPr>
                  </w:pPr>
                </w:p>
              </w:tc>
              <w:tc>
                <w:tcPr>
                  <w:tcW w:w="992" w:type="dxa"/>
                </w:tcPr>
                <w:p>
                  <w:pPr>
                    <w:jc w:val="center"/>
                    <w:rPr>
                      <w:szCs w:val="21"/>
                    </w:rPr>
                  </w:pPr>
                  <w:r>
                    <w:rPr>
                      <w:szCs w:val="21"/>
                    </w:rPr>
                    <w:t>0.09</w:t>
                  </w:r>
                </w:p>
              </w:tc>
              <w:tc>
                <w:tcPr>
                  <w:tcW w:w="1276" w:type="dxa"/>
                </w:tcPr>
                <w:p>
                  <w:pPr>
                    <w:jc w:val="center"/>
                    <w:rPr>
                      <w:szCs w:val="21"/>
                    </w:rPr>
                  </w:pPr>
                  <w:r>
                    <w:rPr>
                      <w:szCs w:val="21"/>
                    </w:rPr>
                    <w:t>3</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trPr>
              <w:tc>
                <w:tcPr>
                  <w:tcW w:w="992" w:type="dxa"/>
                  <w:vMerge w:val="continue"/>
                </w:tcPr>
                <w:p>
                  <w:pPr>
                    <w:jc w:val="center"/>
                    <w:rPr>
                      <w:szCs w:val="21"/>
                    </w:rPr>
                  </w:pPr>
                </w:p>
              </w:tc>
              <w:tc>
                <w:tcPr>
                  <w:tcW w:w="992" w:type="dxa"/>
                </w:tcPr>
                <w:p>
                  <w:pPr>
                    <w:jc w:val="center"/>
                    <w:rPr>
                      <w:szCs w:val="21"/>
                    </w:rPr>
                  </w:pPr>
                  <w:r>
                    <w:rPr>
                      <w:szCs w:val="21"/>
                    </w:rPr>
                    <w:t>苯</w:t>
                  </w:r>
                </w:p>
              </w:tc>
              <w:tc>
                <w:tcPr>
                  <w:tcW w:w="992" w:type="dxa"/>
                </w:tcPr>
                <w:p>
                  <w:pPr>
                    <w:jc w:val="center"/>
                    <w:rPr>
                      <w:szCs w:val="21"/>
                    </w:rPr>
                  </w:pPr>
                  <w:r>
                    <w:rPr>
                      <w:szCs w:val="21"/>
                    </w:rPr>
                    <w:t>0.067</w:t>
                  </w:r>
                </w:p>
              </w:tc>
              <w:tc>
                <w:tcPr>
                  <w:tcW w:w="993" w:type="dxa"/>
                </w:tcPr>
                <w:p>
                  <w:pPr>
                    <w:jc w:val="center"/>
                    <w:rPr>
                      <w:szCs w:val="21"/>
                    </w:rPr>
                  </w:pPr>
                  <w:r>
                    <w:rPr>
                      <w:szCs w:val="21"/>
                    </w:rPr>
                    <w:t>2.4</w:t>
                  </w:r>
                </w:p>
              </w:tc>
              <w:tc>
                <w:tcPr>
                  <w:tcW w:w="1039" w:type="dxa"/>
                  <w:vMerge w:val="continue"/>
                </w:tcPr>
                <w:p>
                  <w:pPr>
                    <w:jc w:val="center"/>
                    <w:rPr>
                      <w:szCs w:val="21"/>
                    </w:rPr>
                  </w:pPr>
                </w:p>
              </w:tc>
              <w:tc>
                <w:tcPr>
                  <w:tcW w:w="992" w:type="dxa"/>
                </w:tcPr>
                <w:p>
                  <w:pPr>
                    <w:jc w:val="center"/>
                    <w:rPr>
                      <w:szCs w:val="21"/>
                    </w:rPr>
                  </w:pPr>
                  <w:r>
                    <w:rPr>
                      <w:szCs w:val="21"/>
                    </w:rPr>
                    <w:t>0.00335</w:t>
                  </w:r>
                </w:p>
              </w:tc>
              <w:tc>
                <w:tcPr>
                  <w:tcW w:w="1276" w:type="dxa"/>
                </w:tcPr>
                <w:p>
                  <w:pPr>
                    <w:jc w:val="center"/>
                    <w:rPr>
                      <w:szCs w:val="21"/>
                    </w:rPr>
                  </w:pPr>
                  <w:r>
                    <w:rPr>
                      <w:szCs w:val="21"/>
                    </w:rPr>
                    <w:t>0.12</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trPr>
              <w:tc>
                <w:tcPr>
                  <w:tcW w:w="992" w:type="dxa"/>
                  <w:vMerge w:val="continue"/>
                </w:tcPr>
                <w:p>
                  <w:pPr>
                    <w:jc w:val="center"/>
                    <w:rPr>
                      <w:szCs w:val="21"/>
                    </w:rPr>
                  </w:pPr>
                </w:p>
              </w:tc>
              <w:tc>
                <w:tcPr>
                  <w:tcW w:w="992" w:type="dxa"/>
                </w:tcPr>
                <w:p>
                  <w:pPr>
                    <w:jc w:val="center"/>
                    <w:rPr>
                      <w:szCs w:val="21"/>
                    </w:rPr>
                  </w:pPr>
                  <w:r>
                    <w:rPr>
                      <w:szCs w:val="21"/>
                    </w:rPr>
                    <w:t>甲苯</w:t>
                  </w:r>
                </w:p>
              </w:tc>
              <w:tc>
                <w:tcPr>
                  <w:tcW w:w="992" w:type="dxa"/>
                </w:tcPr>
                <w:p>
                  <w:pPr>
                    <w:jc w:val="center"/>
                    <w:rPr>
                      <w:szCs w:val="21"/>
                    </w:rPr>
                  </w:pPr>
                  <w:r>
                    <w:rPr>
                      <w:szCs w:val="21"/>
                    </w:rPr>
                    <w:t>0.1142</w:t>
                  </w:r>
                </w:p>
              </w:tc>
              <w:tc>
                <w:tcPr>
                  <w:tcW w:w="993" w:type="dxa"/>
                </w:tcPr>
                <w:p>
                  <w:pPr>
                    <w:jc w:val="center"/>
                    <w:rPr>
                      <w:szCs w:val="21"/>
                    </w:rPr>
                  </w:pPr>
                  <w:r>
                    <w:rPr>
                      <w:szCs w:val="21"/>
                    </w:rPr>
                    <w:t>4.08</w:t>
                  </w:r>
                </w:p>
              </w:tc>
              <w:tc>
                <w:tcPr>
                  <w:tcW w:w="1039" w:type="dxa"/>
                  <w:vMerge w:val="continue"/>
                </w:tcPr>
                <w:p>
                  <w:pPr>
                    <w:jc w:val="center"/>
                    <w:rPr>
                      <w:szCs w:val="21"/>
                    </w:rPr>
                  </w:pPr>
                </w:p>
              </w:tc>
              <w:tc>
                <w:tcPr>
                  <w:tcW w:w="992" w:type="dxa"/>
                </w:tcPr>
                <w:p>
                  <w:pPr>
                    <w:jc w:val="center"/>
                    <w:rPr>
                      <w:szCs w:val="21"/>
                    </w:rPr>
                  </w:pPr>
                  <w:r>
                    <w:rPr>
                      <w:szCs w:val="21"/>
                    </w:rPr>
                    <w:t>0.00571</w:t>
                  </w:r>
                </w:p>
              </w:tc>
              <w:tc>
                <w:tcPr>
                  <w:tcW w:w="1276" w:type="dxa"/>
                </w:tcPr>
                <w:p>
                  <w:pPr>
                    <w:jc w:val="center"/>
                    <w:rPr>
                      <w:szCs w:val="21"/>
                    </w:rPr>
                  </w:pPr>
                  <w:r>
                    <w:rPr>
                      <w:szCs w:val="21"/>
                    </w:rPr>
                    <w:t>0.204</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 w:hRule="atLeast"/>
              </w:trPr>
              <w:tc>
                <w:tcPr>
                  <w:tcW w:w="992" w:type="dxa"/>
                  <w:vMerge w:val="continue"/>
                </w:tcPr>
                <w:p>
                  <w:pPr>
                    <w:jc w:val="center"/>
                    <w:rPr>
                      <w:szCs w:val="21"/>
                    </w:rPr>
                  </w:pPr>
                </w:p>
              </w:tc>
              <w:tc>
                <w:tcPr>
                  <w:tcW w:w="992" w:type="dxa"/>
                </w:tcPr>
                <w:p>
                  <w:pPr>
                    <w:jc w:val="center"/>
                    <w:rPr>
                      <w:szCs w:val="21"/>
                    </w:rPr>
                  </w:pPr>
                  <w:r>
                    <w:rPr>
                      <w:szCs w:val="21"/>
                    </w:rPr>
                    <w:t>二甲苯</w:t>
                  </w:r>
                </w:p>
              </w:tc>
              <w:tc>
                <w:tcPr>
                  <w:tcW w:w="992" w:type="dxa"/>
                </w:tcPr>
                <w:p>
                  <w:pPr>
                    <w:jc w:val="center"/>
                    <w:rPr>
                      <w:szCs w:val="21"/>
                    </w:rPr>
                  </w:pPr>
                  <w:r>
                    <w:rPr>
                      <w:szCs w:val="21"/>
                    </w:rPr>
                    <w:t>0.1</w:t>
                  </w:r>
                </w:p>
              </w:tc>
              <w:tc>
                <w:tcPr>
                  <w:tcW w:w="993" w:type="dxa"/>
                </w:tcPr>
                <w:p>
                  <w:pPr>
                    <w:jc w:val="center"/>
                    <w:rPr>
                      <w:szCs w:val="21"/>
                    </w:rPr>
                  </w:pPr>
                  <w:r>
                    <w:rPr>
                      <w:szCs w:val="21"/>
                    </w:rPr>
                    <w:t>3.56</w:t>
                  </w:r>
                </w:p>
              </w:tc>
              <w:tc>
                <w:tcPr>
                  <w:tcW w:w="1039" w:type="dxa"/>
                  <w:vMerge w:val="continue"/>
                </w:tcPr>
                <w:p>
                  <w:pPr>
                    <w:jc w:val="center"/>
                    <w:rPr>
                      <w:szCs w:val="21"/>
                    </w:rPr>
                  </w:pPr>
                </w:p>
              </w:tc>
              <w:tc>
                <w:tcPr>
                  <w:tcW w:w="992" w:type="dxa"/>
                </w:tcPr>
                <w:p>
                  <w:pPr>
                    <w:jc w:val="center"/>
                    <w:rPr>
                      <w:szCs w:val="21"/>
                    </w:rPr>
                  </w:pPr>
                  <w:r>
                    <w:rPr>
                      <w:szCs w:val="21"/>
                    </w:rPr>
                    <w:t>0.005</w:t>
                  </w:r>
                </w:p>
              </w:tc>
              <w:tc>
                <w:tcPr>
                  <w:tcW w:w="1276" w:type="dxa"/>
                </w:tcPr>
                <w:p>
                  <w:pPr>
                    <w:jc w:val="center"/>
                    <w:rPr>
                      <w:szCs w:val="21"/>
                    </w:rPr>
                  </w:pPr>
                  <w:r>
                    <w:rPr>
                      <w:szCs w:val="21"/>
                    </w:rPr>
                    <w:t>0.178</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restart"/>
                </w:tcPr>
                <w:p>
                  <w:pPr>
                    <w:jc w:val="center"/>
                    <w:rPr>
                      <w:szCs w:val="21"/>
                    </w:rPr>
                  </w:pPr>
                  <w:r>
                    <w:rPr>
                      <w:szCs w:val="21"/>
                    </w:rPr>
                    <w:t>16#</w:t>
                  </w:r>
                </w:p>
              </w:tc>
              <w:tc>
                <w:tcPr>
                  <w:tcW w:w="992" w:type="dxa"/>
                </w:tcPr>
                <w:p>
                  <w:pPr>
                    <w:jc w:val="center"/>
                    <w:rPr>
                      <w:szCs w:val="21"/>
                    </w:rPr>
                  </w:pPr>
                  <w:r>
                    <w:rPr>
                      <w:szCs w:val="21"/>
                    </w:rPr>
                    <w:t>SO</w:t>
                  </w:r>
                  <w:r>
                    <w:rPr>
                      <w:szCs w:val="21"/>
                      <w:vertAlign w:val="subscript"/>
                    </w:rPr>
                    <w:t>2</w:t>
                  </w:r>
                </w:p>
              </w:tc>
              <w:tc>
                <w:tcPr>
                  <w:tcW w:w="992" w:type="dxa"/>
                </w:tcPr>
                <w:p>
                  <w:pPr>
                    <w:jc w:val="center"/>
                  </w:pPr>
                  <w:r>
                    <w:t>0.102</w:t>
                  </w:r>
                </w:p>
              </w:tc>
              <w:tc>
                <w:tcPr>
                  <w:tcW w:w="993" w:type="dxa"/>
                </w:tcPr>
                <w:p>
                  <w:pPr>
                    <w:jc w:val="center"/>
                  </w:pPr>
                  <w:r>
                    <w:t>3</w:t>
                  </w:r>
                </w:p>
              </w:tc>
              <w:tc>
                <w:tcPr>
                  <w:tcW w:w="1039" w:type="dxa"/>
                  <w:vMerge w:val="restart"/>
                </w:tcPr>
                <w:p>
                  <w:pPr>
                    <w:jc w:val="center"/>
                  </w:pPr>
                  <w:r>
                    <w:rPr>
                      <w:szCs w:val="21"/>
                    </w:rPr>
                    <w:t>30488</w:t>
                  </w:r>
                </w:p>
              </w:tc>
              <w:tc>
                <w:tcPr>
                  <w:tcW w:w="992" w:type="dxa"/>
                </w:tcPr>
                <w:p>
                  <w:pPr>
                    <w:jc w:val="center"/>
                  </w:pPr>
                  <w:r>
                    <w:t>0.102</w:t>
                  </w:r>
                </w:p>
              </w:tc>
              <w:tc>
                <w:tcPr>
                  <w:tcW w:w="1276" w:type="dxa"/>
                </w:tcPr>
                <w:p>
                  <w:pPr>
                    <w:jc w:val="center"/>
                  </w:pPr>
                  <w:r>
                    <w:t>3</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 xml:space="preserve">NOx </w:t>
                  </w:r>
                </w:p>
              </w:tc>
              <w:tc>
                <w:tcPr>
                  <w:tcW w:w="992" w:type="dxa"/>
                </w:tcPr>
                <w:p>
                  <w:pPr>
                    <w:jc w:val="center"/>
                  </w:pPr>
                  <w:r>
                    <w:t>0.108</w:t>
                  </w:r>
                </w:p>
              </w:tc>
              <w:tc>
                <w:tcPr>
                  <w:tcW w:w="993" w:type="dxa"/>
                </w:tcPr>
                <w:p>
                  <w:pPr>
                    <w:jc w:val="center"/>
                  </w:pPr>
                  <w:r>
                    <w:t>4</w:t>
                  </w:r>
                </w:p>
              </w:tc>
              <w:tc>
                <w:tcPr>
                  <w:tcW w:w="1039" w:type="dxa"/>
                  <w:vMerge w:val="continue"/>
                </w:tcPr>
                <w:p>
                  <w:pPr>
                    <w:jc w:val="center"/>
                  </w:pPr>
                </w:p>
              </w:tc>
              <w:tc>
                <w:tcPr>
                  <w:tcW w:w="992" w:type="dxa"/>
                </w:tcPr>
                <w:p>
                  <w:pPr>
                    <w:jc w:val="center"/>
                  </w:pPr>
                  <w:r>
                    <w:t>0.108</w:t>
                  </w:r>
                </w:p>
              </w:tc>
              <w:tc>
                <w:tcPr>
                  <w:tcW w:w="1276" w:type="dxa"/>
                </w:tcPr>
                <w:p>
                  <w:pPr>
                    <w:jc w:val="center"/>
                  </w:pPr>
                  <w:r>
                    <w:t>4</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苯</w:t>
                  </w:r>
                </w:p>
              </w:tc>
              <w:tc>
                <w:tcPr>
                  <w:tcW w:w="992" w:type="dxa"/>
                </w:tcPr>
                <w:p>
                  <w:pPr>
                    <w:jc w:val="center"/>
                  </w:pPr>
                  <w:r>
                    <w:t>0.0458</w:t>
                  </w:r>
                </w:p>
              </w:tc>
              <w:tc>
                <w:tcPr>
                  <w:tcW w:w="993" w:type="dxa"/>
                </w:tcPr>
                <w:p>
                  <w:pPr>
                    <w:jc w:val="center"/>
                  </w:pPr>
                  <w:r>
                    <w:t>1.5</w:t>
                  </w:r>
                </w:p>
              </w:tc>
              <w:tc>
                <w:tcPr>
                  <w:tcW w:w="1039" w:type="dxa"/>
                  <w:vMerge w:val="continue"/>
                </w:tcPr>
                <w:p>
                  <w:pPr>
                    <w:jc w:val="center"/>
                  </w:pPr>
                </w:p>
              </w:tc>
              <w:tc>
                <w:tcPr>
                  <w:tcW w:w="992" w:type="dxa"/>
                </w:tcPr>
                <w:p>
                  <w:pPr>
                    <w:jc w:val="center"/>
                  </w:pPr>
                  <w:r>
                    <w:t>0.00229</w:t>
                  </w:r>
                </w:p>
              </w:tc>
              <w:tc>
                <w:tcPr>
                  <w:tcW w:w="1276" w:type="dxa"/>
                </w:tcPr>
                <w:p>
                  <w:pPr>
                    <w:jc w:val="center"/>
                  </w:pPr>
                  <w:r>
                    <w:t>0.075</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甲苯</w:t>
                  </w:r>
                </w:p>
              </w:tc>
              <w:tc>
                <w:tcPr>
                  <w:tcW w:w="992" w:type="dxa"/>
                </w:tcPr>
                <w:p>
                  <w:pPr>
                    <w:jc w:val="center"/>
                  </w:pPr>
                  <w:r>
                    <w:t>0.117</w:t>
                  </w:r>
                </w:p>
              </w:tc>
              <w:tc>
                <w:tcPr>
                  <w:tcW w:w="993" w:type="dxa"/>
                </w:tcPr>
                <w:p>
                  <w:pPr>
                    <w:jc w:val="center"/>
                  </w:pPr>
                  <w:r>
                    <w:t>3.84</w:t>
                  </w:r>
                </w:p>
              </w:tc>
              <w:tc>
                <w:tcPr>
                  <w:tcW w:w="1039" w:type="dxa"/>
                  <w:vMerge w:val="continue"/>
                </w:tcPr>
                <w:p>
                  <w:pPr>
                    <w:jc w:val="center"/>
                  </w:pPr>
                </w:p>
              </w:tc>
              <w:tc>
                <w:tcPr>
                  <w:tcW w:w="992" w:type="dxa"/>
                </w:tcPr>
                <w:p>
                  <w:pPr>
                    <w:jc w:val="center"/>
                  </w:pPr>
                  <w:r>
                    <w:t>0.00585</w:t>
                  </w:r>
                </w:p>
              </w:tc>
              <w:tc>
                <w:tcPr>
                  <w:tcW w:w="1276" w:type="dxa"/>
                </w:tcPr>
                <w:p>
                  <w:pPr>
                    <w:jc w:val="center"/>
                  </w:pPr>
                  <w:r>
                    <w:t>0.192</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二甲苯</w:t>
                  </w:r>
                </w:p>
              </w:tc>
              <w:tc>
                <w:tcPr>
                  <w:tcW w:w="992" w:type="dxa"/>
                </w:tcPr>
                <w:p>
                  <w:pPr>
                    <w:jc w:val="center"/>
                  </w:pPr>
                  <w:r>
                    <w:t>2.72</w:t>
                  </w:r>
                </w:p>
              </w:tc>
              <w:tc>
                <w:tcPr>
                  <w:tcW w:w="993" w:type="dxa"/>
                </w:tcPr>
                <w:p>
                  <w:pPr>
                    <w:jc w:val="center"/>
                  </w:pPr>
                  <w:r>
                    <w:t>89.2</w:t>
                  </w:r>
                </w:p>
              </w:tc>
              <w:tc>
                <w:tcPr>
                  <w:tcW w:w="1039" w:type="dxa"/>
                  <w:vMerge w:val="continue"/>
                </w:tcPr>
                <w:p>
                  <w:pPr>
                    <w:jc w:val="center"/>
                  </w:pPr>
                </w:p>
              </w:tc>
              <w:tc>
                <w:tcPr>
                  <w:tcW w:w="992" w:type="dxa"/>
                </w:tcPr>
                <w:p>
                  <w:pPr>
                    <w:jc w:val="center"/>
                  </w:pPr>
                  <w:r>
                    <w:t>0.136</w:t>
                  </w:r>
                </w:p>
              </w:tc>
              <w:tc>
                <w:tcPr>
                  <w:tcW w:w="1276" w:type="dxa"/>
                </w:tcPr>
                <w:p>
                  <w:pPr>
                    <w:jc w:val="center"/>
                  </w:pPr>
                  <w:r>
                    <w:t>4.46</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restart"/>
                </w:tcPr>
                <w:p>
                  <w:pPr>
                    <w:jc w:val="center"/>
                    <w:rPr>
                      <w:szCs w:val="21"/>
                    </w:rPr>
                  </w:pPr>
                  <w:r>
                    <w:rPr>
                      <w:szCs w:val="21"/>
                    </w:rPr>
                    <w:t>17#</w:t>
                  </w:r>
                </w:p>
              </w:tc>
              <w:tc>
                <w:tcPr>
                  <w:tcW w:w="992" w:type="dxa"/>
                </w:tcPr>
                <w:p>
                  <w:pPr>
                    <w:jc w:val="center"/>
                    <w:rPr>
                      <w:szCs w:val="21"/>
                    </w:rPr>
                  </w:pPr>
                  <w:r>
                    <w:rPr>
                      <w:szCs w:val="21"/>
                    </w:rPr>
                    <w:t>SO</w:t>
                  </w:r>
                  <w:r>
                    <w:rPr>
                      <w:szCs w:val="21"/>
                      <w:vertAlign w:val="subscript"/>
                    </w:rPr>
                    <w:t>2</w:t>
                  </w:r>
                </w:p>
              </w:tc>
              <w:tc>
                <w:tcPr>
                  <w:tcW w:w="992" w:type="dxa"/>
                </w:tcPr>
                <w:p>
                  <w:pPr>
                    <w:jc w:val="center"/>
                  </w:pPr>
                  <w:r>
                    <w:t>0.028</w:t>
                  </w:r>
                </w:p>
              </w:tc>
              <w:tc>
                <w:tcPr>
                  <w:tcW w:w="993" w:type="dxa"/>
                </w:tcPr>
                <w:p>
                  <w:pPr>
                    <w:jc w:val="center"/>
                  </w:pPr>
                  <w:r>
                    <w:t>3</w:t>
                  </w:r>
                </w:p>
              </w:tc>
              <w:tc>
                <w:tcPr>
                  <w:tcW w:w="1039" w:type="dxa"/>
                  <w:vMerge w:val="restart"/>
                </w:tcPr>
                <w:p>
                  <w:pPr>
                    <w:jc w:val="center"/>
                  </w:pPr>
                  <w:r>
                    <w:rPr>
                      <w:szCs w:val="21"/>
                    </w:rPr>
                    <w:t>10533</w:t>
                  </w:r>
                </w:p>
              </w:tc>
              <w:tc>
                <w:tcPr>
                  <w:tcW w:w="992" w:type="dxa"/>
                </w:tcPr>
                <w:p>
                  <w:pPr>
                    <w:jc w:val="center"/>
                  </w:pPr>
                  <w:r>
                    <w:t>0.028</w:t>
                  </w:r>
                </w:p>
              </w:tc>
              <w:tc>
                <w:tcPr>
                  <w:tcW w:w="1276" w:type="dxa"/>
                </w:tcPr>
                <w:p>
                  <w:pPr>
                    <w:jc w:val="center"/>
                  </w:pPr>
                  <w:r>
                    <w:t>3</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 xml:space="preserve">NOx </w:t>
                  </w:r>
                </w:p>
              </w:tc>
              <w:tc>
                <w:tcPr>
                  <w:tcW w:w="992" w:type="dxa"/>
                </w:tcPr>
                <w:p>
                  <w:pPr>
                    <w:jc w:val="center"/>
                  </w:pPr>
                  <w:r>
                    <w:t>0.023</w:t>
                  </w:r>
                </w:p>
              </w:tc>
              <w:tc>
                <w:tcPr>
                  <w:tcW w:w="993" w:type="dxa"/>
                </w:tcPr>
                <w:p>
                  <w:pPr>
                    <w:jc w:val="center"/>
                  </w:pPr>
                  <w:r>
                    <w:t>2</w:t>
                  </w:r>
                </w:p>
              </w:tc>
              <w:tc>
                <w:tcPr>
                  <w:tcW w:w="1039" w:type="dxa"/>
                  <w:vMerge w:val="continue"/>
                </w:tcPr>
                <w:p>
                  <w:pPr>
                    <w:jc w:val="center"/>
                  </w:pPr>
                </w:p>
              </w:tc>
              <w:tc>
                <w:tcPr>
                  <w:tcW w:w="992" w:type="dxa"/>
                </w:tcPr>
                <w:p>
                  <w:pPr>
                    <w:jc w:val="center"/>
                  </w:pPr>
                  <w:r>
                    <w:t>0.023</w:t>
                  </w:r>
                </w:p>
              </w:tc>
              <w:tc>
                <w:tcPr>
                  <w:tcW w:w="1276" w:type="dxa"/>
                </w:tcPr>
                <w:p>
                  <w:pPr>
                    <w:jc w:val="center"/>
                  </w:pPr>
                  <w:r>
                    <w:t>2</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苯</w:t>
                  </w:r>
                </w:p>
              </w:tc>
              <w:tc>
                <w:tcPr>
                  <w:tcW w:w="992" w:type="dxa"/>
                </w:tcPr>
                <w:p>
                  <w:pPr>
                    <w:jc w:val="center"/>
                  </w:pPr>
                  <w:r>
                    <w:t>0.166</w:t>
                  </w:r>
                </w:p>
              </w:tc>
              <w:tc>
                <w:tcPr>
                  <w:tcW w:w="993" w:type="dxa"/>
                </w:tcPr>
                <w:p>
                  <w:pPr>
                    <w:jc w:val="center"/>
                  </w:pPr>
                  <w:r>
                    <w:t>1.68</w:t>
                  </w:r>
                </w:p>
              </w:tc>
              <w:tc>
                <w:tcPr>
                  <w:tcW w:w="1039" w:type="dxa"/>
                  <w:vMerge w:val="continue"/>
                </w:tcPr>
                <w:p>
                  <w:pPr>
                    <w:jc w:val="center"/>
                  </w:pPr>
                </w:p>
              </w:tc>
              <w:tc>
                <w:tcPr>
                  <w:tcW w:w="992" w:type="dxa"/>
                </w:tcPr>
                <w:p>
                  <w:pPr>
                    <w:jc w:val="center"/>
                  </w:pPr>
                  <w:r>
                    <w:t>0.0083</w:t>
                  </w:r>
                </w:p>
              </w:tc>
              <w:tc>
                <w:tcPr>
                  <w:tcW w:w="1276" w:type="dxa"/>
                </w:tcPr>
                <w:p>
                  <w:pPr>
                    <w:jc w:val="center"/>
                  </w:pPr>
                  <w:r>
                    <w:t>0.084</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甲苯</w:t>
                  </w:r>
                </w:p>
              </w:tc>
              <w:tc>
                <w:tcPr>
                  <w:tcW w:w="992" w:type="dxa"/>
                </w:tcPr>
                <w:p>
                  <w:pPr>
                    <w:jc w:val="center"/>
                  </w:pPr>
                  <w:r>
                    <w:t>0.0422</w:t>
                  </w:r>
                </w:p>
              </w:tc>
              <w:tc>
                <w:tcPr>
                  <w:tcW w:w="993" w:type="dxa"/>
                </w:tcPr>
                <w:p>
                  <w:pPr>
                    <w:jc w:val="center"/>
                  </w:pPr>
                  <w:r>
                    <w:t>4.02</w:t>
                  </w:r>
                </w:p>
              </w:tc>
              <w:tc>
                <w:tcPr>
                  <w:tcW w:w="1039" w:type="dxa"/>
                  <w:vMerge w:val="continue"/>
                </w:tcPr>
                <w:p>
                  <w:pPr>
                    <w:jc w:val="center"/>
                  </w:pPr>
                </w:p>
              </w:tc>
              <w:tc>
                <w:tcPr>
                  <w:tcW w:w="992" w:type="dxa"/>
                </w:tcPr>
                <w:p>
                  <w:pPr>
                    <w:jc w:val="center"/>
                  </w:pPr>
                  <w:r>
                    <w:t>0.00211</w:t>
                  </w:r>
                </w:p>
              </w:tc>
              <w:tc>
                <w:tcPr>
                  <w:tcW w:w="1276" w:type="dxa"/>
                </w:tcPr>
                <w:p>
                  <w:pPr>
                    <w:jc w:val="center"/>
                  </w:pPr>
                  <w:r>
                    <w:t>0.201</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二甲苯</w:t>
                  </w:r>
                </w:p>
              </w:tc>
              <w:tc>
                <w:tcPr>
                  <w:tcW w:w="992" w:type="dxa"/>
                </w:tcPr>
                <w:p>
                  <w:pPr>
                    <w:jc w:val="center"/>
                  </w:pPr>
                  <w:r>
                    <w:t>1.04</w:t>
                  </w:r>
                </w:p>
              </w:tc>
              <w:tc>
                <w:tcPr>
                  <w:tcW w:w="993" w:type="dxa"/>
                </w:tcPr>
                <w:p>
                  <w:pPr>
                    <w:jc w:val="center"/>
                  </w:pPr>
                  <w:r>
                    <w:t>98.6</w:t>
                  </w:r>
                </w:p>
              </w:tc>
              <w:tc>
                <w:tcPr>
                  <w:tcW w:w="1039" w:type="dxa"/>
                  <w:vMerge w:val="continue"/>
                </w:tcPr>
                <w:p>
                  <w:pPr>
                    <w:jc w:val="center"/>
                  </w:pPr>
                </w:p>
              </w:tc>
              <w:tc>
                <w:tcPr>
                  <w:tcW w:w="992" w:type="dxa"/>
                </w:tcPr>
                <w:p>
                  <w:pPr>
                    <w:jc w:val="center"/>
                  </w:pPr>
                  <w:r>
                    <w:t>0.052</w:t>
                  </w:r>
                </w:p>
              </w:tc>
              <w:tc>
                <w:tcPr>
                  <w:tcW w:w="1276" w:type="dxa"/>
                </w:tcPr>
                <w:p>
                  <w:pPr>
                    <w:jc w:val="center"/>
                  </w:pPr>
                  <w:r>
                    <w:t>4.93</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restart"/>
                </w:tcPr>
                <w:p>
                  <w:pPr>
                    <w:jc w:val="center"/>
                    <w:rPr>
                      <w:szCs w:val="21"/>
                    </w:rPr>
                  </w:pPr>
                  <w:r>
                    <w:rPr>
                      <w:szCs w:val="21"/>
                    </w:rPr>
                    <w:t>18#</w:t>
                  </w:r>
                </w:p>
              </w:tc>
              <w:tc>
                <w:tcPr>
                  <w:tcW w:w="992" w:type="dxa"/>
                </w:tcPr>
                <w:p>
                  <w:pPr>
                    <w:jc w:val="center"/>
                    <w:rPr>
                      <w:szCs w:val="21"/>
                    </w:rPr>
                  </w:pPr>
                  <w:r>
                    <w:rPr>
                      <w:szCs w:val="21"/>
                    </w:rPr>
                    <w:t>SO</w:t>
                  </w:r>
                  <w:r>
                    <w:rPr>
                      <w:szCs w:val="21"/>
                      <w:vertAlign w:val="subscript"/>
                    </w:rPr>
                    <w:t>2</w:t>
                  </w:r>
                </w:p>
              </w:tc>
              <w:tc>
                <w:tcPr>
                  <w:tcW w:w="992" w:type="dxa"/>
                </w:tcPr>
                <w:p>
                  <w:pPr>
                    <w:jc w:val="center"/>
                  </w:pPr>
                  <w:r>
                    <w:t>0.021</w:t>
                  </w:r>
                </w:p>
              </w:tc>
              <w:tc>
                <w:tcPr>
                  <w:tcW w:w="993" w:type="dxa"/>
                </w:tcPr>
                <w:p>
                  <w:pPr>
                    <w:jc w:val="center"/>
                  </w:pPr>
                  <w:r>
                    <w:t>3</w:t>
                  </w:r>
                </w:p>
              </w:tc>
              <w:tc>
                <w:tcPr>
                  <w:tcW w:w="1039" w:type="dxa"/>
                  <w:vMerge w:val="restart"/>
                </w:tcPr>
                <w:p>
                  <w:pPr>
                    <w:jc w:val="center"/>
                  </w:pPr>
                  <w:r>
                    <w:rPr>
                      <w:szCs w:val="21"/>
                    </w:rPr>
                    <w:t>8514</w:t>
                  </w:r>
                </w:p>
              </w:tc>
              <w:tc>
                <w:tcPr>
                  <w:tcW w:w="992" w:type="dxa"/>
                </w:tcPr>
                <w:p>
                  <w:pPr>
                    <w:jc w:val="center"/>
                  </w:pPr>
                  <w:r>
                    <w:t>0.021</w:t>
                  </w:r>
                </w:p>
              </w:tc>
              <w:tc>
                <w:tcPr>
                  <w:tcW w:w="1276" w:type="dxa"/>
                </w:tcPr>
                <w:p>
                  <w:pPr>
                    <w:jc w:val="center"/>
                  </w:pPr>
                  <w:r>
                    <w:t>0.021</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 xml:space="preserve">NOx </w:t>
                  </w:r>
                </w:p>
              </w:tc>
              <w:tc>
                <w:tcPr>
                  <w:tcW w:w="992" w:type="dxa"/>
                </w:tcPr>
                <w:p>
                  <w:pPr>
                    <w:jc w:val="center"/>
                  </w:pPr>
                  <w:r>
                    <w:t>0.032</w:t>
                  </w:r>
                </w:p>
              </w:tc>
              <w:tc>
                <w:tcPr>
                  <w:tcW w:w="993" w:type="dxa"/>
                </w:tcPr>
                <w:p>
                  <w:pPr>
                    <w:jc w:val="center"/>
                  </w:pPr>
                  <w:r>
                    <w:t>4</w:t>
                  </w:r>
                </w:p>
              </w:tc>
              <w:tc>
                <w:tcPr>
                  <w:tcW w:w="1039" w:type="dxa"/>
                  <w:vMerge w:val="continue"/>
                </w:tcPr>
                <w:p>
                  <w:pPr>
                    <w:jc w:val="center"/>
                  </w:pPr>
                </w:p>
              </w:tc>
              <w:tc>
                <w:tcPr>
                  <w:tcW w:w="992" w:type="dxa"/>
                </w:tcPr>
                <w:p>
                  <w:pPr>
                    <w:jc w:val="center"/>
                  </w:pPr>
                  <w:r>
                    <w:t>0.032</w:t>
                  </w:r>
                </w:p>
              </w:tc>
              <w:tc>
                <w:tcPr>
                  <w:tcW w:w="1276" w:type="dxa"/>
                </w:tcPr>
                <w:p>
                  <w:pPr>
                    <w:jc w:val="center"/>
                  </w:pPr>
                  <w:r>
                    <w:t>0.032</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苯</w:t>
                  </w:r>
                </w:p>
              </w:tc>
              <w:tc>
                <w:tcPr>
                  <w:tcW w:w="992" w:type="dxa"/>
                </w:tcPr>
                <w:p>
                  <w:pPr>
                    <w:jc w:val="center"/>
                  </w:pPr>
                  <w:r>
                    <w:t>0.001518</w:t>
                  </w:r>
                </w:p>
              </w:tc>
              <w:tc>
                <w:tcPr>
                  <w:tcW w:w="993" w:type="dxa"/>
                </w:tcPr>
                <w:p>
                  <w:pPr>
                    <w:jc w:val="center"/>
                  </w:pPr>
                  <w:r>
                    <w:t>0.2</w:t>
                  </w:r>
                </w:p>
              </w:tc>
              <w:tc>
                <w:tcPr>
                  <w:tcW w:w="1039" w:type="dxa"/>
                  <w:vMerge w:val="continue"/>
                </w:tcPr>
                <w:p>
                  <w:pPr>
                    <w:jc w:val="center"/>
                  </w:pPr>
                </w:p>
              </w:tc>
              <w:tc>
                <w:tcPr>
                  <w:tcW w:w="992" w:type="dxa"/>
                </w:tcPr>
                <w:p>
                  <w:pPr>
                    <w:jc w:val="center"/>
                  </w:pPr>
                  <w:r>
                    <w:t>0.0000759</w:t>
                  </w:r>
                </w:p>
              </w:tc>
              <w:tc>
                <w:tcPr>
                  <w:tcW w:w="1276" w:type="dxa"/>
                </w:tcPr>
                <w:p>
                  <w:pPr>
                    <w:jc w:val="center"/>
                  </w:pPr>
                  <w:r>
                    <w:t>0.0000759</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甲苯</w:t>
                  </w:r>
                </w:p>
              </w:tc>
              <w:tc>
                <w:tcPr>
                  <w:tcW w:w="992" w:type="dxa"/>
                </w:tcPr>
                <w:p>
                  <w:pPr>
                    <w:jc w:val="center"/>
                  </w:pPr>
                  <w:r>
                    <w:t>0.001518</w:t>
                  </w:r>
                </w:p>
              </w:tc>
              <w:tc>
                <w:tcPr>
                  <w:tcW w:w="993" w:type="dxa"/>
                </w:tcPr>
                <w:p>
                  <w:pPr>
                    <w:jc w:val="center"/>
                  </w:pPr>
                  <w:r>
                    <w:t>0.2</w:t>
                  </w:r>
                </w:p>
              </w:tc>
              <w:tc>
                <w:tcPr>
                  <w:tcW w:w="1039" w:type="dxa"/>
                  <w:vMerge w:val="continue"/>
                </w:tcPr>
                <w:p>
                  <w:pPr>
                    <w:jc w:val="center"/>
                  </w:pPr>
                </w:p>
              </w:tc>
              <w:tc>
                <w:tcPr>
                  <w:tcW w:w="992" w:type="dxa"/>
                </w:tcPr>
                <w:p>
                  <w:pPr>
                    <w:jc w:val="center"/>
                  </w:pPr>
                  <w:r>
                    <w:t>0.0000759</w:t>
                  </w:r>
                </w:p>
              </w:tc>
              <w:tc>
                <w:tcPr>
                  <w:tcW w:w="1276" w:type="dxa"/>
                </w:tcPr>
                <w:p>
                  <w:pPr>
                    <w:jc w:val="center"/>
                  </w:pPr>
                  <w:r>
                    <w:t>0.0000759</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二甲苯</w:t>
                  </w:r>
                </w:p>
              </w:tc>
              <w:tc>
                <w:tcPr>
                  <w:tcW w:w="992" w:type="dxa"/>
                </w:tcPr>
                <w:p>
                  <w:pPr>
                    <w:jc w:val="center"/>
                  </w:pPr>
                  <w:r>
                    <w:t>0.0606</w:t>
                  </w:r>
                </w:p>
              </w:tc>
              <w:tc>
                <w:tcPr>
                  <w:tcW w:w="993" w:type="dxa"/>
                </w:tcPr>
                <w:p>
                  <w:pPr>
                    <w:jc w:val="center"/>
                  </w:pPr>
                  <w:r>
                    <w:t>7.12</w:t>
                  </w:r>
                </w:p>
              </w:tc>
              <w:tc>
                <w:tcPr>
                  <w:tcW w:w="1039" w:type="dxa"/>
                  <w:vMerge w:val="continue"/>
                </w:tcPr>
                <w:p>
                  <w:pPr>
                    <w:jc w:val="center"/>
                  </w:pPr>
                </w:p>
              </w:tc>
              <w:tc>
                <w:tcPr>
                  <w:tcW w:w="992" w:type="dxa"/>
                </w:tcPr>
                <w:p>
                  <w:pPr>
                    <w:jc w:val="center"/>
                  </w:pPr>
                  <w:r>
                    <w:t>0.00303</w:t>
                  </w:r>
                </w:p>
              </w:tc>
              <w:tc>
                <w:tcPr>
                  <w:tcW w:w="1276" w:type="dxa"/>
                </w:tcPr>
                <w:p>
                  <w:pPr>
                    <w:jc w:val="center"/>
                  </w:pPr>
                  <w:r>
                    <w:t>0.00303</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restart"/>
                </w:tcPr>
                <w:p>
                  <w:pPr>
                    <w:jc w:val="center"/>
                    <w:rPr>
                      <w:szCs w:val="21"/>
                    </w:rPr>
                  </w:pPr>
                  <w:r>
                    <w:rPr>
                      <w:szCs w:val="21"/>
                    </w:rPr>
                    <w:t>19#</w:t>
                  </w:r>
                </w:p>
              </w:tc>
              <w:tc>
                <w:tcPr>
                  <w:tcW w:w="992" w:type="dxa"/>
                </w:tcPr>
                <w:p>
                  <w:pPr>
                    <w:jc w:val="center"/>
                    <w:rPr>
                      <w:szCs w:val="21"/>
                    </w:rPr>
                  </w:pPr>
                  <w:r>
                    <w:rPr>
                      <w:szCs w:val="21"/>
                    </w:rPr>
                    <w:t>SO</w:t>
                  </w:r>
                  <w:r>
                    <w:rPr>
                      <w:szCs w:val="21"/>
                      <w:vertAlign w:val="subscript"/>
                    </w:rPr>
                    <w:t>2</w:t>
                  </w:r>
                </w:p>
              </w:tc>
              <w:tc>
                <w:tcPr>
                  <w:tcW w:w="992" w:type="dxa"/>
                </w:tcPr>
                <w:p>
                  <w:pPr>
                    <w:jc w:val="center"/>
                    <w:rPr>
                      <w:szCs w:val="21"/>
                    </w:rPr>
                  </w:pPr>
                  <w:r>
                    <w:rPr>
                      <w:szCs w:val="21"/>
                    </w:rPr>
                    <w:t>0.021</w:t>
                  </w:r>
                </w:p>
              </w:tc>
              <w:tc>
                <w:tcPr>
                  <w:tcW w:w="993" w:type="dxa"/>
                </w:tcPr>
                <w:p>
                  <w:pPr>
                    <w:jc w:val="center"/>
                    <w:rPr>
                      <w:szCs w:val="21"/>
                    </w:rPr>
                  </w:pPr>
                  <w:r>
                    <w:rPr>
                      <w:szCs w:val="21"/>
                    </w:rPr>
                    <w:t>3</w:t>
                  </w:r>
                </w:p>
              </w:tc>
              <w:tc>
                <w:tcPr>
                  <w:tcW w:w="1039" w:type="dxa"/>
                  <w:vMerge w:val="restart"/>
                </w:tcPr>
                <w:p>
                  <w:pPr>
                    <w:jc w:val="center"/>
                    <w:rPr>
                      <w:szCs w:val="21"/>
                    </w:rPr>
                  </w:pPr>
                  <w:r>
                    <w:rPr>
                      <w:szCs w:val="21"/>
                    </w:rPr>
                    <w:t>8008</w:t>
                  </w:r>
                </w:p>
              </w:tc>
              <w:tc>
                <w:tcPr>
                  <w:tcW w:w="992" w:type="dxa"/>
                </w:tcPr>
                <w:p>
                  <w:pPr>
                    <w:jc w:val="center"/>
                    <w:rPr>
                      <w:szCs w:val="21"/>
                    </w:rPr>
                  </w:pPr>
                  <w:r>
                    <w:rPr>
                      <w:szCs w:val="21"/>
                    </w:rPr>
                    <w:t>0.021</w:t>
                  </w:r>
                </w:p>
              </w:tc>
              <w:tc>
                <w:tcPr>
                  <w:tcW w:w="1276" w:type="dxa"/>
                </w:tcPr>
                <w:p>
                  <w:pPr>
                    <w:jc w:val="center"/>
                    <w:rPr>
                      <w:szCs w:val="21"/>
                    </w:rPr>
                  </w:pPr>
                  <w:r>
                    <w:rPr>
                      <w:szCs w:val="21"/>
                    </w:rPr>
                    <w:t>3</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 xml:space="preserve">NOx </w:t>
                  </w:r>
                </w:p>
              </w:tc>
              <w:tc>
                <w:tcPr>
                  <w:tcW w:w="992" w:type="dxa"/>
                </w:tcPr>
                <w:p>
                  <w:pPr>
                    <w:jc w:val="center"/>
                    <w:rPr>
                      <w:szCs w:val="21"/>
                    </w:rPr>
                  </w:pPr>
                  <w:r>
                    <w:rPr>
                      <w:szCs w:val="21"/>
                    </w:rPr>
                    <w:t>0.018</w:t>
                  </w:r>
                </w:p>
              </w:tc>
              <w:tc>
                <w:tcPr>
                  <w:tcW w:w="993" w:type="dxa"/>
                </w:tcPr>
                <w:p>
                  <w:pPr>
                    <w:jc w:val="center"/>
                    <w:rPr>
                      <w:szCs w:val="21"/>
                    </w:rPr>
                  </w:pPr>
                  <w:r>
                    <w:rPr>
                      <w:szCs w:val="21"/>
                    </w:rPr>
                    <w:t>2</w:t>
                  </w:r>
                </w:p>
              </w:tc>
              <w:tc>
                <w:tcPr>
                  <w:tcW w:w="1039" w:type="dxa"/>
                  <w:vMerge w:val="continue"/>
                </w:tcPr>
                <w:p>
                  <w:pPr>
                    <w:jc w:val="center"/>
                    <w:rPr>
                      <w:szCs w:val="21"/>
                    </w:rPr>
                  </w:pPr>
                </w:p>
              </w:tc>
              <w:tc>
                <w:tcPr>
                  <w:tcW w:w="992" w:type="dxa"/>
                </w:tcPr>
                <w:p>
                  <w:pPr>
                    <w:jc w:val="center"/>
                    <w:rPr>
                      <w:szCs w:val="21"/>
                    </w:rPr>
                  </w:pPr>
                  <w:r>
                    <w:rPr>
                      <w:szCs w:val="21"/>
                    </w:rPr>
                    <w:t>0.018</w:t>
                  </w:r>
                </w:p>
              </w:tc>
              <w:tc>
                <w:tcPr>
                  <w:tcW w:w="1276" w:type="dxa"/>
                </w:tcPr>
                <w:p>
                  <w:pPr>
                    <w:jc w:val="center"/>
                    <w:rPr>
                      <w:szCs w:val="21"/>
                    </w:rPr>
                  </w:pPr>
                  <w:r>
                    <w:rPr>
                      <w:szCs w:val="21"/>
                    </w:rPr>
                    <w:t>2</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苯</w:t>
                  </w:r>
                </w:p>
              </w:tc>
              <w:tc>
                <w:tcPr>
                  <w:tcW w:w="992" w:type="dxa"/>
                </w:tcPr>
                <w:p>
                  <w:pPr>
                    <w:jc w:val="center"/>
                    <w:rPr>
                      <w:szCs w:val="21"/>
                    </w:rPr>
                  </w:pPr>
                  <w:r>
                    <w:rPr>
                      <w:szCs w:val="21"/>
                    </w:rPr>
                    <w:t>0.0206</w:t>
                  </w:r>
                </w:p>
              </w:tc>
              <w:tc>
                <w:tcPr>
                  <w:tcW w:w="993" w:type="dxa"/>
                </w:tcPr>
                <w:p>
                  <w:pPr>
                    <w:jc w:val="center"/>
                    <w:rPr>
                      <w:szCs w:val="21"/>
                    </w:rPr>
                  </w:pPr>
                  <w:r>
                    <w:rPr>
                      <w:szCs w:val="21"/>
                    </w:rPr>
                    <w:t>2.58</w:t>
                  </w:r>
                </w:p>
              </w:tc>
              <w:tc>
                <w:tcPr>
                  <w:tcW w:w="1039" w:type="dxa"/>
                  <w:vMerge w:val="continue"/>
                </w:tcPr>
                <w:p>
                  <w:pPr>
                    <w:jc w:val="center"/>
                    <w:rPr>
                      <w:szCs w:val="21"/>
                    </w:rPr>
                  </w:pPr>
                </w:p>
              </w:tc>
              <w:tc>
                <w:tcPr>
                  <w:tcW w:w="992" w:type="dxa"/>
                </w:tcPr>
                <w:p>
                  <w:pPr>
                    <w:jc w:val="center"/>
                    <w:rPr>
                      <w:szCs w:val="21"/>
                    </w:rPr>
                  </w:pPr>
                  <w:r>
                    <w:rPr>
                      <w:szCs w:val="21"/>
                    </w:rPr>
                    <w:t>0.00103</w:t>
                  </w:r>
                </w:p>
              </w:tc>
              <w:tc>
                <w:tcPr>
                  <w:tcW w:w="1276" w:type="dxa"/>
                </w:tcPr>
                <w:p>
                  <w:pPr>
                    <w:jc w:val="center"/>
                    <w:rPr>
                      <w:szCs w:val="21"/>
                    </w:rPr>
                  </w:pPr>
                  <w:r>
                    <w:rPr>
                      <w:szCs w:val="21"/>
                    </w:rPr>
                    <w:t>0.129</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甲苯</w:t>
                  </w:r>
                </w:p>
              </w:tc>
              <w:tc>
                <w:tcPr>
                  <w:tcW w:w="992" w:type="dxa"/>
                </w:tcPr>
                <w:p>
                  <w:pPr>
                    <w:jc w:val="center"/>
                    <w:rPr>
                      <w:szCs w:val="21"/>
                    </w:rPr>
                  </w:pPr>
                  <w:r>
                    <w:rPr>
                      <w:szCs w:val="21"/>
                    </w:rPr>
                    <w:t>0.036</w:t>
                  </w:r>
                </w:p>
              </w:tc>
              <w:tc>
                <w:tcPr>
                  <w:tcW w:w="993" w:type="dxa"/>
                </w:tcPr>
                <w:p>
                  <w:pPr>
                    <w:jc w:val="center"/>
                    <w:rPr>
                      <w:szCs w:val="21"/>
                    </w:rPr>
                  </w:pPr>
                  <w:r>
                    <w:rPr>
                      <w:szCs w:val="21"/>
                    </w:rPr>
                    <w:t>4.48</w:t>
                  </w:r>
                </w:p>
              </w:tc>
              <w:tc>
                <w:tcPr>
                  <w:tcW w:w="1039" w:type="dxa"/>
                  <w:vMerge w:val="continue"/>
                </w:tcPr>
                <w:p>
                  <w:pPr>
                    <w:jc w:val="center"/>
                    <w:rPr>
                      <w:szCs w:val="21"/>
                    </w:rPr>
                  </w:pPr>
                </w:p>
              </w:tc>
              <w:tc>
                <w:tcPr>
                  <w:tcW w:w="992" w:type="dxa"/>
                </w:tcPr>
                <w:p>
                  <w:pPr>
                    <w:jc w:val="center"/>
                    <w:rPr>
                      <w:szCs w:val="21"/>
                    </w:rPr>
                  </w:pPr>
                  <w:r>
                    <w:rPr>
                      <w:szCs w:val="21"/>
                    </w:rPr>
                    <w:t>0.0018</w:t>
                  </w:r>
                </w:p>
              </w:tc>
              <w:tc>
                <w:tcPr>
                  <w:tcW w:w="1276" w:type="dxa"/>
                </w:tcPr>
                <w:p>
                  <w:pPr>
                    <w:jc w:val="center"/>
                    <w:rPr>
                      <w:szCs w:val="21"/>
                    </w:rPr>
                  </w:pPr>
                  <w:r>
                    <w:rPr>
                      <w:szCs w:val="21"/>
                    </w:rPr>
                    <w:t>0.224</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二甲苯</w:t>
                  </w:r>
                </w:p>
              </w:tc>
              <w:tc>
                <w:tcPr>
                  <w:tcW w:w="992" w:type="dxa"/>
                </w:tcPr>
                <w:p>
                  <w:pPr>
                    <w:jc w:val="center"/>
                    <w:rPr>
                      <w:szCs w:val="21"/>
                    </w:rPr>
                  </w:pPr>
                  <w:r>
                    <w:rPr>
                      <w:szCs w:val="21"/>
                    </w:rPr>
                    <w:t>2.68</w:t>
                  </w:r>
                </w:p>
              </w:tc>
              <w:tc>
                <w:tcPr>
                  <w:tcW w:w="993" w:type="dxa"/>
                </w:tcPr>
                <w:p>
                  <w:pPr>
                    <w:jc w:val="center"/>
                    <w:rPr>
                      <w:szCs w:val="21"/>
                    </w:rPr>
                  </w:pPr>
                  <w:r>
                    <w:rPr>
                      <w:szCs w:val="21"/>
                    </w:rPr>
                    <w:t>334</w:t>
                  </w:r>
                </w:p>
              </w:tc>
              <w:tc>
                <w:tcPr>
                  <w:tcW w:w="1039" w:type="dxa"/>
                  <w:vMerge w:val="continue"/>
                </w:tcPr>
                <w:p>
                  <w:pPr>
                    <w:jc w:val="center"/>
                    <w:rPr>
                      <w:szCs w:val="21"/>
                    </w:rPr>
                  </w:pPr>
                </w:p>
              </w:tc>
              <w:tc>
                <w:tcPr>
                  <w:tcW w:w="992" w:type="dxa"/>
                </w:tcPr>
                <w:p>
                  <w:pPr>
                    <w:jc w:val="center"/>
                    <w:rPr>
                      <w:szCs w:val="21"/>
                    </w:rPr>
                  </w:pPr>
                  <w:r>
                    <w:rPr>
                      <w:szCs w:val="21"/>
                    </w:rPr>
                    <w:t>0.134</w:t>
                  </w:r>
                </w:p>
              </w:tc>
              <w:tc>
                <w:tcPr>
                  <w:tcW w:w="1276" w:type="dxa"/>
                </w:tcPr>
                <w:p>
                  <w:pPr>
                    <w:jc w:val="center"/>
                    <w:rPr>
                      <w:szCs w:val="21"/>
                    </w:rPr>
                  </w:pPr>
                  <w:r>
                    <w:rPr>
                      <w:szCs w:val="21"/>
                    </w:rPr>
                    <w:t>16.7</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restart"/>
                </w:tcPr>
                <w:p>
                  <w:pPr>
                    <w:jc w:val="center"/>
                    <w:rPr>
                      <w:szCs w:val="21"/>
                    </w:rPr>
                  </w:pPr>
                  <w:r>
                    <w:rPr>
                      <w:szCs w:val="21"/>
                    </w:rPr>
                    <w:t>20#</w:t>
                  </w:r>
                </w:p>
              </w:tc>
              <w:tc>
                <w:tcPr>
                  <w:tcW w:w="992" w:type="dxa"/>
                </w:tcPr>
                <w:p>
                  <w:pPr>
                    <w:jc w:val="center"/>
                    <w:rPr>
                      <w:szCs w:val="21"/>
                    </w:rPr>
                  </w:pPr>
                  <w:r>
                    <w:rPr>
                      <w:szCs w:val="21"/>
                    </w:rPr>
                    <w:t>SO</w:t>
                  </w:r>
                  <w:r>
                    <w:rPr>
                      <w:szCs w:val="21"/>
                      <w:vertAlign w:val="subscript"/>
                    </w:rPr>
                    <w:t>2</w:t>
                  </w:r>
                </w:p>
              </w:tc>
              <w:tc>
                <w:tcPr>
                  <w:tcW w:w="992" w:type="dxa"/>
                </w:tcPr>
                <w:p>
                  <w:pPr>
                    <w:jc w:val="center"/>
                    <w:rPr>
                      <w:szCs w:val="21"/>
                    </w:rPr>
                  </w:pPr>
                  <w:r>
                    <w:rPr>
                      <w:szCs w:val="21"/>
                    </w:rPr>
                    <w:t>0.064</w:t>
                  </w:r>
                </w:p>
              </w:tc>
              <w:tc>
                <w:tcPr>
                  <w:tcW w:w="993" w:type="dxa"/>
                </w:tcPr>
                <w:p>
                  <w:pPr>
                    <w:jc w:val="center"/>
                    <w:rPr>
                      <w:szCs w:val="21"/>
                    </w:rPr>
                  </w:pPr>
                  <w:r>
                    <w:rPr>
                      <w:szCs w:val="21"/>
                    </w:rPr>
                    <w:t>2</w:t>
                  </w:r>
                </w:p>
              </w:tc>
              <w:tc>
                <w:tcPr>
                  <w:tcW w:w="1039" w:type="dxa"/>
                  <w:vMerge w:val="restart"/>
                </w:tcPr>
                <w:p>
                  <w:pPr>
                    <w:jc w:val="center"/>
                    <w:rPr>
                      <w:szCs w:val="21"/>
                    </w:rPr>
                  </w:pPr>
                  <w:r>
                    <w:rPr>
                      <w:szCs w:val="21"/>
                    </w:rPr>
                    <w:t>29588</w:t>
                  </w:r>
                </w:p>
              </w:tc>
              <w:tc>
                <w:tcPr>
                  <w:tcW w:w="992" w:type="dxa"/>
                </w:tcPr>
                <w:p>
                  <w:pPr>
                    <w:jc w:val="center"/>
                    <w:rPr>
                      <w:szCs w:val="21"/>
                    </w:rPr>
                  </w:pPr>
                  <w:r>
                    <w:rPr>
                      <w:szCs w:val="21"/>
                    </w:rPr>
                    <w:t>0.064</w:t>
                  </w:r>
                </w:p>
              </w:tc>
              <w:tc>
                <w:tcPr>
                  <w:tcW w:w="1276" w:type="dxa"/>
                </w:tcPr>
                <w:p>
                  <w:pPr>
                    <w:jc w:val="center"/>
                    <w:rPr>
                      <w:szCs w:val="21"/>
                    </w:rPr>
                  </w:pPr>
                  <w:r>
                    <w:rPr>
                      <w:szCs w:val="21"/>
                    </w:rPr>
                    <w:t>2</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 xml:space="preserve">NOx </w:t>
                  </w:r>
                </w:p>
              </w:tc>
              <w:tc>
                <w:tcPr>
                  <w:tcW w:w="992" w:type="dxa"/>
                </w:tcPr>
                <w:p>
                  <w:pPr>
                    <w:jc w:val="center"/>
                    <w:rPr>
                      <w:szCs w:val="21"/>
                    </w:rPr>
                  </w:pPr>
                  <w:r>
                    <w:rPr>
                      <w:szCs w:val="21"/>
                    </w:rPr>
                    <w:t>0.083</w:t>
                  </w:r>
                </w:p>
              </w:tc>
              <w:tc>
                <w:tcPr>
                  <w:tcW w:w="993" w:type="dxa"/>
                </w:tcPr>
                <w:p>
                  <w:pPr>
                    <w:jc w:val="center"/>
                    <w:rPr>
                      <w:szCs w:val="21"/>
                    </w:rPr>
                  </w:pPr>
                  <w:r>
                    <w:rPr>
                      <w:szCs w:val="21"/>
                    </w:rPr>
                    <w:t>3</w:t>
                  </w:r>
                </w:p>
              </w:tc>
              <w:tc>
                <w:tcPr>
                  <w:tcW w:w="1039" w:type="dxa"/>
                  <w:vMerge w:val="continue"/>
                </w:tcPr>
                <w:p>
                  <w:pPr>
                    <w:jc w:val="center"/>
                    <w:rPr>
                      <w:szCs w:val="21"/>
                    </w:rPr>
                  </w:pPr>
                </w:p>
              </w:tc>
              <w:tc>
                <w:tcPr>
                  <w:tcW w:w="992" w:type="dxa"/>
                </w:tcPr>
                <w:p>
                  <w:pPr>
                    <w:jc w:val="center"/>
                    <w:rPr>
                      <w:szCs w:val="21"/>
                    </w:rPr>
                  </w:pPr>
                  <w:r>
                    <w:rPr>
                      <w:szCs w:val="21"/>
                    </w:rPr>
                    <w:t>0.083</w:t>
                  </w:r>
                </w:p>
              </w:tc>
              <w:tc>
                <w:tcPr>
                  <w:tcW w:w="1276" w:type="dxa"/>
                </w:tcPr>
                <w:p>
                  <w:pPr>
                    <w:jc w:val="center"/>
                    <w:rPr>
                      <w:szCs w:val="21"/>
                    </w:rPr>
                  </w:pPr>
                  <w:r>
                    <w:rPr>
                      <w:szCs w:val="21"/>
                    </w:rPr>
                    <w:t>3</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苯</w:t>
                  </w:r>
                </w:p>
              </w:tc>
              <w:tc>
                <w:tcPr>
                  <w:tcW w:w="992" w:type="dxa"/>
                </w:tcPr>
                <w:p>
                  <w:pPr>
                    <w:jc w:val="center"/>
                    <w:rPr>
                      <w:szCs w:val="21"/>
                    </w:rPr>
                  </w:pPr>
                  <w:r>
                    <w:rPr>
                      <w:szCs w:val="21"/>
                    </w:rPr>
                    <w:t>0.0494</w:t>
                  </w:r>
                </w:p>
              </w:tc>
              <w:tc>
                <w:tcPr>
                  <w:tcW w:w="993" w:type="dxa"/>
                </w:tcPr>
                <w:p>
                  <w:pPr>
                    <w:jc w:val="center"/>
                    <w:rPr>
                      <w:szCs w:val="21"/>
                    </w:rPr>
                  </w:pPr>
                  <w:r>
                    <w:rPr>
                      <w:szCs w:val="21"/>
                    </w:rPr>
                    <w:t>1.66</w:t>
                  </w:r>
                </w:p>
              </w:tc>
              <w:tc>
                <w:tcPr>
                  <w:tcW w:w="1039" w:type="dxa"/>
                  <w:vMerge w:val="continue"/>
                </w:tcPr>
                <w:p>
                  <w:pPr>
                    <w:jc w:val="center"/>
                    <w:rPr>
                      <w:szCs w:val="21"/>
                    </w:rPr>
                  </w:pPr>
                </w:p>
              </w:tc>
              <w:tc>
                <w:tcPr>
                  <w:tcW w:w="992" w:type="dxa"/>
                </w:tcPr>
                <w:p>
                  <w:pPr>
                    <w:jc w:val="center"/>
                    <w:rPr>
                      <w:szCs w:val="21"/>
                    </w:rPr>
                  </w:pPr>
                  <w:r>
                    <w:rPr>
                      <w:szCs w:val="21"/>
                    </w:rPr>
                    <w:t>0.00247</w:t>
                  </w:r>
                </w:p>
              </w:tc>
              <w:tc>
                <w:tcPr>
                  <w:tcW w:w="1276" w:type="dxa"/>
                </w:tcPr>
                <w:p>
                  <w:pPr>
                    <w:jc w:val="center"/>
                    <w:rPr>
                      <w:szCs w:val="21"/>
                    </w:rPr>
                  </w:pPr>
                  <w:r>
                    <w:rPr>
                      <w:szCs w:val="21"/>
                    </w:rPr>
                    <w:t>0.083</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甲苯</w:t>
                  </w:r>
                </w:p>
              </w:tc>
              <w:tc>
                <w:tcPr>
                  <w:tcW w:w="992" w:type="dxa"/>
                </w:tcPr>
                <w:p>
                  <w:pPr>
                    <w:jc w:val="center"/>
                    <w:rPr>
                      <w:szCs w:val="21"/>
                    </w:rPr>
                  </w:pPr>
                  <w:r>
                    <w:rPr>
                      <w:szCs w:val="21"/>
                    </w:rPr>
                    <w:t>0.107</w:t>
                  </w:r>
                </w:p>
              </w:tc>
              <w:tc>
                <w:tcPr>
                  <w:tcW w:w="993" w:type="dxa"/>
                </w:tcPr>
                <w:p>
                  <w:pPr>
                    <w:jc w:val="center"/>
                    <w:rPr>
                      <w:szCs w:val="21"/>
                    </w:rPr>
                  </w:pPr>
                  <w:r>
                    <w:rPr>
                      <w:szCs w:val="21"/>
                    </w:rPr>
                    <w:t>3.62</w:t>
                  </w:r>
                </w:p>
              </w:tc>
              <w:tc>
                <w:tcPr>
                  <w:tcW w:w="1039" w:type="dxa"/>
                  <w:vMerge w:val="continue"/>
                </w:tcPr>
                <w:p>
                  <w:pPr>
                    <w:jc w:val="center"/>
                    <w:rPr>
                      <w:szCs w:val="21"/>
                    </w:rPr>
                  </w:pPr>
                </w:p>
              </w:tc>
              <w:tc>
                <w:tcPr>
                  <w:tcW w:w="992" w:type="dxa"/>
                </w:tcPr>
                <w:p>
                  <w:pPr>
                    <w:jc w:val="center"/>
                    <w:rPr>
                      <w:szCs w:val="21"/>
                    </w:rPr>
                  </w:pPr>
                  <w:r>
                    <w:rPr>
                      <w:szCs w:val="21"/>
                    </w:rPr>
                    <w:t>0.00535</w:t>
                  </w:r>
                </w:p>
              </w:tc>
              <w:tc>
                <w:tcPr>
                  <w:tcW w:w="1276" w:type="dxa"/>
                </w:tcPr>
                <w:p>
                  <w:pPr>
                    <w:jc w:val="center"/>
                    <w:rPr>
                      <w:szCs w:val="21"/>
                    </w:rPr>
                  </w:pPr>
                  <w:r>
                    <w:rPr>
                      <w:szCs w:val="21"/>
                    </w:rPr>
                    <w:t>0.181</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二甲苯</w:t>
                  </w:r>
                </w:p>
              </w:tc>
              <w:tc>
                <w:tcPr>
                  <w:tcW w:w="992" w:type="dxa"/>
                </w:tcPr>
                <w:p>
                  <w:pPr>
                    <w:jc w:val="center"/>
                    <w:rPr>
                      <w:szCs w:val="21"/>
                    </w:rPr>
                  </w:pPr>
                  <w:r>
                    <w:rPr>
                      <w:szCs w:val="21"/>
                    </w:rPr>
                    <w:t>1.18</w:t>
                  </w:r>
                </w:p>
              </w:tc>
              <w:tc>
                <w:tcPr>
                  <w:tcW w:w="993" w:type="dxa"/>
                </w:tcPr>
                <w:p>
                  <w:pPr>
                    <w:jc w:val="center"/>
                    <w:rPr>
                      <w:szCs w:val="21"/>
                    </w:rPr>
                  </w:pPr>
                  <w:r>
                    <w:rPr>
                      <w:szCs w:val="21"/>
                    </w:rPr>
                    <w:t>40</w:t>
                  </w:r>
                </w:p>
              </w:tc>
              <w:tc>
                <w:tcPr>
                  <w:tcW w:w="1039" w:type="dxa"/>
                  <w:vMerge w:val="continue"/>
                </w:tcPr>
                <w:p>
                  <w:pPr>
                    <w:jc w:val="center"/>
                    <w:rPr>
                      <w:szCs w:val="21"/>
                    </w:rPr>
                  </w:pPr>
                </w:p>
              </w:tc>
              <w:tc>
                <w:tcPr>
                  <w:tcW w:w="992" w:type="dxa"/>
                </w:tcPr>
                <w:p>
                  <w:pPr>
                    <w:jc w:val="center"/>
                    <w:rPr>
                      <w:szCs w:val="21"/>
                    </w:rPr>
                  </w:pPr>
                  <w:r>
                    <w:rPr>
                      <w:szCs w:val="21"/>
                    </w:rPr>
                    <w:t>0.059</w:t>
                  </w:r>
                </w:p>
              </w:tc>
              <w:tc>
                <w:tcPr>
                  <w:tcW w:w="1276" w:type="dxa"/>
                </w:tcPr>
                <w:p>
                  <w:pPr>
                    <w:jc w:val="center"/>
                    <w:rPr>
                      <w:szCs w:val="21"/>
                    </w:rPr>
                  </w:pPr>
                  <w:r>
                    <w:rPr>
                      <w:szCs w:val="21"/>
                    </w:rPr>
                    <w:t>2</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restart"/>
                </w:tcPr>
                <w:p>
                  <w:pPr>
                    <w:jc w:val="center"/>
                    <w:rPr>
                      <w:szCs w:val="21"/>
                    </w:rPr>
                  </w:pPr>
                  <w:r>
                    <w:rPr>
                      <w:szCs w:val="21"/>
                    </w:rPr>
                    <w:t>21#</w:t>
                  </w:r>
                </w:p>
              </w:tc>
              <w:tc>
                <w:tcPr>
                  <w:tcW w:w="992" w:type="dxa"/>
                </w:tcPr>
                <w:p>
                  <w:pPr>
                    <w:jc w:val="center"/>
                    <w:rPr>
                      <w:szCs w:val="21"/>
                    </w:rPr>
                  </w:pPr>
                  <w:r>
                    <w:rPr>
                      <w:szCs w:val="21"/>
                    </w:rPr>
                    <w:t>SO</w:t>
                  </w:r>
                  <w:r>
                    <w:rPr>
                      <w:szCs w:val="21"/>
                      <w:vertAlign w:val="subscript"/>
                    </w:rPr>
                    <w:t>2</w:t>
                  </w:r>
                </w:p>
              </w:tc>
              <w:tc>
                <w:tcPr>
                  <w:tcW w:w="992" w:type="dxa"/>
                </w:tcPr>
                <w:p>
                  <w:pPr>
                    <w:jc w:val="center"/>
                    <w:rPr>
                      <w:szCs w:val="21"/>
                    </w:rPr>
                  </w:pPr>
                  <w:r>
                    <w:rPr>
                      <w:szCs w:val="21"/>
                    </w:rPr>
                    <w:t>0.021</w:t>
                  </w:r>
                </w:p>
              </w:tc>
              <w:tc>
                <w:tcPr>
                  <w:tcW w:w="993" w:type="dxa"/>
                </w:tcPr>
                <w:p>
                  <w:pPr>
                    <w:jc w:val="center"/>
                    <w:rPr>
                      <w:szCs w:val="21"/>
                    </w:rPr>
                  </w:pPr>
                  <w:r>
                    <w:rPr>
                      <w:szCs w:val="21"/>
                    </w:rPr>
                    <w:t>3</w:t>
                  </w:r>
                </w:p>
              </w:tc>
              <w:tc>
                <w:tcPr>
                  <w:tcW w:w="1039" w:type="dxa"/>
                  <w:vMerge w:val="restart"/>
                </w:tcPr>
                <w:p>
                  <w:pPr>
                    <w:jc w:val="center"/>
                    <w:rPr>
                      <w:szCs w:val="21"/>
                    </w:rPr>
                  </w:pPr>
                  <w:r>
                    <w:rPr>
                      <w:szCs w:val="21"/>
                    </w:rPr>
                    <w:t>7358</w:t>
                  </w:r>
                </w:p>
              </w:tc>
              <w:tc>
                <w:tcPr>
                  <w:tcW w:w="992" w:type="dxa"/>
                </w:tcPr>
                <w:p>
                  <w:pPr>
                    <w:jc w:val="center"/>
                    <w:rPr>
                      <w:szCs w:val="21"/>
                    </w:rPr>
                  </w:pPr>
                  <w:r>
                    <w:rPr>
                      <w:szCs w:val="21"/>
                    </w:rPr>
                    <w:t>0.021</w:t>
                  </w:r>
                </w:p>
              </w:tc>
              <w:tc>
                <w:tcPr>
                  <w:tcW w:w="1276" w:type="dxa"/>
                </w:tcPr>
                <w:p>
                  <w:pPr>
                    <w:jc w:val="center"/>
                    <w:rPr>
                      <w:szCs w:val="21"/>
                    </w:rPr>
                  </w:pPr>
                  <w:r>
                    <w:rPr>
                      <w:szCs w:val="21"/>
                    </w:rPr>
                    <w:t>3</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 xml:space="preserve">NOx </w:t>
                  </w:r>
                </w:p>
              </w:tc>
              <w:tc>
                <w:tcPr>
                  <w:tcW w:w="992" w:type="dxa"/>
                </w:tcPr>
                <w:p>
                  <w:pPr>
                    <w:jc w:val="center"/>
                    <w:rPr>
                      <w:szCs w:val="21"/>
                    </w:rPr>
                  </w:pPr>
                  <w:r>
                    <w:rPr>
                      <w:szCs w:val="21"/>
                    </w:rPr>
                    <w:t>0.022</w:t>
                  </w:r>
                </w:p>
              </w:tc>
              <w:tc>
                <w:tcPr>
                  <w:tcW w:w="993" w:type="dxa"/>
                </w:tcPr>
                <w:p>
                  <w:pPr>
                    <w:jc w:val="center"/>
                    <w:rPr>
                      <w:szCs w:val="21"/>
                    </w:rPr>
                  </w:pPr>
                  <w:r>
                    <w:rPr>
                      <w:szCs w:val="21"/>
                    </w:rPr>
                    <w:t>3</w:t>
                  </w:r>
                </w:p>
              </w:tc>
              <w:tc>
                <w:tcPr>
                  <w:tcW w:w="1039" w:type="dxa"/>
                  <w:vMerge w:val="continue"/>
                </w:tcPr>
                <w:p>
                  <w:pPr>
                    <w:jc w:val="center"/>
                    <w:rPr>
                      <w:szCs w:val="21"/>
                    </w:rPr>
                  </w:pPr>
                </w:p>
              </w:tc>
              <w:tc>
                <w:tcPr>
                  <w:tcW w:w="992" w:type="dxa"/>
                </w:tcPr>
                <w:p>
                  <w:pPr>
                    <w:jc w:val="center"/>
                    <w:rPr>
                      <w:szCs w:val="21"/>
                    </w:rPr>
                  </w:pPr>
                  <w:r>
                    <w:rPr>
                      <w:szCs w:val="21"/>
                    </w:rPr>
                    <w:t>0.022</w:t>
                  </w:r>
                </w:p>
              </w:tc>
              <w:tc>
                <w:tcPr>
                  <w:tcW w:w="1276" w:type="dxa"/>
                </w:tcPr>
                <w:p>
                  <w:pPr>
                    <w:jc w:val="center"/>
                    <w:rPr>
                      <w:szCs w:val="21"/>
                    </w:rPr>
                  </w:pPr>
                  <w:r>
                    <w:rPr>
                      <w:szCs w:val="21"/>
                    </w:rPr>
                    <w:t>3</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苯</w:t>
                  </w:r>
                </w:p>
              </w:tc>
              <w:tc>
                <w:tcPr>
                  <w:tcW w:w="992" w:type="dxa"/>
                </w:tcPr>
                <w:p>
                  <w:pPr>
                    <w:jc w:val="center"/>
                    <w:rPr>
                      <w:szCs w:val="21"/>
                    </w:rPr>
                  </w:pPr>
                  <w:r>
                    <w:rPr>
                      <w:szCs w:val="21"/>
                    </w:rPr>
                    <w:t>0.01616</w:t>
                  </w:r>
                </w:p>
              </w:tc>
              <w:tc>
                <w:tcPr>
                  <w:tcW w:w="993" w:type="dxa"/>
                </w:tcPr>
                <w:p>
                  <w:pPr>
                    <w:jc w:val="center"/>
                    <w:rPr>
                      <w:szCs w:val="21"/>
                    </w:rPr>
                  </w:pPr>
                  <w:r>
                    <w:rPr>
                      <w:szCs w:val="21"/>
                    </w:rPr>
                    <w:t>2.2</w:t>
                  </w:r>
                </w:p>
              </w:tc>
              <w:tc>
                <w:tcPr>
                  <w:tcW w:w="1039" w:type="dxa"/>
                  <w:vMerge w:val="continue"/>
                </w:tcPr>
                <w:p>
                  <w:pPr>
                    <w:jc w:val="center"/>
                    <w:rPr>
                      <w:szCs w:val="21"/>
                    </w:rPr>
                  </w:pPr>
                </w:p>
              </w:tc>
              <w:tc>
                <w:tcPr>
                  <w:tcW w:w="992" w:type="dxa"/>
                </w:tcPr>
                <w:p>
                  <w:pPr>
                    <w:jc w:val="center"/>
                    <w:rPr>
                      <w:szCs w:val="21"/>
                    </w:rPr>
                  </w:pPr>
                  <w:r>
                    <w:rPr>
                      <w:szCs w:val="21"/>
                    </w:rPr>
                    <w:t>0.000808</w:t>
                  </w:r>
                </w:p>
              </w:tc>
              <w:tc>
                <w:tcPr>
                  <w:tcW w:w="1276" w:type="dxa"/>
                </w:tcPr>
                <w:p>
                  <w:pPr>
                    <w:jc w:val="center"/>
                    <w:rPr>
                      <w:szCs w:val="21"/>
                    </w:rPr>
                  </w:pPr>
                  <w:r>
                    <w:rPr>
                      <w:szCs w:val="21"/>
                    </w:rPr>
                    <w:t>0.11</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甲苯</w:t>
                  </w:r>
                </w:p>
              </w:tc>
              <w:tc>
                <w:tcPr>
                  <w:tcW w:w="992" w:type="dxa"/>
                </w:tcPr>
                <w:p>
                  <w:pPr>
                    <w:jc w:val="center"/>
                    <w:rPr>
                      <w:szCs w:val="21"/>
                    </w:rPr>
                  </w:pPr>
                  <w:r>
                    <w:rPr>
                      <w:szCs w:val="21"/>
                    </w:rPr>
                    <w:t>0.0294</w:t>
                  </w:r>
                </w:p>
              </w:tc>
              <w:tc>
                <w:tcPr>
                  <w:tcW w:w="993" w:type="dxa"/>
                </w:tcPr>
                <w:p>
                  <w:pPr>
                    <w:jc w:val="center"/>
                    <w:rPr>
                      <w:szCs w:val="21"/>
                    </w:rPr>
                  </w:pPr>
                  <w:r>
                    <w:rPr>
                      <w:szCs w:val="21"/>
                    </w:rPr>
                    <w:t>4</w:t>
                  </w:r>
                </w:p>
              </w:tc>
              <w:tc>
                <w:tcPr>
                  <w:tcW w:w="1039" w:type="dxa"/>
                  <w:vMerge w:val="continue"/>
                </w:tcPr>
                <w:p>
                  <w:pPr>
                    <w:jc w:val="center"/>
                    <w:rPr>
                      <w:szCs w:val="21"/>
                    </w:rPr>
                  </w:pPr>
                </w:p>
              </w:tc>
              <w:tc>
                <w:tcPr>
                  <w:tcW w:w="992" w:type="dxa"/>
                </w:tcPr>
                <w:p>
                  <w:pPr>
                    <w:jc w:val="center"/>
                    <w:rPr>
                      <w:szCs w:val="21"/>
                    </w:rPr>
                  </w:pPr>
                  <w:r>
                    <w:rPr>
                      <w:szCs w:val="21"/>
                    </w:rPr>
                    <w:t>0.00147</w:t>
                  </w:r>
                </w:p>
              </w:tc>
              <w:tc>
                <w:tcPr>
                  <w:tcW w:w="1276" w:type="dxa"/>
                </w:tcPr>
                <w:p>
                  <w:pPr>
                    <w:jc w:val="center"/>
                    <w:rPr>
                      <w:szCs w:val="21"/>
                    </w:rPr>
                  </w:pPr>
                  <w:r>
                    <w:rPr>
                      <w:szCs w:val="21"/>
                    </w:rPr>
                    <w:t>0.2</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二甲苯</w:t>
                  </w:r>
                </w:p>
              </w:tc>
              <w:tc>
                <w:tcPr>
                  <w:tcW w:w="992" w:type="dxa"/>
                </w:tcPr>
                <w:p>
                  <w:pPr>
                    <w:jc w:val="center"/>
                    <w:rPr>
                      <w:szCs w:val="21"/>
                    </w:rPr>
                  </w:pPr>
                  <w:r>
                    <w:rPr>
                      <w:szCs w:val="21"/>
                    </w:rPr>
                    <w:t>0.0476</w:t>
                  </w:r>
                </w:p>
              </w:tc>
              <w:tc>
                <w:tcPr>
                  <w:tcW w:w="993" w:type="dxa"/>
                </w:tcPr>
                <w:p>
                  <w:pPr>
                    <w:jc w:val="center"/>
                    <w:rPr>
                      <w:szCs w:val="21"/>
                    </w:rPr>
                  </w:pPr>
                  <w:r>
                    <w:rPr>
                      <w:szCs w:val="21"/>
                    </w:rPr>
                    <w:t>6.48</w:t>
                  </w:r>
                </w:p>
              </w:tc>
              <w:tc>
                <w:tcPr>
                  <w:tcW w:w="1039" w:type="dxa"/>
                  <w:vMerge w:val="continue"/>
                </w:tcPr>
                <w:p>
                  <w:pPr>
                    <w:jc w:val="center"/>
                    <w:rPr>
                      <w:szCs w:val="21"/>
                    </w:rPr>
                  </w:pPr>
                </w:p>
              </w:tc>
              <w:tc>
                <w:tcPr>
                  <w:tcW w:w="992" w:type="dxa"/>
                </w:tcPr>
                <w:p>
                  <w:pPr>
                    <w:jc w:val="center"/>
                    <w:rPr>
                      <w:szCs w:val="21"/>
                    </w:rPr>
                  </w:pPr>
                  <w:r>
                    <w:rPr>
                      <w:szCs w:val="21"/>
                    </w:rPr>
                    <w:t>0.00238</w:t>
                  </w:r>
                </w:p>
              </w:tc>
              <w:tc>
                <w:tcPr>
                  <w:tcW w:w="1276" w:type="dxa"/>
                </w:tcPr>
                <w:p>
                  <w:pPr>
                    <w:jc w:val="center"/>
                    <w:rPr>
                      <w:szCs w:val="21"/>
                    </w:rPr>
                  </w:pPr>
                  <w:r>
                    <w:rPr>
                      <w:szCs w:val="21"/>
                    </w:rPr>
                    <w:t>0.324</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restart"/>
                </w:tcPr>
                <w:p>
                  <w:pPr>
                    <w:jc w:val="center"/>
                    <w:rPr>
                      <w:szCs w:val="21"/>
                    </w:rPr>
                  </w:pPr>
                  <w:r>
                    <w:rPr>
                      <w:szCs w:val="21"/>
                    </w:rPr>
                    <w:t>22#</w:t>
                  </w:r>
                </w:p>
              </w:tc>
              <w:tc>
                <w:tcPr>
                  <w:tcW w:w="992" w:type="dxa"/>
                </w:tcPr>
                <w:p>
                  <w:pPr>
                    <w:jc w:val="center"/>
                    <w:rPr>
                      <w:szCs w:val="21"/>
                    </w:rPr>
                  </w:pPr>
                  <w:r>
                    <w:rPr>
                      <w:szCs w:val="21"/>
                    </w:rPr>
                    <w:t>SO</w:t>
                  </w:r>
                  <w:r>
                    <w:rPr>
                      <w:szCs w:val="21"/>
                      <w:vertAlign w:val="subscript"/>
                    </w:rPr>
                    <w:t>2</w:t>
                  </w:r>
                </w:p>
              </w:tc>
              <w:tc>
                <w:tcPr>
                  <w:tcW w:w="992" w:type="dxa"/>
                </w:tcPr>
                <w:p>
                  <w:pPr>
                    <w:jc w:val="center"/>
                    <w:rPr>
                      <w:szCs w:val="21"/>
                    </w:rPr>
                  </w:pPr>
                  <w:r>
                    <w:rPr>
                      <w:szCs w:val="21"/>
                    </w:rPr>
                    <w:t>0.036</w:t>
                  </w:r>
                </w:p>
              </w:tc>
              <w:tc>
                <w:tcPr>
                  <w:tcW w:w="993" w:type="dxa"/>
                </w:tcPr>
                <w:p>
                  <w:pPr>
                    <w:jc w:val="center"/>
                    <w:rPr>
                      <w:szCs w:val="21"/>
                    </w:rPr>
                  </w:pPr>
                  <w:r>
                    <w:rPr>
                      <w:szCs w:val="21"/>
                    </w:rPr>
                    <w:t>3</w:t>
                  </w:r>
                </w:p>
              </w:tc>
              <w:tc>
                <w:tcPr>
                  <w:tcW w:w="1039" w:type="dxa"/>
                  <w:vMerge w:val="restart"/>
                </w:tcPr>
                <w:p>
                  <w:pPr>
                    <w:jc w:val="center"/>
                    <w:rPr>
                      <w:szCs w:val="21"/>
                    </w:rPr>
                  </w:pPr>
                  <w:r>
                    <w:rPr>
                      <w:szCs w:val="21"/>
                    </w:rPr>
                    <w:t>12602</w:t>
                  </w:r>
                </w:p>
              </w:tc>
              <w:tc>
                <w:tcPr>
                  <w:tcW w:w="992" w:type="dxa"/>
                </w:tcPr>
                <w:p>
                  <w:pPr>
                    <w:jc w:val="center"/>
                    <w:rPr>
                      <w:szCs w:val="21"/>
                    </w:rPr>
                  </w:pPr>
                  <w:r>
                    <w:rPr>
                      <w:szCs w:val="21"/>
                    </w:rPr>
                    <w:t>0.036</w:t>
                  </w:r>
                </w:p>
              </w:tc>
              <w:tc>
                <w:tcPr>
                  <w:tcW w:w="1276" w:type="dxa"/>
                </w:tcPr>
                <w:p>
                  <w:pPr>
                    <w:jc w:val="center"/>
                    <w:rPr>
                      <w:szCs w:val="21"/>
                    </w:rPr>
                  </w:pPr>
                  <w:r>
                    <w:rPr>
                      <w:szCs w:val="21"/>
                    </w:rPr>
                    <w:t>3</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 xml:space="preserve">NOx </w:t>
                  </w:r>
                </w:p>
              </w:tc>
              <w:tc>
                <w:tcPr>
                  <w:tcW w:w="992" w:type="dxa"/>
                </w:tcPr>
                <w:p>
                  <w:pPr>
                    <w:jc w:val="center"/>
                    <w:rPr>
                      <w:szCs w:val="21"/>
                    </w:rPr>
                  </w:pPr>
                  <w:r>
                    <w:rPr>
                      <w:szCs w:val="21"/>
                    </w:rPr>
                    <w:t>0.029</w:t>
                  </w:r>
                </w:p>
              </w:tc>
              <w:tc>
                <w:tcPr>
                  <w:tcW w:w="993" w:type="dxa"/>
                </w:tcPr>
                <w:p>
                  <w:pPr>
                    <w:jc w:val="center"/>
                    <w:rPr>
                      <w:szCs w:val="21"/>
                    </w:rPr>
                  </w:pPr>
                  <w:r>
                    <w:rPr>
                      <w:szCs w:val="21"/>
                    </w:rPr>
                    <w:t>2</w:t>
                  </w:r>
                </w:p>
              </w:tc>
              <w:tc>
                <w:tcPr>
                  <w:tcW w:w="1039" w:type="dxa"/>
                  <w:vMerge w:val="continue"/>
                </w:tcPr>
                <w:p>
                  <w:pPr>
                    <w:jc w:val="center"/>
                    <w:rPr>
                      <w:szCs w:val="21"/>
                    </w:rPr>
                  </w:pPr>
                </w:p>
              </w:tc>
              <w:tc>
                <w:tcPr>
                  <w:tcW w:w="992" w:type="dxa"/>
                </w:tcPr>
                <w:p>
                  <w:pPr>
                    <w:jc w:val="center"/>
                    <w:rPr>
                      <w:szCs w:val="21"/>
                    </w:rPr>
                  </w:pPr>
                  <w:r>
                    <w:rPr>
                      <w:szCs w:val="21"/>
                    </w:rPr>
                    <w:t>0.029</w:t>
                  </w:r>
                </w:p>
              </w:tc>
              <w:tc>
                <w:tcPr>
                  <w:tcW w:w="1276" w:type="dxa"/>
                </w:tcPr>
                <w:p>
                  <w:pPr>
                    <w:jc w:val="center"/>
                    <w:rPr>
                      <w:szCs w:val="21"/>
                    </w:rPr>
                  </w:pPr>
                  <w:r>
                    <w:rPr>
                      <w:szCs w:val="21"/>
                    </w:rPr>
                    <w:t>2</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苯</w:t>
                  </w:r>
                </w:p>
              </w:tc>
              <w:tc>
                <w:tcPr>
                  <w:tcW w:w="992" w:type="dxa"/>
                </w:tcPr>
                <w:p>
                  <w:pPr>
                    <w:jc w:val="center"/>
                    <w:rPr>
                      <w:szCs w:val="21"/>
                    </w:rPr>
                  </w:pPr>
                  <w:r>
                    <w:rPr>
                      <w:szCs w:val="21"/>
                    </w:rPr>
                    <w:t>0.0246</w:t>
                  </w:r>
                </w:p>
              </w:tc>
              <w:tc>
                <w:tcPr>
                  <w:tcW w:w="993" w:type="dxa"/>
                </w:tcPr>
                <w:p>
                  <w:pPr>
                    <w:jc w:val="center"/>
                    <w:rPr>
                      <w:szCs w:val="21"/>
                    </w:rPr>
                  </w:pPr>
                  <w:r>
                    <w:rPr>
                      <w:szCs w:val="21"/>
                    </w:rPr>
                    <w:t>1.94</w:t>
                  </w:r>
                </w:p>
              </w:tc>
              <w:tc>
                <w:tcPr>
                  <w:tcW w:w="1039" w:type="dxa"/>
                  <w:vMerge w:val="continue"/>
                </w:tcPr>
                <w:p>
                  <w:pPr>
                    <w:jc w:val="center"/>
                    <w:rPr>
                      <w:szCs w:val="21"/>
                    </w:rPr>
                  </w:pPr>
                </w:p>
              </w:tc>
              <w:tc>
                <w:tcPr>
                  <w:tcW w:w="992" w:type="dxa"/>
                </w:tcPr>
                <w:p>
                  <w:pPr>
                    <w:jc w:val="center"/>
                    <w:rPr>
                      <w:szCs w:val="21"/>
                    </w:rPr>
                  </w:pPr>
                  <w:r>
                    <w:rPr>
                      <w:szCs w:val="21"/>
                    </w:rPr>
                    <w:t>0.00123</w:t>
                  </w:r>
                </w:p>
              </w:tc>
              <w:tc>
                <w:tcPr>
                  <w:tcW w:w="1276" w:type="dxa"/>
                </w:tcPr>
                <w:p>
                  <w:pPr>
                    <w:jc w:val="center"/>
                    <w:rPr>
                      <w:szCs w:val="21"/>
                    </w:rPr>
                  </w:pPr>
                  <w:r>
                    <w:rPr>
                      <w:szCs w:val="21"/>
                    </w:rPr>
                    <w:t>0.097</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甲苯</w:t>
                  </w:r>
                </w:p>
              </w:tc>
              <w:tc>
                <w:tcPr>
                  <w:tcW w:w="992" w:type="dxa"/>
                </w:tcPr>
                <w:p>
                  <w:pPr>
                    <w:jc w:val="center"/>
                    <w:rPr>
                      <w:szCs w:val="21"/>
                    </w:rPr>
                  </w:pPr>
                  <w:r>
                    <w:rPr>
                      <w:szCs w:val="21"/>
                    </w:rPr>
                    <w:t>0.0486</w:t>
                  </w:r>
                </w:p>
              </w:tc>
              <w:tc>
                <w:tcPr>
                  <w:tcW w:w="993" w:type="dxa"/>
                </w:tcPr>
                <w:p>
                  <w:pPr>
                    <w:jc w:val="center"/>
                    <w:rPr>
                      <w:szCs w:val="21"/>
                    </w:rPr>
                  </w:pPr>
                  <w:r>
                    <w:rPr>
                      <w:szCs w:val="21"/>
                    </w:rPr>
                    <w:t>3.86</w:t>
                  </w:r>
                </w:p>
              </w:tc>
              <w:tc>
                <w:tcPr>
                  <w:tcW w:w="1039" w:type="dxa"/>
                  <w:vMerge w:val="continue"/>
                </w:tcPr>
                <w:p>
                  <w:pPr>
                    <w:jc w:val="center"/>
                    <w:rPr>
                      <w:szCs w:val="21"/>
                    </w:rPr>
                  </w:pPr>
                </w:p>
              </w:tc>
              <w:tc>
                <w:tcPr>
                  <w:tcW w:w="992" w:type="dxa"/>
                </w:tcPr>
                <w:p>
                  <w:pPr>
                    <w:jc w:val="center"/>
                    <w:rPr>
                      <w:szCs w:val="21"/>
                    </w:rPr>
                  </w:pPr>
                  <w:r>
                    <w:rPr>
                      <w:szCs w:val="21"/>
                    </w:rPr>
                    <w:t>0.00243</w:t>
                  </w:r>
                </w:p>
              </w:tc>
              <w:tc>
                <w:tcPr>
                  <w:tcW w:w="1276" w:type="dxa"/>
                </w:tcPr>
                <w:p>
                  <w:pPr>
                    <w:jc w:val="center"/>
                    <w:rPr>
                      <w:szCs w:val="21"/>
                    </w:rPr>
                  </w:pPr>
                  <w:r>
                    <w:rPr>
                      <w:szCs w:val="21"/>
                    </w:rPr>
                    <w:t>0.193</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二甲苯</w:t>
                  </w:r>
                </w:p>
              </w:tc>
              <w:tc>
                <w:tcPr>
                  <w:tcW w:w="992" w:type="dxa"/>
                </w:tcPr>
                <w:p>
                  <w:pPr>
                    <w:jc w:val="center"/>
                    <w:rPr>
                      <w:szCs w:val="21"/>
                    </w:rPr>
                  </w:pPr>
                  <w:r>
                    <w:rPr>
                      <w:szCs w:val="21"/>
                    </w:rPr>
                    <w:t>0.0826</w:t>
                  </w:r>
                </w:p>
              </w:tc>
              <w:tc>
                <w:tcPr>
                  <w:tcW w:w="993" w:type="dxa"/>
                </w:tcPr>
                <w:p>
                  <w:pPr>
                    <w:jc w:val="center"/>
                    <w:rPr>
                      <w:szCs w:val="21"/>
                    </w:rPr>
                  </w:pPr>
                  <w:r>
                    <w:rPr>
                      <w:szCs w:val="21"/>
                    </w:rPr>
                    <w:t>6.56</w:t>
                  </w:r>
                </w:p>
              </w:tc>
              <w:tc>
                <w:tcPr>
                  <w:tcW w:w="1039" w:type="dxa"/>
                  <w:vMerge w:val="continue"/>
                </w:tcPr>
                <w:p>
                  <w:pPr>
                    <w:jc w:val="center"/>
                    <w:rPr>
                      <w:szCs w:val="21"/>
                    </w:rPr>
                  </w:pPr>
                </w:p>
              </w:tc>
              <w:tc>
                <w:tcPr>
                  <w:tcW w:w="992" w:type="dxa"/>
                </w:tcPr>
                <w:p>
                  <w:pPr>
                    <w:jc w:val="center"/>
                    <w:rPr>
                      <w:szCs w:val="21"/>
                    </w:rPr>
                  </w:pPr>
                  <w:r>
                    <w:rPr>
                      <w:szCs w:val="21"/>
                    </w:rPr>
                    <w:t>0.00413</w:t>
                  </w:r>
                </w:p>
              </w:tc>
              <w:tc>
                <w:tcPr>
                  <w:tcW w:w="1276" w:type="dxa"/>
                </w:tcPr>
                <w:p>
                  <w:pPr>
                    <w:jc w:val="center"/>
                    <w:rPr>
                      <w:szCs w:val="21"/>
                    </w:rPr>
                  </w:pPr>
                  <w:r>
                    <w:rPr>
                      <w:szCs w:val="21"/>
                    </w:rPr>
                    <w:t>0.328</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restart"/>
                </w:tcPr>
                <w:p>
                  <w:pPr>
                    <w:jc w:val="center"/>
                    <w:rPr>
                      <w:szCs w:val="21"/>
                    </w:rPr>
                  </w:pPr>
                  <w:r>
                    <w:rPr>
                      <w:szCs w:val="21"/>
                    </w:rPr>
                    <w:t>23#</w:t>
                  </w:r>
                </w:p>
              </w:tc>
              <w:tc>
                <w:tcPr>
                  <w:tcW w:w="992" w:type="dxa"/>
                </w:tcPr>
                <w:p>
                  <w:pPr>
                    <w:jc w:val="center"/>
                    <w:rPr>
                      <w:szCs w:val="21"/>
                    </w:rPr>
                  </w:pPr>
                  <w:r>
                    <w:rPr>
                      <w:szCs w:val="21"/>
                    </w:rPr>
                    <w:t>SO</w:t>
                  </w:r>
                  <w:r>
                    <w:rPr>
                      <w:szCs w:val="21"/>
                      <w:vertAlign w:val="subscript"/>
                    </w:rPr>
                    <w:t>2</w:t>
                  </w:r>
                </w:p>
              </w:tc>
              <w:tc>
                <w:tcPr>
                  <w:tcW w:w="992" w:type="dxa"/>
                </w:tcPr>
                <w:p>
                  <w:pPr>
                    <w:jc w:val="center"/>
                    <w:rPr>
                      <w:szCs w:val="21"/>
                    </w:rPr>
                  </w:pPr>
                  <w:r>
                    <w:rPr>
                      <w:szCs w:val="21"/>
                    </w:rPr>
                    <w:t>0.014</w:t>
                  </w:r>
                </w:p>
              </w:tc>
              <w:tc>
                <w:tcPr>
                  <w:tcW w:w="993" w:type="dxa"/>
                </w:tcPr>
                <w:p>
                  <w:pPr>
                    <w:jc w:val="center"/>
                    <w:rPr>
                      <w:szCs w:val="21"/>
                    </w:rPr>
                  </w:pPr>
                  <w:r>
                    <w:rPr>
                      <w:szCs w:val="21"/>
                    </w:rPr>
                    <w:t>2</w:t>
                  </w:r>
                </w:p>
              </w:tc>
              <w:tc>
                <w:tcPr>
                  <w:tcW w:w="1039" w:type="dxa"/>
                  <w:vMerge w:val="restart"/>
                </w:tcPr>
                <w:p>
                  <w:pPr>
                    <w:jc w:val="center"/>
                    <w:rPr>
                      <w:szCs w:val="21"/>
                    </w:rPr>
                  </w:pPr>
                  <w:r>
                    <w:rPr>
                      <w:szCs w:val="21"/>
                    </w:rPr>
                    <w:t>7749</w:t>
                  </w:r>
                </w:p>
              </w:tc>
              <w:tc>
                <w:tcPr>
                  <w:tcW w:w="992" w:type="dxa"/>
                  <w:tcBorders>
                    <w:left w:val="single" w:color="auto" w:sz="4" w:space="0"/>
                    <w:right w:val="single" w:color="auto" w:sz="4" w:space="0"/>
                  </w:tcBorders>
                  <w:vAlign w:val="center"/>
                </w:tcPr>
                <w:p>
                  <w:pPr>
                    <w:pStyle w:val="185"/>
                    <w:jc w:val="both"/>
                    <w:rPr>
                      <w:sz w:val="21"/>
                      <w:szCs w:val="21"/>
                    </w:rPr>
                  </w:pPr>
                  <w:r>
                    <w:rPr>
                      <w:sz w:val="21"/>
                      <w:szCs w:val="21"/>
                    </w:rPr>
                    <w:t>0.014</w:t>
                  </w:r>
                </w:p>
              </w:tc>
              <w:tc>
                <w:tcPr>
                  <w:tcW w:w="1276" w:type="dxa"/>
                  <w:tcBorders>
                    <w:left w:val="single" w:color="auto" w:sz="4" w:space="0"/>
                    <w:right w:val="single" w:color="auto" w:sz="4" w:space="0"/>
                  </w:tcBorders>
                  <w:vAlign w:val="center"/>
                </w:tcPr>
                <w:p>
                  <w:pPr>
                    <w:pStyle w:val="185"/>
                    <w:ind w:firstLine="420"/>
                    <w:jc w:val="left"/>
                    <w:rPr>
                      <w:sz w:val="21"/>
                      <w:szCs w:val="21"/>
                    </w:rPr>
                  </w:pPr>
                  <w:r>
                    <w:rPr>
                      <w:sz w:val="21"/>
                      <w:szCs w:val="21"/>
                    </w:rPr>
                    <w:t>2</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 xml:space="preserve">NOx </w:t>
                  </w:r>
                </w:p>
              </w:tc>
              <w:tc>
                <w:tcPr>
                  <w:tcW w:w="992" w:type="dxa"/>
                </w:tcPr>
                <w:p>
                  <w:pPr>
                    <w:jc w:val="center"/>
                    <w:rPr>
                      <w:szCs w:val="21"/>
                    </w:rPr>
                  </w:pPr>
                  <w:r>
                    <w:rPr>
                      <w:szCs w:val="21"/>
                    </w:rPr>
                    <w:t>0.03</w:t>
                  </w:r>
                </w:p>
              </w:tc>
              <w:tc>
                <w:tcPr>
                  <w:tcW w:w="993" w:type="dxa"/>
                </w:tcPr>
                <w:p>
                  <w:pPr>
                    <w:jc w:val="center"/>
                    <w:rPr>
                      <w:szCs w:val="21"/>
                    </w:rPr>
                  </w:pPr>
                  <w:r>
                    <w:rPr>
                      <w:szCs w:val="21"/>
                    </w:rPr>
                    <w:t>4</w:t>
                  </w:r>
                </w:p>
              </w:tc>
              <w:tc>
                <w:tcPr>
                  <w:tcW w:w="1039" w:type="dxa"/>
                  <w:vMerge w:val="continue"/>
                </w:tcPr>
                <w:p>
                  <w:pPr>
                    <w:jc w:val="center"/>
                    <w:rPr>
                      <w:szCs w:val="21"/>
                    </w:rPr>
                  </w:pPr>
                </w:p>
              </w:tc>
              <w:tc>
                <w:tcPr>
                  <w:tcW w:w="992" w:type="dxa"/>
                  <w:tcBorders>
                    <w:left w:val="single" w:color="auto" w:sz="4" w:space="0"/>
                    <w:right w:val="single" w:color="auto" w:sz="4" w:space="0"/>
                  </w:tcBorders>
                  <w:vAlign w:val="center"/>
                </w:tcPr>
                <w:p>
                  <w:pPr>
                    <w:pStyle w:val="185"/>
                    <w:jc w:val="both"/>
                    <w:rPr>
                      <w:sz w:val="21"/>
                      <w:szCs w:val="21"/>
                    </w:rPr>
                  </w:pPr>
                  <w:r>
                    <w:rPr>
                      <w:sz w:val="21"/>
                      <w:szCs w:val="21"/>
                    </w:rPr>
                    <w:t>0.03</w:t>
                  </w:r>
                </w:p>
              </w:tc>
              <w:tc>
                <w:tcPr>
                  <w:tcW w:w="1276" w:type="dxa"/>
                  <w:tcBorders>
                    <w:left w:val="single" w:color="auto" w:sz="4" w:space="0"/>
                    <w:right w:val="single" w:color="auto" w:sz="4" w:space="0"/>
                  </w:tcBorders>
                  <w:vAlign w:val="center"/>
                </w:tcPr>
                <w:p>
                  <w:pPr>
                    <w:pStyle w:val="185"/>
                    <w:ind w:firstLine="420"/>
                    <w:jc w:val="left"/>
                    <w:rPr>
                      <w:sz w:val="21"/>
                      <w:szCs w:val="21"/>
                    </w:rPr>
                  </w:pPr>
                  <w:r>
                    <w:rPr>
                      <w:sz w:val="21"/>
                      <w:szCs w:val="21"/>
                    </w:rPr>
                    <w:t>4</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苯</w:t>
                  </w:r>
                </w:p>
              </w:tc>
              <w:tc>
                <w:tcPr>
                  <w:tcW w:w="992" w:type="dxa"/>
                </w:tcPr>
                <w:p>
                  <w:pPr>
                    <w:jc w:val="center"/>
                    <w:rPr>
                      <w:szCs w:val="21"/>
                    </w:rPr>
                  </w:pPr>
                  <w:r>
                    <w:rPr>
                      <w:szCs w:val="21"/>
                    </w:rPr>
                    <w:t>0.01284</w:t>
                  </w:r>
                </w:p>
              </w:tc>
              <w:tc>
                <w:tcPr>
                  <w:tcW w:w="993" w:type="dxa"/>
                </w:tcPr>
                <w:p>
                  <w:pPr>
                    <w:jc w:val="center"/>
                    <w:rPr>
                      <w:szCs w:val="21"/>
                    </w:rPr>
                  </w:pPr>
                  <w:r>
                    <w:rPr>
                      <w:szCs w:val="21"/>
                    </w:rPr>
                    <w:t>1.66</w:t>
                  </w:r>
                </w:p>
              </w:tc>
              <w:tc>
                <w:tcPr>
                  <w:tcW w:w="1039" w:type="dxa"/>
                  <w:vMerge w:val="continue"/>
                </w:tcPr>
                <w:p>
                  <w:pPr>
                    <w:jc w:val="center"/>
                    <w:rPr>
                      <w:szCs w:val="21"/>
                    </w:rPr>
                  </w:pPr>
                </w:p>
              </w:tc>
              <w:tc>
                <w:tcPr>
                  <w:tcW w:w="992" w:type="dxa"/>
                  <w:tcBorders>
                    <w:left w:val="single" w:color="auto" w:sz="4" w:space="0"/>
                    <w:right w:val="single" w:color="auto" w:sz="4" w:space="0"/>
                  </w:tcBorders>
                  <w:vAlign w:val="center"/>
                </w:tcPr>
                <w:p>
                  <w:pPr>
                    <w:pStyle w:val="185"/>
                    <w:jc w:val="both"/>
                    <w:rPr>
                      <w:sz w:val="21"/>
                      <w:szCs w:val="21"/>
                    </w:rPr>
                  </w:pPr>
                  <w:r>
                    <w:rPr>
                      <w:sz w:val="21"/>
                      <w:szCs w:val="21"/>
                    </w:rPr>
                    <w:t>0.000642</w:t>
                  </w:r>
                </w:p>
              </w:tc>
              <w:tc>
                <w:tcPr>
                  <w:tcW w:w="1276" w:type="dxa"/>
                  <w:tcBorders>
                    <w:left w:val="single" w:color="auto" w:sz="4" w:space="0"/>
                    <w:right w:val="single" w:color="auto" w:sz="4" w:space="0"/>
                  </w:tcBorders>
                  <w:vAlign w:val="center"/>
                </w:tcPr>
                <w:p>
                  <w:pPr>
                    <w:pStyle w:val="185"/>
                    <w:ind w:firstLine="420"/>
                    <w:jc w:val="left"/>
                    <w:rPr>
                      <w:sz w:val="21"/>
                      <w:szCs w:val="21"/>
                    </w:rPr>
                  </w:pPr>
                  <w:r>
                    <w:rPr>
                      <w:sz w:val="21"/>
                      <w:szCs w:val="21"/>
                    </w:rPr>
                    <w:t>0.083</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甲苯</w:t>
                  </w:r>
                </w:p>
              </w:tc>
              <w:tc>
                <w:tcPr>
                  <w:tcW w:w="992" w:type="dxa"/>
                </w:tcPr>
                <w:p>
                  <w:pPr>
                    <w:jc w:val="center"/>
                    <w:rPr>
                      <w:szCs w:val="21"/>
                    </w:rPr>
                  </w:pPr>
                  <w:r>
                    <w:rPr>
                      <w:szCs w:val="21"/>
                    </w:rPr>
                    <w:t>0.0284</w:t>
                  </w:r>
                </w:p>
              </w:tc>
              <w:tc>
                <w:tcPr>
                  <w:tcW w:w="993" w:type="dxa"/>
                </w:tcPr>
                <w:p>
                  <w:pPr>
                    <w:jc w:val="center"/>
                    <w:rPr>
                      <w:szCs w:val="21"/>
                    </w:rPr>
                  </w:pPr>
                  <w:r>
                    <w:rPr>
                      <w:szCs w:val="21"/>
                    </w:rPr>
                    <w:t>3.66</w:t>
                  </w:r>
                </w:p>
              </w:tc>
              <w:tc>
                <w:tcPr>
                  <w:tcW w:w="1039" w:type="dxa"/>
                  <w:vMerge w:val="continue"/>
                </w:tcPr>
                <w:p>
                  <w:pPr>
                    <w:jc w:val="center"/>
                    <w:rPr>
                      <w:szCs w:val="21"/>
                    </w:rPr>
                  </w:pPr>
                </w:p>
              </w:tc>
              <w:tc>
                <w:tcPr>
                  <w:tcW w:w="992" w:type="dxa"/>
                  <w:tcBorders>
                    <w:left w:val="single" w:color="auto" w:sz="4" w:space="0"/>
                    <w:right w:val="single" w:color="auto" w:sz="4" w:space="0"/>
                  </w:tcBorders>
                  <w:vAlign w:val="center"/>
                </w:tcPr>
                <w:p>
                  <w:pPr>
                    <w:pStyle w:val="185"/>
                    <w:jc w:val="both"/>
                    <w:rPr>
                      <w:sz w:val="21"/>
                      <w:szCs w:val="21"/>
                    </w:rPr>
                  </w:pPr>
                  <w:r>
                    <w:rPr>
                      <w:sz w:val="21"/>
                      <w:szCs w:val="21"/>
                    </w:rPr>
                    <w:t>0.00142</w:t>
                  </w:r>
                </w:p>
              </w:tc>
              <w:tc>
                <w:tcPr>
                  <w:tcW w:w="1276" w:type="dxa"/>
                  <w:tcBorders>
                    <w:left w:val="single" w:color="auto" w:sz="4" w:space="0"/>
                    <w:right w:val="single" w:color="auto" w:sz="4" w:space="0"/>
                  </w:tcBorders>
                  <w:vAlign w:val="center"/>
                </w:tcPr>
                <w:p>
                  <w:pPr>
                    <w:pStyle w:val="185"/>
                    <w:ind w:firstLine="420"/>
                    <w:jc w:val="left"/>
                    <w:rPr>
                      <w:sz w:val="21"/>
                      <w:szCs w:val="21"/>
                    </w:rPr>
                  </w:pPr>
                  <w:r>
                    <w:rPr>
                      <w:sz w:val="21"/>
                      <w:szCs w:val="21"/>
                    </w:rPr>
                    <w:t>0.183</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二甲苯</w:t>
                  </w:r>
                </w:p>
              </w:tc>
              <w:tc>
                <w:tcPr>
                  <w:tcW w:w="992" w:type="dxa"/>
                </w:tcPr>
                <w:p>
                  <w:pPr>
                    <w:jc w:val="center"/>
                    <w:rPr>
                      <w:szCs w:val="21"/>
                    </w:rPr>
                  </w:pPr>
                  <w:r>
                    <w:rPr>
                      <w:szCs w:val="21"/>
                    </w:rPr>
                    <w:t>0.48</w:t>
                  </w:r>
                </w:p>
              </w:tc>
              <w:tc>
                <w:tcPr>
                  <w:tcW w:w="993" w:type="dxa"/>
                </w:tcPr>
                <w:p>
                  <w:pPr>
                    <w:jc w:val="center"/>
                    <w:rPr>
                      <w:szCs w:val="21"/>
                    </w:rPr>
                  </w:pPr>
                  <w:r>
                    <w:rPr>
                      <w:szCs w:val="21"/>
                    </w:rPr>
                    <w:t>62.4</w:t>
                  </w:r>
                </w:p>
              </w:tc>
              <w:tc>
                <w:tcPr>
                  <w:tcW w:w="1039" w:type="dxa"/>
                  <w:vMerge w:val="continue"/>
                </w:tcPr>
                <w:p>
                  <w:pPr>
                    <w:jc w:val="center"/>
                    <w:rPr>
                      <w:szCs w:val="21"/>
                    </w:rPr>
                  </w:pPr>
                </w:p>
              </w:tc>
              <w:tc>
                <w:tcPr>
                  <w:tcW w:w="992" w:type="dxa"/>
                  <w:tcBorders>
                    <w:left w:val="single" w:color="auto" w:sz="4" w:space="0"/>
                    <w:right w:val="single" w:color="auto" w:sz="4" w:space="0"/>
                  </w:tcBorders>
                  <w:vAlign w:val="center"/>
                </w:tcPr>
                <w:p>
                  <w:pPr>
                    <w:pStyle w:val="185"/>
                    <w:jc w:val="both"/>
                    <w:rPr>
                      <w:sz w:val="21"/>
                      <w:szCs w:val="21"/>
                    </w:rPr>
                  </w:pPr>
                  <w:r>
                    <w:rPr>
                      <w:sz w:val="21"/>
                      <w:szCs w:val="21"/>
                    </w:rPr>
                    <w:t>0.024</w:t>
                  </w:r>
                </w:p>
              </w:tc>
              <w:tc>
                <w:tcPr>
                  <w:tcW w:w="1276" w:type="dxa"/>
                  <w:tcBorders>
                    <w:left w:val="single" w:color="auto" w:sz="4" w:space="0"/>
                    <w:right w:val="single" w:color="auto" w:sz="4" w:space="0"/>
                  </w:tcBorders>
                  <w:vAlign w:val="center"/>
                </w:tcPr>
                <w:p>
                  <w:pPr>
                    <w:pStyle w:val="185"/>
                    <w:ind w:firstLine="420"/>
                    <w:jc w:val="left"/>
                    <w:rPr>
                      <w:sz w:val="21"/>
                      <w:szCs w:val="21"/>
                    </w:rPr>
                  </w:pPr>
                  <w:r>
                    <w:rPr>
                      <w:sz w:val="21"/>
                      <w:szCs w:val="21"/>
                    </w:rPr>
                    <w:t>3.12</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restart"/>
                </w:tcPr>
                <w:p>
                  <w:pPr>
                    <w:jc w:val="center"/>
                    <w:rPr>
                      <w:szCs w:val="21"/>
                    </w:rPr>
                  </w:pPr>
                  <w:r>
                    <w:rPr>
                      <w:szCs w:val="21"/>
                    </w:rPr>
                    <w:t>24#</w:t>
                  </w:r>
                </w:p>
              </w:tc>
              <w:tc>
                <w:tcPr>
                  <w:tcW w:w="992" w:type="dxa"/>
                </w:tcPr>
                <w:p>
                  <w:pPr>
                    <w:jc w:val="center"/>
                    <w:rPr>
                      <w:szCs w:val="21"/>
                    </w:rPr>
                  </w:pPr>
                  <w:r>
                    <w:rPr>
                      <w:szCs w:val="21"/>
                    </w:rPr>
                    <w:t>SO</w:t>
                  </w:r>
                  <w:r>
                    <w:rPr>
                      <w:szCs w:val="21"/>
                      <w:vertAlign w:val="subscript"/>
                    </w:rPr>
                    <w:t>2</w:t>
                  </w:r>
                </w:p>
              </w:tc>
              <w:tc>
                <w:tcPr>
                  <w:tcW w:w="992" w:type="dxa"/>
                </w:tcPr>
                <w:p>
                  <w:pPr>
                    <w:jc w:val="center"/>
                    <w:rPr>
                      <w:szCs w:val="21"/>
                    </w:rPr>
                  </w:pPr>
                  <w:r>
                    <w:rPr>
                      <w:szCs w:val="21"/>
                    </w:rPr>
                    <w:t>0.013</w:t>
                  </w:r>
                </w:p>
              </w:tc>
              <w:tc>
                <w:tcPr>
                  <w:tcW w:w="993" w:type="dxa"/>
                </w:tcPr>
                <w:p>
                  <w:pPr>
                    <w:jc w:val="center"/>
                    <w:rPr>
                      <w:szCs w:val="21"/>
                    </w:rPr>
                  </w:pPr>
                  <w:r>
                    <w:rPr>
                      <w:szCs w:val="21"/>
                    </w:rPr>
                    <w:t>2</w:t>
                  </w:r>
                </w:p>
              </w:tc>
              <w:tc>
                <w:tcPr>
                  <w:tcW w:w="1039" w:type="dxa"/>
                  <w:vMerge w:val="restart"/>
                </w:tcPr>
                <w:p>
                  <w:pPr>
                    <w:jc w:val="center"/>
                    <w:rPr>
                      <w:szCs w:val="21"/>
                    </w:rPr>
                  </w:pPr>
                  <w:r>
                    <w:rPr>
                      <w:szCs w:val="21"/>
                    </w:rPr>
                    <w:t>8403</w:t>
                  </w:r>
                </w:p>
              </w:tc>
              <w:tc>
                <w:tcPr>
                  <w:tcW w:w="992" w:type="dxa"/>
                  <w:tcBorders>
                    <w:left w:val="single" w:color="auto" w:sz="4" w:space="0"/>
                    <w:right w:val="single" w:color="auto" w:sz="4" w:space="0"/>
                  </w:tcBorders>
                  <w:vAlign w:val="center"/>
                </w:tcPr>
                <w:p>
                  <w:pPr>
                    <w:pStyle w:val="185"/>
                    <w:jc w:val="both"/>
                    <w:rPr>
                      <w:sz w:val="21"/>
                      <w:szCs w:val="21"/>
                    </w:rPr>
                  </w:pPr>
                  <w:r>
                    <w:rPr>
                      <w:sz w:val="21"/>
                      <w:szCs w:val="21"/>
                    </w:rPr>
                    <w:t>0.013</w:t>
                  </w:r>
                </w:p>
              </w:tc>
              <w:tc>
                <w:tcPr>
                  <w:tcW w:w="1276" w:type="dxa"/>
                  <w:tcBorders>
                    <w:left w:val="single" w:color="auto" w:sz="4" w:space="0"/>
                    <w:right w:val="single" w:color="auto" w:sz="4" w:space="0"/>
                  </w:tcBorders>
                  <w:vAlign w:val="center"/>
                </w:tcPr>
                <w:p>
                  <w:pPr>
                    <w:pStyle w:val="185"/>
                    <w:ind w:firstLine="420"/>
                    <w:jc w:val="left"/>
                    <w:rPr>
                      <w:sz w:val="21"/>
                      <w:szCs w:val="21"/>
                    </w:rPr>
                  </w:pPr>
                  <w:r>
                    <w:rPr>
                      <w:sz w:val="21"/>
                      <w:szCs w:val="21"/>
                    </w:rPr>
                    <w:t>2</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 xml:space="preserve">NOx </w:t>
                  </w:r>
                </w:p>
              </w:tc>
              <w:tc>
                <w:tcPr>
                  <w:tcW w:w="992" w:type="dxa"/>
                </w:tcPr>
                <w:p>
                  <w:pPr>
                    <w:jc w:val="center"/>
                    <w:rPr>
                      <w:szCs w:val="21"/>
                    </w:rPr>
                  </w:pPr>
                  <w:r>
                    <w:rPr>
                      <w:szCs w:val="21"/>
                    </w:rPr>
                    <w:t>0.024</w:t>
                  </w:r>
                </w:p>
              </w:tc>
              <w:tc>
                <w:tcPr>
                  <w:tcW w:w="993" w:type="dxa"/>
                </w:tcPr>
                <w:p>
                  <w:pPr>
                    <w:jc w:val="center"/>
                    <w:rPr>
                      <w:szCs w:val="21"/>
                    </w:rPr>
                  </w:pPr>
                  <w:r>
                    <w:rPr>
                      <w:szCs w:val="21"/>
                    </w:rPr>
                    <w:t>3</w:t>
                  </w:r>
                </w:p>
              </w:tc>
              <w:tc>
                <w:tcPr>
                  <w:tcW w:w="1039" w:type="dxa"/>
                  <w:vMerge w:val="continue"/>
                </w:tcPr>
                <w:p>
                  <w:pPr>
                    <w:jc w:val="center"/>
                    <w:rPr>
                      <w:szCs w:val="21"/>
                    </w:rPr>
                  </w:pPr>
                </w:p>
              </w:tc>
              <w:tc>
                <w:tcPr>
                  <w:tcW w:w="992" w:type="dxa"/>
                  <w:tcBorders>
                    <w:left w:val="single" w:color="auto" w:sz="4" w:space="0"/>
                    <w:right w:val="single" w:color="auto" w:sz="4" w:space="0"/>
                  </w:tcBorders>
                  <w:vAlign w:val="center"/>
                </w:tcPr>
                <w:p>
                  <w:pPr>
                    <w:pStyle w:val="185"/>
                    <w:jc w:val="both"/>
                    <w:rPr>
                      <w:sz w:val="21"/>
                      <w:szCs w:val="21"/>
                    </w:rPr>
                  </w:pPr>
                  <w:r>
                    <w:rPr>
                      <w:sz w:val="21"/>
                      <w:szCs w:val="21"/>
                    </w:rPr>
                    <w:t>0.024</w:t>
                  </w:r>
                </w:p>
              </w:tc>
              <w:tc>
                <w:tcPr>
                  <w:tcW w:w="1276" w:type="dxa"/>
                  <w:tcBorders>
                    <w:left w:val="single" w:color="auto" w:sz="4" w:space="0"/>
                    <w:right w:val="single" w:color="auto" w:sz="4" w:space="0"/>
                  </w:tcBorders>
                  <w:vAlign w:val="center"/>
                </w:tcPr>
                <w:p>
                  <w:pPr>
                    <w:pStyle w:val="185"/>
                    <w:ind w:firstLine="420"/>
                    <w:jc w:val="left"/>
                    <w:rPr>
                      <w:sz w:val="21"/>
                      <w:szCs w:val="21"/>
                    </w:rPr>
                  </w:pPr>
                  <w:r>
                    <w:rPr>
                      <w:sz w:val="21"/>
                      <w:szCs w:val="21"/>
                    </w:rPr>
                    <w:t>3</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苯</w:t>
                  </w:r>
                </w:p>
              </w:tc>
              <w:tc>
                <w:tcPr>
                  <w:tcW w:w="992" w:type="dxa"/>
                </w:tcPr>
                <w:p>
                  <w:pPr>
                    <w:jc w:val="center"/>
                    <w:rPr>
                      <w:szCs w:val="21"/>
                    </w:rPr>
                  </w:pPr>
                  <w:r>
                    <w:rPr>
                      <w:szCs w:val="21"/>
                    </w:rPr>
                    <w:t>0.01526</w:t>
                  </w:r>
                </w:p>
              </w:tc>
              <w:tc>
                <w:tcPr>
                  <w:tcW w:w="993" w:type="dxa"/>
                </w:tcPr>
                <w:p>
                  <w:pPr>
                    <w:jc w:val="center"/>
                    <w:rPr>
                      <w:szCs w:val="21"/>
                    </w:rPr>
                  </w:pPr>
                  <w:r>
                    <w:rPr>
                      <w:szCs w:val="21"/>
                    </w:rPr>
                    <w:t>1.82</w:t>
                  </w:r>
                </w:p>
              </w:tc>
              <w:tc>
                <w:tcPr>
                  <w:tcW w:w="1039" w:type="dxa"/>
                  <w:vMerge w:val="continue"/>
                </w:tcPr>
                <w:p>
                  <w:pPr>
                    <w:jc w:val="center"/>
                    <w:rPr>
                      <w:szCs w:val="21"/>
                    </w:rPr>
                  </w:pPr>
                </w:p>
              </w:tc>
              <w:tc>
                <w:tcPr>
                  <w:tcW w:w="992" w:type="dxa"/>
                  <w:tcBorders>
                    <w:left w:val="single" w:color="auto" w:sz="4" w:space="0"/>
                    <w:right w:val="single" w:color="auto" w:sz="4" w:space="0"/>
                  </w:tcBorders>
                  <w:vAlign w:val="center"/>
                </w:tcPr>
                <w:p>
                  <w:pPr>
                    <w:pStyle w:val="185"/>
                    <w:jc w:val="both"/>
                    <w:rPr>
                      <w:sz w:val="21"/>
                      <w:szCs w:val="21"/>
                    </w:rPr>
                  </w:pPr>
                  <w:r>
                    <w:rPr>
                      <w:sz w:val="21"/>
                      <w:szCs w:val="21"/>
                    </w:rPr>
                    <w:t>0.000763</w:t>
                  </w:r>
                </w:p>
              </w:tc>
              <w:tc>
                <w:tcPr>
                  <w:tcW w:w="1276" w:type="dxa"/>
                  <w:tcBorders>
                    <w:left w:val="single" w:color="auto" w:sz="4" w:space="0"/>
                    <w:right w:val="single" w:color="auto" w:sz="4" w:space="0"/>
                  </w:tcBorders>
                  <w:vAlign w:val="center"/>
                </w:tcPr>
                <w:p>
                  <w:pPr>
                    <w:pStyle w:val="185"/>
                    <w:ind w:firstLine="420"/>
                    <w:jc w:val="left"/>
                    <w:rPr>
                      <w:sz w:val="21"/>
                      <w:szCs w:val="21"/>
                    </w:rPr>
                  </w:pPr>
                  <w:r>
                    <w:rPr>
                      <w:sz w:val="21"/>
                      <w:szCs w:val="21"/>
                    </w:rPr>
                    <w:t>0.091</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甲苯</w:t>
                  </w:r>
                </w:p>
              </w:tc>
              <w:tc>
                <w:tcPr>
                  <w:tcW w:w="992" w:type="dxa"/>
                </w:tcPr>
                <w:p>
                  <w:pPr>
                    <w:jc w:val="center"/>
                    <w:rPr>
                      <w:szCs w:val="21"/>
                    </w:rPr>
                  </w:pPr>
                  <w:r>
                    <w:rPr>
                      <w:szCs w:val="21"/>
                    </w:rPr>
                    <w:t>0.0294</w:t>
                  </w:r>
                </w:p>
              </w:tc>
              <w:tc>
                <w:tcPr>
                  <w:tcW w:w="993" w:type="dxa"/>
                </w:tcPr>
                <w:p>
                  <w:pPr>
                    <w:jc w:val="center"/>
                    <w:rPr>
                      <w:szCs w:val="21"/>
                    </w:rPr>
                  </w:pPr>
                  <w:r>
                    <w:rPr>
                      <w:szCs w:val="21"/>
                    </w:rPr>
                    <w:t>3.5</w:t>
                  </w:r>
                </w:p>
              </w:tc>
              <w:tc>
                <w:tcPr>
                  <w:tcW w:w="1039" w:type="dxa"/>
                  <w:vMerge w:val="continue"/>
                </w:tcPr>
                <w:p>
                  <w:pPr>
                    <w:jc w:val="center"/>
                    <w:rPr>
                      <w:szCs w:val="21"/>
                    </w:rPr>
                  </w:pPr>
                </w:p>
              </w:tc>
              <w:tc>
                <w:tcPr>
                  <w:tcW w:w="992" w:type="dxa"/>
                  <w:tcBorders>
                    <w:left w:val="single" w:color="auto" w:sz="4" w:space="0"/>
                    <w:right w:val="single" w:color="auto" w:sz="4" w:space="0"/>
                  </w:tcBorders>
                  <w:vAlign w:val="center"/>
                </w:tcPr>
                <w:p>
                  <w:pPr>
                    <w:pStyle w:val="185"/>
                    <w:jc w:val="both"/>
                    <w:rPr>
                      <w:sz w:val="21"/>
                      <w:szCs w:val="21"/>
                    </w:rPr>
                  </w:pPr>
                  <w:r>
                    <w:rPr>
                      <w:sz w:val="21"/>
                      <w:szCs w:val="21"/>
                    </w:rPr>
                    <w:t>0.00147</w:t>
                  </w:r>
                </w:p>
              </w:tc>
              <w:tc>
                <w:tcPr>
                  <w:tcW w:w="1276" w:type="dxa"/>
                  <w:tcBorders>
                    <w:left w:val="single" w:color="auto" w:sz="4" w:space="0"/>
                    <w:right w:val="single" w:color="auto" w:sz="4" w:space="0"/>
                  </w:tcBorders>
                  <w:vAlign w:val="center"/>
                </w:tcPr>
                <w:p>
                  <w:pPr>
                    <w:pStyle w:val="185"/>
                    <w:ind w:firstLine="420"/>
                    <w:jc w:val="left"/>
                    <w:rPr>
                      <w:sz w:val="21"/>
                      <w:szCs w:val="21"/>
                    </w:rPr>
                  </w:pPr>
                  <w:r>
                    <w:rPr>
                      <w:sz w:val="21"/>
                      <w:szCs w:val="21"/>
                    </w:rPr>
                    <w:t>0.175</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二甲苯</w:t>
                  </w:r>
                </w:p>
              </w:tc>
              <w:tc>
                <w:tcPr>
                  <w:tcW w:w="992" w:type="dxa"/>
                </w:tcPr>
                <w:p>
                  <w:pPr>
                    <w:jc w:val="center"/>
                    <w:rPr>
                      <w:szCs w:val="21"/>
                    </w:rPr>
                  </w:pPr>
                  <w:r>
                    <w:rPr>
                      <w:szCs w:val="21"/>
                    </w:rPr>
                    <w:t>0.14</w:t>
                  </w:r>
                </w:p>
              </w:tc>
              <w:tc>
                <w:tcPr>
                  <w:tcW w:w="993" w:type="dxa"/>
                </w:tcPr>
                <w:p>
                  <w:pPr>
                    <w:jc w:val="center"/>
                    <w:rPr>
                      <w:szCs w:val="21"/>
                    </w:rPr>
                  </w:pPr>
                  <w:r>
                    <w:rPr>
                      <w:szCs w:val="21"/>
                    </w:rPr>
                    <w:t>17.56</w:t>
                  </w:r>
                </w:p>
              </w:tc>
              <w:tc>
                <w:tcPr>
                  <w:tcW w:w="1039" w:type="dxa"/>
                  <w:vMerge w:val="continue"/>
                </w:tcPr>
                <w:p>
                  <w:pPr>
                    <w:jc w:val="center"/>
                    <w:rPr>
                      <w:szCs w:val="21"/>
                    </w:rPr>
                  </w:pPr>
                </w:p>
              </w:tc>
              <w:tc>
                <w:tcPr>
                  <w:tcW w:w="992" w:type="dxa"/>
                  <w:tcBorders>
                    <w:left w:val="single" w:color="auto" w:sz="4" w:space="0"/>
                    <w:right w:val="single" w:color="auto" w:sz="4" w:space="0"/>
                  </w:tcBorders>
                  <w:vAlign w:val="center"/>
                </w:tcPr>
                <w:p>
                  <w:pPr>
                    <w:pStyle w:val="185"/>
                    <w:jc w:val="both"/>
                    <w:rPr>
                      <w:sz w:val="21"/>
                      <w:szCs w:val="21"/>
                    </w:rPr>
                  </w:pPr>
                  <w:r>
                    <w:rPr>
                      <w:sz w:val="21"/>
                      <w:szCs w:val="21"/>
                    </w:rPr>
                    <w:t>0.007</w:t>
                  </w:r>
                </w:p>
              </w:tc>
              <w:tc>
                <w:tcPr>
                  <w:tcW w:w="1276" w:type="dxa"/>
                  <w:tcBorders>
                    <w:left w:val="single" w:color="auto" w:sz="4" w:space="0"/>
                    <w:right w:val="single" w:color="auto" w:sz="4" w:space="0"/>
                  </w:tcBorders>
                  <w:vAlign w:val="center"/>
                </w:tcPr>
                <w:p>
                  <w:pPr>
                    <w:pStyle w:val="185"/>
                    <w:ind w:firstLine="420"/>
                    <w:jc w:val="left"/>
                    <w:rPr>
                      <w:sz w:val="21"/>
                      <w:szCs w:val="21"/>
                    </w:rPr>
                  </w:pPr>
                  <w:r>
                    <w:rPr>
                      <w:sz w:val="21"/>
                      <w:szCs w:val="21"/>
                    </w:rPr>
                    <w:t>0.878</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restart"/>
                </w:tcPr>
                <w:p>
                  <w:pPr>
                    <w:jc w:val="center"/>
                    <w:rPr>
                      <w:szCs w:val="21"/>
                    </w:rPr>
                  </w:pPr>
                  <w:r>
                    <w:rPr>
                      <w:szCs w:val="21"/>
                    </w:rPr>
                    <w:t>25#</w:t>
                  </w:r>
                </w:p>
              </w:tc>
              <w:tc>
                <w:tcPr>
                  <w:tcW w:w="992" w:type="dxa"/>
                </w:tcPr>
                <w:p>
                  <w:pPr>
                    <w:jc w:val="center"/>
                    <w:rPr>
                      <w:szCs w:val="21"/>
                    </w:rPr>
                  </w:pPr>
                  <w:r>
                    <w:rPr>
                      <w:szCs w:val="21"/>
                    </w:rPr>
                    <w:t>SO</w:t>
                  </w:r>
                  <w:r>
                    <w:rPr>
                      <w:szCs w:val="21"/>
                      <w:vertAlign w:val="subscript"/>
                    </w:rPr>
                    <w:t>2</w:t>
                  </w:r>
                </w:p>
              </w:tc>
              <w:tc>
                <w:tcPr>
                  <w:tcW w:w="992" w:type="dxa"/>
                </w:tcPr>
                <w:p>
                  <w:pPr>
                    <w:jc w:val="center"/>
                    <w:rPr>
                      <w:szCs w:val="21"/>
                    </w:rPr>
                  </w:pPr>
                  <w:r>
                    <w:rPr>
                      <w:szCs w:val="21"/>
                    </w:rPr>
                    <w:t>0.036</w:t>
                  </w:r>
                </w:p>
              </w:tc>
              <w:tc>
                <w:tcPr>
                  <w:tcW w:w="993" w:type="dxa"/>
                </w:tcPr>
                <w:p>
                  <w:pPr>
                    <w:jc w:val="center"/>
                    <w:rPr>
                      <w:szCs w:val="21"/>
                    </w:rPr>
                  </w:pPr>
                  <w:r>
                    <w:rPr>
                      <w:szCs w:val="21"/>
                    </w:rPr>
                    <w:t>1</w:t>
                  </w:r>
                </w:p>
              </w:tc>
              <w:tc>
                <w:tcPr>
                  <w:tcW w:w="1039" w:type="dxa"/>
                  <w:vMerge w:val="restart"/>
                </w:tcPr>
                <w:p>
                  <w:pPr>
                    <w:jc w:val="center"/>
                    <w:rPr>
                      <w:szCs w:val="21"/>
                    </w:rPr>
                  </w:pPr>
                  <w:r>
                    <w:rPr>
                      <w:szCs w:val="21"/>
                    </w:rPr>
                    <w:t>26778</w:t>
                  </w:r>
                </w:p>
              </w:tc>
              <w:tc>
                <w:tcPr>
                  <w:tcW w:w="992" w:type="dxa"/>
                  <w:tcBorders>
                    <w:left w:val="single" w:color="auto" w:sz="4" w:space="0"/>
                    <w:right w:val="single" w:color="auto" w:sz="4" w:space="0"/>
                  </w:tcBorders>
                  <w:vAlign w:val="center"/>
                </w:tcPr>
                <w:p>
                  <w:pPr>
                    <w:pStyle w:val="185"/>
                    <w:jc w:val="both"/>
                    <w:rPr>
                      <w:sz w:val="21"/>
                      <w:szCs w:val="21"/>
                    </w:rPr>
                  </w:pPr>
                  <w:r>
                    <w:rPr>
                      <w:sz w:val="21"/>
                      <w:szCs w:val="21"/>
                    </w:rPr>
                    <w:t>0.036</w:t>
                  </w:r>
                </w:p>
              </w:tc>
              <w:tc>
                <w:tcPr>
                  <w:tcW w:w="1276" w:type="dxa"/>
                  <w:tcBorders>
                    <w:left w:val="single" w:color="auto" w:sz="4" w:space="0"/>
                    <w:right w:val="single" w:color="auto" w:sz="4" w:space="0"/>
                  </w:tcBorders>
                  <w:vAlign w:val="center"/>
                </w:tcPr>
                <w:p>
                  <w:pPr>
                    <w:pStyle w:val="185"/>
                    <w:ind w:firstLine="420"/>
                    <w:jc w:val="left"/>
                    <w:rPr>
                      <w:sz w:val="21"/>
                      <w:szCs w:val="21"/>
                    </w:rPr>
                  </w:pPr>
                  <w:r>
                    <w:rPr>
                      <w:sz w:val="21"/>
                      <w:szCs w:val="21"/>
                    </w:rPr>
                    <w:t>1</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 xml:space="preserve">NOx </w:t>
                  </w:r>
                </w:p>
              </w:tc>
              <w:tc>
                <w:tcPr>
                  <w:tcW w:w="992" w:type="dxa"/>
                </w:tcPr>
                <w:p>
                  <w:pPr>
                    <w:jc w:val="center"/>
                    <w:rPr>
                      <w:szCs w:val="21"/>
                    </w:rPr>
                  </w:pPr>
                  <w:r>
                    <w:rPr>
                      <w:szCs w:val="21"/>
                    </w:rPr>
                    <w:t>0.134</w:t>
                  </w:r>
                </w:p>
              </w:tc>
              <w:tc>
                <w:tcPr>
                  <w:tcW w:w="993" w:type="dxa"/>
                </w:tcPr>
                <w:p>
                  <w:pPr>
                    <w:jc w:val="center"/>
                    <w:rPr>
                      <w:szCs w:val="21"/>
                    </w:rPr>
                  </w:pPr>
                  <w:r>
                    <w:rPr>
                      <w:szCs w:val="21"/>
                    </w:rPr>
                    <w:t>5</w:t>
                  </w:r>
                </w:p>
              </w:tc>
              <w:tc>
                <w:tcPr>
                  <w:tcW w:w="1039" w:type="dxa"/>
                  <w:vMerge w:val="continue"/>
                </w:tcPr>
                <w:p>
                  <w:pPr>
                    <w:jc w:val="center"/>
                    <w:rPr>
                      <w:szCs w:val="21"/>
                    </w:rPr>
                  </w:pPr>
                </w:p>
              </w:tc>
              <w:tc>
                <w:tcPr>
                  <w:tcW w:w="992" w:type="dxa"/>
                  <w:tcBorders>
                    <w:left w:val="single" w:color="auto" w:sz="4" w:space="0"/>
                    <w:right w:val="single" w:color="auto" w:sz="4" w:space="0"/>
                  </w:tcBorders>
                  <w:vAlign w:val="center"/>
                </w:tcPr>
                <w:p>
                  <w:pPr>
                    <w:pStyle w:val="185"/>
                    <w:jc w:val="both"/>
                    <w:rPr>
                      <w:sz w:val="21"/>
                      <w:szCs w:val="21"/>
                    </w:rPr>
                  </w:pPr>
                  <w:r>
                    <w:rPr>
                      <w:sz w:val="21"/>
                      <w:szCs w:val="21"/>
                    </w:rPr>
                    <w:t>0.134</w:t>
                  </w:r>
                </w:p>
              </w:tc>
              <w:tc>
                <w:tcPr>
                  <w:tcW w:w="1276" w:type="dxa"/>
                  <w:tcBorders>
                    <w:left w:val="single" w:color="auto" w:sz="4" w:space="0"/>
                    <w:right w:val="single" w:color="auto" w:sz="4" w:space="0"/>
                  </w:tcBorders>
                  <w:vAlign w:val="center"/>
                </w:tcPr>
                <w:p>
                  <w:pPr>
                    <w:pStyle w:val="185"/>
                    <w:ind w:firstLine="420"/>
                    <w:jc w:val="left"/>
                    <w:rPr>
                      <w:sz w:val="21"/>
                      <w:szCs w:val="21"/>
                    </w:rPr>
                  </w:pPr>
                  <w:r>
                    <w:rPr>
                      <w:sz w:val="21"/>
                      <w:szCs w:val="21"/>
                    </w:rPr>
                    <w:t>5</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苯</w:t>
                  </w:r>
                </w:p>
              </w:tc>
              <w:tc>
                <w:tcPr>
                  <w:tcW w:w="992" w:type="dxa"/>
                </w:tcPr>
                <w:p>
                  <w:pPr>
                    <w:jc w:val="center"/>
                    <w:rPr>
                      <w:szCs w:val="21"/>
                    </w:rPr>
                  </w:pPr>
                  <w:r>
                    <w:rPr>
                      <w:szCs w:val="21"/>
                    </w:rPr>
                    <w:t>0.0582</w:t>
                  </w:r>
                </w:p>
              </w:tc>
              <w:tc>
                <w:tcPr>
                  <w:tcW w:w="993" w:type="dxa"/>
                </w:tcPr>
                <w:p>
                  <w:pPr>
                    <w:jc w:val="center"/>
                    <w:rPr>
                      <w:szCs w:val="21"/>
                    </w:rPr>
                  </w:pPr>
                  <w:r>
                    <w:rPr>
                      <w:szCs w:val="21"/>
                    </w:rPr>
                    <w:t>2.18</w:t>
                  </w:r>
                </w:p>
              </w:tc>
              <w:tc>
                <w:tcPr>
                  <w:tcW w:w="1039" w:type="dxa"/>
                  <w:vMerge w:val="continue"/>
                </w:tcPr>
                <w:p>
                  <w:pPr>
                    <w:jc w:val="center"/>
                    <w:rPr>
                      <w:szCs w:val="21"/>
                    </w:rPr>
                  </w:pPr>
                </w:p>
              </w:tc>
              <w:tc>
                <w:tcPr>
                  <w:tcW w:w="992" w:type="dxa"/>
                  <w:tcBorders>
                    <w:left w:val="single" w:color="auto" w:sz="4" w:space="0"/>
                    <w:right w:val="single" w:color="auto" w:sz="4" w:space="0"/>
                  </w:tcBorders>
                  <w:vAlign w:val="center"/>
                </w:tcPr>
                <w:p>
                  <w:pPr>
                    <w:pStyle w:val="185"/>
                    <w:jc w:val="both"/>
                    <w:rPr>
                      <w:sz w:val="21"/>
                      <w:szCs w:val="21"/>
                    </w:rPr>
                  </w:pPr>
                  <w:r>
                    <w:rPr>
                      <w:sz w:val="21"/>
                      <w:szCs w:val="21"/>
                    </w:rPr>
                    <w:t>0.00291</w:t>
                  </w:r>
                </w:p>
              </w:tc>
              <w:tc>
                <w:tcPr>
                  <w:tcW w:w="1276" w:type="dxa"/>
                  <w:tcBorders>
                    <w:left w:val="single" w:color="auto" w:sz="4" w:space="0"/>
                    <w:right w:val="single" w:color="auto" w:sz="4" w:space="0"/>
                  </w:tcBorders>
                  <w:vAlign w:val="center"/>
                </w:tcPr>
                <w:p>
                  <w:pPr>
                    <w:pStyle w:val="185"/>
                    <w:ind w:firstLine="420"/>
                    <w:jc w:val="left"/>
                    <w:rPr>
                      <w:sz w:val="21"/>
                      <w:szCs w:val="21"/>
                    </w:rPr>
                  </w:pPr>
                  <w:r>
                    <w:rPr>
                      <w:sz w:val="21"/>
                      <w:szCs w:val="21"/>
                    </w:rPr>
                    <w:t>0.109</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甲苯</w:t>
                  </w:r>
                </w:p>
              </w:tc>
              <w:tc>
                <w:tcPr>
                  <w:tcW w:w="992" w:type="dxa"/>
                </w:tcPr>
                <w:p>
                  <w:pPr>
                    <w:jc w:val="center"/>
                    <w:rPr>
                      <w:szCs w:val="21"/>
                    </w:rPr>
                  </w:pPr>
                  <w:r>
                    <w:rPr>
                      <w:szCs w:val="21"/>
                    </w:rPr>
                    <w:t>0.1164</w:t>
                  </w:r>
                </w:p>
              </w:tc>
              <w:tc>
                <w:tcPr>
                  <w:tcW w:w="993" w:type="dxa"/>
                </w:tcPr>
                <w:p>
                  <w:pPr>
                    <w:jc w:val="center"/>
                    <w:rPr>
                      <w:szCs w:val="21"/>
                    </w:rPr>
                  </w:pPr>
                  <w:r>
                    <w:rPr>
                      <w:szCs w:val="21"/>
                    </w:rPr>
                    <w:t>4.34</w:t>
                  </w:r>
                </w:p>
              </w:tc>
              <w:tc>
                <w:tcPr>
                  <w:tcW w:w="1039" w:type="dxa"/>
                  <w:vMerge w:val="continue"/>
                </w:tcPr>
                <w:p>
                  <w:pPr>
                    <w:jc w:val="center"/>
                    <w:rPr>
                      <w:szCs w:val="21"/>
                    </w:rPr>
                  </w:pPr>
                </w:p>
              </w:tc>
              <w:tc>
                <w:tcPr>
                  <w:tcW w:w="992" w:type="dxa"/>
                  <w:tcBorders>
                    <w:left w:val="single" w:color="auto" w:sz="4" w:space="0"/>
                    <w:right w:val="single" w:color="auto" w:sz="4" w:space="0"/>
                  </w:tcBorders>
                  <w:vAlign w:val="center"/>
                </w:tcPr>
                <w:p>
                  <w:pPr>
                    <w:pStyle w:val="185"/>
                    <w:jc w:val="both"/>
                    <w:rPr>
                      <w:sz w:val="21"/>
                      <w:szCs w:val="21"/>
                    </w:rPr>
                  </w:pPr>
                  <w:r>
                    <w:rPr>
                      <w:sz w:val="21"/>
                      <w:szCs w:val="21"/>
                    </w:rPr>
                    <w:t>0.00582</w:t>
                  </w:r>
                </w:p>
              </w:tc>
              <w:tc>
                <w:tcPr>
                  <w:tcW w:w="1276" w:type="dxa"/>
                  <w:tcBorders>
                    <w:left w:val="single" w:color="auto" w:sz="4" w:space="0"/>
                    <w:right w:val="single" w:color="auto" w:sz="4" w:space="0"/>
                  </w:tcBorders>
                  <w:vAlign w:val="center"/>
                </w:tcPr>
                <w:p>
                  <w:pPr>
                    <w:pStyle w:val="185"/>
                    <w:ind w:firstLine="420"/>
                    <w:jc w:val="left"/>
                    <w:rPr>
                      <w:sz w:val="21"/>
                      <w:szCs w:val="21"/>
                    </w:rPr>
                  </w:pPr>
                  <w:r>
                    <w:rPr>
                      <w:sz w:val="21"/>
                      <w:szCs w:val="21"/>
                    </w:rPr>
                    <w:t>0.217</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二甲苯</w:t>
                  </w:r>
                </w:p>
              </w:tc>
              <w:tc>
                <w:tcPr>
                  <w:tcW w:w="992" w:type="dxa"/>
                </w:tcPr>
                <w:p>
                  <w:pPr>
                    <w:jc w:val="center"/>
                    <w:rPr>
                      <w:szCs w:val="21"/>
                    </w:rPr>
                  </w:pPr>
                  <w:r>
                    <w:rPr>
                      <w:szCs w:val="21"/>
                    </w:rPr>
                    <w:t>0.38</w:t>
                  </w:r>
                </w:p>
              </w:tc>
              <w:tc>
                <w:tcPr>
                  <w:tcW w:w="993" w:type="dxa"/>
                </w:tcPr>
                <w:p>
                  <w:pPr>
                    <w:jc w:val="center"/>
                    <w:rPr>
                      <w:szCs w:val="21"/>
                    </w:rPr>
                  </w:pPr>
                  <w:r>
                    <w:rPr>
                      <w:szCs w:val="21"/>
                    </w:rPr>
                    <w:t>14.46</w:t>
                  </w:r>
                </w:p>
              </w:tc>
              <w:tc>
                <w:tcPr>
                  <w:tcW w:w="1039" w:type="dxa"/>
                  <w:vMerge w:val="continue"/>
                </w:tcPr>
                <w:p>
                  <w:pPr>
                    <w:jc w:val="center"/>
                    <w:rPr>
                      <w:szCs w:val="21"/>
                    </w:rPr>
                  </w:pPr>
                </w:p>
              </w:tc>
              <w:tc>
                <w:tcPr>
                  <w:tcW w:w="992" w:type="dxa"/>
                  <w:tcBorders>
                    <w:left w:val="single" w:color="auto" w:sz="4" w:space="0"/>
                    <w:right w:val="single" w:color="auto" w:sz="4" w:space="0"/>
                  </w:tcBorders>
                  <w:vAlign w:val="center"/>
                </w:tcPr>
                <w:p>
                  <w:pPr>
                    <w:pStyle w:val="185"/>
                    <w:jc w:val="both"/>
                    <w:rPr>
                      <w:sz w:val="21"/>
                      <w:szCs w:val="21"/>
                    </w:rPr>
                  </w:pPr>
                  <w:r>
                    <w:rPr>
                      <w:sz w:val="21"/>
                      <w:szCs w:val="21"/>
                    </w:rPr>
                    <w:t>0.019</w:t>
                  </w:r>
                </w:p>
              </w:tc>
              <w:tc>
                <w:tcPr>
                  <w:tcW w:w="1276" w:type="dxa"/>
                  <w:tcBorders>
                    <w:left w:val="single" w:color="auto" w:sz="4" w:space="0"/>
                    <w:right w:val="single" w:color="auto" w:sz="4" w:space="0"/>
                  </w:tcBorders>
                  <w:vAlign w:val="center"/>
                </w:tcPr>
                <w:p>
                  <w:pPr>
                    <w:pStyle w:val="185"/>
                    <w:ind w:firstLine="420"/>
                    <w:jc w:val="left"/>
                    <w:rPr>
                      <w:sz w:val="21"/>
                      <w:szCs w:val="21"/>
                    </w:rPr>
                  </w:pPr>
                  <w:r>
                    <w:rPr>
                      <w:sz w:val="21"/>
                      <w:szCs w:val="21"/>
                    </w:rPr>
                    <w:t>0.723</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restart"/>
                </w:tcPr>
                <w:p>
                  <w:pPr>
                    <w:jc w:val="center"/>
                    <w:rPr>
                      <w:szCs w:val="21"/>
                    </w:rPr>
                  </w:pPr>
                  <w:r>
                    <w:rPr>
                      <w:szCs w:val="21"/>
                    </w:rPr>
                    <w:t>26#</w:t>
                  </w:r>
                </w:p>
              </w:tc>
              <w:tc>
                <w:tcPr>
                  <w:tcW w:w="992" w:type="dxa"/>
                </w:tcPr>
                <w:p>
                  <w:pPr>
                    <w:jc w:val="center"/>
                    <w:rPr>
                      <w:szCs w:val="21"/>
                    </w:rPr>
                  </w:pPr>
                  <w:r>
                    <w:rPr>
                      <w:szCs w:val="21"/>
                    </w:rPr>
                    <w:t>SO</w:t>
                  </w:r>
                  <w:r>
                    <w:rPr>
                      <w:szCs w:val="21"/>
                      <w:vertAlign w:val="subscript"/>
                    </w:rPr>
                    <w:t>2</w:t>
                  </w:r>
                </w:p>
              </w:tc>
              <w:tc>
                <w:tcPr>
                  <w:tcW w:w="992" w:type="dxa"/>
                </w:tcPr>
                <w:p>
                  <w:pPr>
                    <w:jc w:val="center"/>
                    <w:rPr>
                      <w:szCs w:val="21"/>
                    </w:rPr>
                  </w:pPr>
                  <w:r>
                    <w:rPr>
                      <w:szCs w:val="21"/>
                    </w:rPr>
                    <w:t>0.026</w:t>
                  </w:r>
                </w:p>
              </w:tc>
              <w:tc>
                <w:tcPr>
                  <w:tcW w:w="993" w:type="dxa"/>
                </w:tcPr>
                <w:p>
                  <w:pPr>
                    <w:jc w:val="center"/>
                    <w:rPr>
                      <w:szCs w:val="21"/>
                    </w:rPr>
                  </w:pPr>
                  <w:r>
                    <w:rPr>
                      <w:szCs w:val="21"/>
                    </w:rPr>
                    <w:t>3</w:t>
                  </w:r>
                </w:p>
              </w:tc>
              <w:tc>
                <w:tcPr>
                  <w:tcW w:w="1039" w:type="dxa"/>
                  <w:vMerge w:val="restart"/>
                </w:tcPr>
                <w:p>
                  <w:pPr>
                    <w:jc w:val="center"/>
                    <w:rPr>
                      <w:szCs w:val="21"/>
                    </w:rPr>
                  </w:pPr>
                  <w:r>
                    <w:rPr>
                      <w:szCs w:val="21"/>
                    </w:rPr>
                    <w:t>9932</w:t>
                  </w:r>
                </w:p>
              </w:tc>
              <w:tc>
                <w:tcPr>
                  <w:tcW w:w="992" w:type="dxa"/>
                  <w:tcBorders>
                    <w:left w:val="single" w:color="auto" w:sz="4" w:space="0"/>
                    <w:right w:val="single" w:color="auto" w:sz="4" w:space="0"/>
                  </w:tcBorders>
                  <w:vAlign w:val="center"/>
                </w:tcPr>
                <w:p>
                  <w:pPr>
                    <w:pStyle w:val="185"/>
                    <w:jc w:val="both"/>
                    <w:rPr>
                      <w:sz w:val="21"/>
                      <w:szCs w:val="21"/>
                    </w:rPr>
                  </w:pPr>
                  <w:r>
                    <w:rPr>
                      <w:sz w:val="21"/>
                      <w:szCs w:val="21"/>
                    </w:rPr>
                    <w:t>0.026</w:t>
                  </w:r>
                </w:p>
              </w:tc>
              <w:tc>
                <w:tcPr>
                  <w:tcW w:w="1276" w:type="dxa"/>
                  <w:tcBorders>
                    <w:left w:val="single" w:color="auto" w:sz="4" w:space="0"/>
                    <w:right w:val="single" w:color="auto" w:sz="4" w:space="0"/>
                  </w:tcBorders>
                  <w:vAlign w:val="center"/>
                </w:tcPr>
                <w:p>
                  <w:pPr>
                    <w:pStyle w:val="185"/>
                    <w:ind w:firstLine="420"/>
                    <w:jc w:val="left"/>
                    <w:rPr>
                      <w:sz w:val="21"/>
                      <w:szCs w:val="21"/>
                    </w:rPr>
                  </w:pPr>
                  <w:r>
                    <w:rPr>
                      <w:sz w:val="21"/>
                      <w:szCs w:val="21"/>
                    </w:rPr>
                    <w:t>3</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 xml:space="preserve">NOx </w:t>
                  </w:r>
                </w:p>
              </w:tc>
              <w:tc>
                <w:tcPr>
                  <w:tcW w:w="992" w:type="dxa"/>
                </w:tcPr>
                <w:p>
                  <w:pPr>
                    <w:jc w:val="center"/>
                    <w:rPr>
                      <w:szCs w:val="21"/>
                    </w:rPr>
                  </w:pPr>
                  <w:r>
                    <w:rPr>
                      <w:szCs w:val="21"/>
                    </w:rPr>
                    <w:t>0.029</w:t>
                  </w:r>
                </w:p>
              </w:tc>
              <w:tc>
                <w:tcPr>
                  <w:tcW w:w="993" w:type="dxa"/>
                </w:tcPr>
                <w:p>
                  <w:pPr>
                    <w:jc w:val="center"/>
                    <w:rPr>
                      <w:szCs w:val="21"/>
                    </w:rPr>
                  </w:pPr>
                  <w:r>
                    <w:rPr>
                      <w:szCs w:val="21"/>
                    </w:rPr>
                    <w:t>3</w:t>
                  </w:r>
                </w:p>
              </w:tc>
              <w:tc>
                <w:tcPr>
                  <w:tcW w:w="1039" w:type="dxa"/>
                  <w:vMerge w:val="continue"/>
                </w:tcPr>
                <w:p>
                  <w:pPr>
                    <w:jc w:val="center"/>
                    <w:rPr>
                      <w:szCs w:val="21"/>
                    </w:rPr>
                  </w:pPr>
                </w:p>
              </w:tc>
              <w:tc>
                <w:tcPr>
                  <w:tcW w:w="992" w:type="dxa"/>
                  <w:tcBorders>
                    <w:left w:val="single" w:color="auto" w:sz="4" w:space="0"/>
                    <w:right w:val="single" w:color="auto" w:sz="4" w:space="0"/>
                  </w:tcBorders>
                  <w:vAlign w:val="center"/>
                </w:tcPr>
                <w:p>
                  <w:pPr>
                    <w:pStyle w:val="185"/>
                    <w:jc w:val="both"/>
                    <w:rPr>
                      <w:sz w:val="21"/>
                      <w:szCs w:val="21"/>
                    </w:rPr>
                  </w:pPr>
                  <w:r>
                    <w:rPr>
                      <w:sz w:val="21"/>
                      <w:szCs w:val="21"/>
                    </w:rPr>
                    <w:t>0.029</w:t>
                  </w:r>
                </w:p>
              </w:tc>
              <w:tc>
                <w:tcPr>
                  <w:tcW w:w="1276" w:type="dxa"/>
                  <w:tcBorders>
                    <w:left w:val="single" w:color="auto" w:sz="4" w:space="0"/>
                    <w:right w:val="single" w:color="auto" w:sz="4" w:space="0"/>
                  </w:tcBorders>
                  <w:vAlign w:val="center"/>
                </w:tcPr>
                <w:p>
                  <w:pPr>
                    <w:pStyle w:val="185"/>
                    <w:ind w:firstLine="420"/>
                    <w:jc w:val="left"/>
                    <w:rPr>
                      <w:sz w:val="21"/>
                      <w:szCs w:val="21"/>
                    </w:rPr>
                  </w:pPr>
                  <w:r>
                    <w:rPr>
                      <w:sz w:val="21"/>
                      <w:szCs w:val="21"/>
                    </w:rPr>
                    <w:t>3</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苯</w:t>
                  </w:r>
                </w:p>
              </w:tc>
              <w:tc>
                <w:tcPr>
                  <w:tcW w:w="992" w:type="dxa"/>
                </w:tcPr>
                <w:p>
                  <w:pPr>
                    <w:jc w:val="center"/>
                    <w:rPr>
                      <w:szCs w:val="21"/>
                    </w:rPr>
                  </w:pPr>
                  <w:r>
                    <w:rPr>
                      <w:szCs w:val="21"/>
                    </w:rPr>
                    <w:t>0.01892</w:t>
                  </w:r>
                </w:p>
              </w:tc>
              <w:tc>
                <w:tcPr>
                  <w:tcW w:w="993" w:type="dxa"/>
                </w:tcPr>
                <w:p>
                  <w:pPr>
                    <w:jc w:val="center"/>
                    <w:rPr>
                      <w:szCs w:val="21"/>
                    </w:rPr>
                  </w:pPr>
                  <w:r>
                    <w:rPr>
                      <w:szCs w:val="21"/>
                    </w:rPr>
                    <w:t>1.9</w:t>
                  </w:r>
                </w:p>
              </w:tc>
              <w:tc>
                <w:tcPr>
                  <w:tcW w:w="1039" w:type="dxa"/>
                  <w:vMerge w:val="continue"/>
                </w:tcPr>
                <w:p>
                  <w:pPr>
                    <w:jc w:val="center"/>
                    <w:rPr>
                      <w:szCs w:val="21"/>
                    </w:rPr>
                  </w:pPr>
                </w:p>
              </w:tc>
              <w:tc>
                <w:tcPr>
                  <w:tcW w:w="992" w:type="dxa"/>
                  <w:tcBorders>
                    <w:left w:val="single" w:color="auto" w:sz="4" w:space="0"/>
                    <w:right w:val="single" w:color="auto" w:sz="4" w:space="0"/>
                  </w:tcBorders>
                  <w:vAlign w:val="center"/>
                </w:tcPr>
                <w:p>
                  <w:pPr>
                    <w:pStyle w:val="185"/>
                    <w:jc w:val="both"/>
                    <w:rPr>
                      <w:sz w:val="21"/>
                      <w:szCs w:val="21"/>
                    </w:rPr>
                  </w:pPr>
                  <w:r>
                    <w:rPr>
                      <w:sz w:val="21"/>
                      <w:szCs w:val="21"/>
                    </w:rPr>
                    <w:t>0.000946</w:t>
                  </w:r>
                </w:p>
              </w:tc>
              <w:tc>
                <w:tcPr>
                  <w:tcW w:w="1276" w:type="dxa"/>
                  <w:tcBorders>
                    <w:left w:val="single" w:color="auto" w:sz="4" w:space="0"/>
                    <w:right w:val="single" w:color="auto" w:sz="4" w:space="0"/>
                  </w:tcBorders>
                  <w:vAlign w:val="center"/>
                </w:tcPr>
                <w:p>
                  <w:pPr>
                    <w:pStyle w:val="185"/>
                    <w:ind w:firstLine="420"/>
                    <w:jc w:val="left"/>
                    <w:rPr>
                      <w:sz w:val="21"/>
                      <w:szCs w:val="21"/>
                    </w:rPr>
                  </w:pPr>
                  <w:r>
                    <w:rPr>
                      <w:sz w:val="21"/>
                      <w:szCs w:val="21"/>
                    </w:rPr>
                    <w:t>0.095</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甲苯</w:t>
                  </w:r>
                </w:p>
              </w:tc>
              <w:tc>
                <w:tcPr>
                  <w:tcW w:w="992" w:type="dxa"/>
                </w:tcPr>
                <w:p>
                  <w:pPr>
                    <w:jc w:val="center"/>
                    <w:rPr>
                      <w:szCs w:val="21"/>
                    </w:rPr>
                  </w:pPr>
                  <w:r>
                    <w:rPr>
                      <w:szCs w:val="21"/>
                    </w:rPr>
                    <w:t>0.0294</w:t>
                  </w:r>
                </w:p>
              </w:tc>
              <w:tc>
                <w:tcPr>
                  <w:tcW w:w="993" w:type="dxa"/>
                </w:tcPr>
                <w:p>
                  <w:pPr>
                    <w:jc w:val="center"/>
                    <w:rPr>
                      <w:szCs w:val="21"/>
                    </w:rPr>
                  </w:pPr>
                  <w:r>
                    <w:rPr>
                      <w:szCs w:val="21"/>
                    </w:rPr>
                    <w:t>2.96</w:t>
                  </w:r>
                </w:p>
              </w:tc>
              <w:tc>
                <w:tcPr>
                  <w:tcW w:w="1039" w:type="dxa"/>
                  <w:vMerge w:val="continue"/>
                </w:tcPr>
                <w:p>
                  <w:pPr>
                    <w:jc w:val="center"/>
                    <w:rPr>
                      <w:szCs w:val="21"/>
                    </w:rPr>
                  </w:pPr>
                </w:p>
              </w:tc>
              <w:tc>
                <w:tcPr>
                  <w:tcW w:w="992" w:type="dxa"/>
                  <w:tcBorders>
                    <w:left w:val="single" w:color="auto" w:sz="4" w:space="0"/>
                    <w:right w:val="single" w:color="auto" w:sz="4" w:space="0"/>
                  </w:tcBorders>
                  <w:vAlign w:val="center"/>
                </w:tcPr>
                <w:p>
                  <w:pPr>
                    <w:pStyle w:val="185"/>
                    <w:jc w:val="both"/>
                    <w:rPr>
                      <w:sz w:val="21"/>
                      <w:szCs w:val="21"/>
                    </w:rPr>
                  </w:pPr>
                  <w:r>
                    <w:rPr>
                      <w:sz w:val="21"/>
                      <w:szCs w:val="21"/>
                    </w:rPr>
                    <w:t>0.00147</w:t>
                  </w:r>
                </w:p>
              </w:tc>
              <w:tc>
                <w:tcPr>
                  <w:tcW w:w="1276" w:type="dxa"/>
                  <w:tcBorders>
                    <w:left w:val="single" w:color="auto" w:sz="4" w:space="0"/>
                    <w:right w:val="single" w:color="auto" w:sz="4" w:space="0"/>
                  </w:tcBorders>
                  <w:vAlign w:val="center"/>
                </w:tcPr>
                <w:p>
                  <w:pPr>
                    <w:pStyle w:val="185"/>
                    <w:ind w:firstLine="420"/>
                    <w:jc w:val="left"/>
                    <w:rPr>
                      <w:sz w:val="21"/>
                      <w:szCs w:val="21"/>
                    </w:rPr>
                  </w:pPr>
                  <w:r>
                    <w:rPr>
                      <w:sz w:val="21"/>
                      <w:szCs w:val="21"/>
                    </w:rPr>
                    <w:t>0.148</w:t>
                  </w:r>
                </w:p>
              </w:tc>
              <w:tc>
                <w:tcPr>
                  <w:tcW w:w="663" w:type="dxa"/>
                </w:tcPr>
                <w:p>
                  <w:pPr>
                    <w:jc w:val="center"/>
                  </w:pP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992" w:type="dxa"/>
                  <w:vMerge w:val="continue"/>
                </w:tcPr>
                <w:p>
                  <w:pPr>
                    <w:jc w:val="center"/>
                    <w:rPr>
                      <w:szCs w:val="21"/>
                    </w:rPr>
                  </w:pPr>
                </w:p>
              </w:tc>
              <w:tc>
                <w:tcPr>
                  <w:tcW w:w="992" w:type="dxa"/>
                </w:tcPr>
                <w:p>
                  <w:pPr>
                    <w:jc w:val="center"/>
                    <w:rPr>
                      <w:szCs w:val="21"/>
                    </w:rPr>
                  </w:pPr>
                  <w:r>
                    <w:rPr>
                      <w:szCs w:val="21"/>
                    </w:rPr>
                    <w:t>二甲苯</w:t>
                  </w:r>
                </w:p>
              </w:tc>
              <w:tc>
                <w:tcPr>
                  <w:tcW w:w="992" w:type="dxa"/>
                </w:tcPr>
                <w:p>
                  <w:pPr>
                    <w:jc w:val="center"/>
                    <w:rPr>
                      <w:szCs w:val="21"/>
                    </w:rPr>
                  </w:pPr>
                  <w:r>
                    <w:rPr>
                      <w:szCs w:val="21"/>
                    </w:rPr>
                    <w:t>0.14</w:t>
                  </w:r>
                </w:p>
              </w:tc>
              <w:tc>
                <w:tcPr>
                  <w:tcW w:w="993" w:type="dxa"/>
                </w:tcPr>
                <w:p>
                  <w:pPr>
                    <w:jc w:val="center"/>
                    <w:rPr>
                      <w:szCs w:val="21"/>
                    </w:rPr>
                  </w:pPr>
                  <w:r>
                    <w:rPr>
                      <w:szCs w:val="21"/>
                    </w:rPr>
                    <w:t>14.48</w:t>
                  </w:r>
                </w:p>
              </w:tc>
              <w:tc>
                <w:tcPr>
                  <w:tcW w:w="1039" w:type="dxa"/>
                  <w:vMerge w:val="continue"/>
                </w:tcPr>
                <w:p>
                  <w:pPr>
                    <w:jc w:val="center"/>
                    <w:rPr>
                      <w:szCs w:val="21"/>
                    </w:rPr>
                  </w:pPr>
                </w:p>
              </w:tc>
              <w:tc>
                <w:tcPr>
                  <w:tcW w:w="992" w:type="dxa"/>
                  <w:tcBorders>
                    <w:left w:val="single" w:color="auto" w:sz="4" w:space="0"/>
                    <w:right w:val="single" w:color="auto" w:sz="4" w:space="0"/>
                  </w:tcBorders>
                  <w:vAlign w:val="center"/>
                </w:tcPr>
                <w:p>
                  <w:pPr>
                    <w:pStyle w:val="185"/>
                    <w:jc w:val="both"/>
                    <w:rPr>
                      <w:sz w:val="21"/>
                      <w:szCs w:val="21"/>
                    </w:rPr>
                  </w:pPr>
                  <w:r>
                    <w:rPr>
                      <w:sz w:val="21"/>
                      <w:szCs w:val="21"/>
                    </w:rPr>
                    <w:t>0.007</w:t>
                  </w:r>
                </w:p>
              </w:tc>
              <w:tc>
                <w:tcPr>
                  <w:tcW w:w="1276" w:type="dxa"/>
                  <w:tcBorders>
                    <w:left w:val="single" w:color="auto" w:sz="4" w:space="0"/>
                    <w:right w:val="single" w:color="auto" w:sz="4" w:space="0"/>
                  </w:tcBorders>
                  <w:vAlign w:val="center"/>
                </w:tcPr>
                <w:p>
                  <w:pPr>
                    <w:pStyle w:val="185"/>
                    <w:ind w:firstLine="420"/>
                    <w:jc w:val="left"/>
                    <w:rPr>
                      <w:sz w:val="21"/>
                      <w:szCs w:val="21"/>
                    </w:rPr>
                  </w:pPr>
                  <w:r>
                    <w:rPr>
                      <w:sz w:val="21"/>
                      <w:szCs w:val="21"/>
                    </w:rPr>
                    <w:t>0.724</w:t>
                  </w:r>
                </w:p>
              </w:tc>
              <w:tc>
                <w:tcPr>
                  <w:tcW w:w="663" w:type="dxa"/>
                </w:tcPr>
                <w:p>
                  <w:pPr>
                    <w:jc w:val="center"/>
                  </w:pPr>
                  <w:r>
                    <w:rPr>
                      <w:szCs w:val="21"/>
                    </w:rPr>
                    <w:t>95</w:t>
                  </w:r>
                </w:p>
              </w:tc>
            </w:tr>
          </w:tbl>
          <w:p>
            <w:pPr>
              <w:spacing w:line="514" w:lineRule="atLeast"/>
              <w:ind w:firstLine="420"/>
              <w:rPr>
                <w:sz w:val="24"/>
                <w:szCs w:val="20"/>
              </w:rPr>
            </w:pPr>
            <w:r>
              <w:rPr>
                <w:rFonts w:hint="eastAsia" w:ascii="宋体" w:hAnsi="宋体" w:cs="宋体"/>
                <w:sz w:val="24"/>
                <w:szCs w:val="20"/>
              </w:rPr>
              <w:t>②</w:t>
            </w:r>
            <w:r>
              <w:rPr>
                <w:sz w:val="24"/>
                <w:szCs w:val="20"/>
              </w:rPr>
              <w:t>生活废气</w:t>
            </w:r>
          </w:p>
          <w:p>
            <w:pPr>
              <w:spacing w:line="514" w:lineRule="atLeast"/>
              <w:ind w:firstLine="420"/>
              <w:rPr>
                <w:sz w:val="24"/>
              </w:rPr>
            </w:pPr>
            <w:r>
              <w:rPr>
                <w:sz w:val="24"/>
              </w:rPr>
              <w:t>一期项目实际设置职工50人，生活废气主要为炒菜油烟气，油烟产生量约0.56kg/d。项目食堂委托凯天环保科技股份有限公司安装了环保认证合格的处置效率85%的油烟净化器，处理后油烟通过高于倒班宿舍楼顶1.5m的排气筒对空排放，排放量为0.021t/a，排放浓度0.75~1.2mg/m³。项目厨房油烟可以做到达标排放。</w:t>
            </w:r>
          </w:p>
          <w:p>
            <w:pPr>
              <w:spacing w:line="514" w:lineRule="atLeast"/>
              <w:ind w:firstLine="420"/>
              <w:rPr>
                <w:sz w:val="24"/>
              </w:rPr>
            </w:pPr>
            <w:r>
              <w:rPr>
                <w:sz w:val="24"/>
              </w:rPr>
              <w:t>（2）废水</w:t>
            </w:r>
          </w:p>
          <w:p>
            <w:pPr>
              <w:spacing w:line="514" w:lineRule="atLeast"/>
              <w:ind w:firstLine="420"/>
              <w:rPr>
                <w:sz w:val="24"/>
              </w:rPr>
            </w:pPr>
            <w:r>
              <w:rPr>
                <w:sz w:val="24"/>
              </w:rPr>
              <w:t>1）用水量</w:t>
            </w:r>
          </w:p>
          <w:p>
            <w:pPr>
              <w:spacing w:line="514" w:lineRule="atLeast"/>
              <w:ind w:firstLine="420"/>
              <w:rPr>
                <w:sz w:val="24"/>
              </w:rPr>
            </w:pPr>
            <w:r>
              <w:rPr>
                <w:rFonts w:hint="eastAsia" w:ascii="宋体" w:hAnsi="宋体" w:cs="宋体"/>
                <w:sz w:val="24"/>
              </w:rPr>
              <w:t>①</w:t>
            </w:r>
            <w:r>
              <w:rPr>
                <w:sz w:val="24"/>
              </w:rPr>
              <w:t>生产废水</w:t>
            </w:r>
          </w:p>
          <w:p>
            <w:pPr>
              <w:spacing w:line="514" w:lineRule="atLeast"/>
              <w:ind w:firstLine="420"/>
              <w:rPr>
                <w:sz w:val="24"/>
              </w:rPr>
            </w:pPr>
            <w:r>
              <w:rPr>
                <w:sz w:val="24"/>
              </w:rPr>
              <w:t>建成项目生产用水点包括雨淋试验和车间清洁卫生。</w:t>
            </w:r>
          </w:p>
          <w:p>
            <w:pPr>
              <w:spacing w:line="514" w:lineRule="atLeast"/>
              <w:ind w:firstLine="420"/>
              <w:rPr>
                <w:sz w:val="24"/>
              </w:rPr>
            </w:pPr>
            <w:r>
              <w:rPr>
                <w:sz w:val="24"/>
              </w:rPr>
              <w:t>建成项目在雨淋试验过程中会有少部分水量由车体带走和蒸发损耗，根据业主提供实际运行数据，项目雨淋试验损耗量按照循环水量的1％计算，项目循环水量为2400m</w:t>
            </w:r>
            <w:r>
              <w:rPr>
                <w:sz w:val="24"/>
                <w:vertAlign w:val="superscript"/>
              </w:rPr>
              <w:t>3</w:t>
            </w:r>
            <w:r>
              <w:rPr>
                <w:sz w:val="24"/>
              </w:rPr>
              <w:t>/d。因此，雨淋试验废水量为24m</w:t>
            </w:r>
            <w:r>
              <w:rPr>
                <w:sz w:val="24"/>
                <w:vertAlign w:val="superscript"/>
              </w:rPr>
              <w:t>3</w:t>
            </w:r>
            <w:r>
              <w:rPr>
                <w:sz w:val="24"/>
              </w:rPr>
              <w:t>/d。雨淋试验用水经收集、过滤后循环使用，无雨淋试验废水外排。</w:t>
            </w:r>
          </w:p>
          <w:p>
            <w:pPr>
              <w:spacing w:line="514" w:lineRule="atLeast"/>
              <w:ind w:firstLine="420"/>
              <w:rPr>
                <w:sz w:val="24"/>
              </w:rPr>
            </w:pPr>
            <w:r>
              <w:rPr>
                <w:sz w:val="24"/>
              </w:rPr>
              <w:t>根据实际运行数据，车间约</w:t>
            </w:r>
            <w:r>
              <w:rPr>
                <w:rFonts w:hint="eastAsia"/>
                <w:sz w:val="24"/>
              </w:rPr>
              <w:t>1年进行2次清洗，每次用水量约为1</w:t>
            </w:r>
            <w:r>
              <w:rPr>
                <w:sz w:val="24"/>
              </w:rPr>
              <w:t>5m³，则车间清洗用水量为</w:t>
            </w:r>
            <w:r>
              <w:rPr>
                <w:rFonts w:hint="eastAsia"/>
                <w:sz w:val="24"/>
              </w:rPr>
              <w:t>3</w:t>
            </w:r>
            <w:r>
              <w:rPr>
                <w:sz w:val="24"/>
              </w:rPr>
              <w:t>0m³/a，</w:t>
            </w:r>
            <w:r>
              <w:rPr>
                <w:rFonts w:hint="eastAsia"/>
                <w:sz w:val="24"/>
              </w:rPr>
              <w:t>0</w:t>
            </w:r>
            <w:r>
              <w:rPr>
                <w:sz w:val="24"/>
              </w:rPr>
              <w:t>.12m³/d；排水量约为</w:t>
            </w:r>
            <w:r>
              <w:rPr>
                <w:rFonts w:hint="eastAsia"/>
                <w:sz w:val="24"/>
              </w:rPr>
              <w:t>2</w:t>
            </w:r>
            <w:r>
              <w:rPr>
                <w:sz w:val="24"/>
              </w:rPr>
              <w:t>4m³/a，</w:t>
            </w:r>
            <w:r>
              <w:rPr>
                <w:rFonts w:hint="eastAsia"/>
                <w:sz w:val="24"/>
              </w:rPr>
              <w:t>0</w:t>
            </w:r>
            <w:r>
              <w:rPr>
                <w:sz w:val="24"/>
              </w:rPr>
              <w:t>.096m³/d。</w:t>
            </w:r>
          </w:p>
          <w:p>
            <w:pPr>
              <w:spacing w:line="514" w:lineRule="atLeast"/>
              <w:ind w:firstLine="420"/>
              <w:rPr>
                <w:sz w:val="24"/>
              </w:rPr>
            </w:pPr>
            <w:r>
              <w:rPr>
                <w:rFonts w:hint="eastAsia" w:ascii="宋体" w:hAnsi="宋体" w:cs="宋体"/>
                <w:sz w:val="24"/>
              </w:rPr>
              <w:t>②</w:t>
            </w:r>
            <w:r>
              <w:rPr>
                <w:sz w:val="24"/>
              </w:rPr>
              <w:t>生活废水</w:t>
            </w:r>
          </w:p>
          <w:p>
            <w:pPr>
              <w:spacing w:line="514" w:lineRule="atLeast"/>
              <w:ind w:firstLine="420"/>
              <w:rPr>
                <w:sz w:val="24"/>
              </w:rPr>
            </w:pPr>
            <w:r>
              <w:rPr>
                <w:sz w:val="24"/>
              </w:rPr>
              <w:t>1.餐饮废水</w:t>
            </w:r>
          </w:p>
          <w:p>
            <w:pPr>
              <w:spacing w:line="514" w:lineRule="atLeast"/>
              <w:ind w:firstLine="420"/>
              <w:rPr>
                <w:sz w:val="24"/>
              </w:rPr>
            </w:pPr>
            <w:r>
              <w:rPr>
                <w:sz w:val="24"/>
              </w:rPr>
              <w:t>项目每日就餐人数约50人，根据实际运行数据，一期餐饮用水量为1m</w:t>
            </w:r>
            <w:r>
              <w:rPr>
                <w:sz w:val="24"/>
                <w:vertAlign w:val="superscript"/>
              </w:rPr>
              <w:t>3</w:t>
            </w:r>
            <w:r>
              <w:rPr>
                <w:sz w:val="24"/>
              </w:rPr>
              <w:t>/d，排水量为0.8m</w:t>
            </w:r>
            <w:r>
              <w:rPr>
                <w:sz w:val="24"/>
                <w:vertAlign w:val="superscript"/>
              </w:rPr>
              <w:t>3</w:t>
            </w:r>
            <w:r>
              <w:rPr>
                <w:sz w:val="24"/>
              </w:rPr>
              <w:t>/d，废水中主要污染物为COD</w:t>
            </w:r>
            <w:r>
              <w:rPr>
                <w:sz w:val="24"/>
                <w:vertAlign w:val="subscript"/>
              </w:rPr>
              <w:t>Cr</w:t>
            </w:r>
            <w:r>
              <w:rPr>
                <w:sz w:val="24"/>
              </w:rPr>
              <w:t>、SS、动植物油、氨氮和磷酸盐，浓度分别为COD</w:t>
            </w:r>
            <w:r>
              <w:rPr>
                <w:sz w:val="24"/>
                <w:vertAlign w:val="subscript"/>
              </w:rPr>
              <w:t>Cr</w:t>
            </w:r>
            <w:r>
              <w:rPr>
                <w:sz w:val="24"/>
              </w:rPr>
              <w:t>400～800mg/L，SS300～600mg/L，动植物油50～150mg/L，氨氮20～40mg/L，磷酸盐5～10mg/L。</w:t>
            </w:r>
          </w:p>
          <w:p>
            <w:pPr>
              <w:spacing w:line="514" w:lineRule="atLeast"/>
              <w:ind w:firstLine="420"/>
              <w:rPr>
                <w:sz w:val="24"/>
              </w:rPr>
            </w:pPr>
            <w:r>
              <w:rPr>
                <w:rFonts w:hint="eastAsia" w:ascii="宋体" w:hAnsi="宋体" w:cs="宋体"/>
                <w:sz w:val="24"/>
              </w:rPr>
              <w:t>②</w:t>
            </w:r>
            <w:r>
              <w:rPr>
                <w:sz w:val="24"/>
              </w:rPr>
              <w:t>办公废水</w:t>
            </w:r>
          </w:p>
          <w:p>
            <w:pPr>
              <w:spacing w:line="514" w:lineRule="atLeast"/>
              <w:ind w:firstLine="420"/>
              <w:rPr>
                <w:sz w:val="24"/>
              </w:rPr>
            </w:pPr>
            <w:r>
              <w:rPr>
                <w:sz w:val="24"/>
              </w:rPr>
              <w:t>一期项目办公人员20人，根据实际运行，办公用水量为1m</w:t>
            </w:r>
            <w:r>
              <w:rPr>
                <w:sz w:val="24"/>
                <w:vertAlign w:val="superscript"/>
              </w:rPr>
              <w:t>3</w:t>
            </w:r>
            <w:r>
              <w:rPr>
                <w:sz w:val="24"/>
              </w:rPr>
              <w:t>/d，排水量为0.8m</w:t>
            </w:r>
            <w:r>
              <w:rPr>
                <w:sz w:val="24"/>
                <w:vertAlign w:val="superscript"/>
              </w:rPr>
              <w:t>3</w:t>
            </w:r>
            <w:r>
              <w:rPr>
                <w:sz w:val="24"/>
              </w:rPr>
              <w:t>/d，废水中主要污染物为COD</w:t>
            </w:r>
            <w:r>
              <w:rPr>
                <w:sz w:val="24"/>
                <w:vertAlign w:val="subscript"/>
              </w:rPr>
              <w:t>Cr</w:t>
            </w:r>
            <w:r>
              <w:rPr>
                <w:sz w:val="24"/>
              </w:rPr>
              <w:t>、SS、氨氮和磷酸盐，浓度分别为COD</w:t>
            </w:r>
            <w:r>
              <w:rPr>
                <w:sz w:val="24"/>
                <w:vertAlign w:val="subscript"/>
              </w:rPr>
              <w:t>Cr</w:t>
            </w:r>
            <w:r>
              <w:rPr>
                <w:sz w:val="24"/>
              </w:rPr>
              <w:t>200～300mg/L，SS100～200mg/L，氨氮10～20mg/L，磷酸盐4～6mg/L。</w:t>
            </w:r>
          </w:p>
          <w:p>
            <w:pPr>
              <w:spacing w:line="514" w:lineRule="atLeast"/>
              <w:ind w:firstLine="420"/>
              <w:rPr>
                <w:sz w:val="24"/>
              </w:rPr>
            </w:pPr>
            <w:r>
              <w:rPr>
                <w:rFonts w:hint="eastAsia" w:ascii="宋体" w:hAnsi="宋体" w:cs="宋体"/>
                <w:sz w:val="24"/>
              </w:rPr>
              <w:t>③</w:t>
            </w:r>
            <w:r>
              <w:rPr>
                <w:sz w:val="24"/>
              </w:rPr>
              <w:t>住宿废水</w:t>
            </w:r>
          </w:p>
          <w:p>
            <w:pPr>
              <w:spacing w:line="514" w:lineRule="atLeast"/>
              <w:ind w:firstLine="420"/>
              <w:rPr>
                <w:sz w:val="24"/>
              </w:rPr>
            </w:pPr>
            <w:r>
              <w:rPr>
                <w:sz w:val="24"/>
              </w:rPr>
              <w:t>项目内员工30人/d在厂内倒班住宿，住宿实际用水量为2.8m</w:t>
            </w:r>
            <w:r>
              <w:rPr>
                <w:sz w:val="24"/>
                <w:vertAlign w:val="superscript"/>
              </w:rPr>
              <w:t>3</w:t>
            </w:r>
            <w:r>
              <w:rPr>
                <w:sz w:val="24"/>
              </w:rPr>
              <w:t>/d，排水量为2.24m</w:t>
            </w:r>
            <w:r>
              <w:rPr>
                <w:sz w:val="24"/>
                <w:vertAlign w:val="superscript"/>
              </w:rPr>
              <w:t>3</w:t>
            </w:r>
            <w:r>
              <w:rPr>
                <w:sz w:val="24"/>
              </w:rPr>
              <w:t>/d，废水中主要污染物为COD</w:t>
            </w:r>
            <w:r>
              <w:rPr>
                <w:sz w:val="24"/>
                <w:vertAlign w:val="subscript"/>
              </w:rPr>
              <w:t>Cr</w:t>
            </w:r>
            <w:r>
              <w:rPr>
                <w:sz w:val="24"/>
              </w:rPr>
              <w:t>、SS、氨氮和磷酸盐，浓度分别为COD</w:t>
            </w:r>
            <w:r>
              <w:rPr>
                <w:sz w:val="24"/>
                <w:vertAlign w:val="subscript"/>
              </w:rPr>
              <w:t>Cr</w:t>
            </w:r>
            <w:r>
              <w:rPr>
                <w:sz w:val="24"/>
              </w:rPr>
              <w:t>200～400mg/L，SS100～200mg/L，氨氮10～20mg/L，磷酸盐4～7mg/L。</w:t>
            </w:r>
          </w:p>
          <w:p>
            <w:pPr>
              <w:spacing w:line="514" w:lineRule="atLeast"/>
              <w:ind w:firstLine="420"/>
              <w:rPr>
                <w:sz w:val="24"/>
              </w:rPr>
            </w:pPr>
            <w:r>
              <w:rPr>
                <w:rFonts w:hint="eastAsia" w:ascii="宋体" w:hAnsi="宋体" w:cs="宋体"/>
                <w:sz w:val="24"/>
              </w:rPr>
              <w:t>④</w:t>
            </w:r>
            <w:r>
              <w:rPr>
                <w:sz w:val="24"/>
              </w:rPr>
              <w:t>绿化用水</w:t>
            </w:r>
          </w:p>
          <w:p>
            <w:pPr>
              <w:spacing w:line="514" w:lineRule="atLeast"/>
              <w:ind w:firstLine="420"/>
              <w:rPr>
                <w:sz w:val="24"/>
              </w:rPr>
            </w:pPr>
            <w:r>
              <w:rPr>
                <w:sz w:val="24"/>
              </w:rPr>
              <w:t>项目现有绿化面积90000m</w:t>
            </w:r>
            <w:r>
              <w:rPr>
                <w:sz w:val="24"/>
                <w:vertAlign w:val="superscript"/>
              </w:rPr>
              <w:t>2</w:t>
            </w:r>
            <w:r>
              <w:rPr>
                <w:sz w:val="24"/>
              </w:rPr>
              <w:t>（包含现有的二期预留空地绿化面积），全厂区绿地率为33%。根据实际运行，项目绿化用水量为270m</w:t>
            </w:r>
            <w:r>
              <w:rPr>
                <w:sz w:val="24"/>
                <w:vertAlign w:val="superscript"/>
              </w:rPr>
              <w:t>3</w:t>
            </w:r>
            <w:r>
              <w:rPr>
                <w:sz w:val="24"/>
              </w:rPr>
              <w:t>/d。</w:t>
            </w:r>
          </w:p>
          <w:p>
            <w:pPr>
              <w:spacing w:line="514" w:lineRule="atLeast"/>
              <w:ind w:firstLine="420"/>
              <w:rPr>
                <w:sz w:val="24"/>
              </w:rPr>
            </w:pPr>
            <w:r>
              <w:rPr>
                <w:sz w:val="24"/>
              </w:rPr>
              <w:t>2）排水</w:t>
            </w:r>
          </w:p>
          <w:p>
            <w:pPr>
              <w:spacing w:line="514" w:lineRule="atLeast"/>
              <w:ind w:firstLine="420"/>
              <w:rPr>
                <w:sz w:val="24"/>
              </w:rPr>
            </w:pPr>
            <w:r>
              <w:rPr>
                <w:sz w:val="24"/>
              </w:rPr>
              <w:t>一期项目生活污水通过隔油池、化粪池处理后同经过隔油处理的生产废水一同进入85m³污水处理站处理。一期项目排水量为3.936m³/d。污水经过污水处理站处理后，非雨天回用于项目区绿化，雨天</w:t>
            </w:r>
            <w:r>
              <w:rPr>
                <w:rFonts w:hint="eastAsia"/>
                <w:sz w:val="24"/>
              </w:rPr>
              <w:t>在</w:t>
            </w:r>
            <w:r>
              <w:rPr>
                <w:sz w:val="24"/>
              </w:rPr>
              <w:t>污水处理站内暂存。</w:t>
            </w:r>
          </w:p>
          <w:p>
            <w:pPr>
              <w:spacing w:line="514" w:lineRule="atLeast"/>
              <w:ind w:firstLine="420"/>
              <w:rPr>
                <w:sz w:val="24"/>
              </w:rPr>
            </w:pPr>
            <w:r>
              <w:rPr>
                <w:sz w:val="24"/>
              </w:rPr>
              <w:t>根据项目竣工环境保护验收监测，项目污水处理站出水可以满足GB/T18920-2002《城市污水再生利用 城市杂用水水质》绿化用水标准。</w:t>
            </w:r>
          </w:p>
          <w:p>
            <w:pPr>
              <w:spacing w:line="514" w:lineRule="atLeast"/>
              <w:ind w:firstLine="420"/>
              <w:rPr>
                <w:sz w:val="24"/>
                <w:szCs w:val="20"/>
              </w:rPr>
            </w:pPr>
            <w:r>
              <w:rPr>
                <w:sz w:val="24"/>
                <w:szCs w:val="20"/>
              </w:rPr>
              <w:t>（1）生产固废</w:t>
            </w:r>
          </w:p>
          <w:p>
            <w:pPr>
              <w:spacing w:line="514" w:lineRule="atLeast"/>
              <w:ind w:firstLine="420"/>
              <w:rPr>
                <w:sz w:val="24"/>
                <w:szCs w:val="20"/>
              </w:rPr>
            </w:pPr>
            <w:r>
              <w:rPr>
                <w:sz w:val="24"/>
                <w:szCs w:val="20"/>
              </w:rPr>
              <w:t>项目生产固废产生及处置情况见表2-15。</w:t>
            </w:r>
          </w:p>
          <w:p>
            <w:pPr>
              <w:spacing w:line="514" w:lineRule="atLeast"/>
              <w:ind w:firstLine="420"/>
              <w:jc w:val="center"/>
              <w:rPr>
                <w:b/>
                <w:sz w:val="24"/>
                <w:szCs w:val="20"/>
              </w:rPr>
            </w:pPr>
            <w:r>
              <w:rPr>
                <w:b/>
                <w:sz w:val="24"/>
                <w:szCs w:val="20"/>
              </w:rPr>
              <w:t>表2-15生产固废产生情况一览表</w:t>
            </w:r>
          </w:p>
          <w:tbl>
            <w:tblPr>
              <w:tblStyle w:val="44"/>
              <w:tblW w:w="7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52"/>
              <w:gridCol w:w="1759"/>
              <w:gridCol w:w="1696"/>
              <w:gridCol w:w="969"/>
              <w:gridCol w:w="907"/>
              <w:gridCol w:w="1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28" w:hRule="atLeast"/>
                <w:jc w:val="center"/>
              </w:trPr>
              <w:tc>
                <w:tcPr>
                  <w:tcW w:w="452" w:type="dxa"/>
                  <w:vAlign w:val="center"/>
                </w:tcPr>
                <w:p>
                  <w:pPr>
                    <w:spacing w:line="320" w:lineRule="atLeast"/>
                    <w:jc w:val="center"/>
                    <w:rPr>
                      <w:position w:val="-28"/>
                      <w:sz w:val="22"/>
                      <w:szCs w:val="22"/>
                    </w:rPr>
                  </w:pPr>
                  <w:r>
                    <w:rPr>
                      <w:position w:val="-28"/>
                      <w:sz w:val="22"/>
                      <w:szCs w:val="22"/>
                    </w:rPr>
                    <w:t>序号</w:t>
                  </w:r>
                </w:p>
              </w:tc>
              <w:tc>
                <w:tcPr>
                  <w:tcW w:w="1759" w:type="dxa"/>
                  <w:vAlign w:val="center"/>
                </w:tcPr>
                <w:p>
                  <w:pPr>
                    <w:spacing w:line="320" w:lineRule="atLeast"/>
                    <w:jc w:val="center"/>
                    <w:rPr>
                      <w:position w:val="-28"/>
                      <w:sz w:val="22"/>
                      <w:szCs w:val="22"/>
                    </w:rPr>
                  </w:pPr>
                  <w:r>
                    <w:rPr>
                      <w:position w:val="-28"/>
                      <w:sz w:val="22"/>
                      <w:szCs w:val="22"/>
                    </w:rPr>
                    <w:t>固废名称</w:t>
                  </w:r>
                </w:p>
              </w:tc>
              <w:tc>
                <w:tcPr>
                  <w:tcW w:w="1696" w:type="dxa"/>
                  <w:vAlign w:val="center"/>
                </w:tcPr>
                <w:p>
                  <w:pPr>
                    <w:spacing w:line="320" w:lineRule="atLeast"/>
                    <w:jc w:val="center"/>
                    <w:rPr>
                      <w:position w:val="-28"/>
                      <w:sz w:val="22"/>
                      <w:szCs w:val="22"/>
                    </w:rPr>
                  </w:pPr>
                  <w:r>
                    <w:rPr>
                      <w:position w:val="-28"/>
                      <w:sz w:val="22"/>
                      <w:szCs w:val="22"/>
                    </w:rPr>
                    <w:t>来源</w:t>
                  </w:r>
                </w:p>
              </w:tc>
              <w:tc>
                <w:tcPr>
                  <w:tcW w:w="969" w:type="dxa"/>
                  <w:vAlign w:val="center"/>
                </w:tcPr>
                <w:p>
                  <w:pPr>
                    <w:spacing w:line="320" w:lineRule="atLeast"/>
                    <w:jc w:val="center"/>
                    <w:rPr>
                      <w:position w:val="-28"/>
                      <w:sz w:val="22"/>
                      <w:szCs w:val="22"/>
                    </w:rPr>
                  </w:pPr>
                  <w:r>
                    <w:rPr>
                      <w:position w:val="-28"/>
                      <w:sz w:val="22"/>
                      <w:szCs w:val="22"/>
                    </w:rPr>
                    <w:t>产生量(t/a)</w:t>
                  </w:r>
                </w:p>
              </w:tc>
              <w:tc>
                <w:tcPr>
                  <w:tcW w:w="907" w:type="dxa"/>
                  <w:vAlign w:val="center"/>
                </w:tcPr>
                <w:p>
                  <w:pPr>
                    <w:spacing w:line="320" w:lineRule="atLeast"/>
                    <w:jc w:val="center"/>
                    <w:rPr>
                      <w:position w:val="-28"/>
                      <w:sz w:val="22"/>
                      <w:szCs w:val="22"/>
                    </w:rPr>
                  </w:pPr>
                  <w:r>
                    <w:rPr>
                      <w:position w:val="-28"/>
                      <w:sz w:val="22"/>
                      <w:szCs w:val="22"/>
                    </w:rPr>
                    <w:t>性质</w:t>
                  </w:r>
                </w:p>
              </w:tc>
              <w:tc>
                <w:tcPr>
                  <w:tcW w:w="1736" w:type="dxa"/>
                  <w:vAlign w:val="center"/>
                </w:tcPr>
                <w:p>
                  <w:pPr>
                    <w:spacing w:line="320" w:lineRule="atLeast"/>
                    <w:jc w:val="center"/>
                    <w:rPr>
                      <w:position w:val="-28"/>
                      <w:sz w:val="22"/>
                      <w:szCs w:val="22"/>
                    </w:rPr>
                  </w:pPr>
                  <w:r>
                    <w:rPr>
                      <w:position w:val="-28"/>
                      <w:sz w:val="22"/>
                      <w:szCs w:val="22"/>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9" w:hRule="atLeast"/>
                <w:jc w:val="center"/>
              </w:trPr>
              <w:tc>
                <w:tcPr>
                  <w:tcW w:w="452" w:type="dxa"/>
                  <w:vAlign w:val="center"/>
                </w:tcPr>
                <w:p>
                  <w:pPr>
                    <w:spacing w:line="320" w:lineRule="atLeast"/>
                    <w:jc w:val="center"/>
                    <w:rPr>
                      <w:position w:val="-28"/>
                      <w:sz w:val="22"/>
                      <w:szCs w:val="22"/>
                    </w:rPr>
                  </w:pPr>
                  <w:r>
                    <w:rPr>
                      <w:position w:val="-28"/>
                      <w:sz w:val="22"/>
                      <w:szCs w:val="22"/>
                    </w:rPr>
                    <w:t>1</w:t>
                  </w:r>
                </w:p>
              </w:tc>
              <w:tc>
                <w:tcPr>
                  <w:tcW w:w="1759" w:type="dxa"/>
                  <w:vAlign w:val="center"/>
                </w:tcPr>
                <w:p>
                  <w:pPr>
                    <w:spacing w:line="320" w:lineRule="atLeast"/>
                    <w:ind w:firstLine="220" w:firstLineChars="100"/>
                    <w:jc w:val="center"/>
                    <w:rPr>
                      <w:position w:val="-28"/>
                      <w:sz w:val="22"/>
                      <w:szCs w:val="22"/>
                    </w:rPr>
                  </w:pPr>
                  <w:r>
                    <w:rPr>
                      <w:position w:val="-28"/>
                      <w:sz w:val="22"/>
                      <w:szCs w:val="22"/>
                    </w:rPr>
                    <w:t>废砂(废白钢玉砂)</w:t>
                  </w:r>
                </w:p>
              </w:tc>
              <w:tc>
                <w:tcPr>
                  <w:tcW w:w="1696" w:type="dxa"/>
                  <w:vAlign w:val="center"/>
                </w:tcPr>
                <w:p>
                  <w:pPr>
                    <w:spacing w:line="320" w:lineRule="atLeast"/>
                    <w:jc w:val="center"/>
                    <w:rPr>
                      <w:position w:val="-28"/>
                      <w:sz w:val="22"/>
                      <w:szCs w:val="22"/>
                    </w:rPr>
                  </w:pPr>
                  <w:r>
                    <w:rPr>
                      <w:position w:val="-28"/>
                      <w:sz w:val="22"/>
                      <w:szCs w:val="22"/>
                    </w:rPr>
                    <w:t>喷砂工序</w:t>
                  </w:r>
                </w:p>
              </w:tc>
              <w:tc>
                <w:tcPr>
                  <w:tcW w:w="969" w:type="dxa"/>
                  <w:vAlign w:val="center"/>
                </w:tcPr>
                <w:p>
                  <w:pPr>
                    <w:spacing w:line="320" w:lineRule="atLeast"/>
                    <w:jc w:val="center"/>
                    <w:rPr>
                      <w:position w:val="-28"/>
                      <w:sz w:val="22"/>
                      <w:szCs w:val="22"/>
                    </w:rPr>
                  </w:pPr>
                  <w:r>
                    <w:rPr>
                      <w:position w:val="-28"/>
                      <w:sz w:val="22"/>
                      <w:szCs w:val="22"/>
                    </w:rPr>
                    <w:t>2.5</w:t>
                  </w:r>
                </w:p>
              </w:tc>
              <w:tc>
                <w:tcPr>
                  <w:tcW w:w="907" w:type="dxa"/>
                  <w:vAlign w:val="center"/>
                </w:tcPr>
                <w:p>
                  <w:pPr>
                    <w:spacing w:line="320" w:lineRule="atLeast"/>
                    <w:jc w:val="center"/>
                    <w:rPr>
                      <w:position w:val="-28"/>
                      <w:sz w:val="22"/>
                      <w:szCs w:val="22"/>
                    </w:rPr>
                  </w:pPr>
                  <w:r>
                    <w:rPr>
                      <w:position w:val="-28"/>
                      <w:sz w:val="22"/>
                      <w:szCs w:val="22"/>
                    </w:rPr>
                    <w:t>一般固废</w:t>
                  </w:r>
                </w:p>
              </w:tc>
              <w:tc>
                <w:tcPr>
                  <w:tcW w:w="1736" w:type="dxa"/>
                  <w:vMerge w:val="restart"/>
                  <w:vAlign w:val="center"/>
                </w:tcPr>
                <w:p>
                  <w:pPr>
                    <w:spacing w:line="320" w:lineRule="atLeast"/>
                    <w:jc w:val="center"/>
                    <w:rPr>
                      <w:position w:val="-28"/>
                      <w:sz w:val="22"/>
                      <w:szCs w:val="22"/>
                    </w:rPr>
                  </w:pPr>
                  <w:r>
                    <w:rPr>
                      <w:position w:val="-28"/>
                      <w:sz w:val="22"/>
                      <w:szCs w:val="22"/>
                    </w:rPr>
                    <w:t>株洲润磊科技有限公司回收利用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9" w:hRule="atLeast"/>
                <w:jc w:val="center"/>
              </w:trPr>
              <w:tc>
                <w:tcPr>
                  <w:tcW w:w="452" w:type="dxa"/>
                  <w:vAlign w:val="center"/>
                </w:tcPr>
                <w:p>
                  <w:pPr>
                    <w:spacing w:line="320" w:lineRule="atLeast"/>
                    <w:jc w:val="center"/>
                    <w:rPr>
                      <w:position w:val="-28"/>
                      <w:sz w:val="22"/>
                      <w:szCs w:val="22"/>
                    </w:rPr>
                  </w:pPr>
                  <w:r>
                    <w:rPr>
                      <w:position w:val="-28"/>
                      <w:sz w:val="22"/>
                      <w:szCs w:val="22"/>
                    </w:rPr>
                    <w:t>2</w:t>
                  </w:r>
                </w:p>
              </w:tc>
              <w:tc>
                <w:tcPr>
                  <w:tcW w:w="1759" w:type="dxa"/>
                  <w:vAlign w:val="center"/>
                </w:tcPr>
                <w:p>
                  <w:pPr>
                    <w:spacing w:line="320" w:lineRule="atLeast"/>
                    <w:jc w:val="center"/>
                    <w:rPr>
                      <w:position w:val="-28"/>
                      <w:sz w:val="22"/>
                      <w:szCs w:val="22"/>
                    </w:rPr>
                  </w:pPr>
                  <w:r>
                    <w:rPr>
                      <w:position w:val="-28"/>
                      <w:sz w:val="22"/>
                      <w:szCs w:val="22"/>
                    </w:rPr>
                    <w:t>废电缆</w:t>
                  </w:r>
                </w:p>
              </w:tc>
              <w:tc>
                <w:tcPr>
                  <w:tcW w:w="1696" w:type="dxa"/>
                  <w:vAlign w:val="center"/>
                </w:tcPr>
                <w:p>
                  <w:pPr>
                    <w:spacing w:line="320" w:lineRule="atLeast"/>
                    <w:jc w:val="center"/>
                    <w:rPr>
                      <w:position w:val="-28"/>
                      <w:sz w:val="22"/>
                      <w:szCs w:val="22"/>
                    </w:rPr>
                  </w:pPr>
                  <w:r>
                    <w:rPr>
                      <w:position w:val="-28"/>
                      <w:sz w:val="22"/>
                      <w:szCs w:val="22"/>
                    </w:rPr>
                    <w:t>车内配线</w:t>
                  </w:r>
                </w:p>
              </w:tc>
              <w:tc>
                <w:tcPr>
                  <w:tcW w:w="969" w:type="dxa"/>
                  <w:vAlign w:val="center"/>
                </w:tcPr>
                <w:p>
                  <w:pPr>
                    <w:spacing w:line="320" w:lineRule="atLeast"/>
                    <w:jc w:val="center"/>
                    <w:rPr>
                      <w:position w:val="-28"/>
                      <w:sz w:val="22"/>
                      <w:szCs w:val="22"/>
                    </w:rPr>
                  </w:pPr>
                  <w:r>
                    <w:rPr>
                      <w:position w:val="-28"/>
                      <w:sz w:val="22"/>
                      <w:szCs w:val="22"/>
                    </w:rPr>
                    <w:t>10</w:t>
                  </w:r>
                </w:p>
              </w:tc>
              <w:tc>
                <w:tcPr>
                  <w:tcW w:w="907" w:type="dxa"/>
                  <w:vAlign w:val="center"/>
                </w:tcPr>
                <w:p>
                  <w:pPr>
                    <w:spacing w:line="320" w:lineRule="atLeast"/>
                    <w:jc w:val="center"/>
                    <w:rPr>
                      <w:position w:val="-28"/>
                      <w:sz w:val="22"/>
                      <w:szCs w:val="22"/>
                    </w:rPr>
                  </w:pPr>
                  <w:r>
                    <w:rPr>
                      <w:position w:val="-28"/>
                      <w:sz w:val="22"/>
                      <w:szCs w:val="22"/>
                    </w:rPr>
                    <w:t>一般固废</w:t>
                  </w:r>
                </w:p>
              </w:tc>
              <w:tc>
                <w:tcPr>
                  <w:tcW w:w="1736" w:type="dxa"/>
                  <w:vMerge w:val="continue"/>
                  <w:vAlign w:val="center"/>
                </w:tcPr>
                <w:p>
                  <w:pPr>
                    <w:spacing w:line="320" w:lineRule="atLeast"/>
                    <w:jc w:val="center"/>
                    <w:rPr>
                      <w:position w:val="-28"/>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28" w:hRule="atLeast"/>
                <w:jc w:val="center"/>
              </w:trPr>
              <w:tc>
                <w:tcPr>
                  <w:tcW w:w="452" w:type="dxa"/>
                  <w:vAlign w:val="center"/>
                </w:tcPr>
                <w:p>
                  <w:pPr>
                    <w:spacing w:line="320" w:lineRule="atLeast"/>
                    <w:jc w:val="center"/>
                    <w:rPr>
                      <w:position w:val="-28"/>
                      <w:sz w:val="22"/>
                      <w:szCs w:val="22"/>
                    </w:rPr>
                  </w:pPr>
                  <w:r>
                    <w:rPr>
                      <w:position w:val="-28"/>
                      <w:sz w:val="22"/>
                      <w:szCs w:val="22"/>
                    </w:rPr>
                    <w:t>3</w:t>
                  </w:r>
                </w:p>
              </w:tc>
              <w:tc>
                <w:tcPr>
                  <w:tcW w:w="1759" w:type="dxa"/>
                  <w:vAlign w:val="center"/>
                </w:tcPr>
                <w:p>
                  <w:pPr>
                    <w:spacing w:line="320" w:lineRule="atLeast"/>
                    <w:jc w:val="center"/>
                    <w:rPr>
                      <w:position w:val="-28"/>
                      <w:sz w:val="22"/>
                      <w:szCs w:val="22"/>
                    </w:rPr>
                  </w:pPr>
                  <w:r>
                    <w:rPr>
                      <w:position w:val="-28"/>
                      <w:sz w:val="22"/>
                      <w:szCs w:val="22"/>
                    </w:rPr>
                    <w:t>废铝板</w:t>
                  </w:r>
                </w:p>
              </w:tc>
              <w:tc>
                <w:tcPr>
                  <w:tcW w:w="1696" w:type="dxa"/>
                  <w:vAlign w:val="center"/>
                </w:tcPr>
                <w:p>
                  <w:pPr>
                    <w:spacing w:line="320" w:lineRule="atLeast"/>
                    <w:jc w:val="center"/>
                    <w:rPr>
                      <w:position w:val="-28"/>
                      <w:sz w:val="22"/>
                      <w:szCs w:val="22"/>
                    </w:rPr>
                  </w:pPr>
                  <w:r>
                    <w:rPr>
                      <w:position w:val="-28"/>
                      <w:sz w:val="22"/>
                      <w:szCs w:val="22"/>
                    </w:rPr>
                    <w:t>外壳组装</w:t>
                  </w:r>
                </w:p>
              </w:tc>
              <w:tc>
                <w:tcPr>
                  <w:tcW w:w="969" w:type="dxa"/>
                  <w:vAlign w:val="center"/>
                </w:tcPr>
                <w:p>
                  <w:pPr>
                    <w:spacing w:line="320" w:lineRule="atLeast"/>
                    <w:jc w:val="center"/>
                    <w:rPr>
                      <w:position w:val="-28"/>
                      <w:sz w:val="22"/>
                      <w:szCs w:val="22"/>
                    </w:rPr>
                  </w:pPr>
                  <w:r>
                    <w:rPr>
                      <w:position w:val="-28"/>
                      <w:sz w:val="22"/>
                      <w:szCs w:val="22"/>
                    </w:rPr>
                    <w:t>50</w:t>
                  </w:r>
                </w:p>
              </w:tc>
              <w:tc>
                <w:tcPr>
                  <w:tcW w:w="907" w:type="dxa"/>
                  <w:vAlign w:val="center"/>
                </w:tcPr>
                <w:p>
                  <w:pPr>
                    <w:spacing w:line="320" w:lineRule="atLeast"/>
                    <w:jc w:val="center"/>
                    <w:rPr>
                      <w:position w:val="-28"/>
                      <w:sz w:val="22"/>
                      <w:szCs w:val="22"/>
                    </w:rPr>
                  </w:pPr>
                  <w:r>
                    <w:rPr>
                      <w:position w:val="-28"/>
                      <w:sz w:val="22"/>
                      <w:szCs w:val="22"/>
                    </w:rPr>
                    <w:t>一般固废</w:t>
                  </w:r>
                </w:p>
              </w:tc>
              <w:tc>
                <w:tcPr>
                  <w:tcW w:w="1736" w:type="dxa"/>
                  <w:vAlign w:val="center"/>
                </w:tcPr>
                <w:p>
                  <w:pPr>
                    <w:spacing w:line="320" w:lineRule="atLeast"/>
                    <w:jc w:val="center"/>
                    <w:rPr>
                      <w:position w:val="-28"/>
                      <w:sz w:val="22"/>
                      <w:szCs w:val="22"/>
                    </w:rPr>
                  </w:pPr>
                  <w:r>
                    <w:rPr>
                      <w:position w:val="-28"/>
                      <w:sz w:val="22"/>
                      <w:szCs w:val="22"/>
                    </w:rPr>
                    <w:t>昆明源润祥再生资源管理有限公司回收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9" w:hRule="atLeast"/>
                <w:jc w:val="center"/>
              </w:trPr>
              <w:tc>
                <w:tcPr>
                  <w:tcW w:w="452" w:type="dxa"/>
                  <w:vAlign w:val="center"/>
                </w:tcPr>
                <w:p>
                  <w:pPr>
                    <w:spacing w:line="320" w:lineRule="atLeast"/>
                    <w:jc w:val="center"/>
                    <w:rPr>
                      <w:position w:val="-28"/>
                      <w:sz w:val="22"/>
                      <w:szCs w:val="22"/>
                    </w:rPr>
                  </w:pPr>
                  <w:r>
                    <w:rPr>
                      <w:position w:val="-28"/>
                      <w:sz w:val="22"/>
                      <w:szCs w:val="22"/>
                    </w:rPr>
                    <w:t>4</w:t>
                  </w:r>
                </w:p>
              </w:tc>
              <w:tc>
                <w:tcPr>
                  <w:tcW w:w="1759" w:type="dxa"/>
                  <w:vAlign w:val="center"/>
                </w:tcPr>
                <w:p>
                  <w:pPr>
                    <w:spacing w:line="320" w:lineRule="atLeast"/>
                    <w:jc w:val="center"/>
                    <w:rPr>
                      <w:position w:val="-28"/>
                      <w:sz w:val="22"/>
                      <w:szCs w:val="22"/>
                    </w:rPr>
                  </w:pPr>
                  <w:r>
                    <w:rPr>
                      <w:position w:val="-28"/>
                      <w:sz w:val="22"/>
                      <w:szCs w:val="22"/>
                    </w:rPr>
                    <w:t>打磨粉尘</w:t>
                  </w:r>
                </w:p>
              </w:tc>
              <w:tc>
                <w:tcPr>
                  <w:tcW w:w="1696" w:type="dxa"/>
                  <w:vAlign w:val="center"/>
                </w:tcPr>
                <w:p>
                  <w:pPr>
                    <w:spacing w:line="320" w:lineRule="atLeast"/>
                    <w:jc w:val="center"/>
                    <w:rPr>
                      <w:position w:val="-28"/>
                      <w:sz w:val="22"/>
                      <w:szCs w:val="22"/>
                    </w:rPr>
                  </w:pPr>
                  <w:r>
                    <w:rPr>
                      <w:position w:val="-28"/>
                      <w:sz w:val="22"/>
                      <w:szCs w:val="22"/>
                    </w:rPr>
                    <w:t>打磨房</w:t>
                  </w:r>
                </w:p>
              </w:tc>
              <w:tc>
                <w:tcPr>
                  <w:tcW w:w="969" w:type="dxa"/>
                  <w:vAlign w:val="center"/>
                </w:tcPr>
                <w:p>
                  <w:pPr>
                    <w:spacing w:line="320" w:lineRule="atLeast"/>
                    <w:jc w:val="center"/>
                    <w:rPr>
                      <w:position w:val="-28"/>
                      <w:sz w:val="22"/>
                      <w:szCs w:val="22"/>
                    </w:rPr>
                  </w:pPr>
                  <w:r>
                    <w:rPr>
                      <w:position w:val="-28"/>
                      <w:sz w:val="22"/>
                      <w:szCs w:val="22"/>
                    </w:rPr>
                    <w:t>2.5</w:t>
                  </w:r>
                </w:p>
              </w:tc>
              <w:tc>
                <w:tcPr>
                  <w:tcW w:w="907" w:type="dxa"/>
                  <w:vAlign w:val="center"/>
                </w:tcPr>
                <w:p>
                  <w:pPr>
                    <w:spacing w:line="320" w:lineRule="atLeast"/>
                    <w:jc w:val="center"/>
                    <w:rPr>
                      <w:position w:val="-28"/>
                      <w:sz w:val="22"/>
                      <w:szCs w:val="22"/>
                    </w:rPr>
                  </w:pPr>
                  <w:r>
                    <w:rPr>
                      <w:position w:val="-28"/>
                      <w:sz w:val="22"/>
                      <w:szCs w:val="22"/>
                    </w:rPr>
                    <w:t>危险固废</w:t>
                  </w:r>
                </w:p>
              </w:tc>
              <w:tc>
                <w:tcPr>
                  <w:tcW w:w="1736" w:type="dxa"/>
                  <w:vMerge w:val="restart"/>
                  <w:vAlign w:val="center"/>
                </w:tcPr>
                <w:p>
                  <w:pPr>
                    <w:spacing w:line="320" w:lineRule="atLeast"/>
                    <w:rPr>
                      <w:position w:val="-28"/>
                      <w:sz w:val="22"/>
                      <w:szCs w:val="22"/>
                    </w:rPr>
                  </w:pPr>
                  <w:r>
                    <w:rPr>
                      <w:sz w:val="22"/>
                      <w:szCs w:val="22"/>
                    </w:rPr>
                    <w:t>交云南大地丰源环保有限公司（昆明危险废物处理处置中心）处置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9" w:hRule="atLeast"/>
                <w:jc w:val="center"/>
              </w:trPr>
              <w:tc>
                <w:tcPr>
                  <w:tcW w:w="452" w:type="dxa"/>
                  <w:vAlign w:val="center"/>
                </w:tcPr>
                <w:p>
                  <w:pPr>
                    <w:spacing w:line="320" w:lineRule="atLeast"/>
                    <w:jc w:val="center"/>
                    <w:rPr>
                      <w:position w:val="-28"/>
                      <w:sz w:val="22"/>
                      <w:szCs w:val="22"/>
                    </w:rPr>
                  </w:pPr>
                  <w:r>
                    <w:rPr>
                      <w:position w:val="-28"/>
                      <w:sz w:val="22"/>
                      <w:szCs w:val="22"/>
                    </w:rPr>
                    <w:t>5</w:t>
                  </w:r>
                </w:p>
              </w:tc>
              <w:tc>
                <w:tcPr>
                  <w:tcW w:w="1759" w:type="dxa"/>
                  <w:vAlign w:val="center"/>
                </w:tcPr>
                <w:p>
                  <w:pPr>
                    <w:spacing w:line="320" w:lineRule="atLeast"/>
                    <w:jc w:val="center"/>
                    <w:rPr>
                      <w:position w:val="-28"/>
                      <w:sz w:val="22"/>
                      <w:szCs w:val="22"/>
                    </w:rPr>
                  </w:pPr>
                  <w:r>
                    <w:rPr>
                      <w:position w:val="-28"/>
                      <w:sz w:val="22"/>
                      <w:szCs w:val="22"/>
                    </w:rPr>
                    <w:t>喷砂粉尘</w:t>
                  </w:r>
                </w:p>
              </w:tc>
              <w:tc>
                <w:tcPr>
                  <w:tcW w:w="1696" w:type="dxa"/>
                  <w:vAlign w:val="center"/>
                </w:tcPr>
                <w:p>
                  <w:pPr>
                    <w:spacing w:line="320" w:lineRule="atLeast"/>
                    <w:jc w:val="center"/>
                    <w:rPr>
                      <w:position w:val="-28"/>
                      <w:sz w:val="22"/>
                      <w:szCs w:val="22"/>
                    </w:rPr>
                  </w:pPr>
                  <w:r>
                    <w:rPr>
                      <w:position w:val="-28"/>
                      <w:sz w:val="22"/>
                      <w:szCs w:val="22"/>
                    </w:rPr>
                    <w:t>喷砂房</w:t>
                  </w:r>
                </w:p>
              </w:tc>
              <w:tc>
                <w:tcPr>
                  <w:tcW w:w="969" w:type="dxa"/>
                  <w:vAlign w:val="center"/>
                </w:tcPr>
                <w:p>
                  <w:pPr>
                    <w:spacing w:line="320" w:lineRule="atLeast"/>
                    <w:jc w:val="center"/>
                    <w:rPr>
                      <w:position w:val="-28"/>
                      <w:sz w:val="22"/>
                      <w:szCs w:val="22"/>
                    </w:rPr>
                  </w:pPr>
                </w:p>
              </w:tc>
              <w:tc>
                <w:tcPr>
                  <w:tcW w:w="907" w:type="dxa"/>
                  <w:vAlign w:val="center"/>
                </w:tcPr>
                <w:p>
                  <w:pPr>
                    <w:spacing w:line="320" w:lineRule="atLeast"/>
                    <w:jc w:val="center"/>
                    <w:rPr>
                      <w:position w:val="-28"/>
                      <w:sz w:val="22"/>
                      <w:szCs w:val="22"/>
                    </w:rPr>
                  </w:pPr>
                  <w:r>
                    <w:rPr>
                      <w:position w:val="-28"/>
                      <w:sz w:val="22"/>
                      <w:szCs w:val="22"/>
                    </w:rPr>
                    <w:t>一般固废</w:t>
                  </w:r>
                </w:p>
              </w:tc>
              <w:tc>
                <w:tcPr>
                  <w:tcW w:w="1736" w:type="dxa"/>
                  <w:vMerge w:val="continue"/>
                  <w:vAlign w:val="center"/>
                </w:tcPr>
                <w:p>
                  <w:pPr>
                    <w:spacing w:line="320" w:lineRule="atLeast"/>
                    <w:ind w:firstLine="420"/>
                    <w:rPr>
                      <w:position w:val="-28"/>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28" w:hRule="atLeast"/>
                <w:jc w:val="center"/>
              </w:trPr>
              <w:tc>
                <w:tcPr>
                  <w:tcW w:w="452" w:type="dxa"/>
                  <w:vAlign w:val="center"/>
                </w:tcPr>
                <w:p>
                  <w:pPr>
                    <w:spacing w:line="320" w:lineRule="atLeast"/>
                    <w:jc w:val="center"/>
                    <w:rPr>
                      <w:position w:val="-28"/>
                      <w:sz w:val="22"/>
                      <w:szCs w:val="22"/>
                    </w:rPr>
                  </w:pPr>
                  <w:r>
                    <w:rPr>
                      <w:position w:val="-28"/>
                      <w:sz w:val="22"/>
                      <w:szCs w:val="22"/>
                    </w:rPr>
                    <w:t>6</w:t>
                  </w:r>
                </w:p>
              </w:tc>
              <w:tc>
                <w:tcPr>
                  <w:tcW w:w="1759" w:type="dxa"/>
                  <w:vAlign w:val="center"/>
                </w:tcPr>
                <w:p>
                  <w:pPr>
                    <w:spacing w:line="320" w:lineRule="atLeast"/>
                    <w:jc w:val="center"/>
                    <w:rPr>
                      <w:position w:val="-28"/>
                      <w:sz w:val="22"/>
                      <w:szCs w:val="22"/>
                    </w:rPr>
                  </w:pPr>
                  <w:r>
                    <w:rPr>
                      <w:position w:val="-28"/>
                      <w:sz w:val="22"/>
                      <w:szCs w:val="22"/>
                    </w:rPr>
                    <w:t>废过滤棉、废活性炭</w:t>
                  </w:r>
                </w:p>
              </w:tc>
              <w:tc>
                <w:tcPr>
                  <w:tcW w:w="1696" w:type="dxa"/>
                  <w:vAlign w:val="center"/>
                </w:tcPr>
                <w:p>
                  <w:pPr>
                    <w:spacing w:line="320" w:lineRule="atLeast"/>
                    <w:jc w:val="center"/>
                    <w:rPr>
                      <w:position w:val="-28"/>
                      <w:sz w:val="22"/>
                      <w:szCs w:val="22"/>
                    </w:rPr>
                  </w:pPr>
                  <w:r>
                    <w:rPr>
                      <w:position w:val="-28"/>
                      <w:sz w:val="22"/>
                      <w:szCs w:val="22"/>
                    </w:rPr>
                    <w:t>底漆、面漆喷烘废气处置</w:t>
                  </w:r>
                </w:p>
              </w:tc>
              <w:tc>
                <w:tcPr>
                  <w:tcW w:w="969" w:type="dxa"/>
                  <w:vAlign w:val="center"/>
                </w:tcPr>
                <w:p>
                  <w:pPr>
                    <w:spacing w:line="320" w:lineRule="atLeast"/>
                    <w:jc w:val="center"/>
                    <w:rPr>
                      <w:position w:val="-28"/>
                      <w:sz w:val="22"/>
                      <w:szCs w:val="22"/>
                    </w:rPr>
                  </w:pPr>
                  <w:r>
                    <w:rPr>
                      <w:position w:val="-28"/>
                      <w:sz w:val="22"/>
                      <w:szCs w:val="22"/>
                    </w:rPr>
                    <w:t>6</w:t>
                  </w:r>
                </w:p>
              </w:tc>
              <w:tc>
                <w:tcPr>
                  <w:tcW w:w="907" w:type="dxa"/>
                  <w:vAlign w:val="center"/>
                </w:tcPr>
                <w:p>
                  <w:pPr>
                    <w:spacing w:line="320" w:lineRule="atLeast"/>
                    <w:jc w:val="center"/>
                    <w:rPr>
                      <w:position w:val="-28"/>
                      <w:sz w:val="22"/>
                      <w:szCs w:val="22"/>
                    </w:rPr>
                  </w:pPr>
                  <w:r>
                    <w:rPr>
                      <w:position w:val="-28"/>
                      <w:sz w:val="22"/>
                      <w:szCs w:val="22"/>
                    </w:rPr>
                    <w:t>危险固废</w:t>
                  </w:r>
                </w:p>
              </w:tc>
              <w:tc>
                <w:tcPr>
                  <w:tcW w:w="1736" w:type="dxa"/>
                  <w:vMerge w:val="continue"/>
                  <w:vAlign w:val="center"/>
                </w:tcPr>
                <w:p>
                  <w:pPr>
                    <w:spacing w:line="320" w:lineRule="atLeast"/>
                    <w:rPr>
                      <w:position w:val="-28"/>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9" w:hRule="atLeast"/>
                <w:jc w:val="center"/>
              </w:trPr>
              <w:tc>
                <w:tcPr>
                  <w:tcW w:w="452" w:type="dxa"/>
                  <w:vAlign w:val="center"/>
                </w:tcPr>
                <w:p>
                  <w:pPr>
                    <w:spacing w:line="320" w:lineRule="atLeast"/>
                    <w:jc w:val="center"/>
                    <w:rPr>
                      <w:position w:val="-28"/>
                      <w:sz w:val="22"/>
                      <w:szCs w:val="22"/>
                    </w:rPr>
                  </w:pPr>
                  <w:r>
                    <w:rPr>
                      <w:position w:val="-28"/>
                      <w:sz w:val="22"/>
                      <w:szCs w:val="22"/>
                    </w:rPr>
                    <w:t>7</w:t>
                  </w:r>
                </w:p>
              </w:tc>
              <w:tc>
                <w:tcPr>
                  <w:tcW w:w="1759" w:type="dxa"/>
                  <w:vAlign w:val="center"/>
                </w:tcPr>
                <w:p>
                  <w:pPr>
                    <w:spacing w:line="320" w:lineRule="atLeast"/>
                    <w:jc w:val="center"/>
                    <w:rPr>
                      <w:position w:val="-28"/>
                      <w:sz w:val="22"/>
                      <w:szCs w:val="22"/>
                    </w:rPr>
                  </w:pPr>
                  <w:r>
                    <w:rPr>
                      <w:position w:val="-28"/>
                      <w:sz w:val="22"/>
                      <w:szCs w:val="22"/>
                    </w:rPr>
                    <w:t>油漆包装桶</w:t>
                  </w:r>
                </w:p>
              </w:tc>
              <w:tc>
                <w:tcPr>
                  <w:tcW w:w="1696" w:type="dxa"/>
                  <w:vAlign w:val="center"/>
                </w:tcPr>
                <w:p>
                  <w:pPr>
                    <w:spacing w:line="320" w:lineRule="atLeast"/>
                    <w:jc w:val="center"/>
                    <w:rPr>
                      <w:position w:val="-28"/>
                      <w:sz w:val="22"/>
                      <w:szCs w:val="22"/>
                    </w:rPr>
                  </w:pPr>
                  <w:r>
                    <w:rPr>
                      <w:position w:val="-28"/>
                      <w:sz w:val="22"/>
                      <w:szCs w:val="22"/>
                    </w:rPr>
                    <w:t>油漆喷烘</w:t>
                  </w:r>
                </w:p>
              </w:tc>
              <w:tc>
                <w:tcPr>
                  <w:tcW w:w="969" w:type="dxa"/>
                  <w:vAlign w:val="center"/>
                </w:tcPr>
                <w:p>
                  <w:pPr>
                    <w:spacing w:line="320" w:lineRule="atLeast"/>
                    <w:jc w:val="center"/>
                    <w:rPr>
                      <w:position w:val="-28"/>
                      <w:sz w:val="22"/>
                      <w:szCs w:val="22"/>
                    </w:rPr>
                  </w:pPr>
                  <w:r>
                    <w:rPr>
                      <w:position w:val="-28"/>
                      <w:sz w:val="22"/>
                      <w:szCs w:val="22"/>
                    </w:rPr>
                    <w:t>7.5</w:t>
                  </w:r>
                </w:p>
              </w:tc>
              <w:tc>
                <w:tcPr>
                  <w:tcW w:w="907" w:type="dxa"/>
                  <w:vAlign w:val="center"/>
                </w:tcPr>
                <w:p>
                  <w:pPr>
                    <w:spacing w:line="320" w:lineRule="atLeast"/>
                    <w:jc w:val="center"/>
                    <w:rPr>
                      <w:position w:val="-28"/>
                      <w:sz w:val="22"/>
                      <w:szCs w:val="22"/>
                    </w:rPr>
                  </w:pPr>
                  <w:r>
                    <w:rPr>
                      <w:position w:val="-28"/>
                      <w:sz w:val="22"/>
                      <w:szCs w:val="22"/>
                    </w:rPr>
                    <w:t>危险固废</w:t>
                  </w:r>
                </w:p>
              </w:tc>
              <w:tc>
                <w:tcPr>
                  <w:tcW w:w="1736" w:type="dxa"/>
                  <w:vMerge w:val="continue"/>
                  <w:vAlign w:val="center"/>
                </w:tcPr>
                <w:p>
                  <w:pPr>
                    <w:spacing w:line="320" w:lineRule="atLeast"/>
                    <w:jc w:val="center"/>
                    <w:rPr>
                      <w:position w:val="-28"/>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58" w:hRule="atLeast"/>
                <w:jc w:val="center"/>
              </w:trPr>
              <w:tc>
                <w:tcPr>
                  <w:tcW w:w="452" w:type="dxa"/>
                  <w:vAlign w:val="center"/>
                </w:tcPr>
                <w:p>
                  <w:pPr>
                    <w:spacing w:line="320" w:lineRule="atLeast"/>
                    <w:jc w:val="center"/>
                    <w:rPr>
                      <w:position w:val="-28"/>
                      <w:sz w:val="22"/>
                      <w:szCs w:val="22"/>
                    </w:rPr>
                  </w:pPr>
                  <w:r>
                    <w:rPr>
                      <w:position w:val="-28"/>
                      <w:sz w:val="22"/>
                      <w:szCs w:val="22"/>
                    </w:rPr>
                    <w:t>8</w:t>
                  </w:r>
                </w:p>
              </w:tc>
              <w:tc>
                <w:tcPr>
                  <w:tcW w:w="1759" w:type="dxa"/>
                  <w:vAlign w:val="center"/>
                </w:tcPr>
                <w:p>
                  <w:pPr>
                    <w:spacing w:line="320" w:lineRule="atLeast"/>
                    <w:jc w:val="center"/>
                    <w:rPr>
                      <w:position w:val="-28"/>
                      <w:sz w:val="22"/>
                      <w:szCs w:val="22"/>
                    </w:rPr>
                  </w:pPr>
                  <w:r>
                    <w:rPr>
                      <w:position w:val="-28"/>
                      <w:sz w:val="22"/>
                      <w:szCs w:val="22"/>
                    </w:rPr>
                    <w:t>废矿物油</w:t>
                  </w:r>
                </w:p>
              </w:tc>
              <w:tc>
                <w:tcPr>
                  <w:tcW w:w="1696" w:type="dxa"/>
                  <w:vAlign w:val="center"/>
                </w:tcPr>
                <w:p>
                  <w:pPr>
                    <w:spacing w:line="320" w:lineRule="atLeast"/>
                    <w:jc w:val="center"/>
                    <w:rPr>
                      <w:position w:val="-28"/>
                      <w:sz w:val="22"/>
                      <w:szCs w:val="22"/>
                    </w:rPr>
                  </w:pPr>
                  <w:r>
                    <w:rPr>
                      <w:position w:val="-28"/>
                      <w:sz w:val="22"/>
                      <w:szCs w:val="22"/>
                    </w:rPr>
                    <w:t>机器维修</w:t>
                  </w:r>
                </w:p>
              </w:tc>
              <w:tc>
                <w:tcPr>
                  <w:tcW w:w="969" w:type="dxa"/>
                  <w:vAlign w:val="center"/>
                </w:tcPr>
                <w:p>
                  <w:pPr>
                    <w:spacing w:line="320" w:lineRule="atLeast"/>
                    <w:jc w:val="center"/>
                    <w:rPr>
                      <w:position w:val="-28"/>
                      <w:sz w:val="22"/>
                      <w:szCs w:val="22"/>
                    </w:rPr>
                  </w:pPr>
                  <w:r>
                    <w:rPr>
                      <w:position w:val="-28"/>
                      <w:sz w:val="22"/>
                      <w:szCs w:val="22"/>
                    </w:rPr>
                    <w:t>0.05</w:t>
                  </w:r>
                </w:p>
              </w:tc>
              <w:tc>
                <w:tcPr>
                  <w:tcW w:w="907" w:type="dxa"/>
                  <w:vAlign w:val="center"/>
                </w:tcPr>
                <w:p>
                  <w:pPr>
                    <w:spacing w:line="320" w:lineRule="atLeast"/>
                    <w:jc w:val="center"/>
                    <w:rPr>
                      <w:position w:val="-28"/>
                      <w:sz w:val="22"/>
                      <w:szCs w:val="22"/>
                    </w:rPr>
                  </w:pPr>
                  <w:r>
                    <w:rPr>
                      <w:position w:val="-28"/>
                      <w:sz w:val="22"/>
                      <w:szCs w:val="22"/>
                    </w:rPr>
                    <w:t>危险固废</w:t>
                  </w:r>
                </w:p>
              </w:tc>
              <w:tc>
                <w:tcPr>
                  <w:tcW w:w="1736" w:type="dxa"/>
                  <w:vMerge w:val="continue"/>
                  <w:vAlign w:val="center"/>
                </w:tcPr>
                <w:p>
                  <w:pPr>
                    <w:spacing w:line="320" w:lineRule="atLeast"/>
                    <w:jc w:val="center"/>
                    <w:rPr>
                      <w:position w:val="-28"/>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9" w:hRule="atLeast"/>
                <w:jc w:val="center"/>
              </w:trPr>
              <w:tc>
                <w:tcPr>
                  <w:tcW w:w="452" w:type="dxa"/>
                  <w:vAlign w:val="center"/>
                </w:tcPr>
                <w:p>
                  <w:pPr>
                    <w:spacing w:line="320" w:lineRule="atLeast"/>
                    <w:jc w:val="center"/>
                    <w:rPr>
                      <w:position w:val="-28"/>
                      <w:sz w:val="22"/>
                      <w:szCs w:val="22"/>
                    </w:rPr>
                  </w:pPr>
                  <w:r>
                    <w:rPr>
                      <w:position w:val="-28"/>
                      <w:sz w:val="22"/>
                      <w:szCs w:val="22"/>
                    </w:rPr>
                    <w:t>9</w:t>
                  </w:r>
                </w:p>
              </w:tc>
              <w:tc>
                <w:tcPr>
                  <w:tcW w:w="1759" w:type="dxa"/>
                  <w:vAlign w:val="center"/>
                </w:tcPr>
                <w:p>
                  <w:pPr>
                    <w:spacing w:line="320" w:lineRule="atLeast"/>
                    <w:jc w:val="center"/>
                    <w:rPr>
                      <w:position w:val="-28"/>
                      <w:sz w:val="22"/>
                      <w:szCs w:val="22"/>
                    </w:rPr>
                  </w:pPr>
                  <w:r>
                    <w:rPr>
                      <w:position w:val="-28"/>
                      <w:sz w:val="22"/>
                      <w:szCs w:val="22"/>
                    </w:rPr>
                    <w:t>隔油污泥、废油</w:t>
                  </w:r>
                </w:p>
              </w:tc>
              <w:tc>
                <w:tcPr>
                  <w:tcW w:w="1696" w:type="dxa"/>
                  <w:vAlign w:val="center"/>
                </w:tcPr>
                <w:p>
                  <w:pPr>
                    <w:spacing w:line="320" w:lineRule="atLeast"/>
                    <w:jc w:val="center"/>
                    <w:rPr>
                      <w:position w:val="-28"/>
                      <w:sz w:val="22"/>
                      <w:szCs w:val="22"/>
                    </w:rPr>
                  </w:pPr>
                  <w:r>
                    <w:rPr>
                      <w:position w:val="-28"/>
                      <w:sz w:val="22"/>
                      <w:szCs w:val="22"/>
                    </w:rPr>
                    <w:t>雨淋实验车间</w:t>
                  </w:r>
                </w:p>
              </w:tc>
              <w:tc>
                <w:tcPr>
                  <w:tcW w:w="969" w:type="dxa"/>
                  <w:vAlign w:val="center"/>
                </w:tcPr>
                <w:p>
                  <w:pPr>
                    <w:spacing w:line="320" w:lineRule="atLeast"/>
                    <w:jc w:val="center"/>
                    <w:rPr>
                      <w:position w:val="-28"/>
                      <w:sz w:val="22"/>
                      <w:szCs w:val="22"/>
                    </w:rPr>
                  </w:pPr>
                  <w:r>
                    <w:rPr>
                      <w:position w:val="-28"/>
                      <w:sz w:val="22"/>
                      <w:szCs w:val="22"/>
                    </w:rPr>
                    <w:t>35</w:t>
                  </w:r>
                </w:p>
              </w:tc>
              <w:tc>
                <w:tcPr>
                  <w:tcW w:w="907" w:type="dxa"/>
                  <w:vAlign w:val="center"/>
                </w:tcPr>
                <w:p>
                  <w:pPr>
                    <w:spacing w:line="320" w:lineRule="atLeast"/>
                    <w:jc w:val="center"/>
                    <w:rPr>
                      <w:position w:val="-28"/>
                      <w:sz w:val="22"/>
                      <w:szCs w:val="22"/>
                    </w:rPr>
                  </w:pPr>
                  <w:r>
                    <w:rPr>
                      <w:position w:val="-28"/>
                      <w:sz w:val="22"/>
                      <w:szCs w:val="22"/>
                    </w:rPr>
                    <w:t>危险固废</w:t>
                  </w:r>
                </w:p>
              </w:tc>
              <w:tc>
                <w:tcPr>
                  <w:tcW w:w="1736" w:type="dxa"/>
                  <w:vMerge w:val="continue"/>
                  <w:vAlign w:val="center"/>
                </w:tcPr>
                <w:p>
                  <w:pPr>
                    <w:spacing w:line="320" w:lineRule="atLeast"/>
                    <w:jc w:val="center"/>
                    <w:rPr>
                      <w:position w:val="-28"/>
                      <w:sz w:val="22"/>
                      <w:szCs w:val="22"/>
                    </w:rPr>
                  </w:pPr>
                </w:p>
              </w:tc>
            </w:tr>
          </w:tbl>
          <w:p>
            <w:pPr>
              <w:spacing w:line="500" w:lineRule="atLeast"/>
              <w:ind w:firstLine="420"/>
              <w:rPr>
                <w:sz w:val="24"/>
                <w:szCs w:val="20"/>
              </w:rPr>
            </w:pPr>
            <w:r>
              <w:rPr>
                <w:sz w:val="24"/>
                <w:szCs w:val="20"/>
              </w:rPr>
              <w:t>（2）生活固废</w:t>
            </w:r>
          </w:p>
          <w:p>
            <w:pPr>
              <w:spacing w:line="500" w:lineRule="atLeast"/>
              <w:ind w:firstLine="420"/>
              <w:rPr>
                <w:sz w:val="24"/>
                <w:szCs w:val="20"/>
              </w:rPr>
            </w:pPr>
            <w:r>
              <w:rPr>
                <w:sz w:val="24"/>
                <w:szCs w:val="20"/>
              </w:rPr>
              <w:t>项目生活固废产生情况见表2-16。</w:t>
            </w:r>
          </w:p>
          <w:p>
            <w:pPr>
              <w:spacing w:line="500" w:lineRule="atLeast"/>
              <w:ind w:firstLine="420"/>
              <w:jc w:val="center"/>
              <w:rPr>
                <w:b/>
                <w:sz w:val="24"/>
                <w:szCs w:val="20"/>
              </w:rPr>
            </w:pPr>
            <w:r>
              <w:rPr>
                <w:b/>
                <w:sz w:val="24"/>
                <w:szCs w:val="20"/>
              </w:rPr>
              <w:t>表2-16  生活固废产生情况一览表</w:t>
            </w:r>
          </w:p>
          <w:tbl>
            <w:tblPr>
              <w:tblStyle w:val="44"/>
              <w:tblW w:w="77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48"/>
              <w:gridCol w:w="1624"/>
              <w:gridCol w:w="1218"/>
              <w:gridCol w:w="1202"/>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73" w:hRule="atLeast"/>
                <w:jc w:val="center"/>
              </w:trPr>
              <w:tc>
                <w:tcPr>
                  <w:tcW w:w="848" w:type="dxa"/>
                  <w:vAlign w:val="center"/>
                </w:tcPr>
                <w:p>
                  <w:pPr>
                    <w:spacing w:line="300" w:lineRule="atLeast"/>
                    <w:jc w:val="center"/>
                    <w:rPr>
                      <w:color w:val="000000"/>
                      <w:position w:val="-28"/>
                      <w:sz w:val="22"/>
                      <w:szCs w:val="22"/>
                    </w:rPr>
                  </w:pPr>
                  <w:r>
                    <w:rPr>
                      <w:color w:val="000000"/>
                      <w:position w:val="-28"/>
                      <w:sz w:val="22"/>
                      <w:szCs w:val="22"/>
                    </w:rPr>
                    <w:t>序号</w:t>
                  </w:r>
                </w:p>
              </w:tc>
              <w:tc>
                <w:tcPr>
                  <w:tcW w:w="1624" w:type="dxa"/>
                  <w:vAlign w:val="center"/>
                </w:tcPr>
                <w:p>
                  <w:pPr>
                    <w:spacing w:line="300" w:lineRule="atLeast"/>
                    <w:jc w:val="center"/>
                    <w:rPr>
                      <w:color w:val="000000"/>
                      <w:position w:val="-28"/>
                      <w:sz w:val="22"/>
                      <w:szCs w:val="22"/>
                    </w:rPr>
                  </w:pPr>
                  <w:r>
                    <w:rPr>
                      <w:color w:val="000000"/>
                      <w:position w:val="-28"/>
                      <w:sz w:val="22"/>
                      <w:szCs w:val="22"/>
                    </w:rPr>
                    <w:t>固废名称</w:t>
                  </w:r>
                </w:p>
              </w:tc>
              <w:tc>
                <w:tcPr>
                  <w:tcW w:w="1218" w:type="dxa"/>
                  <w:vAlign w:val="center"/>
                </w:tcPr>
                <w:p>
                  <w:pPr>
                    <w:spacing w:line="300" w:lineRule="atLeast"/>
                    <w:jc w:val="center"/>
                    <w:rPr>
                      <w:color w:val="000000"/>
                      <w:position w:val="-28"/>
                      <w:sz w:val="22"/>
                      <w:szCs w:val="22"/>
                    </w:rPr>
                  </w:pPr>
                  <w:r>
                    <w:rPr>
                      <w:color w:val="000000"/>
                      <w:position w:val="-28"/>
                      <w:sz w:val="22"/>
                      <w:szCs w:val="22"/>
                    </w:rPr>
                    <w:t>来源</w:t>
                  </w:r>
                </w:p>
              </w:tc>
              <w:tc>
                <w:tcPr>
                  <w:tcW w:w="1202" w:type="dxa"/>
                  <w:vAlign w:val="center"/>
                </w:tcPr>
                <w:p>
                  <w:pPr>
                    <w:spacing w:line="300" w:lineRule="atLeast"/>
                    <w:jc w:val="center"/>
                    <w:rPr>
                      <w:color w:val="000000"/>
                      <w:position w:val="-28"/>
                      <w:sz w:val="22"/>
                      <w:szCs w:val="22"/>
                    </w:rPr>
                  </w:pPr>
                  <w:r>
                    <w:rPr>
                      <w:color w:val="000000"/>
                      <w:position w:val="-28"/>
                      <w:sz w:val="22"/>
                      <w:szCs w:val="22"/>
                    </w:rPr>
                    <w:t>产生量(t/a)</w:t>
                  </w:r>
                </w:p>
              </w:tc>
              <w:tc>
                <w:tcPr>
                  <w:tcW w:w="2865" w:type="dxa"/>
                  <w:vAlign w:val="center"/>
                </w:tcPr>
                <w:p>
                  <w:pPr>
                    <w:spacing w:line="300" w:lineRule="atLeast"/>
                    <w:jc w:val="center"/>
                    <w:rPr>
                      <w:color w:val="000000"/>
                      <w:position w:val="-28"/>
                      <w:sz w:val="22"/>
                      <w:szCs w:val="22"/>
                    </w:rPr>
                  </w:pPr>
                  <w:r>
                    <w:rPr>
                      <w:color w:val="000000"/>
                      <w:position w:val="-28"/>
                      <w:sz w:val="22"/>
                      <w:szCs w:val="22"/>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3" w:hRule="atLeast"/>
                <w:jc w:val="center"/>
              </w:trPr>
              <w:tc>
                <w:tcPr>
                  <w:tcW w:w="848" w:type="dxa"/>
                  <w:vAlign w:val="center"/>
                </w:tcPr>
                <w:p>
                  <w:pPr>
                    <w:spacing w:line="300" w:lineRule="atLeast"/>
                    <w:jc w:val="center"/>
                    <w:rPr>
                      <w:color w:val="000000"/>
                      <w:position w:val="-28"/>
                      <w:sz w:val="22"/>
                      <w:szCs w:val="22"/>
                    </w:rPr>
                  </w:pPr>
                  <w:r>
                    <w:rPr>
                      <w:color w:val="000000"/>
                      <w:position w:val="-28"/>
                      <w:sz w:val="22"/>
                      <w:szCs w:val="22"/>
                    </w:rPr>
                    <w:t>1</w:t>
                  </w:r>
                </w:p>
              </w:tc>
              <w:tc>
                <w:tcPr>
                  <w:tcW w:w="1624" w:type="dxa"/>
                  <w:vAlign w:val="center"/>
                </w:tcPr>
                <w:p>
                  <w:pPr>
                    <w:spacing w:line="300" w:lineRule="atLeast"/>
                    <w:jc w:val="center"/>
                    <w:rPr>
                      <w:color w:val="000000"/>
                      <w:position w:val="-28"/>
                      <w:sz w:val="22"/>
                      <w:szCs w:val="22"/>
                    </w:rPr>
                  </w:pPr>
                  <w:r>
                    <w:rPr>
                      <w:color w:val="000000"/>
                      <w:position w:val="-28"/>
                      <w:sz w:val="22"/>
                      <w:szCs w:val="22"/>
                    </w:rPr>
                    <w:t>餐厨废弃物</w:t>
                  </w:r>
                </w:p>
              </w:tc>
              <w:tc>
                <w:tcPr>
                  <w:tcW w:w="1218" w:type="dxa"/>
                  <w:vAlign w:val="center"/>
                </w:tcPr>
                <w:p>
                  <w:pPr>
                    <w:spacing w:line="300" w:lineRule="atLeast"/>
                    <w:jc w:val="center"/>
                    <w:rPr>
                      <w:color w:val="000000"/>
                      <w:position w:val="-28"/>
                      <w:sz w:val="22"/>
                      <w:szCs w:val="22"/>
                    </w:rPr>
                  </w:pPr>
                  <w:r>
                    <w:rPr>
                      <w:color w:val="000000"/>
                      <w:position w:val="-28"/>
                      <w:sz w:val="22"/>
                      <w:szCs w:val="22"/>
                    </w:rPr>
                    <w:t>食堂</w:t>
                  </w:r>
                </w:p>
              </w:tc>
              <w:tc>
                <w:tcPr>
                  <w:tcW w:w="1202" w:type="dxa"/>
                  <w:vAlign w:val="center"/>
                </w:tcPr>
                <w:p>
                  <w:pPr>
                    <w:spacing w:line="300" w:lineRule="atLeast"/>
                    <w:ind w:firstLine="420"/>
                    <w:rPr>
                      <w:color w:val="000000"/>
                      <w:position w:val="-28"/>
                      <w:sz w:val="22"/>
                      <w:szCs w:val="22"/>
                    </w:rPr>
                  </w:pPr>
                  <w:r>
                    <w:rPr>
                      <w:color w:val="000000"/>
                      <w:position w:val="-28"/>
                      <w:sz w:val="22"/>
                      <w:szCs w:val="22"/>
                    </w:rPr>
                    <w:t>90</w:t>
                  </w:r>
                </w:p>
              </w:tc>
              <w:tc>
                <w:tcPr>
                  <w:tcW w:w="2865" w:type="dxa"/>
                  <w:vAlign w:val="center"/>
                </w:tcPr>
                <w:p>
                  <w:pPr>
                    <w:spacing w:line="300" w:lineRule="atLeast"/>
                    <w:rPr>
                      <w:color w:val="000000"/>
                      <w:position w:val="-28"/>
                      <w:sz w:val="22"/>
                      <w:szCs w:val="22"/>
                    </w:rPr>
                  </w:pPr>
                  <w:r>
                    <w:rPr>
                      <w:sz w:val="22"/>
                      <w:szCs w:val="22"/>
                    </w:rPr>
                    <w:t>按《昆明市餐厨废弃物管理办法》的要求委托有资质的单位处置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73" w:hRule="atLeast"/>
                <w:jc w:val="center"/>
              </w:trPr>
              <w:tc>
                <w:tcPr>
                  <w:tcW w:w="848" w:type="dxa"/>
                  <w:vAlign w:val="center"/>
                </w:tcPr>
                <w:p>
                  <w:pPr>
                    <w:spacing w:line="300" w:lineRule="atLeast"/>
                    <w:jc w:val="center"/>
                    <w:rPr>
                      <w:color w:val="000000"/>
                      <w:position w:val="-28"/>
                      <w:sz w:val="22"/>
                      <w:szCs w:val="22"/>
                    </w:rPr>
                  </w:pPr>
                  <w:r>
                    <w:rPr>
                      <w:color w:val="000000"/>
                      <w:position w:val="-28"/>
                      <w:sz w:val="22"/>
                      <w:szCs w:val="22"/>
                    </w:rPr>
                    <w:t>2</w:t>
                  </w:r>
                </w:p>
              </w:tc>
              <w:tc>
                <w:tcPr>
                  <w:tcW w:w="1624" w:type="dxa"/>
                  <w:vAlign w:val="center"/>
                </w:tcPr>
                <w:p>
                  <w:pPr>
                    <w:spacing w:line="300" w:lineRule="atLeast"/>
                    <w:jc w:val="center"/>
                    <w:rPr>
                      <w:color w:val="000000"/>
                      <w:position w:val="-28"/>
                      <w:sz w:val="22"/>
                      <w:szCs w:val="22"/>
                    </w:rPr>
                  </w:pPr>
                  <w:r>
                    <w:rPr>
                      <w:color w:val="000000"/>
                      <w:position w:val="-28"/>
                      <w:sz w:val="22"/>
                      <w:szCs w:val="22"/>
                    </w:rPr>
                    <w:t>办公住宿垃圾</w:t>
                  </w:r>
                </w:p>
              </w:tc>
              <w:tc>
                <w:tcPr>
                  <w:tcW w:w="1218" w:type="dxa"/>
                  <w:vAlign w:val="center"/>
                </w:tcPr>
                <w:p>
                  <w:pPr>
                    <w:spacing w:line="300" w:lineRule="atLeast"/>
                    <w:jc w:val="center"/>
                    <w:rPr>
                      <w:color w:val="000000"/>
                      <w:position w:val="-28"/>
                      <w:sz w:val="22"/>
                      <w:szCs w:val="22"/>
                    </w:rPr>
                  </w:pPr>
                  <w:r>
                    <w:rPr>
                      <w:color w:val="000000"/>
                      <w:position w:val="-28"/>
                      <w:sz w:val="22"/>
                      <w:szCs w:val="22"/>
                    </w:rPr>
                    <w:t>办公、住宿</w:t>
                  </w:r>
                </w:p>
              </w:tc>
              <w:tc>
                <w:tcPr>
                  <w:tcW w:w="1202" w:type="dxa"/>
                  <w:vAlign w:val="center"/>
                </w:tcPr>
                <w:p>
                  <w:pPr>
                    <w:spacing w:line="300" w:lineRule="atLeast"/>
                    <w:jc w:val="center"/>
                    <w:rPr>
                      <w:color w:val="000000"/>
                      <w:position w:val="-28"/>
                      <w:sz w:val="22"/>
                      <w:szCs w:val="22"/>
                    </w:rPr>
                  </w:pPr>
                  <w:r>
                    <w:rPr>
                      <w:color w:val="000000"/>
                      <w:position w:val="-28"/>
                      <w:sz w:val="22"/>
                      <w:szCs w:val="22"/>
                    </w:rPr>
                    <w:t>43</w:t>
                  </w:r>
                </w:p>
              </w:tc>
              <w:tc>
                <w:tcPr>
                  <w:tcW w:w="2865" w:type="dxa"/>
                  <w:vAlign w:val="center"/>
                </w:tcPr>
                <w:p>
                  <w:pPr>
                    <w:spacing w:line="300" w:lineRule="atLeast"/>
                    <w:rPr>
                      <w:color w:val="000000"/>
                      <w:position w:val="-28"/>
                      <w:sz w:val="22"/>
                      <w:szCs w:val="22"/>
                    </w:rPr>
                  </w:pPr>
                  <w:r>
                    <w:rPr>
                      <w:color w:val="000000"/>
                      <w:position w:val="-28"/>
                      <w:sz w:val="22"/>
                      <w:szCs w:val="22"/>
                    </w:rPr>
                    <w:t>集中收集，委托当地环卫部门清运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1" w:hRule="atLeast"/>
                <w:jc w:val="center"/>
              </w:trPr>
              <w:tc>
                <w:tcPr>
                  <w:tcW w:w="848" w:type="dxa"/>
                  <w:vAlign w:val="center"/>
                </w:tcPr>
                <w:p>
                  <w:pPr>
                    <w:spacing w:line="300" w:lineRule="atLeast"/>
                    <w:jc w:val="center"/>
                    <w:rPr>
                      <w:color w:val="000000"/>
                      <w:position w:val="-28"/>
                      <w:sz w:val="22"/>
                      <w:szCs w:val="22"/>
                    </w:rPr>
                  </w:pPr>
                  <w:r>
                    <w:rPr>
                      <w:color w:val="000000"/>
                      <w:position w:val="-28"/>
                      <w:sz w:val="22"/>
                      <w:szCs w:val="22"/>
                    </w:rPr>
                    <w:t>3</w:t>
                  </w:r>
                </w:p>
              </w:tc>
              <w:tc>
                <w:tcPr>
                  <w:tcW w:w="1624" w:type="dxa"/>
                  <w:vAlign w:val="center"/>
                </w:tcPr>
                <w:p>
                  <w:pPr>
                    <w:spacing w:line="300" w:lineRule="atLeast"/>
                    <w:jc w:val="center"/>
                    <w:rPr>
                      <w:color w:val="000000"/>
                      <w:position w:val="-28"/>
                      <w:sz w:val="22"/>
                      <w:szCs w:val="22"/>
                    </w:rPr>
                  </w:pPr>
                  <w:r>
                    <w:rPr>
                      <w:color w:val="000000"/>
                      <w:position w:val="-28"/>
                      <w:sz w:val="22"/>
                      <w:szCs w:val="22"/>
                    </w:rPr>
                    <w:t>污泥</w:t>
                  </w:r>
                </w:p>
              </w:tc>
              <w:tc>
                <w:tcPr>
                  <w:tcW w:w="1218" w:type="dxa"/>
                  <w:vAlign w:val="center"/>
                </w:tcPr>
                <w:p>
                  <w:pPr>
                    <w:spacing w:line="300" w:lineRule="atLeast"/>
                    <w:jc w:val="center"/>
                    <w:rPr>
                      <w:color w:val="000000"/>
                      <w:position w:val="-28"/>
                      <w:sz w:val="22"/>
                      <w:szCs w:val="22"/>
                    </w:rPr>
                  </w:pPr>
                  <w:r>
                    <w:rPr>
                      <w:color w:val="000000"/>
                      <w:position w:val="-28"/>
                      <w:sz w:val="22"/>
                      <w:szCs w:val="22"/>
                    </w:rPr>
                    <w:t>污水处理站</w:t>
                  </w:r>
                </w:p>
              </w:tc>
              <w:tc>
                <w:tcPr>
                  <w:tcW w:w="1202" w:type="dxa"/>
                  <w:vAlign w:val="center"/>
                </w:tcPr>
                <w:p>
                  <w:pPr>
                    <w:spacing w:line="300" w:lineRule="atLeast"/>
                    <w:jc w:val="center"/>
                    <w:rPr>
                      <w:color w:val="000000"/>
                      <w:position w:val="-28"/>
                      <w:sz w:val="22"/>
                      <w:szCs w:val="22"/>
                    </w:rPr>
                  </w:pPr>
                  <w:r>
                    <w:rPr>
                      <w:color w:val="000000"/>
                      <w:position w:val="-28"/>
                      <w:sz w:val="22"/>
                      <w:szCs w:val="22"/>
                    </w:rPr>
                    <w:t>63</w:t>
                  </w:r>
                </w:p>
              </w:tc>
              <w:tc>
                <w:tcPr>
                  <w:tcW w:w="2865" w:type="dxa"/>
                  <w:vAlign w:val="center"/>
                </w:tcPr>
                <w:p>
                  <w:pPr>
                    <w:spacing w:line="300" w:lineRule="atLeast"/>
                    <w:rPr>
                      <w:color w:val="000000"/>
                      <w:position w:val="-28"/>
                      <w:sz w:val="22"/>
                      <w:szCs w:val="22"/>
                    </w:rPr>
                  </w:pPr>
                  <w:r>
                    <w:rPr>
                      <w:sz w:val="22"/>
                      <w:szCs w:val="22"/>
                    </w:rPr>
                    <w:t>委托当地环卫部门清运</w:t>
                  </w:r>
                </w:p>
              </w:tc>
            </w:tr>
          </w:tbl>
          <w:p>
            <w:pPr>
              <w:spacing w:line="514" w:lineRule="atLeast"/>
              <w:ind w:firstLine="420"/>
              <w:rPr>
                <w:sz w:val="24"/>
              </w:rPr>
            </w:pPr>
            <w:r>
              <w:rPr>
                <w:sz w:val="24"/>
              </w:rPr>
              <w:t>一期项目固体废弃物均可以得到合理处置。</w:t>
            </w:r>
          </w:p>
          <w:p>
            <w:pPr>
              <w:spacing w:line="514" w:lineRule="atLeast"/>
              <w:ind w:firstLine="420"/>
              <w:rPr>
                <w:sz w:val="24"/>
              </w:rPr>
            </w:pPr>
            <w:r>
              <w:rPr>
                <w:sz w:val="24"/>
              </w:rPr>
              <w:t>（4）噪声</w:t>
            </w:r>
          </w:p>
          <w:p>
            <w:pPr>
              <w:spacing w:line="500" w:lineRule="atLeast"/>
              <w:ind w:firstLine="420"/>
              <w:rPr>
                <w:sz w:val="24"/>
              </w:rPr>
            </w:pPr>
            <w:r>
              <w:rPr>
                <w:sz w:val="24"/>
              </w:rPr>
              <w:t>一期项目噪声主要来源于铁路专用线区及生产厂房区，其中铁路专用线区位于用地东面。生产厂房区噪声源主要包括车体车间打磨噪声、空压站的空压机及废气、粉尘治理设备的风机噪声。噪声源强如表2-17所示。</w:t>
            </w:r>
          </w:p>
          <w:p>
            <w:pPr>
              <w:spacing w:line="580" w:lineRule="atLeast"/>
              <w:ind w:firstLine="466"/>
              <w:jc w:val="center"/>
              <w:rPr>
                <w:sz w:val="28"/>
                <w:szCs w:val="20"/>
              </w:rPr>
            </w:pPr>
            <w:r>
              <w:rPr>
                <w:b/>
                <w:sz w:val="24"/>
              </w:rPr>
              <w:t>表2-17  项目主要噪声源强一览表</w:t>
            </w:r>
          </w:p>
          <w:tbl>
            <w:tblPr>
              <w:tblStyle w:val="44"/>
              <w:tblW w:w="71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91"/>
              <w:gridCol w:w="1637"/>
              <w:gridCol w:w="1419"/>
              <w:gridCol w:w="1774"/>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05" w:hRule="atLeast"/>
                <w:jc w:val="center"/>
              </w:trPr>
              <w:tc>
                <w:tcPr>
                  <w:tcW w:w="491" w:type="dxa"/>
                </w:tcPr>
                <w:p>
                  <w:pPr>
                    <w:spacing w:before="100" w:beforeAutospacing="1" w:after="100" w:afterAutospacing="1" w:line="300" w:lineRule="atLeast"/>
                    <w:jc w:val="center"/>
                    <w:rPr>
                      <w:sz w:val="22"/>
                      <w:szCs w:val="22"/>
                    </w:rPr>
                  </w:pPr>
                  <w:r>
                    <w:rPr>
                      <w:sz w:val="22"/>
                      <w:szCs w:val="22"/>
                    </w:rPr>
                    <w:t>序号</w:t>
                  </w:r>
                </w:p>
              </w:tc>
              <w:tc>
                <w:tcPr>
                  <w:tcW w:w="1637" w:type="dxa"/>
                </w:tcPr>
                <w:p>
                  <w:pPr>
                    <w:spacing w:before="100" w:beforeAutospacing="1" w:after="100" w:afterAutospacing="1" w:line="300" w:lineRule="atLeast"/>
                    <w:jc w:val="center"/>
                    <w:rPr>
                      <w:sz w:val="22"/>
                      <w:szCs w:val="22"/>
                    </w:rPr>
                  </w:pPr>
                  <w:r>
                    <w:rPr>
                      <w:sz w:val="22"/>
                      <w:szCs w:val="22"/>
                    </w:rPr>
                    <w:t>噪声来源</w:t>
                  </w:r>
                </w:p>
              </w:tc>
              <w:tc>
                <w:tcPr>
                  <w:tcW w:w="1419" w:type="dxa"/>
                </w:tcPr>
                <w:p>
                  <w:pPr>
                    <w:spacing w:before="100" w:beforeAutospacing="1" w:after="100" w:afterAutospacing="1" w:line="300" w:lineRule="atLeast"/>
                    <w:jc w:val="center"/>
                    <w:rPr>
                      <w:sz w:val="22"/>
                      <w:szCs w:val="22"/>
                    </w:rPr>
                  </w:pPr>
                  <w:r>
                    <w:rPr>
                      <w:sz w:val="22"/>
                      <w:szCs w:val="22"/>
                    </w:rPr>
                    <w:t>噪声源强[dB(A)]</w:t>
                  </w:r>
                </w:p>
              </w:tc>
              <w:tc>
                <w:tcPr>
                  <w:tcW w:w="1774" w:type="dxa"/>
                </w:tcPr>
                <w:p>
                  <w:pPr>
                    <w:spacing w:before="100" w:beforeAutospacing="1" w:after="100" w:afterAutospacing="1" w:line="300" w:lineRule="atLeast"/>
                    <w:jc w:val="center"/>
                    <w:rPr>
                      <w:sz w:val="22"/>
                      <w:szCs w:val="22"/>
                    </w:rPr>
                  </w:pPr>
                  <w:r>
                    <w:rPr>
                      <w:sz w:val="22"/>
                      <w:szCs w:val="22"/>
                    </w:rPr>
                    <w:t>备注</w:t>
                  </w:r>
                </w:p>
              </w:tc>
              <w:tc>
                <w:tcPr>
                  <w:tcW w:w="1867" w:type="dxa"/>
                </w:tcPr>
                <w:p>
                  <w:pPr>
                    <w:spacing w:before="100" w:beforeAutospacing="1" w:after="100" w:afterAutospacing="1" w:line="300" w:lineRule="atLeast"/>
                    <w:jc w:val="center"/>
                    <w:rPr>
                      <w:sz w:val="22"/>
                      <w:szCs w:val="22"/>
                    </w:rPr>
                  </w:pPr>
                  <w:r>
                    <w:rPr>
                      <w:sz w:val="22"/>
                      <w:szCs w:val="22"/>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95" w:hRule="atLeast"/>
                <w:jc w:val="center"/>
              </w:trPr>
              <w:tc>
                <w:tcPr>
                  <w:tcW w:w="491" w:type="dxa"/>
                </w:tcPr>
                <w:p>
                  <w:pPr>
                    <w:spacing w:before="100" w:beforeAutospacing="1" w:after="100" w:afterAutospacing="1" w:line="300" w:lineRule="atLeast"/>
                    <w:jc w:val="center"/>
                    <w:rPr>
                      <w:sz w:val="22"/>
                      <w:szCs w:val="22"/>
                    </w:rPr>
                  </w:pPr>
                </w:p>
              </w:tc>
              <w:tc>
                <w:tcPr>
                  <w:tcW w:w="1637" w:type="dxa"/>
                </w:tcPr>
                <w:p>
                  <w:pPr>
                    <w:spacing w:before="100" w:beforeAutospacing="1" w:after="100" w:afterAutospacing="1" w:line="300" w:lineRule="atLeast"/>
                    <w:jc w:val="center"/>
                    <w:rPr>
                      <w:sz w:val="22"/>
                      <w:szCs w:val="22"/>
                    </w:rPr>
                  </w:pPr>
                  <w:r>
                    <w:rPr>
                      <w:sz w:val="22"/>
                      <w:szCs w:val="22"/>
                    </w:rPr>
                    <w:t>铁路专用线</w:t>
                  </w:r>
                </w:p>
              </w:tc>
              <w:tc>
                <w:tcPr>
                  <w:tcW w:w="1419" w:type="dxa"/>
                </w:tcPr>
                <w:p>
                  <w:pPr>
                    <w:spacing w:before="100" w:beforeAutospacing="1" w:after="100" w:afterAutospacing="1" w:line="300" w:lineRule="atLeast"/>
                    <w:jc w:val="center"/>
                    <w:rPr>
                      <w:sz w:val="22"/>
                      <w:szCs w:val="22"/>
                    </w:rPr>
                  </w:pPr>
                  <w:r>
                    <w:rPr>
                      <w:sz w:val="22"/>
                      <w:szCs w:val="22"/>
                    </w:rPr>
                    <w:t>80-90</w:t>
                  </w:r>
                </w:p>
              </w:tc>
              <w:tc>
                <w:tcPr>
                  <w:tcW w:w="1774" w:type="dxa"/>
                </w:tcPr>
                <w:p>
                  <w:pPr>
                    <w:spacing w:before="100" w:beforeAutospacing="1" w:after="100" w:afterAutospacing="1" w:line="300" w:lineRule="atLeast"/>
                    <w:jc w:val="center"/>
                    <w:rPr>
                      <w:sz w:val="22"/>
                      <w:szCs w:val="22"/>
                    </w:rPr>
                  </w:pPr>
                  <w:r>
                    <w:rPr>
                      <w:sz w:val="22"/>
                      <w:szCs w:val="22"/>
                    </w:rPr>
                    <w:t>机械噪声</w:t>
                  </w:r>
                </w:p>
              </w:tc>
              <w:tc>
                <w:tcPr>
                  <w:tcW w:w="1867" w:type="dxa"/>
                </w:tcPr>
                <w:p>
                  <w:pPr>
                    <w:spacing w:before="100" w:beforeAutospacing="1" w:after="100" w:afterAutospacing="1" w:line="300" w:lineRule="atLeast"/>
                    <w:jc w:val="center"/>
                    <w:rPr>
                      <w:color w:val="FF0000"/>
                      <w:sz w:val="22"/>
                      <w:szCs w:val="22"/>
                    </w:rPr>
                  </w:pPr>
                  <w:r>
                    <w:rPr>
                      <w:sz w:val="22"/>
                      <w:szCs w:val="22"/>
                    </w:rPr>
                    <w:t>距离衰减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11" w:hRule="atLeast"/>
                <w:jc w:val="center"/>
              </w:trPr>
              <w:tc>
                <w:tcPr>
                  <w:tcW w:w="491" w:type="dxa"/>
                </w:tcPr>
                <w:p>
                  <w:pPr>
                    <w:spacing w:before="100" w:beforeAutospacing="1" w:after="100" w:afterAutospacing="1" w:line="300" w:lineRule="atLeast"/>
                    <w:jc w:val="center"/>
                    <w:rPr>
                      <w:sz w:val="22"/>
                      <w:szCs w:val="22"/>
                    </w:rPr>
                  </w:pPr>
                  <w:r>
                    <w:rPr>
                      <w:sz w:val="22"/>
                      <w:szCs w:val="22"/>
                    </w:rPr>
                    <w:t>1</w:t>
                  </w:r>
                </w:p>
              </w:tc>
              <w:tc>
                <w:tcPr>
                  <w:tcW w:w="1637" w:type="dxa"/>
                </w:tcPr>
                <w:p>
                  <w:pPr>
                    <w:spacing w:before="100" w:beforeAutospacing="1" w:after="100" w:afterAutospacing="1" w:line="300" w:lineRule="atLeast"/>
                    <w:jc w:val="center"/>
                    <w:rPr>
                      <w:sz w:val="22"/>
                      <w:szCs w:val="22"/>
                    </w:rPr>
                  </w:pPr>
                  <w:r>
                    <w:rPr>
                      <w:sz w:val="22"/>
                      <w:szCs w:val="22"/>
                    </w:rPr>
                    <w:t>车体焊接打磨</w:t>
                  </w:r>
                </w:p>
              </w:tc>
              <w:tc>
                <w:tcPr>
                  <w:tcW w:w="1419" w:type="dxa"/>
                </w:tcPr>
                <w:p>
                  <w:pPr>
                    <w:spacing w:before="100" w:beforeAutospacing="1" w:after="100" w:afterAutospacing="1" w:line="300" w:lineRule="atLeast"/>
                    <w:jc w:val="center"/>
                    <w:rPr>
                      <w:sz w:val="22"/>
                      <w:szCs w:val="22"/>
                    </w:rPr>
                  </w:pPr>
                  <w:r>
                    <w:rPr>
                      <w:sz w:val="22"/>
                      <w:szCs w:val="22"/>
                    </w:rPr>
                    <w:t>75-85</w:t>
                  </w:r>
                </w:p>
              </w:tc>
              <w:tc>
                <w:tcPr>
                  <w:tcW w:w="1774" w:type="dxa"/>
                </w:tcPr>
                <w:p>
                  <w:pPr>
                    <w:spacing w:before="100" w:beforeAutospacing="1" w:after="100" w:afterAutospacing="1" w:line="300" w:lineRule="atLeast"/>
                    <w:jc w:val="center"/>
                    <w:rPr>
                      <w:sz w:val="22"/>
                      <w:szCs w:val="22"/>
                    </w:rPr>
                  </w:pPr>
                  <w:r>
                    <w:rPr>
                      <w:sz w:val="22"/>
                      <w:szCs w:val="22"/>
                    </w:rPr>
                    <w:t>机械噪声</w:t>
                  </w:r>
                </w:p>
              </w:tc>
              <w:tc>
                <w:tcPr>
                  <w:tcW w:w="1867" w:type="dxa"/>
                </w:tcPr>
                <w:p>
                  <w:pPr>
                    <w:spacing w:before="100" w:beforeAutospacing="1" w:after="100" w:afterAutospacing="1" w:line="300" w:lineRule="atLeast"/>
                    <w:jc w:val="center"/>
                    <w:rPr>
                      <w:sz w:val="22"/>
                      <w:szCs w:val="22"/>
                    </w:rPr>
                  </w:pPr>
                  <w:r>
                    <w:rPr>
                      <w:sz w:val="22"/>
                      <w:szCs w:val="22"/>
                    </w:rPr>
                    <w:t>布置于厂房内，选用低噪声设备、消声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05" w:hRule="atLeast"/>
                <w:jc w:val="center"/>
              </w:trPr>
              <w:tc>
                <w:tcPr>
                  <w:tcW w:w="491" w:type="dxa"/>
                </w:tcPr>
                <w:p>
                  <w:pPr>
                    <w:spacing w:before="100" w:beforeAutospacing="1" w:after="100" w:afterAutospacing="1" w:line="300" w:lineRule="atLeast"/>
                    <w:jc w:val="center"/>
                    <w:rPr>
                      <w:sz w:val="22"/>
                      <w:szCs w:val="22"/>
                    </w:rPr>
                  </w:pPr>
                  <w:r>
                    <w:rPr>
                      <w:sz w:val="22"/>
                      <w:szCs w:val="22"/>
                    </w:rPr>
                    <w:t>2</w:t>
                  </w:r>
                </w:p>
              </w:tc>
              <w:tc>
                <w:tcPr>
                  <w:tcW w:w="1637" w:type="dxa"/>
                </w:tcPr>
                <w:p>
                  <w:pPr>
                    <w:spacing w:before="100" w:beforeAutospacing="1" w:after="100" w:afterAutospacing="1" w:line="300" w:lineRule="atLeast"/>
                    <w:jc w:val="center"/>
                    <w:rPr>
                      <w:sz w:val="22"/>
                      <w:szCs w:val="22"/>
                    </w:rPr>
                  </w:pPr>
                  <w:r>
                    <w:rPr>
                      <w:sz w:val="22"/>
                      <w:szCs w:val="22"/>
                    </w:rPr>
                    <w:t>车体总装线</w:t>
                  </w:r>
                </w:p>
              </w:tc>
              <w:tc>
                <w:tcPr>
                  <w:tcW w:w="1419" w:type="dxa"/>
                </w:tcPr>
                <w:p>
                  <w:pPr>
                    <w:spacing w:before="100" w:beforeAutospacing="1" w:after="100" w:afterAutospacing="1" w:line="300" w:lineRule="atLeast"/>
                    <w:jc w:val="center"/>
                    <w:rPr>
                      <w:sz w:val="22"/>
                      <w:szCs w:val="22"/>
                    </w:rPr>
                  </w:pPr>
                  <w:r>
                    <w:rPr>
                      <w:sz w:val="22"/>
                      <w:szCs w:val="22"/>
                    </w:rPr>
                    <w:t>65-75</w:t>
                  </w:r>
                </w:p>
              </w:tc>
              <w:tc>
                <w:tcPr>
                  <w:tcW w:w="1774" w:type="dxa"/>
                </w:tcPr>
                <w:p>
                  <w:pPr>
                    <w:spacing w:before="100" w:beforeAutospacing="1" w:after="100" w:afterAutospacing="1" w:line="300" w:lineRule="atLeast"/>
                    <w:jc w:val="center"/>
                    <w:rPr>
                      <w:sz w:val="22"/>
                      <w:szCs w:val="22"/>
                    </w:rPr>
                  </w:pPr>
                  <w:r>
                    <w:rPr>
                      <w:sz w:val="22"/>
                      <w:szCs w:val="22"/>
                    </w:rPr>
                    <w:t>机械噪声</w:t>
                  </w:r>
                </w:p>
              </w:tc>
              <w:tc>
                <w:tcPr>
                  <w:tcW w:w="1867" w:type="dxa"/>
                </w:tcPr>
                <w:p>
                  <w:pPr>
                    <w:spacing w:before="100" w:beforeAutospacing="1" w:after="100" w:afterAutospacing="1" w:line="300" w:lineRule="atLeast"/>
                    <w:jc w:val="center"/>
                    <w:rPr>
                      <w:sz w:val="22"/>
                      <w:szCs w:val="22"/>
                    </w:rPr>
                  </w:pPr>
                  <w:r>
                    <w:rPr>
                      <w:sz w:val="22"/>
                      <w:szCs w:val="22"/>
                    </w:rPr>
                    <w:t>布置于厂房内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07" w:hRule="atLeast"/>
                <w:jc w:val="center"/>
              </w:trPr>
              <w:tc>
                <w:tcPr>
                  <w:tcW w:w="491" w:type="dxa"/>
                </w:tcPr>
                <w:p>
                  <w:pPr>
                    <w:spacing w:before="100" w:beforeAutospacing="1" w:after="100" w:afterAutospacing="1" w:line="300" w:lineRule="atLeast"/>
                    <w:jc w:val="center"/>
                    <w:rPr>
                      <w:sz w:val="22"/>
                      <w:szCs w:val="22"/>
                    </w:rPr>
                  </w:pPr>
                  <w:r>
                    <w:rPr>
                      <w:sz w:val="22"/>
                      <w:szCs w:val="22"/>
                    </w:rPr>
                    <w:t>3</w:t>
                  </w:r>
                </w:p>
              </w:tc>
              <w:tc>
                <w:tcPr>
                  <w:tcW w:w="1637" w:type="dxa"/>
                </w:tcPr>
                <w:p>
                  <w:pPr>
                    <w:spacing w:before="100" w:beforeAutospacing="1" w:after="100" w:afterAutospacing="1" w:line="300" w:lineRule="atLeast"/>
                    <w:jc w:val="center"/>
                    <w:rPr>
                      <w:sz w:val="22"/>
                      <w:szCs w:val="22"/>
                    </w:rPr>
                  </w:pPr>
                  <w:r>
                    <w:rPr>
                      <w:sz w:val="22"/>
                      <w:szCs w:val="22"/>
                    </w:rPr>
                    <w:t>空压机</w:t>
                  </w:r>
                </w:p>
              </w:tc>
              <w:tc>
                <w:tcPr>
                  <w:tcW w:w="1419" w:type="dxa"/>
                </w:tcPr>
                <w:p>
                  <w:pPr>
                    <w:spacing w:before="100" w:beforeAutospacing="1" w:after="100" w:afterAutospacing="1" w:line="300" w:lineRule="atLeast"/>
                    <w:jc w:val="center"/>
                    <w:rPr>
                      <w:sz w:val="22"/>
                      <w:szCs w:val="22"/>
                    </w:rPr>
                  </w:pPr>
                  <w:r>
                    <w:rPr>
                      <w:sz w:val="22"/>
                      <w:szCs w:val="22"/>
                    </w:rPr>
                    <w:t>90-100</w:t>
                  </w:r>
                </w:p>
              </w:tc>
              <w:tc>
                <w:tcPr>
                  <w:tcW w:w="1774" w:type="dxa"/>
                </w:tcPr>
                <w:p>
                  <w:pPr>
                    <w:spacing w:before="100" w:beforeAutospacing="1" w:after="100" w:afterAutospacing="1" w:line="300" w:lineRule="atLeast"/>
                    <w:jc w:val="center"/>
                    <w:rPr>
                      <w:sz w:val="22"/>
                      <w:szCs w:val="22"/>
                    </w:rPr>
                  </w:pPr>
                  <w:r>
                    <w:rPr>
                      <w:sz w:val="22"/>
                      <w:szCs w:val="22"/>
                    </w:rPr>
                    <w:t>主要为空气动力噪声</w:t>
                  </w:r>
                </w:p>
              </w:tc>
              <w:tc>
                <w:tcPr>
                  <w:tcW w:w="1867" w:type="dxa"/>
                </w:tcPr>
                <w:p>
                  <w:pPr>
                    <w:spacing w:before="100" w:beforeAutospacing="1" w:after="100" w:afterAutospacing="1" w:line="300" w:lineRule="atLeast"/>
                    <w:jc w:val="center"/>
                    <w:rPr>
                      <w:sz w:val="22"/>
                      <w:szCs w:val="22"/>
                    </w:rPr>
                  </w:pPr>
                  <w:r>
                    <w:rPr>
                      <w:sz w:val="22"/>
                      <w:szCs w:val="22"/>
                    </w:rPr>
                    <w:t>布置于车间内利用厂房隔声、选用低噪声设备、消声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11" w:hRule="atLeast"/>
                <w:jc w:val="center"/>
              </w:trPr>
              <w:tc>
                <w:tcPr>
                  <w:tcW w:w="491" w:type="dxa"/>
                </w:tcPr>
                <w:p>
                  <w:pPr>
                    <w:spacing w:before="100" w:beforeAutospacing="1" w:after="100" w:afterAutospacing="1" w:line="300" w:lineRule="atLeast"/>
                    <w:jc w:val="center"/>
                    <w:rPr>
                      <w:sz w:val="22"/>
                      <w:szCs w:val="22"/>
                    </w:rPr>
                  </w:pPr>
                  <w:r>
                    <w:rPr>
                      <w:sz w:val="22"/>
                      <w:szCs w:val="22"/>
                    </w:rPr>
                    <w:t>4</w:t>
                  </w:r>
                </w:p>
              </w:tc>
              <w:tc>
                <w:tcPr>
                  <w:tcW w:w="1637" w:type="dxa"/>
                </w:tcPr>
                <w:p>
                  <w:pPr>
                    <w:spacing w:before="100" w:beforeAutospacing="1" w:after="100" w:afterAutospacing="1" w:line="300" w:lineRule="atLeast"/>
                    <w:jc w:val="center"/>
                    <w:rPr>
                      <w:sz w:val="22"/>
                      <w:szCs w:val="22"/>
                    </w:rPr>
                  </w:pPr>
                  <w:r>
                    <w:rPr>
                      <w:sz w:val="22"/>
                      <w:szCs w:val="22"/>
                    </w:rPr>
                    <w:t>废气、粉尘治理设备的风机</w:t>
                  </w:r>
                </w:p>
              </w:tc>
              <w:tc>
                <w:tcPr>
                  <w:tcW w:w="1419" w:type="dxa"/>
                </w:tcPr>
                <w:p>
                  <w:pPr>
                    <w:spacing w:before="100" w:beforeAutospacing="1" w:after="100" w:afterAutospacing="1" w:line="300" w:lineRule="atLeast"/>
                    <w:jc w:val="center"/>
                    <w:rPr>
                      <w:sz w:val="22"/>
                      <w:szCs w:val="22"/>
                    </w:rPr>
                  </w:pPr>
                  <w:r>
                    <w:rPr>
                      <w:sz w:val="22"/>
                      <w:szCs w:val="22"/>
                    </w:rPr>
                    <w:t>80-90</w:t>
                  </w:r>
                </w:p>
              </w:tc>
              <w:tc>
                <w:tcPr>
                  <w:tcW w:w="1774" w:type="dxa"/>
                </w:tcPr>
                <w:p>
                  <w:pPr>
                    <w:spacing w:before="100" w:beforeAutospacing="1" w:after="100" w:afterAutospacing="1" w:line="300" w:lineRule="atLeast"/>
                    <w:jc w:val="center"/>
                    <w:rPr>
                      <w:sz w:val="22"/>
                      <w:szCs w:val="22"/>
                    </w:rPr>
                  </w:pPr>
                  <w:r>
                    <w:rPr>
                      <w:sz w:val="22"/>
                      <w:szCs w:val="22"/>
                    </w:rPr>
                    <w:t>主要为空气动力噪声</w:t>
                  </w:r>
                </w:p>
              </w:tc>
              <w:tc>
                <w:tcPr>
                  <w:tcW w:w="1867" w:type="dxa"/>
                </w:tcPr>
                <w:p>
                  <w:pPr>
                    <w:spacing w:before="100" w:beforeAutospacing="1" w:after="100" w:afterAutospacing="1" w:line="300" w:lineRule="atLeast"/>
                    <w:jc w:val="center"/>
                    <w:rPr>
                      <w:sz w:val="22"/>
                      <w:szCs w:val="22"/>
                    </w:rPr>
                  </w:pPr>
                  <w:r>
                    <w:rPr>
                      <w:sz w:val="22"/>
                      <w:szCs w:val="22"/>
                    </w:rPr>
                    <w:t>布置于厂房内，选用低噪声设备、消声</w:t>
                  </w:r>
                </w:p>
              </w:tc>
            </w:tr>
          </w:tbl>
          <w:p>
            <w:pPr>
              <w:spacing w:line="514" w:lineRule="atLeast"/>
              <w:ind w:firstLine="420"/>
              <w:rPr>
                <w:sz w:val="24"/>
              </w:rPr>
            </w:pPr>
            <w:r>
              <w:rPr>
                <w:sz w:val="24"/>
              </w:rPr>
              <w:t>根据竣工环境保护验收监测和排污许可自行监测，一期项目厂界噪声可以达到《工业企业厂界噪声排放标准》3类标准要求。</w:t>
            </w:r>
          </w:p>
          <w:p>
            <w:pPr>
              <w:spacing w:line="514" w:lineRule="atLeast"/>
              <w:ind w:firstLine="420"/>
              <w:rPr>
                <w:sz w:val="24"/>
              </w:rPr>
            </w:pPr>
            <w:r>
              <w:rPr>
                <w:sz w:val="24"/>
              </w:rPr>
              <w:t>二、一期项目与本次项目关系</w:t>
            </w:r>
          </w:p>
          <w:p>
            <w:pPr>
              <w:spacing w:line="514" w:lineRule="atLeast"/>
              <w:ind w:firstLine="420"/>
              <w:rPr>
                <w:sz w:val="24"/>
              </w:rPr>
            </w:pPr>
            <w:r>
              <w:rPr>
                <w:sz w:val="24"/>
              </w:rPr>
              <w:t>根据《昆明南车城市轨道装备基地项目项目建议书》，昆明南车城市轨道装备基地项目全面建成投产后将形成年新造200辆、架修200辆、大修150辆城轨车辆的生产能力。一期项目为昆明南车城市轨道装备基地项目中制造200辆新造地铁建设工程，本次项目为昆明南车城市轨道装备基地项目二期工程，规划建设架大修200辆/a。</w:t>
            </w:r>
          </w:p>
        </w:tc>
      </w:tr>
    </w:tbl>
    <w:p>
      <w:pPr>
        <w:pStyle w:val="39"/>
        <w:rPr>
          <w:rFonts w:ascii="Times New Roman" w:hAnsi="Times New Roman"/>
          <w:snapToGrid w:val="0"/>
          <w:sz w:val="36"/>
          <w:szCs w:val="36"/>
        </w:rPr>
        <w:sectPr>
          <w:pgSz w:w="11906" w:h="16838"/>
          <w:pgMar w:top="1701" w:right="1531" w:bottom="1701" w:left="1531" w:header="851" w:footer="851" w:gutter="0"/>
          <w:cols w:space="720" w:num="1"/>
          <w:docGrid w:linePitch="312" w:charSpace="0"/>
        </w:sectPr>
      </w:pPr>
    </w:p>
    <w:p>
      <w:pPr>
        <w:pStyle w:val="39"/>
        <w:jc w:val="center"/>
        <w:outlineLvl w:val="0"/>
        <w:rPr>
          <w:rFonts w:ascii="Times New Roman" w:hAnsi="Times New Roman"/>
          <w:snapToGrid w:val="0"/>
          <w:sz w:val="30"/>
          <w:szCs w:val="30"/>
        </w:rPr>
      </w:pPr>
      <w:bookmarkStart w:id="8" w:name="_Toc69230295"/>
      <w:r>
        <w:rPr>
          <w:rFonts w:ascii="Times New Roman" w:hAnsi="Times New Roman"/>
          <w:snapToGrid w:val="0"/>
          <w:sz w:val="30"/>
          <w:szCs w:val="30"/>
        </w:rPr>
        <w:t>三、区域环境质量现状、环境保护目标及评价标准</w:t>
      </w:r>
      <w:bookmarkEnd w:id="8"/>
    </w:p>
    <w:tbl>
      <w:tblPr>
        <w:tblStyle w:val="44"/>
        <w:tblW w:w="899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6" w:hRule="atLeast"/>
          <w:jc w:val="center"/>
        </w:trPr>
        <w:tc>
          <w:tcPr>
            <w:tcW w:w="800" w:type="dxa"/>
            <w:vAlign w:val="center"/>
          </w:tcPr>
          <w:p>
            <w:pPr>
              <w:adjustRightInd w:val="0"/>
              <w:snapToGrid w:val="0"/>
              <w:jc w:val="center"/>
              <w:rPr>
                <w:kern w:val="0"/>
                <w:szCs w:val="21"/>
              </w:rPr>
            </w:pPr>
            <w:r>
              <w:rPr>
                <w:kern w:val="0"/>
                <w:szCs w:val="21"/>
              </w:rPr>
              <w:t>区域</w:t>
            </w:r>
          </w:p>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质量</w:t>
            </w:r>
          </w:p>
          <w:p>
            <w:pPr>
              <w:adjustRightInd w:val="0"/>
              <w:snapToGrid w:val="0"/>
              <w:jc w:val="center"/>
              <w:rPr>
                <w:kern w:val="0"/>
                <w:szCs w:val="21"/>
              </w:rPr>
            </w:pPr>
            <w:r>
              <w:rPr>
                <w:kern w:val="0"/>
                <w:szCs w:val="21"/>
              </w:rPr>
              <w:t>现状</w:t>
            </w:r>
          </w:p>
        </w:tc>
        <w:tc>
          <w:tcPr>
            <w:tcW w:w="8190" w:type="dxa"/>
            <w:vAlign w:val="center"/>
          </w:tcPr>
          <w:p>
            <w:pPr>
              <w:widowControl/>
              <w:spacing w:line="360" w:lineRule="auto"/>
              <w:ind w:firstLine="482" w:firstLineChars="200"/>
              <w:jc w:val="left"/>
              <w:rPr>
                <w:b/>
                <w:kern w:val="0"/>
                <w:sz w:val="24"/>
              </w:rPr>
            </w:pPr>
            <w:bookmarkStart w:id="9" w:name="_Toc100071048"/>
            <w:bookmarkStart w:id="10" w:name="_Toc68847869"/>
            <w:bookmarkStart w:id="11" w:name="_Toc68774026"/>
            <w:bookmarkStart w:id="12" w:name="_Toc68686394"/>
            <w:bookmarkStart w:id="13" w:name="_Toc68766601"/>
            <w:bookmarkStart w:id="14" w:name="_Toc68749950"/>
            <w:bookmarkStart w:id="15" w:name="_Toc68684088"/>
            <w:bookmarkStart w:id="16" w:name="_Toc68676525"/>
            <w:bookmarkStart w:id="17" w:name="_Toc68582480"/>
            <w:bookmarkStart w:id="18" w:name="_Toc68507197"/>
            <w:bookmarkStart w:id="19" w:name="_Toc68348237"/>
            <w:bookmarkStart w:id="20" w:name="_Toc61861953"/>
            <w:bookmarkStart w:id="21" w:name="_Toc60035524"/>
            <w:bookmarkStart w:id="22" w:name="_Toc60024600"/>
            <w:bookmarkStart w:id="23" w:name="_Toc59965648"/>
            <w:bookmarkStart w:id="24" w:name="_Toc59851100"/>
            <w:bookmarkStart w:id="25" w:name="_Toc59682788"/>
            <w:bookmarkStart w:id="26" w:name="_Toc59266589"/>
            <w:bookmarkStart w:id="27" w:name="_Toc58816644"/>
            <w:bookmarkStart w:id="28" w:name="_Toc58810541"/>
            <w:bookmarkStart w:id="29" w:name="_Toc58810454"/>
            <w:bookmarkStart w:id="30" w:name="_Toc58731259"/>
            <w:bookmarkStart w:id="31" w:name="_Toc58646772"/>
            <w:bookmarkStart w:id="32" w:name="_Toc58643193"/>
            <w:bookmarkStart w:id="33" w:name="_Toc58641492"/>
            <w:bookmarkStart w:id="34" w:name="_Toc58638881"/>
            <w:bookmarkStart w:id="35" w:name="_Toc58491013"/>
            <w:bookmarkStart w:id="36" w:name="_Toc58314441"/>
            <w:bookmarkStart w:id="37" w:name="_Toc58229305"/>
            <w:bookmarkStart w:id="38" w:name="_Toc58124710"/>
            <w:bookmarkStart w:id="39" w:name="_Toc58121776"/>
            <w:bookmarkStart w:id="40" w:name="_Toc58041093"/>
            <w:bookmarkStart w:id="41" w:name="_Toc57868325"/>
            <w:r>
              <w:rPr>
                <w:b/>
                <w:kern w:val="0"/>
                <w:sz w:val="24"/>
              </w:rPr>
              <w:t>1. 环境空气质量现状</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pPr>
              <w:widowControl/>
              <w:adjustRightInd w:val="0"/>
              <w:snapToGrid w:val="0"/>
              <w:spacing w:line="360" w:lineRule="auto"/>
              <w:ind w:firstLine="480" w:firstLineChars="200"/>
              <w:rPr>
                <w:kern w:val="0"/>
                <w:sz w:val="24"/>
              </w:rPr>
            </w:pPr>
            <w:bookmarkStart w:id="42" w:name="_Toc100071049"/>
            <w:bookmarkStart w:id="43" w:name="_Toc68847870"/>
            <w:bookmarkStart w:id="44" w:name="_Toc68774027"/>
            <w:bookmarkStart w:id="45" w:name="_Toc68766602"/>
            <w:bookmarkStart w:id="46" w:name="_Toc68684089"/>
            <w:bookmarkStart w:id="47" w:name="_Toc68749951"/>
            <w:bookmarkStart w:id="48" w:name="_Toc68686395"/>
            <w:bookmarkStart w:id="49" w:name="_Toc68676526"/>
            <w:bookmarkStart w:id="50" w:name="_Toc68582481"/>
            <w:bookmarkStart w:id="51" w:name="_Toc68507198"/>
            <w:bookmarkStart w:id="52" w:name="_Toc68348238"/>
            <w:bookmarkStart w:id="53" w:name="_Toc60024601"/>
            <w:bookmarkStart w:id="54" w:name="_Toc61861954"/>
            <w:bookmarkStart w:id="55" w:name="_Toc60035525"/>
            <w:bookmarkStart w:id="56" w:name="_Toc59965649"/>
            <w:bookmarkStart w:id="57" w:name="_Toc59851101"/>
            <w:bookmarkStart w:id="58" w:name="_Toc59682789"/>
            <w:bookmarkStart w:id="59" w:name="_Toc59266590"/>
            <w:bookmarkStart w:id="60" w:name="_Toc58816645"/>
            <w:bookmarkStart w:id="61" w:name="_Toc58731260"/>
            <w:bookmarkStart w:id="62" w:name="_Toc58810542"/>
            <w:bookmarkStart w:id="63" w:name="_Toc58810455"/>
            <w:bookmarkStart w:id="64" w:name="_Toc58646773"/>
            <w:bookmarkStart w:id="65" w:name="_Toc58643194"/>
            <w:bookmarkStart w:id="66" w:name="_Toc58641493"/>
            <w:bookmarkStart w:id="67" w:name="_Toc58638882"/>
            <w:bookmarkStart w:id="68" w:name="_Toc58229306"/>
            <w:bookmarkStart w:id="69" w:name="_Toc58491014"/>
            <w:bookmarkStart w:id="70" w:name="_Toc58314442"/>
            <w:bookmarkStart w:id="71" w:name="_Toc58124711"/>
            <w:bookmarkStart w:id="72" w:name="_Toc58121777"/>
            <w:bookmarkStart w:id="73" w:name="_Toc58041094"/>
            <w:bookmarkStart w:id="74" w:name="_Toc57868326"/>
            <w:r>
              <w:rPr>
                <w:rFonts w:hint="eastAsia"/>
                <w:kern w:val="0"/>
                <w:sz w:val="24"/>
              </w:rPr>
              <w:t>项目位于晋宁区，为环境空气质量二类区。根据昆明市生态环境局晋宁分局发布的晋宁区环境空气常规监测，2021年1月-2021年12月近一年内，晋宁区环境空气优良率分别为：100%，96.67%，100%，100%，96.77%，100%，100%，100%，100%，100%，100%，96.77%，96.77%，属于达标区域。</w:t>
            </w:r>
          </w:p>
          <w:p>
            <w:pPr>
              <w:widowControl/>
              <w:spacing w:line="360" w:lineRule="auto"/>
              <w:ind w:firstLine="482" w:firstLineChars="200"/>
              <w:jc w:val="left"/>
              <w:rPr>
                <w:b/>
                <w:kern w:val="0"/>
                <w:sz w:val="24"/>
              </w:rPr>
            </w:pPr>
            <w:r>
              <w:rPr>
                <w:b/>
                <w:kern w:val="0"/>
                <w:sz w:val="24"/>
              </w:rPr>
              <w:t>2. 地表水环境质量现状</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pPr>
              <w:widowControl/>
              <w:spacing w:line="360" w:lineRule="auto"/>
              <w:ind w:firstLine="480" w:firstLineChars="200"/>
              <w:rPr>
                <w:kern w:val="0"/>
                <w:sz w:val="24"/>
              </w:rPr>
            </w:pPr>
            <w:r>
              <w:rPr>
                <w:kern w:val="0"/>
                <w:sz w:val="24"/>
              </w:rPr>
              <w:t>项目所在地最近地表水体为西</w:t>
            </w:r>
            <w:r>
              <w:rPr>
                <w:rFonts w:hint="eastAsia"/>
                <w:kern w:val="0"/>
                <w:sz w:val="24"/>
              </w:rPr>
              <w:t>侧</w:t>
            </w:r>
            <w:r>
              <w:rPr>
                <w:kern w:val="0"/>
                <w:sz w:val="24"/>
              </w:rPr>
              <w:t>2.94km</w:t>
            </w:r>
            <w:r>
              <w:rPr>
                <w:rFonts w:hint="eastAsia"/>
                <w:kern w:val="0"/>
                <w:sz w:val="24"/>
              </w:rPr>
              <w:t>处淤泥河和北侧2</w:t>
            </w:r>
            <w:r>
              <w:rPr>
                <w:kern w:val="0"/>
                <w:sz w:val="24"/>
              </w:rPr>
              <w:t>.28km南冲河。根据《云南省水功能区划》（</w:t>
            </w:r>
            <w:r>
              <w:rPr>
                <w:rFonts w:hint="eastAsia"/>
                <w:kern w:val="0"/>
                <w:sz w:val="24"/>
              </w:rPr>
              <w:t>2</w:t>
            </w:r>
            <w:r>
              <w:rPr>
                <w:kern w:val="0"/>
                <w:sz w:val="24"/>
              </w:rPr>
              <w:t>014年修订），项目所在区域区划属于</w:t>
            </w:r>
            <w:r>
              <w:rPr>
                <w:rFonts w:hint="eastAsia"/>
                <w:kern w:val="0"/>
                <w:sz w:val="24"/>
              </w:rPr>
              <w:t>大河晋宁</w:t>
            </w:r>
            <w:r>
              <w:rPr>
                <w:kern w:val="0"/>
                <w:sz w:val="24"/>
              </w:rPr>
              <w:t>开发利用区</w:t>
            </w:r>
            <w:r>
              <w:rPr>
                <w:rFonts w:hint="eastAsia"/>
                <w:kern w:val="0"/>
                <w:sz w:val="24"/>
              </w:rPr>
              <w:t>-</w:t>
            </w:r>
            <w:r>
              <w:rPr>
                <w:kern w:val="0"/>
                <w:sz w:val="24"/>
              </w:rPr>
              <w:t>大河晋宁农业、工业用水区，按《地表水环境质量标准》（GB3838-2002）</w:t>
            </w:r>
            <w:r>
              <w:rPr>
                <w:rFonts w:hint="eastAsia"/>
                <w:kern w:val="0"/>
                <w:sz w:val="24"/>
              </w:rPr>
              <w:t>III</w:t>
            </w:r>
            <w:r>
              <w:rPr>
                <w:kern w:val="0"/>
                <w:sz w:val="24"/>
              </w:rPr>
              <w:t>类标准进行保护。南冲河为滇池一级支流，未进行区划，项目区域滇池属于滇池昆明开发利用区</w:t>
            </w:r>
            <w:r>
              <w:rPr>
                <w:rFonts w:hint="eastAsia"/>
                <w:kern w:val="0"/>
                <w:sz w:val="24"/>
              </w:rPr>
              <w:t>-滇池南部工业、农业用水区，水质按</w:t>
            </w:r>
            <w:r>
              <w:rPr>
                <w:kern w:val="0"/>
                <w:sz w:val="24"/>
              </w:rPr>
              <w:t>《地表水环境质量标准》（GB3838-2002）</w:t>
            </w:r>
            <w:r>
              <w:rPr>
                <w:rFonts w:hint="eastAsia"/>
                <w:kern w:val="0"/>
                <w:sz w:val="24"/>
              </w:rPr>
              <w:t>III</w:t>
            </w:r>
            <w:r>
              <w:rPr>
                <w:kern w:val="0"/>
                <w:sz w:val="24"/>
              </w:rPr>
              <w:t>类标准进行保护，根据支流不低于干流进行保护的原则，南冲河按《地表水环境质量标准》（GB3838-2002）</w:t>
            </w:r>
            <w:r>
              <w:rPr>
                <w:rFonts w:hint="eastAsia"/>
                <w:kern w:val="0"/>
                <w:sz w:val="24"/>
              </w:rPr>
              <w:t>III</w:t>
            </w:r>
            <w:r>
              <w:rPr>
                <w:kern w:val="0"/>
                <w:sz w:val="24"/>
              </w:rPr>
              <w:t>类标准进行保护。</w:t>
            </w:r>
          </w:p>
          <w:p>
            <w:pPr>
              <w:widowControl/>
              <w:spacing w:line="360" w:lineRule="auto"/>
              <w:ind w:firstLine="480" w:firstLineChars="200"/>
              <w:jc w:val="left"/>
              <w:rPr>
                <w:kern w:val="0"/>
                <w:sz w:val="24"/>
              </w:rPr>
            </w:pPr>
            <w:r>
              <w:rPr>
                <w:rFonts w:hint="eastAsia"/>
                <w:kern w:val="0"/>
                <w:sz w:val="24"/>
              </w:rPr>
              <w:t>淤泥河为大河水库下游，20</w:t>
            </w:r>
            <w:r>
              <w:rPr>
                <w:kern w:val="0"/>
                <w:sz w:val="24"/>
              </w:rPr>
              <w:t>21年</w:t>
            </w:r>
            <w:r>
              <w:rPr>
                <w:rFonts w:hint="eastAsia"/>
                <w:kern w:val="0"/>
                <w:sz w:val="24"/>
              </w:rPr>
              <w:t>1月-</w:t>
            </w:r>
            <w:r>
              <w:rPr>
                <w:kern w:val="0"/>
                <w:sz w:val="24"/>
              </w:rPr>
              <w:t>2021年</w:t>
            </w:r>
            <w:r>
              <w:rPr>
                <w:rFonts w:hint="eastAsia"/>
                <w:kern w:val="0"/>
                <w:sz w:val="24"/>
              </w:rPr>
              <w:t>1</w:t>
            </w:r>
            <w:r>
              <w:rPr>
                <w:kern w:val="0"/>
                <w:sz w:val="24"/>
              </w:rPr>
              <w:t>2月</w:t>
            </w:r>
            <w:r>
              <w:rPr>
                <w:rFonts w:hint="eastAsia"/>
                <w:kern w:val="0"/>
                <w:sz w:val="24"/>
              </w:rPr>
              <w:t>，大河水库断面水质可以满足功能区划要求，属于达标区域。</w:t>
            </w:r>
          </w:p>
          <w:p>
            <w:pPr>
              <w:widowControl/>
              <w:spacing w:line="360" w:lineRule="auto"/>
              <w:ind w:firstLine="482" w:firstLineChars="200"/>
              <w:jc w:val="left"/>
              <w:rPr>
                <w:b/>
                <w:kern w:val="0"/>
                <w:sz w:val="24"/>
              </w:rPr>
            </w:pPr>
            <w:bookmarkStart w:id="75" w:name="_Toc100071050"/>
            <w:bookmarkStart w:id="76" w:name="_Toc68847871"/>
            <w:bookmarkStart w:id="77" w:name="_Toc68774028"/>
            <w:bookmarkStart w:id="78" w:name="_Toc68766603"/>
            <w:bookmarkStart w:id="79" w:name="_Toc68749952"/>
            <w:bookmarkStart w:id="80" w:name="_Toc68686396"/>
            <w:bookmarkStart w:id="81" w:name="_Toc68684090"/>
            <w:bookmarkStart w:id="82" w:name="_Toc68676527"/>
            <w:bookmarkStart w:id="83" w:name="_Toc68582482"/>
            <w:bookmarkStart w:id="84" w:name="_Toc68348239"/>
            <w:bookmarkStart w:id="85" w:name="_Toc68507199"/>
            <w:bookmarkStart w:id="86" w:name="_Toc61861955"/>
            <w:bookmarkStart w:id="87" w:name="_Toc60035526"/>
            <w:bookmarkStart w:id="88" w:name="_Toc60024602"/>
            <w:bookmarkStart w:id="89" w:name="_Toc59965650"/>
            <w:bookmarkStart w:id="90" w:name="_Toc59851102"/>
            <w:bookmarkStart w:id="91" w:name="_Toc59682790"/>
            <w:bookmarkStart w:id="92" w:name="_Toc58816646"/>
            <w:bookmarkStart w:id="93" w:name="_Toc59266591"/>
            <w:bookmarkStart w:id="94" w:name="_Toc58810543"/>
            <w:bookmarkStart w:id="95" w:name="_Toc58810456"/>
            <w:bookmarkStart w:id="96" w:name="_Toc58731261"/>
            <w:bookmarkStart w:id="97" w:name="_Toc58646774"/>
            <w:bookmarkStart w:id="98" w:name="_Toc58643195"/>
            <w:bookmarkStart w:id="99" w:name="_Toc58641494"/>
            <w:bookmarkStart w:id="100" w:name="_Toc58638883"/>
            <w:bookmarkStart w:id="101" w:name="_Toc58491015"/>
            <w:bookmarkStart w:id="102" w:name="_Toc58124712"/>
            <w:bookmarkStart w:id="103" w:name="_Toc58314443"/>
            <w:bookmarkStart w:id="104" w:name="_Toc58229307"/>
            <w:bookmarkStart w:id="105" w:name="_Toc58121778"/>
            <w:bookmarkStart w:id="106" w:name="_Toc58041095"/>
            <w:bookmarkStart w:id="107" w:name="_Toc57868327"/>
            <w:r>
              <w:rPr>
                <w:b/>
                <w:kern w:val="0"/>
                <w:sz w:val="24"/>
              </w:rPr>
              <w:t>3．声环境质量现状</w:t>
            </w:r>
          </w:p>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Pr>
              <w:widowControl/>
              <w:spacing w:line="360" w:lineRule="auto"/>
              <w:ind w:firstLine="480" w:firstLineChars="200"/>
              <w:jc w:val="left"/>
              <w:rPr>
                <w:kern w:val="0"/>
                <w:sz w:val="24"/>
              </w:rPr>
            </w:pPr>
            <w:r>
              <w:rPr>
                <w:kern w:val="0"/>
                <w:sz w:val="24"/>
              </w:rPr>
              <w:t>项目所在周边为</w:t>
            </w:r>
            <w:r>
              <w:rPr>
                <w:rFonts w:hint="eastAsia"/>
                <w:kern w:val="0"/>
                <w:sz w:val="24"/>
              </w:rPr>
              <w:t>工业区</w:t>
            </w:r>
            <w:r>
              <w:rPr>
                <w:kern w:val="0"/>
                <w:sz w:val="24"/>
              </w:rPr>
              <w:t>，项目所在区域噪声功能划分为GB3096-2008《声环境质量标准》3类区，执行标准为昼间≤65dB(A)，夜间≤55dB(A)。</w:t>
            </w:r>
          </w:p>
          <w:p>
            <w:pPr>
              <w:widowControl/>
              <w:spacing w:line="360" w:lineRule="auto"/>
              <w:ind w:firstLine="480" w:firstLineChars="200"/>
              <w:jc w:val="left"/>
              <w:rPr>
                <w:rFonts w:eastAsiaTheme="minorEastAsia"/>
                <w:sz w:val="24"/>
              </w:rPr>
            </w:pPr>
            <w:r>
              <w:rPr>
                <w:kern w:val="0"/>
                <w:sz w:val="24"/>
              </w:rPr>
              <w:t>根据《2021年</w:t>
            </w:r>
            <w:r>
              <w:rPr>
                <w:rFonts w:hint="eastAsia"/>
                <w:kern w:val="0"/>
                <w:sz w:val="24"/>
              </w:rPr>
              <w:t>昆明市</w:t>
            </w:r>
            <w:r>
              <w:rPr>
                <w:kern w:val="0"/>
                <w:sz w:val="24"/>
              </w:rPr>
              <w:t>环境质量公报》，2021年</w:t>
            </w:r>
            <w:r>
              <w:rPr>
                <w:rFonts w:hint="eastAsia"/>
                <w:kern w:val="0"/>
                <w:sz w:val="24"/>
              </w:rPr>
              <w:t>昆明市</w:t>
            </w:r>
            <w:r>
              <w:rPr>
                <w:kern w:val="0"/>
                <w:sz w:val="24"/>
              </w:rPr>
              <w:t>区域噪声</w:t>
            </w:r>
            <w:r>
              <w:rPr>
                <w:rFonts w:hint="eastAsia"/>
                <w:kern w:val="0"/>
                <w:sz w:val="24"/>
              </w:rPr>
              <w:t>满足规划要求</w:t>
            </w:r>
            <w:r>
              <w:rPr>
                <w:rFonts w:eastAsiaTheme="minorEastAsia"/>
                <w:sz w:val="24"/>
              </w:rPr>
              <w:t>，</w:t>
            </w:r>
            <w:r>
              <w:rPr>
                <w:rFonts w:hint="eastAsia" w:eastAsiaTheme="minorEastAsia"/>
                <w:sz w:val="24"/>
              </w:rPr>
              <w:t>属于达标区域。</w:t>
            </w:r>
          </w:p>
          <w:p>
            <w:pPr>
              <w:widowControl/>
              <w:spacing w:line="360" w:lineRule="auto"/>
              <w:ind w:firstLine="482" w:firstLineChars="200"/>
              <w:jc w:val="left"/>
              <w:rPr>
                <w:b/>
                <w:kern w:val="0"/>
                <w:sz w:val="24"/>
              </w:rPr>
            </w:pPr>
            <w:r>
              <w:rPr>
                <w:b/>
                <w:kern w:val="0"/>
                <w:sz w:val="24"/>
              </w:rPr>
              <w:t>4. 生态环境质量现状</w:t>
            </w:r>
          </w:p>
          <w:p>
            <w:pPr>
              <w:spacing w:line="360" w:lineRule="auto"/>
              <w:ind w:firstLine="480" w:firstLineChars="200"/>
              <w:rPr>
                <w:szCs w:val="21"/>
              </w:rPr>
            </w:pPr>
            <w:r>
              <w:rPr>
                <w:kern w:val="0"/>
                <w:sz w:val="24"/>
              </w:rPr>
              <w:t>评价区域为</w:t>
            </w:r>
            <w:r>
              <w:rPr>
                <w:rFonts w:hint="eastAsia"/>
                <w:kern w:val="0"/>
                <w:sz w:val="24"/>
              </w:rPr>
              <w:t>已建项目</w:t>
            </w:r>
            <w:r>
              <w:rPr>
                <w:kern w:val="0"/>
                <w:sz w:val="24"/>
              </w:rPr>
              <w:t>预留二期用地，土地已进行平整。无天然植被分布。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00" w:hRule="atLeast"/>
          <w:jc w:val="center"/>
        </w:trPr>
        <w:tc>
          <w:tcPr>
            <w:tcW w:w="800" w:type="dxa"/>
            <w:vAlign w:val="center"/>
          </w:tcPr>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保护</w:t>
            </w:r>
          </w:p>
          <w:p>
            <w:pPr>
              <w:adjustRightInd w:val="0"/>
              <w:snapToGrid w:val="0"/>
              <w:jc w:val="center"/>
              <w:rPr>
                <w:kern w:val="0"/>
                <w:szCs w:val="21"/>
              </w:rPr>
            </w:pPr>
            <w:r>
              <w:rPr>
                <w:kern w:val="0"/>
                <w:szCs w:val="21"/>
              </w:rPr>
              <w:t>目标</w:t>
            </w:r>
          </w:p>
        </w:tc>
        <w:tc>
          <w:tcPr>
            <w:tcW w:w="8190" w:type="dxa"/>
            <w:vAlign w:val="center"/>
          </w:tcPr>
          <w:p>
            <w:pPr>
              <w:widowControl/>
              <w:adjustRightInd w:val="0"/>
              <w:snapToGrid w:val="0"/>
              <w:spacing w:line="360" w:lineRule="auto"/>
              <w:ind w:firstLine="480" w:firstLineChars="200"/>
              <w:rPr>
                <w:kern w:val="0"/>
                <w:sz w:val="24"/>
              </w:rPr>
            </w:pPr>
            <w:r>
              <w:rPr>
                <w:kern w:val="0"/>
                <w:sz w:val="24"/>
              </w:rPr>
              <w:t>1、环境空气保护目标</w:t>
            </w:r>
          </w:p>
          <w:p>
            <w:pPr>
              <w:widowControl/>
              <w:adjustRightInd w:val="0"/>
              <w:snapToGrid w:val="0"/>
              <w:spacing w:line="360" w:lineRule="auto"/>
              <w:ind w:firstLine="480" w:firstLineChars="200"/>
              <w:rPr>
                <w:kern w:val="0"/>
                <w:sz w:val="24"/>
              </w:rPr>
            </w:pPr>
            <w:r>
              <w:rPr>
                <w:rFonts w:hint="eastAsia"/>
                <w:kern w:val="0"/>
                <w:sz w:val="24"/>
              </w:rPr>
              <w:t>项目周边5</w:t>
            </w:r>
            <w:r>
              <w:rPr>
                <w:kern w:val="0"/>
                <w:sz w:val="24"/>
              </w:rPr>
              <w:t>00m范围内</w:t>
            </w:r>
            <w:r>
              <w:rPr>
                <w:rFonts w:hint="eastAsia"/>
                <w:kern w:val="0"/>
                <w:sz w:val="24"/>
              </w:rPr>
              <w:t>分布的敏感点为：富有村、白沙村，</w:t>
            </w:r>
            <w:r>
              <w:rPr>
                <w:kern w:val="0"/>
                <w:sz w:val="24"/>
              </w:rPr>
              <w:t>按照《</w:t>
            </w:r>
            <w:r>
              <w:rPr>
                <w:kern w:val="0"/>
                <w:sz w:val="24"/>
                <w:szCs w:val="21"/>
              </w:rPr>
              <w:t>环境空气质量标准》（GB 3095－2012）二级标准进行保护。</w:t>
            </w:r>
          </w:p>
          <w:p>
            <w:pPr>
              <w:widowControl/>
              <w:adjustRightInd w:val="0"/>
              <w:snapToGrid w:val="0"/>
              <w:spacing w:line="360" w:lineRule="auto"/>
              <w:ind w:firstLine="480" w:firstLineChars="200"/>
              <w:rPr>
                <w:kern w:val="0"/>
                <w:sz w:val="24"/>
              </w:rPr>
            </w:pPr>
            <w:r>
              <w:rPr>
                <w:kern w:val="0"/>
                <w:sz w:val="24"/>
              </w:rPr>
              <w:t>2、地表水环境保护目标</w:t>
            </w:r>
          </w:p>
          <w:p>
            <w:pPr>
              <w:widowControl/>
              <w:adjustRightInd w:val="0"/>
              <w:snapToGrid w:val="0"/>
              <w:spacing w:line="360" w:lineRule="auto"/>
              <w:ind w:firstLine="480" w:firstLineChars="200"/>
              <w:rPr>
                <w:kern w:val="0"/>
                <w:sz w:val="24"/>
              </w:rPr>
            </w:pPr>
            <w:r>
              <w:rPr>
                <w:kern w:val="0"/>
                <w:sz w:val="24"/>
              </w:rPr>
              <w:t>评价区域地表水保护目标为</w:t>
            </w:r>
            <w:r>
              <w:rPr>
                <w:rFonts w:hint="eastAsia"/>
                <w:kern w:val="0"/>
                <w:sz w:val="24"/>
              </w:rPr>
              <w:t>淤泥河</w:t>
            </w:r>
            <w:r>
              <w:rPr>
                <w:kern w:val="0"/>
                <w:sz w:val="24"/>
              </w:rPr>
              <w:t>、南冲河、滇池外海。</w:t>
            </w:r>
          </w:p>
          <w:p>
            <w:pPr>
              <w:widowControl/>
              <w:adjustRightInd w:val="0"/>
              <w:snapToGrid w:val="0"/>
              <w:spacing w:line="360" w:lineRule="auto"/>
              <w:ind w:firstLine="480" w:firstLineChars="200"/>
              <w:rPr>
                <w:kern w:val="0"/>
                <w:sz w:val="24"/>
              </w:rPr>
            </w:pPr>
            <w:r>
              <w:rPr>
                <w:kern w:val="0"/>
                <w:sz w:val="24"/>
              </w:rPr>
              <w:t>3、声环境保护目标</w:t>
            </w:r>
          </w:p>
          <w:p>
            <w:pPr>
              <w:widowControl/>
              <w:adjustRightInd w:val="0"/>
              <w:snapToGrid w:val="0"/>
              <w:spacing w:line="360" w:lineRule="auto"/>
              <w:ind w:firstLine="480" w:firstLineChars="200"/>
              <w:rPr>
                <w:kern w:val="0"/>
                <w:sz w:val="24"/>
              </w:rPr>
            </w:pPr>
            <w:r>
              <w:rPr>
                <w:kern w:val="0"/>
                <w:sz w:val="24"/>
              </w:rPr>
              <w:t>项目区厂界周边</w:t>
            </w:r>
            <w:r>
              <w:rPr>
                <w:rFonts w:hint="eastAsia"/>
                <w:kern w:val="0"/>
                <w:sz w:val="24"/>
              </w:rPr>
              <w:t>5</w:t>
            </w:r>
            <w:r>
              <w:rPr>
                <w:kern w:val="0"/>
                <w:sz w:val="24"/>
              </w:rPr>
              <w:t>0m范围内</w:t>
            </w:r>
            <w:r>
              <w:rPr>
                <w:rFonts w:hint="eastAsia"/>
                <w:kern w:val="0"/>
                <w:sz w:val="24"/>
              </w:rPr>
              <w:t>无敏感点分布</w:t>
            </w:r>
            <w:r>
              <w:rPr>
                <w:kern w:val="0"/>
                <w:sz w:val="24"/>
              </w:rPr>
              <w:t>，声环境保护目标为周边声环境质量不下降，按《声环境质量标准》（GB3096—2008）3类标准进行保护。</w:t>
            </w:r>
          </w:p>
          <w:p>
            <w:pPr>
              <w:widowControl/>
              <w:adjustRightInd w:val="0"/>
              <w:snapToGrid w:val="0"/>
              <w:spacing w:line="360" w:lineRule="auto"/>
              <w:ind w:firstLine="480" w:firstLineChars="200"/>
              <w:rPr>
                <w:kern w:val="0"/>
                <w:sz w:val="24"/>
              </w:rPr>
            </w:pPr>
            <w:r>
              <w:rPr>
                <w:kern w:val="0"/>
                <w:sz w:val="24"/>
              </w:rPr>
              <w:t>4、生态环境保护目标</w:t>
            </w:r>
          </w:p>
          <w:p>
            <w:pPr>
              <w:widowControl/>
              <w:adjustRightInd w:val="0"/>
              <w:snapToGrid w:val="0"/>
              <w:spacing w:line="360" w:lineRule="auto"/>
              <w:ind w:firstLine="480" w:firstLineChars="200"/>
              <w:rPr>
                <w:kern w:val="0"/>
                <w:sz w:val="24"/>
              </w:rPr>
            </w:pPr>
            <w:r>
              <w:rPr>
                <w:kern w:val="0"/>
                <w:sz w:val="24"/>
              </w:rPr>
              <w:t>不降低现有生态功能。</w:t>
            </w:r>
          </w:p>
          <w:p>
            <w:pPr>
              <w:spacing w:line="360" w:lineRule="auto"/>
              <w:ind w:firstLine="360" w:firstLineChars="150"/>
              <w:rPr>
                <w:color w:val="000000"/>
                <w:sz w:val="24"/>
              </w:rPr>
            </w:pPr>
            <w:r>
              <w:rPr>
                <w:rFonts w:hint="eastAsia" w:cs="宋体"/>
                <w:sz w:val="24"/>
              </w:rPr>
              <w:t>本次评价的建设项目</w:t>
            </w:r>
            <w:r>
              <w:rPr>
                <w:sz w:val="24"/>
              </w:rPr>
              <w:t>位于昆明市</w:t>
            </w:r>
            <w:r>
              <w:rPr>
                <w:kern w:val="0"/>
                <w:sz w:val="24"/>
              </w:rPr>
              <w:t>晋宁县晋城镇富有</w:t>
            </w:r>
            <w:r>
              <w:rPr>
                <w:rFonts w:hint="eastAsia"/>
                <w:kern w:val="0"/>
                <w:sz w:val="24"/>
              </w:rPr>
              <w:t>村</w:t>
            </w:r>
            <w:r>
              <w:rPr>
                <w:kern w:val="0"/>
                <w:sz w:val="24"/>
              </w:rPr>
              <w:t>，</w:t>
            </w:r>
            <w:r>
              <w:rPr>
                <w:rFonts w:hint="eastAsia" w:cs="宋体"/>
                <w:sz w:val="24"/>
              </w:rPr>
              <w:t>评价范围内无自然历史遗迹、</w:t>
            </w:r>
            <w:r>
              <w:rPr>
                <w:rFonts w:cs="宋体"/>
                <w:sz w:val="24"/>
              </w:rPr>
              <w:t>自然保护区、风景名胜区、水源保护区等敏感区</w:t>
            </w:r>
            <w:r>
              <w:rPr>
                <w:rFonts w:hint="eastAsia" w:cs="宋体"/>
                <w:sz w:val="24"/>
              </w:rPr>
              <w:t>，也不涉及滇池湖滨带的核心区和缓冲区</w:t>
            </w:r>
            <w:r>
              <w:rPr>
                <w:sz w:val="24"/>
              </w:rPr>
              <w:t>，</w:t>
            </w:r>
            <w:r>
              <w:rPr>
                <w:rFonts w:hint="eastAsia"/>
                <w:sz w:val="24"/>
              </w:rPr>
              <w:t>项目不涉及</w:t>
            </w:r>
            <w:r>
              <w:rPr>
                <w:sz w:val="24"/>
              </w:rPr>
              <w:t>生态红线，整体位于滇池三级保护区</w:t>
            </w:r>
            <w:r>
              <w:rPr>
                <w:rFonts w:hint="eastAsia"/>
                <w:sz w:val="24"/>
              </w:rPr>
              <w:t>，</w:t>
            </w:r>
            <w:r>
              <w:rPr>
                <w:sz w:val="24"/>
              </w:rPr>
              <w:t>保护目标与项目厂址的方位和距离见表</w:t>
            </w:r>
            <w:r>
              <w:rPr>
                <w:rFonts w:hint="eastAsia"/>
                <w:sz w:val="24"/>
              </w:rPr>
              <w:t>3-</w:t>
            </w:r>
            <w:r>
              <w:rPr>
                <w:sz w:val="24"/>
              </w:rPr>
              <w:t>1。</w:t>
            </w:r>
          </w:p>
          <w:p>
            <w:pPr>
              <w:autoSpaceDE w:val="0"/>
              <w:autoSpaceDN w:val="0"/>
              <w:adjustRightInd w:val="0"/>
              <w:spacing w:line="360" w:lineRule="auto"/>
              <w:ind w:right="232"/>
              <w:jc w:val="center"/>
              <w:textAlignment w:val="bottom"/>
              <w:rPr>
                <w:b/>
                <w:color w:val="000000"/>
                <w:kern w:val="0"/>
                <w:sz w:val="24"/>
                <w:u w:color="000000"/>
              </w:rPr>
            </w:pPr>
            <w:r>
              <w:rPr>
                <w:rFonts w:hint="eastAsia"/>
                <w:b/>
                <w:color w:val="000000"/>
                <w:kern w:val="0"/>
                <w:sz w:val="24"/>
                <w:u w:color="000000"/>
              </w:rPr>
              <w:t>表3-</w:t>
            </w:r>
            <w:r>
              <w:rPr>
                <w:b/>
                <w:color w:val="000000"/>
                <w:kern w:val="0"/>
                <w:sz w:val="24"/>
                <w:u w:color="000000"/>
              </w:rPr>
              <w:t>1</w:t>
            </w:r>
            <w:r>
              <w:rPr>
                <w:rFonts w:hint="eastAsia"/>
                <w:b/>
                <w:color w:val="000000"/>
                <w:kern w:val="0"/>
                <w:sz w:val="24"/>
                <w:u w:color="000000"/>
              </w:rPr>
              <w:t xml:space="preserve">  厂址周围主要环境保护目标</w:t>
            </w:r>
          </w:p>
          <w:tbl>
            <w:tblPr>
              <w:tblStyle w:val="44"/>
              <w:tblW w:w="7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600"/>
              <w:gridCol w:w="793"/>
              <w:gridCol w:w="1927"/>
              <w:gridCol w:w="800"/>
              <w:gridCol w:w="917"/>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trPr>
              <w:tc>
                <w:tcPr>
                  <w:tcW w:w="576" w:type="dxa"/>
                  <w:vAlign w:val="center"/>
                </w:tcPr>
                <w:p>
                  <w:pPr>
                    <w:jc w:val="center"/>
                    <w:rPr>
                      <w:szCs w:val="21"/>
                    </w:rPr>
                  </w:pPr>
                  <w:r>
                    <w:rPr>
                      <w:rFonts w:hint="eastAsia"/>
                      <w:szCs w:val="21"/>
                    </w:rPr>
                    <w:t>序号</w:t>
                  </w:r>
                </w:p>
              </w:tc>
              <w:tc>
                <w:tcPr>
                  <w:tcW w:w="1600" w:type="dxa"/>
                  <w:vAlign w:val="center"/>
                </w:tcPr>
                <w:p>
                  <w:pPr>
                    <w:jc w:val="center"/>
                    <w:rPr>
                      <w:szCs w:val="21"/>
                    </w:rPr>
                  </w:pPr>
                  <w:r>
                    <w:rPr>
                      <w:rFonts w:hint="eastAsia"/>
                      <w:szCs w:val="21"/>
                    </w:rPr>
                    <w:t>类别</w:t>
                  </w:r>
                </w:p>
              </w:tc>
              <w:tc>
                <w:tcPr>
                  <w:tcW w:w="793" w:type="dxa"/>
                  <w:vAlign w:val="center"/>
                </w:tcPr>
                <w:p>
                  <w:pPr>
                    <w:jc w:val="center"/>
                    <w:rPr>
                      <w:szCs w:val="21"/>
                    </w:rPr>
                  </w:pPr>
                  <w:r>
                    <w:rPr>
                      <w:rFonts w:hint="eastAsia"/>
                      <w:szCs w:val="21"/>
                    </w:rPr>
                    <w:t>关心点名称</w:t>
                  </w:r>
                </w:p>
              </w:tc>
              <w:tc>
                <w:tcPr>
                  <w:tcW w:w="1927" w:type="dxa"/>
                  <w:vAlign w:val="center"/>
                </w:tcPr>
                <w:p>
                  <w:pPr>
                    <w:jc w:val="center"/>
                    <w:rPr>
                      <w:szCs w:val="21"/>
                    </w:rPr>
                  </w:pPr>
                  <w:r>
                    <w:rPr>
                      <w:rFonts w:hint="eastAsia"/>
                      <w:szCs w:val="21"/>
                    </w:rPr>
                    <w:t>关心点概况</w:t>
                  </w:r>
                </w:p>
              </w:tc>
              <w:tc>
                <w:tcPr>
                  <w:tcW w:w="800" w:type="dxa"/>
                  <w:vAlign w:val="center"/>
                </w:tcPr>
                <w:p>
                  <w:pPr>
                    <w:jc w:val="center"/>
                    <w:rPr>
                      <w:szCs w:val="21"/>
                    </w:rPr>
                  </w:pPr>
                  <w:r>
                    <w:rPr>
                      <w:rFonts w:hint="eastAsia"/>
                      <w:szCs w:val="21"/>
                    </w:rPr>
                    <w:t>方位</w:t>
                  </w:r>
                </w:p>
              </w:tc>
              <w:tc>
                <w:tcPr>
                  <w:tcW w:w="917" w:type="dxa"/>
                  <w:vAlign w:val="center"/>
                </w:tcPr>
                <w:p>
                  <w:pPr>
                    <w:jc w:val="center"/>
                    <w:rPr>
                      <w:szCs w:val="21"/>
                    </w:rPr>
                  </w:pPr>
                  <w:r>
                    <w:rPr>
                      <w:rFonts w:hint="eastAsia"/>
                      <w:szCs w:val="21"/>
                    </w:rPr>
                    <w:t>距离</w:t>
                  </w:r>
                </w:p>
              </w:tc>
              <w:tc>
                <w:tcPr>
                  <w:tcW w:w="1322" w:type="dxa"/>
                  <w:vAlign w:val="center"/>
                </w:tcPr>
                <w:p>
                  <w:pPr>
                    <w:jc w:val="center"/>
                    <w:rPr>
                      <w:szCs w:val="21"/>
                    </w:rPr>
                  </w:pPr>
                  <w:r>
                    <w:rPr>
                      <w:rFonts w:hint="eastAsia"/>
                      <w:szCs w:val="21"/>
                    </w:rPr>
                    <w:t>控制标准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576" w:type="dxa"/>
                  <w:vAlign w:val="center"/>
                </w:tcPr>
                <w:p>
                  <w:pPr>
                    <w:jc w:val="center"/>
                    <w:rPr>
                      <w:szCs w:val="21"/>
                    </w:rPr>
                  </w:pPr>
                  <w:r>
                    <w:rPr>
                      <w:rFonts w:hint="eastAsia"/>
                      <w:szCs w:val="21"/>
                    </w:rPr>
                    <w:t>1</w:t>
                  </w:r>
                </w:p>
              </w:tc>
              <w:tc>
                <w:tcPr>
                  <w:tcW w:w="1600" w:type="dxa"/>
                  <w:vMerge w:val="restart"/>
                  <w:vAlign w:val="center"/>
                </w:tcPr>
                <w:p>
                  <w:pPr>
                    <w:jc w:val="center"/>
                    <w:rPr>
                      <w:szCs w:val="21"/>
                    </w:rPr>
                  </w:pPr>
                  <w:r>
                    <w:rPr>
                      <w:rFonts w:hint="eastAsia"/>
                      <w:szCs w:val="21"/>
                    </w:rPr>
                    <w:t>环境空气质量</w:t>
                  </w:r>
                </w:p>
              </w:tc>
              <w:tc>
                <w:tcPr>
                  <w:tcW w:w="793" w:type="dxa"/>
                  <w:vAlign w:val="center"/>
                </w:tcPr>
                <w:p>
                  <w:pPr>
                    <w:jc w:val="center"/>
                    <w:rPr>
                      <w:szCs w:val="21"/>
                    </w:rPr>
                  </w:pPr>
                  <w:r>
                    <w:rPr>
                      <w:rFonts w:hint="eastAsia"/>
                      <w:szCs w:val="21"/>
                    </w:rPr>
                    <w:t>富有村</w:t>
                  </w:r>
                </w:p>
              </w:tc>
              <w:tc>
                <w:tcPr>
                  <w:tcW w:w="1927" w:type="dxa"/>
                  <w:vAlign w:val="center"/>
                </w:tcPr>
                <w:p>
                  <w:pPr>
                    <w:jc w:val="center"/>
                    <w:rPr>
                      <w:color w:val="FF0000"/>
                      <w:szCs w:val="21"/>
                    </w:rPr>
                  </w:pPr>
                  <w:r>
                    <w:rPr>
                      <w:rFonts w:hint="eastAsia"/>
                      <w:color w:val="FF0000"/>
                      <w:szCs w:val="21"/>
                    </w:rPr>
                    <w:t>1165户，3688人</w:t>
                  </w:r>
                </w:p>
              </w:tc>
              <w:tc>
                <w:tcPr>
                  <w:tcW w:w="800" w:type="dxa"/>
                  <w:vAlign w:val="center"/>
                </w:tcPr>
                <w:p>
                  <w:pPr>
                    <w:jc w:val="center"/>
                    <w:rPr>
                      <w:rFonts w:ascii="宋体" w:hAnsi="宋体" w:cs="宋体"/>
                      <w:sz w:val="24"/>
                    </w:rPr>
                  </w:pPr>
                  <w:r>
                    <w:rPr>
                      <w:rFonts w:hint="eastAsia"/>
                    </w:rPr>
                    <w:t>W</w:t>
                  </w:r>
                </w:p>
              </w:tc>
              <w:tc>
                <w:tcPr>
                  <w:tcW w:w="917" w:type="dxa"/>
                  <w:vAlign w:val="center"/>
                </w:tcPr>
                <w:p>
                  <w:pPr>
                    <w:jc w:val="center"/>
                    <w:rPr>
                      <w:szCs w:val="21"/>
                    </w:rPr>
                  </w:pPr>
                  <w:r>
                    <w:t>287</w:t>
                  </w:r>
                  <w:r>
                    <w:rPr>
                      <w:rFonts w:hint="eastAsia"/>
                    </w:rPr>
                    <w:t>m</w:t>
                  </w:r>
                </w:p>
              </w:tc>
              <w:tc>
                <w:tcPr>
                  <w:tcW w:w="1322" w:type="dxa"/>
                  <w:vMerge w:val="restart"/>
                  <w:vAlign w:val="center"/>
                </w:tcPr>
                <w:p>
                  <w:pPr>
                    <w:jc w:val="center"/>
                    <w:rPr>
                      <w:szCs w:val="21"/>
                    </w:rPr>
                  </w:pPr>
                  <w:r>
                    <w:rPr>
                      <w:szCs w:val="21"/>
                    </w:rPr>
                    <w:t>《环境空气质量标准》（GB 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576" w:type="dxa"/>
                  <w:vAlign w:val="center"/>
                </w:tcPr>
                <w:p>
                  <w:pPr>
                    <w:jc w:val="center"/>
                    <w:rPr>
                      <w:szCs w:val="21"/>
                    </w:rPr>
                  </w:pPr>
                  <w:r>
                    <w:rPr>
                      <w:rFonts w:hint="eastAsia"/>
                      <w:szCs w:val="21"/>
                    </w:rPr>
                    <w:t>2</w:t>
                  </w:r>
                </w:p>
              </w:tc>
              <w:tc>
                <w:tcPr>
                  <w:tcW w:w="1600" w:type="dxa"/>
                  <w:vMerge w:val="continue"/>
                  <w:vAlign w:val="center"/>
                </w:tcPr>
                <w:p>
                  <w:pPr>
                    <w:jc w:val="center"/>
                    <w:rPr>
                      <w:szCs w:val="21"/>
                    </w:rPr>
                  </w:pPr>
                </w:p>
              </w:tc>
              <w:tc>
                <w:tcPr>
                  <w:tcW w:w="793" w:type="dxa"/>
                  <w:vAlign w:val="center"/>
                </w:tcPr>
                <w:p>
                  <w:pPr>
                    <w:jc w:val="center"/>
                    <w:rPr>
                      <w:szCs w:val="21"/>
                    </w:rPr>
                  </w:pPr>
                  <w:r>
                    <w:rPr>
                      <w:rFonts w:hint="eastAsia"/>
                      <w:szCs w:val="21"/>
                    </w:rPr>
                    <w:t>白沙村</w:t>
                  </w:r>
                </w:p>
              </w:tc>
              <w:tc>
                <w:tcPr>
                  <w:tcW w:w="1927" w:type="dxa"/>
                  <w:vAlign w:val="center"/>
                </w:tcPr>
                <w:p>
                  <w:pPr>
                    <w:jc w:val="center"/>
                    <w:rPr>
                      <w:color w:val="FF0000"/>
                      <w:szCs w:val="21"/>
                    </w:rPr>
                  </w:pPr>
                  <w:r>
                    <w:rPr>
                      <w:rFonts w:hint="eastAsia"/>
                      <w:color w:val="FF0000"/>
                      <w:szCs w:val="21"/>
                    </w:rPr>
                    <w:t>543户，1474人</w:t>
                  </w:r>
                </w:p>
              </w:tc>
              <w:tc>
                <w:tcPr>
                  <w:tcW w:w="800" w:type="dxa"/>
                  <w:vAlign w:val="center"/>
                </w:tcPr>
                <w:p>
                  <w:pPr>
                    <w:jc w:val="center"/>
                    <w:rPr>
                      <w:rFonts w:ascii="宋体" w:hAnsi="宋体" w:cs="宋体"/>
                      <w:sz w:val="24"/>
                    </w:rPr>
                  </w:pPr>
                  <w:r>
                    <w:rPr>
                      <w:rFonts w:hint="eastAsia"/>
                    </w:rPr>
                    <w:t>NE</w:t>
                  </w:r>
                </w:p>
              </w:tc>
              <w:tc>
                <w:tcPr>
                  <w:tcW w:w="917" w:type="dxa"/>
                  <w:vAlign w:val="center"/>
                </w:tcPr>
                <w:p>
                  <w:pPr>
                    <w:jc w:val="center"/>
                    <w:rPr>
                      <w:szCs w:val="21"/>
                    </w:rPr>
                  </w:pPr>
                  <w:r>
                    <w:t>404</w:t>
                  </w:r>
                  <w:r>
                    <w:rPr>
                      <w:rFonts w:hint="eastAsia"/>
                    </w:rPr>
                    <w:t>m</w:t>
                  </w:r>
                </w:p>
              </w:tc>
              <w:tc>
                <w:tcPr>
                  <w:tcW w:w="1322"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576" w:type="dxa"/>
                  <w:vAlign w:val="center"/>
                </w:tcPr>
                <w:p>
                  <w:pPr>
                    <w:jc w:val="center"/>
                    <w:rPr>
                      <w:szCs w:val="21"/>
                    </w:rPr>
                  </w:pPr>
                  <w:r>
                    <w:rPr>
                      <w:rFonts w:hint="eastAsia"/>
                      <w:szCs w:val="21"/>
                    </w:rPr>
                    <w:t>7</w:t>
                  </w:r>
                </w:p>
              </w:tc>
              <w:tc>
                <w:tcPr>
                  <w:tcW w:w="1600" w:type="dxa"/>
                  <w:vMerge w:val="restart"/>
                  <w:vAlign w:val="center"/>
                </w:tcPr>
                <w:p>
                  <w:pPr>
                    <w:jc w:val="center"/>
                    <w:rPr>
                      <w:szCs w:val="21"/>
                    </w:rPr>
                  </w:pPr>
                  <w:r>
                    <w:rPr>
                      <w:rFonts w:hint="eastAsia"/>
                      <w:szCs w:val="21"/>
                    </w:rPr>
                    <w:t>地表水环境质量</w:t>
                  </w:r>
                </w:p>
              </w:tc>
              <w:tc>
                <w:tcPr>
                  <w:tcW w:w="2720" w:type="dxa"/>
                  <w:gridSpan w:val="2"/>
                  <w:vAlign w:val="center"/>
                </w:tcPr>
                <w:p>
                  <w:pPr>
                    <w:jc w:val="center"/>
                    <w:rPr>
                      <w:szCs w:val="21"/>
                    </w:rPr>
                  </w:pPr>
                  <w:r>
                    <w:rPr>
                      <w:rFonts w:hint="eastAsia"/>
                      <w:szCs w:val="21"/>
                    </w:rPr>
                    <w:t>淤泥河（大河）</w:t>
                  </w:r>
                </w:p>
              </w:tc>
              <w:tc>
                <w:tcPr>
                  <w:tcW w:w="800" w:type="dxa"/>
                  <w:vAlign w:val="center"/>
                </w:tcPr>
                <w:p>
                  <w:pPr>
                    <w:jc w:val="center"/>
                    <w:rPr>
                      <w:szCs w:val="21"/>
                    </w:rPr>
                  </w:pPr>
                  <w:r>
                    <w:rPr>
                      <w:rFonts w:hint="eastAsia"/>
                      <w:szCs w:val="21"/>
                    </w:rPr>
                    <w:t>W</w:t>
                  </w:r>
                </w:p>
              </w:tc>
              <w:tc>
                <w:tcPr>
                  <w:tcW w:w="917" w:type="dxa"/>
                  <w:vAlign w:val="center"/>
                </w:tcPr>
                <w:p>
                  <w:pPr>
                    <w:jc w:val="center"/>
                    <w:rPr>
                      <w:szCs w:val="21"/>
                    </w:rPr>
                  </w:pPr>
                  <w:r>
                    <w:rPr>
                      <w:szCs w:val="21"/>
                    </w:rPr>
                    <w:t>2.94</w:t>
                  </w:r>
                  <w:r>
                    <w:rPr>
                      <w:rFonts w:hint="eastAsia"/>
                      <w:szCs w:val="21"/>
                    </w:rPr>
                    <w:t>km</w:t>
                  </w:r>
                </w:p>
              </w:tc>
              <w:tc>
                <w:tcPr>
                  <w:tcW w:w="1322" w:type="dxa"/>
                  <w:vMerge w:val="restart"/>
                  <w:vAlign w:val="center"/>
                </w:tcPr>
                <w:p>
                  <w:pPr>
                    <w:adjustRightInd w:val="0"/>
                    <w:snapToGrid w:val="0"/>
                    <w:jc w:val="center"/>
                    <w:rPr>
                      <w:szCs w:val="21"/>
                    </w:rPr>
                  </w:pPr>
                  <w:r>
                    <w:rPr>
                      <w:szCs w:val="21"/>
                    </w:rPr>
                    <w:t>《地表水环境质量标准》（GB3838-2002）</w:t>
                  </w:r>
                  <w:r>
                    <w:rPr>
                      <w:rFonts w:hint="eastAsia"/>
                      <w:szCs w:val="21"/>
                    </w:rPr>
                    <w:t>III</w:t>
                  </w:r>
                  <w:r>
                    <w:rPr>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trPr>
              <w:tc>
                <w:tcPr>
                  <w:tcW w:w="576" w:type="dxa"/>
                  <w:vMerge w:val="restart"/>
                  <w:vAlign w:val="center"/>
                </w:tcPr>
                <w:p>
                  <w:pPr>
                    <w:jc w:val="center"/>
                    <w:rPr>
                      <w:szCs w:val="21"/>
                    </w:rPr>
                  </w:pPr>
                  <w:r>
                    <w:rPr>
                      <w:rFonts w:hint="eastAsia"/>
                      <w:szCs w:val="21"/>
                    </w:rPr>
                    <w:t>8</w:t>
                  </w:r>
                </w:p>
              </w:tc>
              <w:tc>
                <w:tcPr>
                  <w:tcW w:w="1600" w:type="dxa"/>
                  <w:vMerge w:val="continue"/>
                  <w:vAlign w:val="center"/>
                </w:tcPr>
                <w:p>
                  <w:pPr>
                    <w:jc w:val="center"/>
                    <w:rPr>
                      <w:szCs w:val="21"/>
                    </w:rPr>
                  </w:pPr>
                </w:p>
              </w:tc>
              <w:tc>
                <w:tcPr>
                  <w:tcW w:w="2720" w:type="dxa"/>
                  <w:gridSpan w:val="2"/>
                  <w:vAlign w:val="center"/>
                </w:tcPr>
                <w:p>
                  <w:pPr>
                    <w:jc w:val="center"/>
                    <w:rPr>
                      <w:szCs w:val="21"/>
                    </w:rPr>
                  </w:pPr>
                  <w:r>
                    <w:rPr>
                      <w:szCs w:val="21"/>
                    </w:rPr>
                    <w:t>南冲河</w:t>
                  </w:r>
                </w:p>
              </w:tc>
              <w:tc>
                <w:tcPr>
                  <w:tcW w:w="800" w:type="dxa"/>
                  <w:vAlign w:val="center"/>
                </w:tcPr>
                <w:p>
                  <w:pPr>
                    <w:jc w:val="center"/>
                    <w:rPr>
                      <w:szCs w:val="21"/>
                    </w:rPr>
                  </w:pPr>
                  <w:r>
                    <w:rPr>
                      <w:szCs w:val="21"/>
                    </w:rPr>
                    <w:t>N</w:t>
                  </w:r>
                </w:p>
              </w:tc>
              <w:tc>
                <w:tcPr>
                  <w:tcW w:w="917" w:type="dxa"/>
                  <w:vAlign w:val="center"/>
                </w:tcPr>
                <w:p>
                  <w:pPr>
                    <w:jc w:val="center"/>
                    <w:rPr>
                      <w:szCs w:val="21"/>
                    </w:rPr>
                  </w:pPr>
                  <w:r>
                    <w:rPr>
                      <w:rFonts w:hint="eastAsia"/>
                      <w:szCs w:val="21"/>
                    </w:rPr>
                    <w:t>2</w:t>
                  </w:r>
                  <w:r>
                    <w:rPr>
                      <w:szCs w:val="21"/>
                    </w:rPr>
                    <w:t>.28km</w:t>
                  </w:r>
                </w:p>
              </w:tc>
              <w:tc>
                <w:tcPr>
                  <w:tcW w:w="1322" w:type="dxa"/>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7" w:hRule="atLeast"/>
              </w:trPr>
              <w:tc>
                <w:tcPr>
                  <w:tcW w:w="576" w:type="dxa"/>
                  <w:vMerge w:val="continue"/>
                  <w:vAlign w:val="center"/>
                </w:tcPr>
                <w:p>
                  <w:pPr>
                    <w:jc w:val="center"/>
                    <w:rPr>
                      <w:szCs w:val="21"/>
                    </w:rPr>
                  </w:pPr>
                </w:p>
              </w:tc>
              <w:tc>
                <w:tcPr>
                  <w:tcW w:w="1600" w:type="dxa"/>
                  <w:vMerge w:val="continue"/>
                  <w:vAlign w:val="center"/>
                </w:tcPr>
                <w:p>
                  <w:pPr>
                    <w:jc w:val="center"/>
                    <w:rPr>
                      <w:szCs w:val="21"/>
                    </w:rPr>
                  </w:pPr>
                </w:p>
              </w:tc>
              <w:tc>
                <w:tcPr>
                  <w:tcW w:w="2720" w:type="dxa"/>
                  <w:gridSpan w:val="2"/>
                  <w:vAlign w:val="center"/>
                </w:tcPr>
                <w:p>
                  <w:pPr>
                    <w:jc w:val="center"/>
                    <w:rPr>
                      <w:szCs w:val="21"/>
                    </w:rPr>
                  </w:pPr>
                  <w:r>
                    <w:rPr>
                      <w:rFonts w:hint="eastAsia"/>
                      <w:szCs w:val="21"/>
                    </w:rPr>
                    <w:t>滇池</w:t>
                  </w:r>
                </w:p>
              </w:tc>
              <w:tc>
                <w:tcPr>
                  <w:tcW w:w="800" w:type="dxa"/>
                  <w:vAlign w:val="center"/>
                </w:tcPr>
                <w:p>
                  <w:pPr>
                    <w:jc w:val="center"/>
                    <w:rPr>
                      <w:szCs w:val="21"/>
                    </w:rPr>
                  </w:pPr>
                  <w:r>
                    <w:rPr>
                      <w:rFonts w:hint="eastAsia"/>
                      <w:szCs w:val="21"/>
                    </w:rPr>
                    <w:t>NW</w:t>
                  </w:r>
                </w:p>
              </w:tc>
              <w:tc>
                <w:tcPr>
                  <w:tcW w:w="917" w:type="dxa"/>
                  <w:vAlign w:val="center"/>
                </w:tcPr>
                <w:p>
                  <w:pPr>
                    <w:jc w:val="center"/>
                    <w:rPr>
                      <w:szCs w:val="21"/>
                    </w:rPr>
                  </w:pPr>
                  <w:r>
                    <w:rPr>
                      <w:szCs w:val="21"/>
                    </w:rPr>
                    <w:t>5.05</w:t>
                  </w:r>
                  <w:r>
                    <w:rPr>
                      <w:rFonts w:hint="eastAsia"/>
                      <w:szCs w:val="21"/>
                    </w:rPr>
                    <w:t>km</w:t>
                  </w:r>
                </w:p>
              </w:tc>
              <w:tc>
                <w:tcPr>
                  <w:tcW w:w="1322" w:type="dxa"/>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576" w:type="dxa"/>
                  <w:vAlign w:val="center"/>
                </w:tcPr>
                <w:p>
                  <w:pPr>
                    <w:jc w:val="center"/>
                    <w:rPr>
                      <w:szCs w:val="21"/>
                    </w:rPr>
                  </w:pPr>
                  <w:r>
                    <w:rPr>
                      <w:rFonts w:hint="eastAsia"/>
                      <w:szCs w:val="21"/>
                    </w:rPr>
                    <w:t>10</w:t>
                  </w:r>
                </w:p>
              </w:tc>
              <w:tc>
                <w:tcPr>
                  <w:tcW w:w="1600" w:type="dxa"/>
                  <w:vMerge w:val="restart"/>
                  <w:vAlign w:val="center"/>
                </w:tcPr>
                <w:p>
                  <w:pPr>
                    <w:jc w:val="center"/>
                    <w:rPr>
                      <w:szCs w:val="21"/>
                    </w:rPr>
                  </w:pPr>
                  <w:r>
                    <w:rPr>
                      <w:rFonts w:hint="eastAsia"/>
                      <w:szCs w:val="21"/>
                    </w:rPr>
                    <w:t>声环境质量</w:t>
                  </w:r>
                </w:p>
              </w:tc>
              <w:tc>
                <w:tcPr>
                  <w:tcW w:w="2720" w:type="dxa"/>
                  <w:gridSpan w:val="2"/>
                  <w:vMerge w:val="restart"/>
                  <w:vAlign w:val="center"/>
                </w:tcPr>
                <w:p>
                  <w:pPr>
                    <w:jc w:val="center"/>
                    <w:rPr>
                      <w:szCs w:val="21"/>
                    </w:rPr>
                  </w:pPr>
                  <w:r>
                    <w:rPr>
                      <w:rFonts w:hint="eastAsia"/>
                      <w:szCs w:val="21"/>
                    </w:rPr>
                    <w:t>周边声环境</w:t>
                  </w:r>
                </w:p>
              </w:tc>
              <w:tc>
                <w:tcPr>
                  <w:tcW w:w="800" w:type="dxa"/>
                  <w:vMerge w:val="restart"/>
                  <w:vAlign w:val="center"/>
                </w:tcPr>
                <w:p>
                  <w:pPr>
                    <w:jc w:val="center"/>
                    <w:rPr>
                      <w:rFonts w:ascii="宋体" w:hAnsi="宋体" w:cs="宋体"/>
                      <w:sz w:val="24"/>
                    </w:rPr>
                  </w:pPr>
                  <w:r>
                    <w:t>/</w:t>
                  </w:r>
                </w:p>
              </w:tc>
              <w:tc>
                <w:tcPr>
                  <w:tcW w:w="917" w:type="dxa"/>
                  <w:vMerge w:val="restart"/>
                  <w:vAlign w:val="center"/>
                </w:tcPr>
                <w:p>
                  <w:pPr>
                    <w:jc w:val="center"/>
                    <w:rPr>
                      <w:szCs w:val="21"/>
                    </w:rPr>
                  </w:pPr>
                  <w:r>
                    <w:t>/</w:t>
                  </w:r>
                </w:p>
              </w:tc>
              <w:tc>
                <w:tcPr>
                  <w:tcW w:w="1322" w:type="dxa"/>
                  <w:vMerge w:val="restart"/>
                  <w:vAlign w:val="center"/>
                </w:tcPr>
                <w:p>
                  <w:pPr>
                    <w:adjustRightInd w:val="0"/>
                    <w:snapToGrid w:val="0"/>
                    <w:jc w:val="center"/>
                    <w:rPr>
                      <w:szCs w:val="21"/>
                    </w:rPr>
                  </w:pPr>
                  <w:r>
                    <w:rPr>
                      <w:szCs w:val="21"/>
                    </w:rPr>
                    <w:t>《声环境质量标准》（GB3096—2008）3类标准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trPr>
              <w:tc>
                <w:tcPr>
                  <w:tcW w:w="576" w:type="dxa"/>
                  <w:vAlign w:val="center"/>
                </w:tcPr>
                <w:p>
                  <w:pPr>
                    <w:jc w:val="center"/>
                    <w:rPr>
                      <w:szCs w:val="21"/>
                    </w:rPr>
                  </w:pPr>
                  <w:r>
                    <w:rPr>
                      <w:rFonts w:hint="eastAsia"/>
                      <w:szCs w:val="21"/>
                    </w:rPr>
                    <w:t>11</w:t>
                  </w:r>
                </w:p>
              </w:tc>
              <w:tc>
                <w:tcPr>
                  <w:tcW w:w="1600" w:type="dxa"/>
                  <w:vMerge w:val="continue"/>
                  <w:vAlign w:val="center"/>
                </w:tcPr>
                <w:p>
                  <w:pPr>
                    <w:jc w:val="center"/>
                    <w:rPr>
                      <w:szCs w:val="21"/>
                    </w:rPr>
                  </w:pPr>
                </w:p>
              </w:tc>
              <w:tc>
                <w:tcPr>
                  <w:tcW w:w="2720" w:type="dxa"/>
                  <w:gridSpan w:val="2"/>
                  <w:vMerge w:val="continue"/>
                  <w:vAlign w:val="center"/>
                </w:tcPr>
                <w:p>
                  <w:pPr>
                    <w:jc w:val="center"/>
                    <w:rPr>
                      <w:szCs w:val="21"/>
                    </w:rPr>
                  </w:pPr>
                </w:p>
              </w:tc>
              <w:tc>
                <w:tcPr>
                  <w:tcW w:w="800" w:type="dxa"/>
                  <w:vMerge w:val="continue"/>
                  <w:vAlign w:val="center"/>
                </w:tcPr>
                <w:p>
                  <w:pPr>
                    <w:jc w:val="center"/>
                    <w:rPr>
                      <w:rFonts w:ascii="宋体" w:hAnsi="宋体" w:cs="宋体"/>
                      <w:sz w:val="24"/>
                    </w:rPr>
                  </w:pPr>
                </w:p>
              </w:tc>
              <w:tc>
                <w:tcPr>
                  <w:tcW w:w="917" w:type="dxa"/>
                  <w:vMerge w:val="continue"/>
                  <w:vAlign w:val="center"/>
                </w:tcPr>
                <w:p>
                  <w:pPr>
                    <w:jc w:val="center"/>
                    <w:rPr>
                      <w:szCs w:val="21"/>
                    </w:rPr>
                  </w:pPr>
                </w:p>
              </w:tc>
              <w:tc>
                <w:tcPr>
                  <w:tcW w:w="1322" w:type="dxa"/>
                  <w:vMerge w:val="continue"/>
                  <w:vAlign w:val="center"/>
                </w:tcPr>
                <w:p>
                  <w:pPr>
                    <w:adjustRightInd w:val="0"/>
                    <w:snapToGrid w:val="0"/>
                    <w:jc w:val="center"/>
                    <w:rPr>
                      <w:szCs w:val="21"/>
                    </w:rPr>
                  </w:pPr>
                </w:p>
              </w:tc>
            </w:tr>
          </w:tbl>
          <w:p>
            <w:pPr>
              <w:adjustRightInd w:val="0"/>
              <w:snapToGrid w:val="0"/>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94" w:hRule="atLeast"/>
          <w:jc w:val="center"/>
        </w:trPr>
        <w:tc>
          <w:tcPr>
            <w:tcW w:w="800" w:type="dxa"/>
            <w:tcMar>
              <w:left w:w="28" w:type="dxa"/>
              <w:right w:w="28" w:type="dxa"/>
            </w:tcMar>
            <w:vAlign w:val="center"/>
          </w:tcPr>
          <w:p>
            <w:pPr>
              <w:adjustRightInd w:val="0"/>
              <w:snapToGrid w:val="0"/>
              <w:jc w:val="center"/>
              <w:rPr>
                <w:kern w:val="0"/>
                <w:szCs w:val="21"/>
              </w:rPr>
            </w:pPr>
            <w:r>
              <w:rPr>
                <w:kern w:val="0"/>
                <w:szCs w:val="21"/>
              </w:rPr>
              <w:t>污染</w:t>
            </w:r>
          </w:p>
          <w:p>
            <w:pPr>
              <w:adjustRightInd w:val="0"/>
              <w:snapToGrid w:val="0"/>
              <w:jc w:val="center"/>
              <w:rPr>
                <w:kern w:val="0"/>
                <w:szCs w:val="21"/>
              </w:rPr>
            </w:pPr>
            <w:r>
              <w:rPr>
                <w:kern w:val="0"/>
                <w:szCs w:val="21"/>
              </w:rPr>
              <w:t>物排</w:t>
            </w:r>
          </w:p>
          <w:p>
            <w:pPr>
              <w:adjustRightInd w:val="0"/>
              <w:snapToGrid w:val="0"/>
              <w:jc w:val="center"/>
              <w:rPr>
                <w:kern w:val="0"/>
                <w:szCs w:val="21"/>
              </w:rPr>
            </w:pPr>
            <w:r>
              <w:rPr>
                <w:kern w:val="0"/>
                <w:szCs w:val="21"/>
              </w:rPr>
              <w:t>放控</w:t>
            </w:r>
          </w:p>
          <w:p>
            <w:pPr>
              <w:adjustRightInd w:val="0"/>
              <w:snapToGrid w:val="0"/>
              <w:jc w:val="center"/>
              <w:rPr>
                <w:kern w:val="0"/>
                <w:szCs w:val="21"/>
              </w:rPr>
            </w:pPr>
            <w:r>
              <w:rPr>
                <w:kern w:val="0"/>
                <w:szCs w:val="21"/>
              </w:rPr>
              <w:t>制标</w:t>
            </w:r>
          </w:p>
          <w:p>
            <w:pPr>
              <w:adjustRightInd w:val="0"/>
              <w:snapToGrid w:val="0"/>
              <w:jc w:val="center"/>
              <w:rPr>
                <w:kern w:val="0"/>
                <w:szCs w:val="21"/>
              </w:rPr>
            </w:pPr>
            <w:r>
              <w:rPr>
                <w:kern w:val="0"/>
                <w:szCs w:val="21"/>
              </w:rPr>
              <w:t>准</w:t>
            </w:r>
          </w:p>
        </w:tc>
        <w:tc>
          <w:tcPr>
            <w:tcW w:w="8190" w:type="dxa"/>
            <w:vAlign w:val="center"/>
          </w:tcPr>
          <w:p>
            <w:pPr>
              <w:spacing w:before="120" w:beforeLines="50" w:line="360" w:lineRule="auto"/>
              <w:rPr>
                <w:b/>
                <w:bCs/>
                <w:sz w:val="24"/>
                <w:highlight w:val="yellow"/>
              </w:rPr>
            </w:pPr>
            <w:r>
              <w:rPr>
                <w:rFonts w:hint="eastAsia" w:hAnsi="宋体"/>
                <w:b/>
                <w:bCs/>
                <w:sz w:val="24"/>
              </w:rPr>
              <w:t>1、</w:t>
            </w:r>
            <w:r>
              <w:rPr>
                <w:rFonts w:hAnsi="宋体"/>
                <w:b/>
                <w:bCs/>
                <w:sz w:val="24"/>
              </w:rPr>
              <w:t>废气排放标准</w:t>
            </w:r>
          </w:p>
          <w:p>
            <w:pPr>
              <w:widowControl/>
              <w:spacing w:line="360" w:lineRule="auto"/>
              <w:ind w:firstLine="480" w:firstLineChars="200"/>
              <w:rPr>
                <w:kern w:val="0"/>
                <w:sz w:val="24"/>
              </w:rPr>
            </w:pPr>
            <w:r>
              <w:rPr>
                <w:rFonts w:hint="eastAsia"/>
                <w:kern w:val="0"/>
                <w:sz w:val="24"/>
              </w:rPr>
              <w:t>1</w:t>
            </w:r>
            <w:r>
              <w:rPr>
                <w:kern w:val="0"/>
                <w:sz w:val="24"/>
              </w:rPr>
              <w:t>.施工期</w:t>
            </w:r>
          </w:p>
          <w:p>
            <w:pPr>
              <w:widowControl/>
              <w:spacing w:line="360" w:lineRule="auto"/>
              <w:ind w:firstLine="480" w:firstLineChars="200"/>
              <w:rPr>
                <w:rFonts w:eastAsia="新宋体"/>
                <w:kern w:val="0"/>
                <w:sz w:val="24"/>
                <w:szCs w:val="21"/>
              </w:rPr>
            </w:pPr>
            <w:r>
              <w:rPr>
                <w:kern w:val="0"/>
                <w:sz w:val="24"/>
              </w:rPr>
              <w:t>施工期废气排放执行《大气污染物综合排放标准》（GB16297-1996）无组织排放监控浓度</w:t>
            </w:r>
            <w:r>
              <w:rPr>
                <w:rFonts w:hint="eastAsia"/>
                <w:kern w:val="0"/>
                <w:sz w:val="24"/>
              </w:rPr>
              <w:t>限值</w:t>
            </w:r>
            <w:r>
              <w:rPr>
                <w:kern w:val="0"/>
                <w:sz w:val="24"/>
              </w:rPr>
              <w:t>。标准值见表3-2。</w:t>
            </w:r>
          </w:p>
          <w:p>
            <w:pPr>
              <w:widowControl/>
              <w:spacing w:line="360" w:lineRule="auto"/>
              <w:ind w:firstLine="482" w:firstLineChars="200"/>
              <w:jc w:val="center"/>
              <w:rPr>
                <w:b/>
                <w:kern w:val="0"/>
                <w:sz w:val="24"/>
              </w:rPr>
            </w:pPr>
            <w:r>
              <w:rPr>
                <w:b/>
                <w:kern w:val="0"/>
                <w:sz w:val="24"/>
              </w:rPr>
              <w:t>表3-2 新污染源大气污染物排放限值</w:t>
            </w:r>
          </w:p>
          <w:tbl>
            <w:tblPr>
              <w:tblStyle w:val="44"/>
              <w:tblW w:w="68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6"/>
              <w:gridCol w:w="3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66" w:type="dxa"/>
                  <w:vAlign w:val="center"/>
                </w:tcPr>
                <w:p>
                  <w:pPr>
                    <w:widowControl/>
                    <w:jc w:val="center"/>
                    <w:rPr>
                      <w:rFonts w:hAnsi="宋体"/>
                      <w:kern w:val="0"/>
                      <w:szCs w:val="21"/>
                    </w:rPr>
                  </w:pPr>
                  <w:r>
                    <w:rPr>
                      <w:rFonts w:hAnsi="宋体"/>
                      <w:kern w:val="0"/>
                      <w:szCs w:val="21"/>
                    </w:rPr>
                    <w:t>污染物</w:t>
                  </w:r>
                </w:p>
              </w:tc>
              <w:tc>
                <w:tcPr>
                  <w:tcW w:w="3243" w:type="dxa"/>
                  <w:vAlign w:val="center"/>
                </w:tcPr>
                <w:p>
                  <w:pPr>
                    <w:widowControl/>
                    <w:jc w:val="center"/>
                    <w:rPr>
                      <w:rFonts w:hAnsi="宋体"/>
                      <w:kern w:val="0"/>
                      <w:szCs w:val="21"/>
                    </w:rPr>
                  </w:pPr>
                  <w:r>
                    <w:rPr>
                      <w:rFonts w:hAnsi="宋体"/>
                      <w:kern w:val="0"/>
                      <w:szCs w:val="21"/>
                    </w:rPr>
                    <w:t>TSP（mg/m</w:t>
                  </w:r>
                  <w:r>
                    <w:rPr>
                      <w:rFonts w:hAnsi="宋体"/>
                      <w:kern w:val="0"/>
                      <w:szCs w:val="21"/>
                      <w:vertAlign w:val="superscript"/>
                    </w:rPr>
                    <w:t>3</w:t>
                  </w:r>
                  <w:r>
                    <w:rPr>
                      <w:rFonts w:hAnsi="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66" w:type="dxa"/>
                  <w:vAlign w:val="center"/>
                </w:tcPr>
                <w:p>
                  <w:pPr>
                    <w:widowControl/>
                    <w:jc w:val="center"/>
                    <w:rPr>
                      <w:rFonts w:hAnsi="宋体"/>
                      <w:kern w:val="0"/>
                      <w:szCs w:val="21"/>
                    </w:rPr>
                  </w:pPr>
                  <w:r>
                    <w:rPr>
                      <w:rFonts w:hAnsi="宋体"/>
                      <w:kern w:val="0"/>
                      <w:szCs w:val="21"/>
                    </w:rPr>
                    <w:t>浓度限值</w:t>
                  </w:r>
                </w:p>
              </w:tc>
              <w:tc>
                <w:tcPr>
                  <w:tcW w:w="3243" w:type="dxa"/>
                  <w:vAlign w:val="center"/>
                </w:tcPr>
                <w:p>
                  <w:pPr>
                    <w:widowControl/>
                    <w:jc w:val="center"/>
                    <w:rPr>
                      <w:rFonts w:hAnsi="宋体"/>
                      <w:kern w:val="0"/>
                      <w:szCs w:val="21"/>
                    </w:rPr>
                  </w:pPr>
                  <w:r>
                    <w:rPr>
                      <w:rFonts w:hAnsi="宋体"/>
                      <w:kern w:val="0"/>
                      <w:szCs w:val="21"/>
                    </w:rPr>
                    <w:t>1.0</w:t>
                  </w:r>
                </w:p>
              </w:tc>
            </w:tr>
          </w:tbl>
          <w:p>
            <w:pPr>
              <w:spacing w:line="360" w:lineRule="auto"/>
              <w:ind w:firstLine="480" w:firstLineChars="200"/>
              <w:rPr>
                <w:rFonts w:hAnsi="宋体"/>
                <w:sz w:val="24"/>
              </w:rPr>
            </w:pPr>
            <w:r>
              <w:rPr>
                <w:rFonts w:hint="eastAsia" w:hAnsi="宋体"/>
                <w:sz w:val="24"/>
              </w:rPr>
              <w:t>2</w:t>
            </w:r>
            <w:r>
              <w:rPr>
                <w:rFonts w:hAnsi="宋体"/>
                <w:sz w:val="24"/>
              </w:rPr>
              <w:t>.运行期</w:t>
            </w:r>
          </w:p>
          <w:p>
            <w:pPr>
              <w:spacing w:line="360" w:lineRule="auto"/>
              <w:ind w:firstLine="480" w:firstLineChars="200"/>
              <w:rPr>
                <w:sz w:val="24"/>
              </w:rPr>
            </w:pPr>
            <w:r>
              <w:rPr>
                <w:rFonts w:hint="eastAsia" w:hAnsi="宋体"/>
                <w:sz w:val="24"/>
              </w:rPr>
              <w:t>项目补漆喷漆依托一期工程已建喷漆房进行</w:t>
            </w:r>
            <w:r>
              <w:rPr>
                <w:sz w:val="24"/>
              </w:rPr>
              <w:t>。喷漆废气依托一期已有处置措施（过滤棉吸附+活性炭箱，面漆喷漆房</w:t>
            </w:r>
            <w:r>
              <w:rPr>
                <w:rFonts w:hint="eastAsia"/>
                <w:sz w:val="24"/>
              </w:rPr>
              <w:t>+底漆喷漆房共设置1</w:t>
            </w:r>
            <w:r>
              <w:rPr>
                <w:sz w:val="24"/>
              </w:rPr>
              <w:t>6套），处理后通过</w:t>
            </w:r>
            <w:r>
              <w:rPr>
                <w:rFonts w:hint="eastAsia"/>
                <w:sz w:val="24"/>
              </w:rPr>
              <w:t>1</w:t>
            </w:r>
            <w:r>
              <w:rPr>
                <w:sz w:val="24"/>
              </w:rPr>
              <w:t>6根</w:t>
            </w:r>
            <w:r>
              <w:rPr>
                <w:rFonts w:hint="eastAsia"/>
                <w:sz w:val="24"/>
              </w:rPr>
              <w:t>1</w:t>
            </w:r>
            <w:r>
              <w:rPr>
                <w:sz w:val="24"/>
              </w:rPr>
              <w:t>6m高排气筒对空排放，喷漆废气执行</w:t>
            </w:r>
            <w:r>
              <w:rPr>
                <w:rFonts w:hint="eastAsia"/>
                <w:sz w:val="24"/>
              </w:rPr>
              <w:t>《大气污染物综合排放标准》（GB</w:t>
            </w:r>
            <w:r>
              <w:rPr>
                <w:sz w:val="24"/>
              </w:rPr>
              <w:t>16297-1996</w:t>
            </w:r>
            <w:r>
              <w:rPr>
                <w:rFonts w:hint="eastAsia"/>
                <w:sz w:val="24"/>
              </w:rPr>
              <w:t>）二级标准。</w:t>
            </w:r>
          </w:p>
          <w:p>
            <w:pPr>
              <w:tabs>
                <w:tab w:val="left" w:pos="6740"/>
              </w:tabs>
              <w:spacing w:line="360" w:lineRule="auto"/>
              <w:ind w:firstLine="482"/>
              <w:jc w:val="center"/>
              <w:rPr>
                <w:rFonts w:eastAsiaTheme="minorEastAsia"/>
                <w:b/>
                <w:sz w:val="24"/>
              </w:rPr>
            </w:pPr>
            <w:r>
              <w:rPr>
                <w:rFonts w:eastAsiaTheme="minorEastAsia"/>
                <w:b/>
                <w:sz w:val="24"/>
              </w:rPr>
              <w:t>表3-3废气处理设施排放口标准</w:t>
            </w:r>
          </w:p>
          <w:tbl>
            <w:tblPr>
              <w:tblStyle w:val="44"/>
              <w:tblW w:w="80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508"/>
              <w:gridCol w:w="1742"/>
              <w:gridCol w:w="1067"/>
              <w:gridCol w:w="1382"/>
              <w:gridCol w:w="2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82" w:hRule="atLeast"/>
                <w:jc w:val="center"/>
              </w:trPr>
              <w:tc>
                <w:tcPr>
                  <w:tcW w:w="1508" w:type="dxa"/>
                </w:tcPr>
                <w:p>
                  <w:pPr>
                    <w:pStyle w:val="14"/>
                    <w:ind w:firstLine="440"/>
                    <w:rPr>
                      <w:sz w:val="22"/>
                      <w:szCs w:val="22"/>
                    </w:rPr>
                  </w:pPr>
                  <w:r>
                    <w:rPr>
                      <w:rFonts w:hint="eastAsia"/>
                      <w:sz w:val="22"/>
                      <w:szCs w:val="22"/>
                    </w:rPr>
                    <w:t>污染物</w:t>
                  </w:r>
                </w:p>
              </w:tc>
              <w:tc>
                <w:tcPr>
                  <w:tcW w:w="1742" w:type="dxa"/>
                </w:tcPr>
                <w:p>
                  <w:pPr>
                    <w:pStyle w:val="14"/>
                    <w:ind w:firstLine="0" w:firstLineChars="0"/>
                    <w:rPr>
                      <w:sz w:val="22"/>
                      <w:szCs w:val="22"/>
                    </w:rPr>
                  </w:pPr>
                  <w:r>
                    <w:rPr>
                      <w:rFonts w:hint="eastAsia"/>
                      <w:sz w:val="22"/>
                      <w:szCs w:val="22"/>
                    </w:rPr>
                    <w:t>最高允许排放浓度（mg/m</w:t>
                  </w:r>
                  <w:r>
                    <w:rPr>
                      <w:rFonts w:hint="eastAsia"/>
                      <w:sz w:val="22"/>
                      <w:szCs w:val="22"/>
                      <w:vertAlign w:val="superscript"/>
                    </w:rPr>
                    <w:t>3</w:t>
                  </w:r>
                  <w:r>
                    <w:rPr>
                      <w:rFonts w:hint="eastAsia"/>
                      <w:sz w:val="22"/>
                      <w:szCs w:val="22"/>
                    </w:rPr>
                    <w:t>）</w:t>
                  </w:r>
                </w:p>
              </w:tc>
              <w:tc>
                <w:tcPr>
                  <w:tcW w:w="1067" w:type="dxa"/>
                </w:tcPr>
                <w:p>
                  <w:pPr>
                    <w:pStyle w:val="14"/>
                    <w:ind w:firstLine="0" w:firstLineChars="0"/>
                    <w:rPr>
                      <w:sz w:val="22"/>
                      <w:szCs w:val="22"/>
                    </w:rPr>
                  </w:pPr>
                  <w:r>
                    <w:rPr>
                      <w:rFonts w:hint="eastAsia"/>
                      <w:sz w:val="22"/>
                      <w:szCs w:val="22"/>
                    </w:rPr>
                    <w:t>排气筒高度（m）</w:t>
                  </w:r>
                </w:p>
              </w:tc>
              <w:tc>
                <w:tcPr>
                  <w:tcW w:w="1382" w:type="dxa"/>
                </w:tcPr>
                <w:p>
                  <w:pPr>
                    <w:pStyle w:val="14"/>
                    <w:ind w:firstLine="0" w:firstLineChars="0"/>
                    <w:rPr>
                      <w:sz w:val="22"/>
                      <w:szCs w:val="22"/>
                    </w:rPr>
                  </w:pPr>
                  <w:r>
                    <w:rPr>
                      <w:rFonts w:hint="eastAsia"/>
                      <w:sz w:val="22"/>
                      <w:szCs w:val="22"/>
                    </w:rPr>
                    <w:t>最高允许排放速率（等效）（kg/h）</w:t>
                  </w:r>
                </w:p>
              </w:tc>
              <w:tc>
                <w:tcPr>
                  <w:tcW w:w="2312" w:type="dxa"/>
                </w:tcPr>
                <w:p>
                  <w:pPr>
                    <w:pStyle w:val="14"/>
                    <w:ind w:firstLine="0" w:firstLineChars="0"/>
                    <w:rPr>
                      <w:sz w:val="22"/>
                      <w:szCs w:val="22"/>
                    </w:rPr>
                  </w:pPr>
                  <w:r>
                    <w:rPr>
                      <w:rFonts w:hint="eastAsia"/>
                      <w:sz w:val="22"/>
                      <w:szCs w:val="22"/>
                    </w:rPr>
                    <w:t>无组织排放监控浓度限值（mg/m</w:t>
                  </w:r>
                  <w:r>
                    <w:rPr>
                      <w:rFonts w:hint="eastAsia"/>
                      <w:sz w:val="22"/>
                      <w:szCs w:val="22"/>
                      <w:vertAlign w:val="superscript"/>
                    </w:rPr>
                    <w:t>3</w:t>
                  </w:r>
                  <w:r>
                    <w:rPr>
                      <w:rFonts w:hint="eastAsia"/>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41" w:hRule="atLeast"/>
                <w:jc w:val="center"/>
              </w:trPr>
              <w:tc>
                <w:tcPr>
                  <w:tcW w:w="1508" w:type="dxa"/>
                </w:tcPr>
                <w:p>
                  <w:pPr>
                    <w:pStyle w:val="14"/>
                    <w:ind w:firstLine="0" w:firstLineChars="0"/>
                    <w:rPr>
                      <w:sz w:val="22"/>
                      <w:szCs w:val="22"/>
                    </w:rPr>
                  </w:pPr>
                  <w:r>
                    <w:rPr>
                      <w:rFonts w:hint="eastAsia"/>
                      <w:sz w:val="22"/>
                      <w:szCs w:val="22"/>
                    </w:rPr>
                    <w:t>颗粒物（其他）</w:t>
                  </w:r>
                </w:p>
              </w:tc>
              <w:tc>
                <w:tcPr>
                  <w:tcW w:w="1742" w:type="dxa"/>
                </w:tcPr>
                <w:p>
                  <w:pPr>
                    <w:pStyle w:val="14"/>
                    <w:ind w:firstLine="440"/>
                    <w:rPr>
                      <w:sz w:val="22"/>
                      <w:szCs w:val="22"/>
                    </w:rPr>
                  </w:pPr>
                  <w:r>
                    <w:rPr>
                      <w:rFonts w:hint="eastAsia"/>
                      <w:sz w:val="22"/>
                      <w:szCs w:val="22"/>
                    </w:rPr>
                    <w:t>120</w:t>
                  </w:r>
                </w:p>
              </w:tc>
              <w:tc>
                <w:tcPr>
                  <w:tcW w:w="1067" w:type="dxa"/>
                </w:tcPr>
                <w:p>
                  <w:pPr>
                    <w:pStyle w:val="14"/>
                    <w:ind w:firstLine="440"/>
                    <w:rPr>
                      <w:sz w:val="22"/>
                      <w:szCs w:val="22"/>
                    </w:rPr>
                  </w:pPr>
                  <w:r>
                    <w:rPr>
                      <w:rFonts w:hint="eastAsia"/>
                      <w:sz w:val="22"/>
                      <w:szCs w:val="22"/>
                    </w:rPr>
                    <w:t>16</w:t>
                  </w:r>
                </w:p>
              </w:tc>
              <w:tc>
                <w:tcPr>
                  <w:tcW w:w="1382" w:type="dxa"/>
                </w:tcPr>
                <w:p>
                  <w:pPr>
                    <w:pStyle w:val="14"/>
                    <w:ind w:firstLine="440"/>
                    <w:rPr>
                      <w:sz w:val="22"/>
                      <w:szCs w:val="22"/>
                    </w:rPr>
                  </w:pPr>
                  <w:r>
                    <w:rPr>
                      <w:sz w:val="22"/>
                      <w:szCs w:val="22"/>
                    </w:rPr>
                    <w:t>3.98</w:t>
                  </w:r>
                </w:p>
              </w:tc>
              <w:tc>
                <w:tcPr>
                  <w:tcW w:w="2312" w:type="dxa"/>
                </w:tcPr>
                <w:p>
                  <w:pPr>
                    <w:pStyle w:val="14"/>
                    <w:ind w:firstLine="0" w:firstLineChars="0"/>
                    <w:rPr>
                      <w:sz w:val="22"/>
                      <w:szCs w:val="22"/>
                    </w:rPr>
                  </w:pPr>
                  <w:r>
                    <w:rPr>
                      <w:rFonts w:hint="eastAsia"/>
                      <w:sz w:val="22"/>
                      <w:szCs w:val="22"/>
                    </w:rPr>
                    <w:t>周界外浓度最高点1.0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41" w:hRule="atLeast"/>
                <w:jc w:val="center"/>
              </w:trPr>
              <w:tc>
                <w:tcPr>
                  <w:tcW w:w="1508" w:type="dxa"/>
                </w:tcPr>
                <w:p>
                  <w:pPr>
                    <w:pStyle w:val="14"/>
                    <w:ind w:firstLine="0" w:firstLineChars="0"/>
                    <w:rPr>
                      <w:sz w:val="22"/>
                      <w:szCs w:val="22"/>
                    </w:rPr>
                  </w:pPr>
                  <w:r>
                    <w:rPr>
                      <w:rFonts w:hint="eastAsia"/>
                      <w:sz w:val="22"/>
                      <w:szCs w:val="22"/>
                    </w:rPr>
                    <w:t>非甲烷总烃</w:t>
                  </w:r>
                </w:p>
              </w:tc>
              <w:tc>
                <w:tcPr>
                  <w:tcW w:w="1742" w:type="dxa"/>
                </w:tcPr>
                <w:p>
                  <w:pPr>
                    <w:pStyle w:val="14"/>
                    <w:ind w:firstLine="440"/>
                    <w:rPr>
                      <w:sz w:val="22"/>
                      <w:szCs w:val="22"/>
                    </w:rPr>
                  </w:pPr>
                  <w:r>
                    <w:rPr>
                      <w:rFonts w:hint="eastAsia"/>
                      <w:sz w:val="22"/>
                      <w:szCs w:val="22"/>
                    </w:rPr>
                    <w:t>12</w:t>
                  </w:r>
                  <w:r>
                    <w:rPr>
                      <w:sz w:val="22"/>
                      <w:szCs w:val="22"/>
                    </w:rPr>
                    <w:t>0</w:t>
                  </w:r>
                </w:p>
              </w:tc>
              <w:tc>
                <w:tcPr>
                  <w:tcW w:w="1067" w:type="dxa"/>
                </w:tcPr>
                <w:p>
                  <w:pPr>
                    <w:pStyle w:val="14"/>
                    <w:ind w:firstLine="440"/>
                    <w:rPr>
                      <w:sz w:val="22"/>
                      <w:szCs w:val="22"/>
                    </w:rPr>
                  </w:pPr>
                  <w:r>
                    <w:rPr>
                      <w:rFonts w:hint="eastAsia"/>
                      <w:sz w:val="22"/>
                      <w:szCs w:val="22"/>
                    </w:rPr>
                    <w:t>1</w:t>
                  </w:r>
                  <w:r>
                    <w:rPr>
                      <w:sz w:val="22"/>
                      <w:szCs w:val="22"/>
                    </w:rPr>
                    <w:t>6</w:t>
                  </w:r>
                </w:p>
              </w:tc>
              <w:tc>
                <w:tcPr>
                  <w:tcW w:w="1382" w:type="dxa"/>
                </w:tcPr>
                <w:p>
                  <w:pPr>
                    <w:pStyle w:val="14"/>
                    <w:ind w:firstLine="440"/>
                    <w:rPr>
                      <w:sz w:val="22"/>
                      <w:szCs w:val="22"/>
                    </w:rPr>
                  </w:pPr>
                  <w:r>
                    <w:rPr>
                      <w:sz w:val="22"/>
                      <w:szCs w:val="22"/>
                    </w:rPr>
                    <w:t>11.4</w:t>
                  </w:r>
                </w:p>
              </w:tc>
              <w:tc>
                <w:tcPr>
                  <w:tcW w:w="2312" w:type="dxa"/>
                </w:tcPr>
                <w:p>
                  <w:pPr>
                    <w:pStyle w:val="14"/>
                    <w:ind w:firstLine="0" w:firstLineChars="0"/>
                    <w:rPr>
                      <w:sz w:val="22"/>
                      <w:szCs w:val="22"/>
                    </w:rPr>
                  </w:pPr>
                  <w:r>
                    <w:rPr>
                      <w:rFonts w:hint="eastAsia"/>
                      <w:sz w:val="22"/>
                      <w:szCs w:val="22"/>
                    </w:rPr>
                    <w:t>周界外浓度最高点4</w:t>
                  </w:r>
                  <w:r>
                    <w:rPr>
                      <w:sz w:val="22"/>
                      <w:szCs w:val="22"/>
                    </w:rPr>
                    <w:t>.0</w:t>
                  </w:r>
                </w:p>
              </w:tc>
            </w:tr>
          </w:tbl>
          <w:p>
            <w:pPr>
              <w:spacing w:line="360" w:lineRule="auto"/>
              <w:ind w:firstLine="480" w:firstLineChars="200"/>
              <w:rPr>
                <w:sz w:val="24"/>
              </w:rPr>
            </w:pPr>
            <w:r>
              <w:rPr>
                <w:sz w:val="24"/>
              </w:rPr>
              <w:t>项目无组织挥发性有机物执行</w:t>
            </w:r>
            <w:r>
              <w:rPr>
                <w:rFonts w:hint="eastAsia"/>
                <w:sz w:val="24"/>
              </w:rPr>
              <w:t>挥发性有机物无组织排放控制标准（GB 37822—2019）无组织排放限值。</w:t>
            </w:r>
          </w:p>
          <w:p>
            <w:pPr>
              <w:tabs>
                <w:tab w:val="left" w:pos="6740"/>
              </w:tabs>
              <w:spacing w:line="360" w:lineRule="auto"/>
              <w:ind w:firstLine="482"/>
              <w:jc w:val="center"/>
              <w:rPr>
                <w:rFonts w:eastAsiaTheme="minorEastAsia"/>
                <w:b/>
                <w:sz w:val="24"/>
              </w:rPr>
            </w:pPr>
            <w:r>
              <w:rPr>
                <w:rFonts w:eastAsiaTheme="minorEastAsia"/>
                <w:b/>
                <w:sz w:val="24"/>
              </w:rPr>
              <w:t xml:space="preserve">表3-4  </w:t>
            </w:r>
            <w:r>
              <w:rPr>
                <w:rFonts w:hint="eastAsia" w:eastAsiaTheme="minorEastAsia"/>
                <w:b/>
                <w:sz w:val="24"/>
              </w:rPr>
              <w:t>无组织排放</w:t>
            </w:r>
            <w:r>
              <w:rPr>
                <w:rFonts w:eastAsiaTheme="minorEastAsia"/>
                <w:b/>
                <w:sz w:val="24"/>
              </w:rPr>
              <w:t>标准</w:t>
            </w:r>
          </w:p>
          <w:tbl>
            <w:tblPr>
              <w:tblStyle w:val="44"/>
              <w:tblW w:w="56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508"/>
              <w:gridCol w:w="1742"/>
              <w:gridCol w:w="1067"/>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24" w:hRule="atLeast"/>
                <w:jc w:val="center"/>
              </w:trPr>
              <w:tc>
                <w:tcPr>
                  <w:tcW w:w="1508" w:type="dxa"/>
                </w:tcPr>
                <w:p>
                  <w:pPr>
                    <w:pStyle w:val="14"/>
                    <w:ind w:firstLine="440"/>
                    <w:rPr>
                      <w:sz w:val="22"/>
                      <w:szCs w:val="22"/>
                    </w:rPr>
                  </w:pPr>
                  <w:r>
                    <w:rPr>
                      <w:rFonts w:hint="eastAsia"/>
                      <w:sz w:val="22"/>
                      <w:szCs w:val="22"/>
                    </w:rPr>
                    <w:t>污染物</w:t>
                  </w:r>
                </w:p>
              </w:tc>
              <w:tc>
                <w:tcPr>
                  <w:tcW w:w="1742" w:type="dxa"/>
                </w:tcPr>
                <w:p>
                  <w:pPr>
                    <w:pStyle w:val="14"/>
                    <w:ind w:firstLine="0" w:firstLineChars="0"/>
                    <w:rPr>
                      <w:sz w:val="22"/>
                      <w:szCs w:val="22"/>
                    </w:rPr>
                  </w:pPr>
                  <w:r>
                    <w:rPr>
                      <w:rFonts w:hint="eastAsia"/>
                      <w:sz w:val="22"/>
                      <w:szCs w:val="22"/>
                    </w:rPr>
                    <w:t>排放限值（mg</w:t>
                  </w:r>
                  <w:r>
                    <w:rPr>
                      <w:sz w:val="22"/>
                      <w:szCs w:val="22"/>
                    </w:rPr>
                    <w:t>/m³</w:t>
                  </w:r>
                  <w:r>
                    <w:rPr>
                      <w:rFonts w:hint="eastAsia"/>
                      <w:sz w:val="22"/>
                      <w:szCs w:val="22"/>
                    </w:rPr>
                    <w:t>）</w:t>
                  </w:r>
                </w:p>
              </w:tc>
              <w:tc>
                <w:tcPr>
                  <w:tcW w:w="1067" w:type="dxa"/>
                </w:tcPr>
                <w:p>
                  <w:pPr>
                    <w:pStyle w:val="14"/>
                    <w:ind w:firstLine="0" w:firstLineChars="0"/>
                    <w:rPr>
                      <w:sz w:val="22"/>
                      <w:szCs w:val="22"/>
                    </w:rPr>
                  </w:pPr>
                  <w:r>
                    <w:rPr>
                      <w:rFonts w:hint="eastAsia"/>
                      <w:sz w:val="22"/>
                      <w:szCs w:val="22"/>
                    </w:rPr>
                    <w:t>特别排放限值</w:t>
                  </w:r>
                </w:p>
              </w:tc>
              <w:tc>
                <w:tcPr>
                  <w:tcW w:w="1382" w:type="dxa"/>
                </w:tcPr>
                <w:p>
                  <w:pPr>
                    <w:pStyle w:val="14"/>
                    <w:ind w:firstLine="0" w:firstLineChars="0"/>
                    <w:rPr>
                      <w:sz w:val="22"/>
                      <w:szCs w:val="22"/>
                    </w:rPr>
                  </w:pPr>
                  <w:r>
                    <w:rPr>
                      <w:rFonts w:hint="eastAsia"/>
                      <w:sz w:val="22"/>
                      <w:szCs w:val="22"/>
                    </w:rPr>
                    <w:t>限值含义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41" w:hRule="atLeast"/>
                <w:jc w:val="center"/>
              </w:trPr>
              <w:tc>
                <w:tcPr>
                  <w:tcW w:w="1508" w:type="dxa"/>
                  <w:vMerge w:val="restart"/>
                </w:tcPr>
                <w:p>
                  <w:pPr>
                    <w:pStyle w:val="14"/>
                    <w:ind w:firstLine="418" w:firstLineChars="190"/>
                    <w:rPr>
                      <w:sz w:val="22"/>
                      <w:szCs w:val="22"/>
                    </w:rPr>
                  </w:pPr>
                  <w:r>
                    <w:rPr>
                      <w:rFonts w:hint="eastAsia"/>
                      <w:sz w:val="22"/>
                      <w:szCs w:val="22"/>
                    </w:rPr>
                    <w:t>NMHC</w:t>
                  </w:r>
                </w:p>
              </w:tc>
              <w:tc>
                <w:tcPr>
                  <w:tcW w:w="1742" w:type="dxa"/>
                </w:tcPr>
                <w:p>
                  <w:pPr>
                    <w:pStyle w:val="14"/>
                    <w:ind w:firstLine="440"/>
                    <w:rPr>
                      <w:sz w:val="22"/>
                      <w:szCs w:val="22"/>
                    </w:rPr>
                  </w:pPr>
                  <w:r>
                    <w:rPr>
                      <w:rFonts w:hint="eastAsia"/>
                      <w:sz w:val="22"/>
                      <w:szCs w:val="22"/>
                    </w:rPr>
                    <w:t>1</w:t>
                  </w:r>
                  <w:r>
                    <w:rPr>
                      <w:sz w:val="22"/>
                      <w:szCs w:val="22"/>
                    </w:rPr>
                    <w:t>0</w:t>
                  </w:r>
                </w:p>
              </w:tc>
              <w:tc>
                <w:tcPr>
                  <w:tcW w:w="1067" w:type="dxa"/>
                </w:tcPr>
                <w:p>
                  <w:pPr>
                    <w:pStyle w:val="14"/>
                    <w:ind w:firstLine="440"/>
                    <w:rPr>
                      <w:sz w:val="22"/>
                      <w:szCs w:val="22"/>
                    </w:rPr>
                  </w:pPr>
                  <w:r>
                    <w:rPr>
                      <w:rFonts w:hint="eastAsia"/>
                      <w:sz w:val="22"/>
                      <w:szCs w:val="22"/>
                    </w:rPr>
                    <w:t>6</w:t>
                  </w:r>
                </w:p>
              </w:tc>
              <w:tc>
                <w:tcPr>
                  <w:tcW w:w="1382" w:type="dxa"/>
                </w:tcPr>
                <w:p>
                  <w:pPr>
                    <w:pStyle w:val="14"/>
                    <w:ind w:firstLine="0" w:firstLineChars="0"/>
                    <w:rPr>
                      <w:sz w:val="22"/>
                      <w:szCs w:val="22"/>
                    </w:rPr>
                  </w:pPr>
                  <w:r>
                    <w:rPr>
                      <w:rFonts w:hint="eastAsia"/>
                      <w:sz w:val="22"/>
                      <w:szCs w:val="22"/>
                    </w:rPr>
                    <w:t>监控点1h平均浓度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70" w:hRule="atLeast"/>
                <w:jc w:val="center"/>
              </w:trPr>
              <w:tc>
                <w:tcPr>
                  <w:tcW w:w="1508" w:type="dxa"/>
                  <w:vMerge w:val="continue"/>
                </w:tcPr>
                <w:p>
                  <w:pPr>
                    <w:pStyle w:val="14"/>
                    <w:ind w:firstLine="418" w:firstLineChars="190"/>
                    <w:rPr>
                      <w:sz w:val="22"/>
                      <w:szCs w:val="22"/>
                    </w:rPr>
                  </w:pPr>
                </w:p>
              </w:tc>
              <w:tc>
                <w:tcPr>
                  <w:tcW w:w="1742" w:type="dxa"/>
                </w:tcPr>
                <w:p>
                  <w:pPr>
                    <w:pStyle w:val="14"/>
                    <w:ind w:firstLine="440"/>
                    <w:rPr>
                      <w:sz w:val="22"/>
                      <w:szCs w:val="22"/>
                    </w:rPr>
                  </w:pPr>
                  <w:r>
                    <w:rPr>
                      <w:rFonts w:hint="eastAsia"/>
                      <w:sz w:val="22"/>
                      <w:szCs w:val="22"/>
                    </w:rPr>
                    <w:t>3</w:t>
                  </w:r>
                  <w:r>
                    <w:rPr>
                      <w:sz w:val="22"/>
                      <w:szCs w:val="22"/>
                    </w:rPr>
                    <w:t>0</w:t>
                  </w:r>
                </w:p>
              </w:tc>
              <w:tc>
                <w:tcPr>
                  <w:tcW w:w="1067" w:type="dxa"/>
                </w:tcPr>
                <w:p>
                  <w:pPr>
                    <w:pStyle w:val="14"/>
                    <w:ind w:firstLine="440"/>
                    <w:rPr>
                      <w:sz w:val="22"/>
                      <w:szCs w:val="22"/>
                    </w:rPr>
                  </w:pPr>
                  <w:r>
                    <w:rPr>
                      <w:rFonts w:hint="eastAsia"/>
                      <w:sz w:val="22"/>
                      <w:szCs w:val="22"/>
                    </w:rPr>
                    <w:t>2</w:t>
                  </w:r>
                  <w:r>
                    <w:rPr>
                      <w:sz w:val="22"/>
                      <w:szCs w:val="22"/>
                    </w:rPr>
                    <w:t>0</w:t>
                  </w:r>
                </w:p>
              </w:tc>
              <w:tc>
                <w:tcPr>
                  <w:tcW w:w="1382" w:type="dxa"/>
                </w:tcPr>
                <w:p>
                  <w:pPr>
                    <w:pStyle w:val="14"/>
                    <w:ind w:firstLine="0" w:firstLineChars="0"/>
                    <w:rPr>
                      <w:sz w:val="22"/>
                      <w:szCs w:val="22"/>
                    </w:rPr>
                  </w:pPr>
                  <w:r>
                    <w:rPr>
                      <w:rFonts w:hint="eastAsia"/>
                      <w:sz w:val="22"/>
                      <w:szCs w:val="22"/>
                    </w:rPr>
                    <w:t>监控点任意一次浓度值</w:t>
                  </w:r>
                </w:p>
              </w:tc>
            </w:tr>
          </w:tbl>
          <w:p>
            <w:pPr>
              <w:widowControl/>
              <w:spacing w:line="360" w:lineRule="auto"/>
              <w:ind w:firstLine="480" w:firstLineChars="200"/>
              <w:rPr>
                <w:bCs/>
                <w:kern w:val="0"/>
                <w:sz w:val="24"/>
              </w:rPr>
            </w:pPr>
            <w:r>
              <w:rPr>
                <w:rFonts w:hint="eastAsia"/>
                <w:kern w:val="0"/>
                <w:sz w:val="24"/>
              </w:rPr>
              <w:t>运营期餐饮油烟</w:t>
            </w:r>
            <w:r>
              <w:rPr>
                <w:rFonts w:hint="eastAsia"/>
                <w:bCs/>
                <w:kern w:val="0"/>
                <w:sz w:val="24"/>
              </w:rPr>
              <w:t>执行《饮食业油烟排放标准》（GB18483-2001）。本项目餐饮为食堂，共设置</w:t>
            </w:r>
            <w:r>
              <w:rPr>
                <w:bCs/>
                <w:kern w:val="0"/>
                <w:sz w:val="24"/>
              </w:rPr>
              <w:t>1</w:t>
            </w:r>
            <w:r>
              <w:rPr>
                <w:rFonts w:hint="eastAsia"/>
                <w:bCs/>
                <w:kern w:val="0"/>
                <w:sz w:val="24"/>
              </w:rPr>
              <w:t>个厨房，厨房灶头数均为</w:t>
            </w:r>
            <w:r>
              <w:rPr>
                <w:bCs/>
                <w:kern w:val="0"/>
                <w:sz w:val="24"/>
              </w:rPr>
              <w:t>6</w:t>
            </w:r>
            <w:r>
              <w:rPr>
                <w:rFonts w:hint="eastAsia"/>
                <w:bCs/>
                <w:kern w:val="0"/>
                <w:sz w:val="24"/>
              </w:rPr>
              <w:t>个，划分为大型。标准值见表</w:t>
            </w:r>
            <w:r>
              <w:rPr>
                <w:bCs/>
                <w:kern w:val="0"/>
                <w:sz w:val="24"/>
              </w:rPr>
              <w:t>3</w:t>
            </w:r>
            <w:r>
              <w:rPr>
                <w:rFonts w:hint="eastAsia"/>
                <w:bCs/>
                <w:kern w:val="0"/>
                <w:sz w:val="24"/>
              </w:rPr>
              <w:t>-</w:t>
            </w:r>
            <w:r>
              <w:rPr>
                <w:bCs/>
                <w:kern w:val="0"/>
                <w:sz w:val="24"/>
              </w:rPr>
              <w:t>5</w:t>
            </w:r>
            <w:r>
              <w:rPr>
                <w:rFonts w:hint="eastAsia"/>
                <w:bCs/>
                <w:kern w:val="0"/>
                <w:sz w:val="24"/>
              </w:rPr>
              <w:t>。</w:t>
            </w:r>
          </w:p>
          <w:p>
            <w:pPr>
              <w:spacing w:before="120" w:beforeLines="50" w:after="120" w:afterLines="50"/>
              <w:ind w:firstLine="482" w:firstLineChars="200"/>
              <w:jc w:val="center"/>
              <w:rPr>
                <w:b/>
                <w:sz w:val="24"/>
              </w:rPr>
            </w:pPr>
            <w:r>
              <w:rPr>
                <w:b/>
                <w:sz w:val="24"/>
              </w:rPr>
              <w:t>表3-5饮食业单位的规模划分参数</w:t>
            </w:r>
            <w:r>
              <w:rPr>
                <w:rFonts w:hint="eastAsia"/>
                <w:b/>
                <w:sz w:val="24"/>
              </w:rPr>
              <w:t>及油烟最低去除率</w:t>
            </w:r>
          </w:p>
          <w:tbl>
            <w:tblPr>
              <w:tblStyle w:val="44"/>
              <w:tblW w:w="7964"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566"/>
              <w:gridCol w:w="1981"/>
              <w:gridCol w:w="1880"/>
              <w:gridCol w:w="153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trPr>
              <w:tc>
                <w:tcPr>
                  <w:tcW w:w="2566" w:type="dxa"/>
                  <w:vAlign w:val="center"/>
                </w:tcPr>
                <w:p>
                  <w:pPr>
                    <w:widowControl/>
                    <w:jc w:val="center"/>
                    <w:rPr>
                      <w:rFonts w:hAnsi="宋体"/>
                      <w:kern w:val="0"/>
                      <w:szCs w:val="21"/>
                    </w:rPr>
                  </w:pPr>
                  <w:r>
                    <w:rPr>
                      <w:rFonts w:hAnsi="宋体"/>
                      <w:kern w:val="0"/>
                      <w:szCs w:val="21"/>
                    </w:rPr>
                    <w:t>规模</w:t>
                  </w:r>
                </w:p>
              </w:tc>
              <w:tc>
                <w:tcPr>
                  <w:tcW w:w="1981" w:type="dxa"/>
                  <w:vAlign w:val="center"/>
                </w:tcPr>
                <w:p>
                  <w:pPr>
                    <w:widowControl/>
                    <w:jc w:val="center"/>
                    <w:rPr>
                      <w:rFonts w:hAnsi="宋体"/>
                      <w:kern w:val="0"/>
                      <w:szCs w:val="21"/>
                    </w:rPr>
                  </w:pPr>
                  <w:r>
                    <w:rPr>
                      <w:rFonts w:hAnsi="宋体"/>
                      <w:kern w:val="0"/>
                      <w:szCs w:val="21"/>
                    </w:rPr>
                    <w:t>小型</w:t>
                  </w:r>
                </w:p>
              </w:tc>
              <w:tc>
                <w:tcPr>
                  <w:tcW w:w="1880" w:type="dxa"/>
                  <w:vAlign w:val="center"/>
                </w:tcPr>
                <w:p>
                  <w:pPr>
                    <w:widowControl/>
                    <w:jc w:val="center"/>
                    <w:rPr>
                      <w:rFonts w:hAnsi="宋体"/>
                      <w:kern w:val="0"/>
                      <w:szCs w:val="21"/>
                    </w:rPr>
                  </w:pPr>
                  <w:r>
                    <w:rPr>
                      <w:rFonts w:hAnsi="宋体"/>
                      <w:kern w:val="0"/>
                      <w:szCs w:val="21"/>
                    </w:rPr>
                    <w:t>中型</w:t>
                  </w:r>
                </w:p>
              </w:tc>
              <w:tc>
                <w:tcPr>
                  <w:tcW w:w="1537" w:type="dxa"/>
                  <w:vAlign w:val="center"/>
                </w:tcPr>
                <w:p>
                  <w:pPr>
                    <w:widowControl/>
                    <w:jc w:val="center"/>
                    <w:rPr>
                      <w:rFonts w:hAnsi="宋体"/>
                      <w:kern w:val="0"/>
                      <w:szCs w:val="21"/>
                    </w:rPr>
                  </w:pPr>
                  <w:r>
                    <w:rPr>
                      <w:rFonts w:hAnsi="宋体"/>
                      <w:kern w:val="0"/>
                      <w:szCs w:val="21"/>
                    </w:rPr>
                    <w:t>大型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trPr>
              <w:tc>
                <w:tcPr>
                  <w:tcW w:w="2566" w:type="dxa"/>
                  <w:vAlign w:val="center"/>
                </w:tcPr>
                <w:p>
                  <w:pPr>
                    <w:widowControl/>
                    <w:jc w:val="center"/>
                    <w:rPr>
                      <w:rFonts w:hAnsi="宋体"/>
                      <w:kern w:val="0"/>
                      <w:szCs w:val="21"/>
                    </w:rPr>
                  </w:pPr>
                  <w:r>
                    <w:rPr>
                      <w:rFonts w:hAnsi="宋体"/>
                      <w:kern w:val="0"/>
                      <w:szCs w:val="21"/>
                    </w:rPr>
                    <w:t>基准灶头数</w:t>
                  </w:r>
                </w:p>
              </w:tc>
              <w:tc>
                <w:tcPr>
                  <w:tcW w:w="1981" w:type="dxa"/>
                  <w:vAlign w:val="center"/>
                </w:tcPr>
                <w:p>
                  <w:pPr>
                    <w:widowControl/>
                    <w:jc w:val="center"/>
                    <w:rPr>
                      <w:rFonts w:hAnsi="宋体"/>
                      <w:kern w:val="0"/>
                      <w:szCs w:val="21"/>
                    </w:rPr>
                  </w:pPr>
                  <w:r>
                    <w:rPr>
                      <w:rFonts w:hAnsi="宋体"/>
                      <w:kern w:val="0"/>
                      <w:szCs w:val="21"/>
                    </w:rPr>
                    <w:t>≥1，&lt;3</w:t>
                  </w:r>
                </w:p>
              </w:tc>
              <w:tc>
                <w:tcPr>
                  <w:tcW w:w="1880" w:type="dxa"/>
                  <w:vAlign w:val="center"/>
                </w:tcPr>
                <w:p>
                  <w:pPr>
                    <w:widowControl/>
                    <w:jc w:val="center"/>
                    <w:rPr>
                      <w:rFonts w:hAnsi="宋体"/>
                      <w:kern w:val="0"/>
                      <w:szCs w:val="21"/>
                    </w:rPr>
                  </w:pPr>
                  <w:r>
                    <w:rPr>
                      <w:rFonts w:hAnsi="宋体"/>
                      <w:kern w:val="0"/>
                      <w:szCs w:val="21"/>
                    </w:rPr>
                    <w:t>≥ 3，&lt;6</w:t>
                  </w:r>
                </w:p>
              </w:tc>
              <w:tc>
                <w:tcPr>
                  <w:tcW w:w="1537" w:type="dxa"/>
                  <w:vAlign w:val="center"/>
                </w:tcPr>
                <w:p>
                  <w:pPr>
                    <w:widowControl/>
                    <w:jc w:val="center"/>
                    <w:rPr>
                      <w:rFonts w:hAnsi="宋体"/>
                      <w:kern w:val="0"/>
                      <w:szCs w:val="21"/>
                    </w:rPr>
                  </w:pPr>
                  <w:r>
                    <w:rPr>
                      <w:rFonts w:hAnsi="宋体"/>
                      <w:kern w:val="0"/>
                      <w:szCs w:val="21"/>
                    </w:rPr>
                    <w:t>≥ 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trPr>
              <w:tc>
                <w:tcPr>
                  <w:tcW w:w="2566" w:type="dxa"/>
                  <w:vAlign w:val="center"/>
                </w:tcPr>
                <w:p>
                  <w:pPr>
                    <w:widowControl/>
                    <w:jc w:val="center"/>
                    <w:rPr>
                      <w:rFonts w:hAnsi="宋体"/>
                      <w:kern w:val="0"/>
                      <w:szCs w:val="21"/>
                    </w:rPr>
                  </w:pPr>
                  <w:r>
                    <w:rPr>
                      <w:rFonts w:hAnsi="宋体"/>
                      <w:kern w:val="0"/>
                      <w:szCs w:val="21"/>
                    </w:rPr>
                    <w:t>对应灶头总功率（106J/h）</w:t>
                  </w:r>
                </w:p>
              </w:tc>
              <w:tc>
                <w:tcPr>
                  <w:tcW w:w="1981" w:type="dxa"/>
                  <w:vAlign w:val="center"/>
                </w:tcPr>
                <w:p>
                  <w:pPr>
                    <w:widowControl/>
                    <w:jc w:val="center"/>
                    <w:rPr>
                      <w:rFonts w:hAnsi="宋体"/>
                      <w:kern w:val="0"/>
                      <w:szCs w:val="21"/>
                    </w:rPr>
                  </w:pPr>
                  <w:r>
                    <w:rPr>
                      <w:rFonts w:hAnsi="宋体"/>
                      <w:kern w:val="0"/>
                      <w:szCs w:val="21"/>
                    </w:rPr>
                    <w:t>≥1.67 ，&lt; 5.00</w:t>
                  </w:r>
                </w:p>
              </w:tc>
              <w:tc>
                <w:tcPr>
                  <w:tcW w:w="1880" w:type="dxa"/>
                  <w:vAlign w:val="center"/>
                </w:tcPr>
                <w:p>
                  <w:pPr>
                    <w:widowControl/>
                    <w:jc w:val="center"/>
                    <w:rPr>
                      <w:rFonts w:hAnsi="宋体"/>
                      <w:kern w:val="0"/>
                      <w:szCs w:val="21"/>
                    </w:rPr>
                  </w:pPr>
                  <w:r>
                    <w:rPr>
                      <w:rFonts w:hAnsi="宋体"/>
                      <w:kern w:val="0"/>
                      <w:szCs w:val="21"/>
                    </w:rPr>
                    <w:t>≥5.00，&lt;10</w:t>
                  </w:r>
                </w:p>
              </w:tc>
              <w:tc>
                <w:tcPr>
                  <w:tcW w:w="1537" w:type="dxa"/>
                  <w:vAlign w:val="center"/>
                </w:tcPr>
                <w:p>
                  <w:pPr>
                    <w:widowControl/>
                    <w:jc w:val="center"/>
                    <w:rPr>
                      <w:rFonts w:hAnsi="宋体"/>
                      <w:kern w:val="0"/>
                      <w:szCs w:val="21"/>
                    </w:rPr>
                  </w:pPr>
                  <w:r>
                    <w:rPr>
                      <w:rFonts w:hAnsi="宋体"/>
                      <w:kern w:val="0"/>
                      <w:szCs w:val="21"/>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trPr>
              <w:tc>
                <w:tcPr>
                  <w:tcW w:w="2566" w:type="dxa"/>
                  <w:vAlign w:val="center"/>
                </w:tcPr>
                <w:p>
                  <w:pPr>
                    <w:widowControl/>
                    <w:jc w:val="center"/>
                    <w:rPr>
                      <w:rFonts w:hAnsi="宋体"/>
                      <w:kern w:val="0"/>
                      <w:szCs w:val="21"/>
                    </w:rPr>
                  </w:pPr>
                  <w:r>
                    <w:rPr>
                      <w:rFonts w:hAnsi="宋体"/>
                      <w:kern w:val="0"/>
                      <w:szCs w:val="21"/>
                    </w:rPr>
                    <w:t>对应排气罩总投影面积（m</w:t>
                  </w:r>
                  <w:r>
                    <w:rPr>
                      <w:rFonts w:hAnsi="宋体"/>
                      <w:kern w:val="0"/>
                      <w:szCs w:val="21"/>
                      <w:vertAlign w:val="superscript"/>
                    </w:rPr>
                    <w:t>2</w:t>
                  </w:r>
                  <w:r>
                    <w:rPr>
                      <w:rFonts w:hAnsi="宋体"/>
                      <w:kern w:val="0"/>
                      <w:szCs w:val="21"/>
                    </w:rPr>
                    <w:t>）</w:t>
                  </w:r>
                </w:p>
              </w:tc>
              <w:tc>
                <w:tcPr>
                  <w:tcW w:w="1981" w:type="dxa"/>
                  <w:vAlign w:val="center"/>
                </w:tcPr>
                <w:p>
                  <w:pPr>
                    <w:widowControl/>
                    <w:jc w:val="center"/>
                    <w:rPr>
                      <w:rFonts w:hAnsi="宋体"/>
                      <w:kern w:val="0"/>
                      <w:szCs w:val="21"/>
                    </w:rPr>
                  </w:pPr>
                  <w:r>
                    <w:rPr>
                      <w:rFonts w:hAnsi="宋体"/>
                      <w:kern w:val="0"/>
                      <w:szCs w:val="21"/>
                    </w:rPr>
                    <w:t>≥1.1，&lt;3.3</w:t>
                  </w:r>
                </w:p>
              </w:tc>
              <w:tc>
                <w:tcPr>
                  <w:tcW w:w="1880" w:type="dxa"/>
                  <w:vAlign w:val="center"/>
                </w:tcPr>
                <w:p>
                  <w:pPr>
                    <w:widowControl/>
                    <w:jc w:val="center"/>
                    <w:rPr>
                      <w:rFonts w:hAnsi="宋体"/>
                      <w:kern w:val="0"/>
                      <w:szCs w:val="21"/>
                    </w:rPr>
                  </w:pPr>
                  <w:r>
                    <w:rPr>
                      <w:rFonts w:hAnsi="宋体"/>
                      <w:kern w:val="0"/>
                      <w:szCs w:val="21"/>
                    </w:rPr>
                    <w:t>≥3.3，&lt;6.6</w:t>
                  </w:r>
                </w:p>
              </w:tc>
              <w:tc>
                <w:tcPr>
                  <w:tcW w:w="1537" w:type="dxa"/>
                  <w:vAlign w:val="center"/>
                </w:tcPr>
                <w:p>
                  <w:pPr>
                    <w:widowControl/>
                    <w:jc w:val="center"/>
                    <w:rPr>
                      <w:rFonts w:hAnsi="宋体"/>
                      <w:kern w:val="0"/>
                      <w:szCs w:val="21"/>
                    </w:rPr>
                  </w:pPr>
                  <w:r>
                    <w:rPr>
                      <w:rFonts w:hAnsi="宋体"/>
                      <w:kern w:val="0"/>
                      <w:szCs w:val="21"/>
                    </w:rPr>
                    <w:t>≥6.6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trPr>
              <w:tc>
                <w:tcPr>
                  <w:tcW w:w="2566" w:type="dxa"/>
                  <w:vAlign w:val="center"/>
                </w:tcPr>
                <w:p>
                  <w:pPr>
                    <w:widowControl/>
                    <w:jc w:val="center"/>
                    <w:rPr>
                      <w:rFonts w:hAnsi="宋体"/>
                      <w:kern w:val="0"/>
                      <w:szCs w:val="21"/>
                    </w:rPr>
                  </w:pPr>
                  <w:r>
                    <w:rPr>
                      <w:rFonts w:hAnsi="宋体"/>
                      <w:kern w:val="0"/>
                      <w:szCs w:val="21"/>
                    </w:rPr>
                    <w:t>最高允许排放浓度（mg/m</w:t>
                  </w:r>
                  <w:r>
                    <w:rPr>
                      <w:rFonts w:hAnsi="宋体"/>
                      <w:kern w:val="0"/>
                      <w:szCs w:val="21"/>
                      <w:vertAlign w:val="superscript"/>
                    </w:rPr>
                    <w:t>3</w:t>
                  </w:r>
                  <w:r>
                    <w:rPr>
                      <w:rFonts w:hAnsi="宋体"/>
                      <w:kern w:val="0"/>
                      <w:szCs w:val="21"/>
                    </w:rPr>
                    <w:t>）</w:t>
                  </w:r>
                </w:p>
              </w:tc>
              <w:tc>
                <w:tcPr>
                  <w:tcW w:w="5398" w:type="dxa"/>
                  <w:gridSpan w:val="3"/>
                  <w:vAlign w:val="center"/>
                </w:tcPr>
                <w:p>
                  <w:pPr>
                    <w:widowControl/>
                    <w:jc w:val="center"/>
                    <w:rPr>
                      <w:rFonts w:hAnsi="宋体"/>
                      <w:kern w:val="0"/>
                      <w:szCs w:val="21"/>
                    </w:rPr>
                  </w:pPr>
                  <w:r>
                    <w:rPr>
                      <w:rFonts w:hAnsi="宋体"/>
                      <w:kern w:val="0"/>
                      <w:szCs w:val="21"/>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1" w:hRule="atLeast"/>
              </w:trPr>
              <w:tc>
                <w:tcPr>
                  <w:tcW w:w="2566" w:type="dxa"/>
                  <w:vAlign w:val="center"/>
                </w:tcPr>
                <w:p>
                  <w:pPr>
                    <w:widowControl/>
                    <w:jc w:val="center"/>
                    <w:rPr>
                      <w:rFonts w:hAnsi="宋体"/>
                      <w:kern w:val="0"/>
                      <w:szCs w:val="21"/>
                    </w:rPr>
                  </w:pPr>
                  <w:r>
                    <w:rPr>
                      <w:rFonts w:hAnsi="宋体"/>
                      <w:kern w:val="0"/>
                      <w:szCs w:val="21"/>
                    </w:rPr>
                    <w:t>净化设施最低去除效率（%）</w:t>
                  </w:r>
                </w:p>
              </w:tc>
              <w:tc>
                <w:tcPr>
                  <w:tcW w:w="1981" w:type="dxa"/>
                  <w:vAlign w:val="center"/>
                </w:tcPr>
                <w:p>
                  <w:pPr>
                    <w:widowControl/>
                    <w:jc w:val="center"/>
                    <w:rPr>
                      <w:rFonts w:hAnsi="宋体"/>
                      <w:kern w:val="0"/>
                      <w:szCs w:val="21"/>
                    </w:rPr>
                  </w:pPr>
                  <w:r>
                    <w:rPr>
                      <w:rFonts w:hAnsi="宋体"/>
                      <w:kern w:val="0"/>
                      <w:szCs w:val="21"/>
                    </w:rPr>
                    <w:t>60</w:t>
                  </w:r>
                </w:p>
              </w:tc>
              <w:tc>
                <w:tcPr>
                  <w:tcW w:w="1880" w:type="dxa"/>
                  <w:vAlign w:val="center"/>
                </w:tcPr>
                <w:p>
                  <w:pPr>
                    <w:widowControl/>
                    <w:jc w:val="center"/>
                    <w:rPr>
                      <w:rFonts w:hAnsi="宋体"/>
                      <w:kern w:val="0"/>
                      <w:szCs w:val="21"/>
                    </w:rPr>
                  </w:pPr>
                  <w:r>
                    <w:rPr>
                      <w:rFonts w:hAnsi="宋体"/>
                      <w:kern w:val="0"/>
                      <w:szCs w:val="21"/>
                    </w:rPr>
                    <w:t>75</w:t>
                  </w:r>
                </w:p>
              </w:tc>
              <w:tc>
                <w:tcPr>
                  <w:tcW w:w="1537" w:type="dxa"/>
                  <w:vAlign w:val="center"/>
                </w:tcPr>
                <w:p>
                  <w:pPr>
                    <w:widowControl/>
                    <w:jc w:val="center"/>
                    <w:rPr>
                      <w:rFonts w:hAnsi="宋体"/>
                      <w:kern w:val="0"/>
                      <w:szCs w:val="21"/>
                    </w:rPr>
                  </w:pPr>
                  <w:r>
                    <w:rPr>
                      <w:rFonts w:hAnsi="宋体"/>
                      <w:kern w:val="0"/>
                      <w:szCs w:val="21"/>
                    </w:rPr>
                    <w:t>85</w:t>
                  </w:r>
                </w:p>
              </w:tc>
            </w:tr>
          </w:tbl>
          <w:p>
            <w:pPr>
              <w:spacing w:line="360" w:lineRule="auto"/>
              <w:ind w:firstLine="120" w:firstLineChars="50"/>
              <w:rPr>
                <w:b/>
                <w:sz w:val="24"/>
              </w:rPr>
            </w:pPr>
            <w:r>
              <w:rPr>
                <w:b/>
                <w:sz w:val="24"/>
              </w:rPr>
              <w:t>2</w:t>
            </w:r>
            <w:r>
              <w:rPr>
                <w:rFonts w:hAnsi="宋体"/>
                <w:b/>
                <w:sz w:val="24"/>
              </w:rPr>
              <w:t>、废水排放标准</w:t>
            </w:r>
          </w:p>
          <w:p>
            <w:pPr>
              <w:spacing w:line="360" w:lineRule="auto"/>
              <w:ind w:firstLine="480" w:firstLineChars="200"/>
              <w:rPr>
                <w:rFonts w:hAnsi="宋体"/>
                <w:sz w:val="24"/>
              </w:rPr>
            </w:pPr>
            <w:r>
              <w:rPr>
                <w:rFonts w:hint="eastAsia" w:hAnsi="宋体"/>
                <w:sz w:val="24"/>
              </w:rPr>
              <w:t>①近期（滇池南岸截污管网铺通至项目区前）</w:t>
            </w:r>
          </w:p>
          <w:p>
            <w:pPr>
              <w:spacing w:line="360" w:lineRule="auto"/>
              <w:ind w:firstLine="480" w:firstLineChars="200"/>
              <w:rPr>
                <w:rFonts w:hAnsi="宋体"/>
                <w:sz w:val="24"/>
              </w:rPr>
            </w:pPr>
            <w:r>
              <w:rPr>
                <w:rFonts w:hint="eastAsia" w:hAnsi="宋体"/>
                <w:sz w:val="24"/>
              </w:rPr>
              <w:t>本项目废水主要为生活废水和生产废水，生产废水主要来自于地坪冲洗和车体清洗水，生产废水通过一期已建隔油池处理后排入污水处理站，餐饮废水通过已建餐饮废水隔油池处理后同其他生活污水一同排入化粪池处理后排入污水处理站。处理后非雨天回用于厂区绿化。雨天在污水处理站暂存。</w:t>
            </w:r>
          </w:p>
          <w:p>
            <w:pPr>
              <w:spacing w:line="360" w:lineRule="auto"/>
              <w:ind w:firstLine="480" w:firstLineChars="200"/>
              <w:rPr>
                <w:rFonts w:hAnsi="宋体"/>
                <w:sz w:val="24"/>
              </w:rPr>
            </w:pPr>
            <w:r>
              <w:rPr>
                <w:rFonts w:hint="eastAsia" w:hAnsi="宋体"/>
                <w:sz w:val="24"/>
              </w:rPr>
              <w:t>②远期</w:t>
            </w:r>
          </w:p>
          <w:p>
            <w:pPr>
              <w:spacing w:line="360" w:lineRule="auto"/>
              <w:ind w:firstLine="480" w:firstLineChars="200"/>
              <w:rPr>
                <w:rFonts w:hAnsi="宋体"/>
                <w:sz w:val="24"/>
              </w:rPr>
            </w:pPr>
            <w:r>
              <w:rPr>
                <w:rFonts w:hint="eastAsia" w:hAnsi="宋体"/>
                <w:sz w:val="24"/>
              </w:rPr>
              <w:t>本项目废水主要为生活废水和生产废水，生产废水主要来自于地坪冲洗和车体清洗水，生产废水通过一期已建隔油池处理后排入污水处理站，餐饮废水通过已建餐饮废水隔油池处理后同其他生活污水一同排入化粪池处理后排入污水处理站。处理后非雨天回用于厂区绿化。雨天通过总排口排入滇池南岸截污管网，最终进入淤泥河污水处理厂。</w:t>
            </w:r>
          </w:p>
          <w:p>
            <w:pPr>
              <w:spacing w:line="360" w:lineRule="auto"/>
              <w:ind w:firstLine="480" w:firstLineChars="200"/>
              <w:rPr>
                <w:sz w:val="24"/>
              </w:rPr>
            </w:pPr>
            <w:r>
              <w:rPr>
                <w:rFonts w:hint="eastAsia" w:hAnsi="宋体"/>
                <w:sz w:val="24"/>
              </w:rPr>
              <w:t>回用水水质执行</w:t>
            </w:r>
            <w:r>
              <w:rPr>
                <w:rFonts w:hint="eastAsia"/>
                <w:sz w:val="24"/>
              </w:rPr>
              <w:t>执行</w:t>
            </w:r>
            <w:r>
              <w:rPr>
                <w:sz w:val="24"/>
              </w:rPr>
              <w:t>GB/T 18920-2020《城市污水再生利用 城市杂用水水质》绿化标准</w:t>
            </w:r>
            <w:r>
              <w:rPr>
                <w:rFonts w:hint="eastAsia"/>
                <w:sz w:val="24"/>
              </w:rPr>
              <w:t>，远期总排口水质执行</w:t>
            </w:r>
            <w:r>
              <w:rPr>
                <w:sz w:val="24"/>
              </w:rPr>
              <w:t>《污水排入城镇下水道水质标准》（GB/T 31962-2015）中A等级标准。</w:t>
            </w:r>
          </w:p>
          <w:p>
            <w:pPr>
              <w:widowControl/>
              <w:spacing w:line="360" w:lineRule="auto"/>
              <w:ind w:left="34" w:firstLine="482" w:firstLineChars="200"/>
              <w:jc w:val="center"/>
              <w:rPr>
                <w:b/>
                <w:color w:val="000000"/>
                <w:kern w:val="0"/>
                <w:sz w:val="24"/>
              </w:rPr>
            </w:pPr>
            <w:r>
              <w:rPr>
                <w:b/>
                <w:color w:val="000000"/>
                <w:kern w:val="0"/>
                <w:sz w:val="24"/>
              </w:rPr>
              <w:t>表3-6 城市杂用水水质标准</w:t>
            </w:r>
          </w:p>
          <w:tbl>
            <w:tblPr>
              <w:tblStyle w:val="44"/>
              <w:tblW w:w="4231" w:type="dxa"/>
              <w:jc w:val="center"/>
              <w:tblCellSpacing w:w="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
            <w:tblGrid>
              <w:gridCol w:w="448"/>
              <w:gridCol w:w="3063"/>
              <w:gridCol w:w="705"/>
              <w:gridCol w:w="1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tblCellSpacing w:w="0" w:type="dxa"/>
                <w:jc w:val="center"/>
              </w:trPr>
              <w:tc>
                <w:tcPr>
                  <w:tcW w:w="448" w:type="dxa"/>
                  <w:tcBorders>
                    <w:top w:val="single" w:color="auto" w:sz="4" w:space="0"/>
                  </w:tcBorders>
                  <w:vAlign w:val="center"/>
                </w:tcPr>
                <w:p>
                  <w:pPr>
                    <w:widowControl/>
                    <w:jc w:val="center"/>
                    <w:rPr>
                      <w:kern w:val="0"/>
                      <w:szCs w:val="18"/>
                    </w:rPr>
                  </w:pPr>
                  <w:r>
                    <w:rPr>
                      <w:kern w:val="0"/>
                      <w:szCs w:val="21"/>
                    </w:rPr>
                    <w:t>序号</w:t>
                  </w:r>
                </w:p>
              </w:tc>
              <w:tc>
                <w:tcPr>
                  <w:tcW w:w="3063" w:type="dxa"/>
                  <w:tcBorders>
                    <w:top w:val="single" w:color="auto" w:sz="4" w:space="0"/>
                  </w:tcBorders>
                  <w:vAlign w:val="center"/>
                </w:tcPr>
                <w:p>
                  <w:pPr>
                    <w:widowControl/>
                    <w:jc w:val="center"/>
                    <w:rPr>
                      <w:kern w:val="0"/>
                      <w:szCs w:val="18"/>
                    </w:rPr>
                  </w:pPr>
                  <w:r>
                    <w:rPr>
                      <w:kern w:val="0"/>
                      <w:szCs w:val="21"/>
                    </w:rPr>
                    <w:t>项目</w:t>
                  </w:r>
                </w:p>
              </w:tc>
              <w:tc>
                <w:tcPr>
                  <w:tcW w:w="720" w:type="dxa"/>
                  <w:gridSpan w:val="2"/>
                  <w:tcBorders>
                    <w:top w:val="single" w:color="auto" w:sz="4" w:space="0"/>
                  </w:tcBorders>
                  <w:vAlign w:val="center"/>
                </w:tcPr>
                <w:p>
                  <w:pPr>
                    <w:widowControl/>
                    <w:jc w:val="center"/>
                    <w:rPr>
                      <w:kern w:val="0"/>
                      <w:szCs w:val="18"/>
                    </w:rPr>
                  </w:pPr>
                  <w:r>
                    <w:rPr>
                      <w:kern w:val="0"/>
                      <w:szCs w:val="21"/>
                    </w:rPr>
                    <w:t>城市绿化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tblCellSpacing w:w="0" w:type="dxa"/>
                <w:jc w:val="center"/>
              </w:trPr>
              <w:tc>
                <w:tcPr>
                  <w:tcW w:w="448" w:type="dxa"/>
                  <w:vAlign w:val="center"/>
                </w:tcPr>
                <w:p>
                  <w:pPr>
                    <w:widowControl/>
                    <w:jc w:val="center"/>
                    <w:rPr>
                      <w:kern w:val="0"/>
                      <w:szCs w:val="18"/>
                    </w:rPr>
                  </w:pPr>
                  <w:r>
                    <w:rPr>
                      <w:kern w:val="0"/>
                      <w:szCs w:val="21"/>
                    </w:rPr>
                    <w:t>1</w:t>
                  </w:r>
                </w:p>
              </w:tc>
              <w:tc>
                <w:tcPr>
                  <w:tcW w:w="3063" w:type="dxa"/>
                  <w:vAlign w:val="center"/>
                </w:tcPr>
                <w:p>
                  <w:pPr>
                    <w:widowControl/>
                    <w:jc w:val="center"/>
                    <w:rPr>
                      <w:kern w:val="0"/>
                      <w:szCs w:val="18"/>
                    </w:rPr>
                  </w:pPr>
                  <w:r>
                    <w:rPr>
                      <w:kern w:val="0"/>
                      <w:szCs w:val="21"/>
                    </w:rPr>
                    <w:t>pH</w:t>
                  </w:r>
                </w:p>
              </w:tc>
              <w:tc>
                <w:tcPr>
                  <w:tcW w:w="720" w:type="dxa"/>
                  <w:gridSpan w:val="2"/>
                  <w:tcBorders>
                    <w:left w:val="single" w:color="auto" w:sz="4" w:space="0"/>
                  </w:tcBorders>
                  <w:vAlign w:val="center"/>
                </w:tcPr>
                <w:p>
                  <w:pPr>
                    <w:jc w:val="center"/>
                    <w:rPr>
                      <w:kern w:val="0"/>
                      <w:szCs w:val="18"/>
                    </w:rPr>
                  </w:pPr>
                  <w:r>
                    <w:rPr>
                      <w:kern w:val="0"/>
                      <w:szCs w:val="21"/>
                    </w:rPr>
                    <w:t>6.0-9.0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tblCellSpacing w:w="0" w:type="dxa"/>
                <w:jc w:val="center"/>
              </w:trPr>
              <w:tc>
                <w:tcPr>
                  <w:tcW w:w="448" w:type="dxa"/>
                  <w:vAlign w:val="center"/>
                </w:tcPr>
                <w:p>
                  <w:pPr>
                    <w:widowControl/>
                    <w:jc w:val="center"/>
                    <w:rPr>
                      <w:kern w:val="0"/>
                      <w:szCs w:val="18"/>
                    </w:rPr>
                  </w:pPr>
                  <w:r>
                    <w:rPr>
                      <w:kern w:val="0"/>
                      <w:szCs w:val="21"/>
                    </w:rPr>
                    <w:t>2</w:t>
                  </w:r>
                </w:p>
              </w:tc>
              <w:tc>
                <w:tcPr>
                  <w:tcW w:w="3063" w:type="dxa"/>
                  <w:vAlign w:val="center"/>
                </w:tcPr>
                <w:p>
                  <w:pPr>
                    <w:widowControl/>
                    <w:jc w:val="center"/>
                    <w:rPr>
                      <w:kern w:val="0"/>
                      <w:szCs w:val="18"/>
                    </w:rPr>
                  </w:pPr>
                  <w:r>
                    <w:rPr>
                      <w:kern w:val="0"/>
                      <w:szCs w:val="21"/>
                    </w:rPr>
                    <w:t>色度≤</w:t>
                  </w:r>
                </w:p>
              </w:tc>
              <w:tc>
                <w:tcPr>
                  <w:tcW w:w="720" w:type="dxa"/>
                  <w:gridSpan w:val="2"/>
                  <w:tcBorders>
                    <w:left w:val="single" w:color="auto" w:sz="4" w:space="0"/>
                  </w:tcBorders>
                  <w:vAlign w:val="center"/>
                </w:tcPr>
                <w:p>
                  <w:pPr>
                    <w:jc w:val="center"/>
                    <w:rPr>
                      <w:kern w:val="0"/>
                      <w:szCs w:val="18"/>
                    </w:rPr>
                  </w:pPr>
                  <w:r>
                    <w:rPr>
                      <w:kern w:val="0"/>
                      <w:szCs w:val="21"/>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tblCellSpacing w:w="0" w:type="dxa"/>
                <w:jc w:val="center"/>
              </w:trPr>
              <w:tc>
                <w:tcPr>
                  <w:tcW w:w="448" w:type="dxa"/>
                  <w:vAlign w:val="center"/>
                </w:tcPr>
                <w:p>
                  <w:pPr>
                    <w:widowControl/>
                    <w:jc w:val="center"/>
                    <w:rPr>
                      <w:kern w:val="0"/>
                      <w:szCs w:val="18"/>
                    </w:rPr>
                  </w:pPr>
                  <w:r>
                    <w:rPr>
                      <w:kern w:val="0"/>
                      <w:szCs w:val="21"/>
                    </w:rPr>
                    <w:t>3</w:t>
                  </w:r>
                </w:p>
              </w:tc>
              <w:tc>
                <w:tcPr>
                  <w:tcW w:w="3063" w:type="dxa"/>
                  <w:vAlign w:val="center"/>
                </w:tcPr>
                <w:p>
                  <w:pPr>
                    <w:widowControl/>
                    <w:jc w:val="center"/>
                    <w:rPr>
                      <w:kern w:val="0"/>
                      <w:szCs w:val="18"/>
                    </w:rPr>
                  </w:pPr>
                  <w:r>
                    <w:rPr>
                      <w:kern w:val="0"/>
                      <w:szCs w:val="21"/>
                    </w:rPr>
                    <w:t>嗅</w:t>
                  </w:r>
                </w:p>
              </w:tc>
              <w:tc>
                <w:tcPr>
                  <w:tcW w:w="720" w:type="dxa"/>
                  <w:gridSpan w:val="2"/>
                  <w:tcBorders>
                    <w:left w:val="single" w:color="auto" w:sz="4" w:space="0"/>
                  </w:tcBorders>
                  <w:vAlign w:val="center"/>
                </w:tcPr>
                <w:p>
                  <w:pPr>
                    <w:jc w:val="center"/>
                    <w:rPr>
                      <w:kern w:val="0"/>
                      <w:szCs w:val="18"/>
                    </w:rPr>
                  </w:pPr>
                  <w:r>
                    <w:rPr>
                      <w:kern w:val="0"/>
                      <w:szCs w:val="21"/>
                    </w:rPr>
                    <w:t>无不快感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tblCellSpacing w:w="0" w:type="dxa"/>
                <w:jc w:val="center"/>
              </w:trPr>
              <w:tc>
                <w:tcPr>
                  <w:tcW w:w="448" w:type="dxa"/>
                  <w:vAlign w:val="center"/>
                </w:tcPr>
                <w:p>
                  <w:pPr>
                    <w:widowControl/>
                    <w:jc w:val="center"/>
                    <w:rPr>
                      <w:kern w:val="0"/>
                      <w:szCs w:val="18"/>
                    </w:rPr>
                  </w:pPr>
                  <w:r>
                    <w:rPr>
                      <w:kern w:val="0"/>
                      <w:szCs w:val="21"/>
                    </w:rPr>
                    <w:t>4</w:t>
                  </w:r>
                </w:p>
              </w:tc>
              <w:tc>
                <w:tcPr>
                  <w:tcW w:w="3063" w:type="dxa"/>
                  <w:vAlign w:val="center"/>
                </w:tcPr>
                <w:p>
                  <w:pPr>
                    <w:widowControl/>
                    <w:jc w:val="center"/>
                    <w:rPr>
                      <w:kern w:val="0"/>
                      <w:szCs w:val="18"/>
                    </w:rPr>
                  </w:pPr>
                  <w:r>
                    <w:rPr>
                      <w:kern w:val="0"/>
                      <w:szCs w:val="21"/>
                    </w:rPr>
                    <w:t>浊度/NTU≤　</w:t>
                  </w:r>
                </w:p>
              </w:tc>
              <w:tc>
                <w:tcPr>
                  <w:tcW w:w="720" w:type="dxa"/>
                  <w:gridSpan w:val="2"/>
                  <w:vAlign w:val="center"/>
                </w:tcPr>
                <w:p>
                  <w:pPr>
                    <w:widowControl/>
                    <w:jc w:val="center"/>
                    <w:rPr>
                      <w:kern w:val="0"/>
                      <w:szCs w:val="18"/>
                    </w:rPr>
                  </w:pPr>
                  <w:r>
                    <w:rPr>
                      <w:kern w:val="0"/>
                      <w:szCs w:val="21"/>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tblCellSpacing w:w="0" w:type="dxa"/>
                <w:jc w:val="center"/>
              </w:trPr>
              <w:tc>
                <w:tcPr>
                  <w:tcW w:w="448" w:type="dxa"/>
                  <w:vAlign w:val="center"/>
                </w:tcPr>
                <w:p>
                  <w:pPr>
                    <w:widowControl/>
                    <w:jc w:val="center"/>
                    <w:rPr>
                      <w:kern w:val="0"/>
                      <w:szCs w:val="18"/>
                    </w:rPr>
                  </w:pPr>
                  <w:r>
                    <w:rPr>
                      <w:kern w:val="0"/>
                      <w:szCs w:val="21"/>
                    </w:rPr>
                    <w:t>5</w:t>
                  </w:r>
                </w:p>
              </w:tc>
              <w:tc>
                <w:tcPr>
                  <w:tcW w:w="3063" w:type="dxa"/>
                  <w:vAlign w:val="center"/>
                </w:tcPr>
                <w:p>
                  <w:pPr>
                    <w:widowControl/>
                    <w:jc w:val="center"/>
                    <w:rPr>
                      <w:kern w:val="0"/>
                      <w:szCs w:val="18"/>
                    </w:rPr>
                  </w:pPr>
                  <w:r>
                    <w:rPr>
                      <w:kern w:val="0"/>
                      <w:szCs w:val="21"/>
                    </w:rPr>
                    <w:t>溶解性总固体/（mg/L)≤　</w:t>
                  </w:r>
                </w:p>
              </w:tc>
              <w:tc>
                <w:tcPr>
                  <w:tcW w:w="720" w:type="dxa"/>
                  <w:gridSpan w:val="2"/>
                  <w:vAlign w:val="center"/>
                </w:tcPr>
                <w:p>
                  <w:pPr>
                    <w:widowControl/>
                    <w:jc w:val="center"/>
                    <w:rPr>
                      <w:kern w:val="0"/>
                      <w:szCs w:val="18"/>
                    </w:rPr>
                  </w:pPr>
                  <w:r>
                    <w:rPr>
                      <w:kern w:val="0"/>
                      <w:szCs w:val="21"/>
                    </w:rPr>
                    <w:t>1000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tblCellSpacing w:w="0" w:type="dxa"/>
                <w:jc w:val="center"/>
              </w:trPr>
              <w:tc>
                <w:tcPr>
                  <w:tcW w:w="448" w:type="dxa"/>
                  <w:vAlign w:val="center"/>
                </w:tcPr>
                <w:p>
                  <w:pPr>
                    <w:widowControl/>
                    <w:jc w:val="center"/>
                    <w:rPr>
                      <w:kern w:val="0"/>
                      <w:szCs w:val="18"/>
                    </w:rPr>
                  </w:pPr>
                  <w:r>
                    <w:rPr>
                      <w:kern w:val="0"/>
                      <w:szCs w:val="21"/>
                    </w:rPr>
                    <w:t>6</w:t>
                  </w:r>
                </w:p>
              </w:tc>
              <w:tc>
                <w:tcPr>
                  <w:tcW w:w="3063" w:type="dxa"/>
                  <w:vAlign w:val="center"/>
                </w:tcPr>
                <w:p>
                  <w:pPr>
                    <w:widowControl/>
                    <w:jc w:val="center"/>
                    <w:rPr>
                      <w:kern w:val="0"/>
                      <w:szCs w:val="18"/>
                    </w:rPr>
                  </w:pPr>
                  <w:r>
                    <w:rPr>
                      <w:kern w:val="0"/>
                      <w:szCs w:val="21"/>
                    </w:rPr>
                    <w:t>五日生化需氧量（BOD</w:t>
                  </w:r>
                  <w:r>
                    <w:rPr>
                      <w:kern w:val="0"/>
                      <w:szCs w:val="21"/>
                      <w:vertAlign w:val="subscript"/>
                    </w:rPr>
                    <w:t>5</w:t>
                  </w:r>
                  <w:r>
                    <w:rPr>
                      <w:kern w:val="0"/>
                      <w:szCs w:val="21"/>
                    </w:rPr>
                    <w:t>）/（mg/L)　　≤</w:t>
                  </w:r>
                </w:p>
              </w:tc>
              <w:tc>
                <w:tcPr>
                  <w:tcW w:w="720" w:type="dxa"/>
                  <w:gridSpan w:val="2"/>
                  <w:vAlign w:val="center"/>
                </w:tcPr>
                <w:p>
                  <w:pPr>
                    <w:widowControl/>
                    <w:jc w:val="center"/>
                    <w:rPr>
                      <w:kern w:val="0"/>
                      <w:szCs w:val="18"/>
                    </w:rPr>
                  </w:pPr>
                  <w:r>
                    <w:rPr>
                      <w:kern w:val="0"/>
                      <w:szCs w:val="21"/>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gridAfter w:val="1"/>
                <w:wAfter w:w="15" w:type="dxa"/>
                <w:tblCellSpacing w:w="0" w:type="dxa"/>
                <w:jc w:val="center"/>
              </w:trPr>
              <w:tc>
                <w:tcPr>
                  <w:tcW w:w="448" w:type="dxa"/>
                  <w:vAlign w:val="center"/>
                </w:tcPr>
                <w:p>
                  <w:pPr>
                    <w:widowControl/>
                    <w:jc w:val="center"/>
                    <w:rPr>
                      <w:kern w:val="0"/>
                      <w:szCs w:val="18"/>
                    </w:rPr>
                  </w:pPr>
                  <w:r>
                    <w:rPr>
                      <w:kern w:val="0"/>
                      <w:szCs w:val="21"/>
                    </w:rPr>
                    <w:t>7</w:t>
                  </w:r>
                </w:p>
              </w:tc>
              <w:tc>
                <w:tcPr>
                  <w:tcW w:w="3063" w:type="dxa"/>
                  <w:vAlign w:val="center"/>
                </w:tcPr>
                <w:p>
                  <w:pPr>
                    <w:widowControl/>
                    <w:jc w:val="center"/>
                    <w:rPr>
                      <w:kern w:val="0"/>
                      <w:szCs w:val="18"/>
                    </w:rPr>
                  </w:pPr>
                  <w:r>
                    <w:rPr>
                      <w:kern w:val="0"/>
                      <w:szCs w:val="21"/>
                    </w:rPr>
                    <w:t>氨氮/（mg/L)≤</w:t>
                  </w:r>
                </w:p>
              </w:tc>
              <w:tc>
                <w:tcPr>
                  <w:tcW w:w="705" w:type="dxa"/>
                  <w:vAlign w:val="center"/>
                </w:tcPr>
                <w:p>
                  <w:pPr>
                    <w:widowControl/>
                    <w:jc w:val="center"/>
                    <w:rPr>
                      <w:kern w:val="0"/>
                      <w:szCs w:val="18"/>
                    </w:rPr>
                  </w:pPr>
                  <w:r>
                    <w:rPr>
                      <w:kern w:val="0"/>
                      <w:szCs w:val="21"/>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gridAfter w:val="1"/>
                <w:wAfter w:w="15" w:type="dxa"/>
                <w:tblCellSpacing w:w="0" w:type="dxa"/>
                <w:jc w:val="center"/>
              </w:trPr>
              <w:tc>
                <w:tcPr>
                  <w:tcW w:w="448" w:type="dxa"/>
                  <w:vAlign w:val="center"/>
                </w:tcPr>
                <w:p>
                  <w:pPr>
                    <w:widowControl/>
                    <w:jc w:val="center"/>
                    <w:rPr>
                      <w:kern w:val="0"/>
                      <w:szCs w:val="18"/>
                    </w:rPr>
                  </w:pPr>
                  <w:r>
                    <w:rPr>
                      <w:kern w:val="0"/>
                      <w:szCs w:val="21"/>
                    </w:rPr>
                    <w:t>8</w:t>
                  </w:r>
                </w:p>
              </w:tc>
              <w:tc>
                <w:tcPr>
                  <w:tcW w:w="3063" w:type="dxa"/>
                  <w:vAlign w:val="center"/>
                </w:tcPr>
                <w:p>
                  <w:pPr>
                    <w:widowControl/>
                    <w:jc w:val="center"/>
                    <w:rPr>
                      <w:kern w:val="0"/>
                      <w:szCs w:val="18"/>
                    </w:rPr>
                  </w:pPr>
                  <w:r>
                    <w:rPr>
                      <w:kern w:val="0"/>
                      <w:szCs w:val="21"/>
                    </w:rPr>
                    <w:t>阴离子表面活性剂/（mg/L)</w:t>
                  </w:r>
                </w:p>
              </w:tc>
              <w:tc>
                <w:tcPr>
                  <w:tcW w:w="705" w:type="dxa"/>
                  <w:vAlign w:val="center"/>
                </w:tcPr>
                <w:p>
                  <w:pPr>
                    <w:widowControl/>
                    <w:jc w:val="center"/>
                    <w:rPr>
                      <w:kern w:val="0"/>
                      <w:szCs w:val="18"/>
                    </w:rPr>
                  </w:pPr>
                  <w:r>
                    <w:rPr>
                      <w:kern w:val="0"/>
                      <w:szCs w:val="21"/>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gridAfter w:val="1"/>
                <w:wAfter w:w="15" w:type="dxa"/>
                <w:tblCellSpacing w:w="0" w:type="dxa"/>
                <w:jc w:val="center"/>
              </w:trPr>
              <w:tc>
                <w:tcPr>
                  <w:tcW w:w="448" w:type="dxa"/>
                  <w:vAlign w:val="center"/>
                </w:tcPr>
                <w:p>
                  <w:pPr>
                    <w:widowControl/>
                    <w:jc w:val="center"/>
                    <w:rPr>
                      <w:kern w:val="0"/>
                      <w:szCs w:val="18"/>
                    </w:rPr>
                  </w:pPr>
                  <w:r>
                    <w:rPr>
                      <w:kern w:val="0"/>
                      <w:szCs w:val="21"/>
                    </w:rPr>
                    <w:t>9</w:t>
                  </w:r>
                </w:p>
              </w:tc>
              <w:tc>
                <w:tcPr>
                  <w:tcW w:w="3063" w:type="dxa"/>
                  <w:vAlign w:val="center"/>
                </w:tcPr>
                <w:p>
                  <w:pPr>
                    <w:widowControl/>
                    <w:jc w:val="center"/>
                    <w:rPr>
                      <w:kern w:val="0"/>
                      <w:szCs w:val="18"/>
                    </w:rPr>
                  </w:pPr>
                  <w:r>
                    <w:rPr>
                      <w:kern w:val="0"/>
                      <w:szCs w:val="21"/>
                    </w:rPr>
                    <w:t>铁/(mg/L)≤</w:t>
                  </w:r>
                </w:p>
              </w:tc>
              <w:tc>
                <w:tcPr>
                  <w:tcW w:w="705" w:type="dxa"/>
                  <w:vAlign w:val="center"/>
                </w:tcPr>
                <w:p>
                  <w:pPr>
                    <w:widowControl/>
                    <w:jc w:val="center"/>
                    <w:rPr>
                      <w:kern w:val="0"/>
                      <w:szCs w:val="18"/>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gridAfter w:val="1"/>
                <w:wAfter w:w="15" w:type="dxa"/>
                <w:tblCellSpacing w:w="0" w:type="dxa"/>
                <w:jc w:val="center"/>
              </w:trPr>
              <w:tc>
                <w:tcPr>
                  <w:tcW w:w="448" w:type="dxa"/>
                  <w:vAlign w:val="center"/>
                </w:tcPr>
                <w:p>
                  <w:pPr>
                    <w:widowControl/>
                    <w:jc w:val="center"/>
                    <w:rPr>
                      <w:kern w:val="0"/>
                      <w:szCs w:val="18"/>
                    </w:rPr>
                  </w:pPr>
                  <w:r>
                    <w:rPr>
                      <w:kern w:val="0"/>
                      <w:szCs w:val="21"/>
                    </w:rPr>
                    <w:t>10</w:t>
                  </w:r>
                </w:p>
              </w:tc>
              <w:tc>
                <w:tcPr>
                  <w:tcW w:w="3063" w:type="dxa"/>
                  <w:vAlign w:val="center"/>
                </w:tcPr>
                <w:p>
                  <w:pPr>
                    <w:widowControl/>
                    <w:jc w:val="center"/>
                    <w:rPr>
                      <w:kern w:val="0"/>
                      <w:szCs w:val="18"/>
                    </w:rPr>
                  </w:pPr>
                  <w:r>
                    <w:rPr>
                      <w:kern w:val="0"/>
                      <w:szCs w:val="21"/>
                    </w:rPr>
                    <w:t>锰/（mg/L)≤</w:t>
                  </w:r>
                </w:p>
              </w:tc>
              <w:tc>
                <w:tcPr>
                  <w:tcW w:w="705" w:type="dxa"/>
                  <w:vAlign w:val="center"/>
                </w:tcPr>
                <w:p>
                  <w:pPr>
                    <w:widowControl/>
                    <w:jc w:val="center"/>
                    <w:rPr>
                      <w:kern w:val="0"/>
                      <w:szCs w:val="18"/>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gridAfter w:val="1"/>
                <w:wAfter w:w="15" w:type="dxa"/>
                <w:tblCellSpacing w:w="0" w:type="dxa"/>
                <w:jc w:val="center"/>
              </w:trPr>
              <w:tc>
                <w:tcPr>
                  <w:tcW w:w="448" w:type="dxa"/>
                  <w:vAlign w:val="center"/>
                </w:tcPr>
                <w:p>
                  <w:pPr>
                    <w:widowControl/>
                    <w:jc w:val="center"/>
                    <w:rPr>
                      <w:kern w:val="0"/>
                      <w:szCs w:val="18"/>
                    </w:rPr>
                  </w:pPr>
                  <w:r>
                    <w:rPr>
                      <w:kern w:val="0"/>
                      <w:szCs w:val="21"/>
                    </w:rPr>
                    <w:t>11</w:t>
                  </w:r>
                </w:p>
              </w:tc>
              <w:tc>
                <w:tcPr>
                  <w:tcW w:w="3063" w:type="dxa"/>
                  <w:vAlign w:val="center"/>
                </w:tcPr>
                <w:p>
                  <w:pPr>
                    <w:widowControl/>
                    <w:jc w:val="center"/>
                    <w:rPr>
                      <w:kern w:val="0"/>
                      <w:szCs w:val="18"/>
                    </w:rPr>
                  </w:pPr>
                  <w:r>
                    <w:rPr>
                      <w:kern w:val="0"/>
                      <w:szCs w:val="21"/>
                    </w:rPr>
                    <w:t>溶解氧/（mg/L)≥</w:t>
                  </w:r>
                </w:p>
              </w:tc>
              <w:tc>
                <w:tcPr>
                  <w:tcW w:w="705" w:type="dxa"/>
                  <w:tcBorders>
                    <w:left w:val="single" w:color="auto" w:sz="4" w:space="0"/>
                  </w:tcBorders>
                  <w:vAlign w:val="center"/>
                </w:tcPr>
                <w:p>
                  <w:pPr>
                    <w:jc w:val="center"/>
                    <w:rPr>
                      <w:kern w:val="0"/>
                      <w:szCs w:val="18"/>
                    </w:rPr>
                  </w:pPr>
                  <w:r>
                    <w:rPr>
                      <w:kern w:val="0"/>
                      <w:szCs w:val="21"/>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gridAfter w:val="1"/>
                <w:wAfter w:w="15" w:type="dxa"/>
                <w:tblCellSpacing w:w="0" w:type="dxa"/>
                <w:jc w:val="center"/>
              </w:trPr>
              <w:tc>
                <w:tcPr>
                  <w:tcW w:w="448" w:type="dxa"/>
                  <w:vAlign w:val="center"/>
                </w:tcPr>
                <w:p>
                  <w:pPr>
                    <w:widowControl/>
                    <w:jc w:val="center"/>
                    <w:rPr>
                      <w:kern w:val="0"/>
                      <w:szCs w:val="18"/>
                    </w:rPr>
                  </w:pPr>
                  <w:r>
                    <w:rPr>
                      <w:kern w:val="0"/>
                      <w:szCs w:val="21"/>
                    </w:rPr>
                    <w:t>12</w:t>
                  </w:r>
                </w:p>
              </w:tc>
              <w:tc>
                <w:tcPr>
                  <w:tcW w:w="3063" w:type="dxa"/>
                  <w:vAlign w:val="center"/>
                </w:tcPr>
                <w:p>
                  <w:pPr>
                    <w:widowControl/>
                    <w:jc w:val="center"/>
                    <w:rPr>
                      <w:kern w:val="0"/>
                      <w:szCs w:val="18"/>
                    </w:rPr>
                  </w:pPr>
                  <w:r>
                    <w:rPr>
                      <w:kern w:val="0"/>
                      <w:szCs w:val="21"/>
                    </w:rPr>
                    <w:t>总余氯（mg/L)</w:t>
                  </w:r>
                </w:p>
              </w:tc>
              <w:tc>
                <w:tcPr>
                  <w:tcW w:w="705" w:type="dxa"/>
                  <w:tcBorders>
                    <w:left w:val="single" w:color="auto" w:sz="4" w:space="0"/>
                  </w:tcBorders>
                  <w:vAlign w:val="center"/>
                </w:tcPr>
                <w:p>
                  <w:pPr>
                    <w:widowControl/>
                    <w:jc w:val="center"/>
                    <w:rPr>
                      <w:kern w:val="0"/>
                      <w:szCs w:val="18"/>
                    </w:rPr>
                  </w:pPr>
                  <w:r>
                    <w:rPr>
                      <w:kern w:val="0"/>
                      <w:szCs w:val="21"/>
                    </w:rPr>
                    <w:t>接触30min后≥1.0，管网末端≥0.2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Ex>
              <w:trPr>
                <w:gridAfter w:val="1"/>
                <w:wAfter w:w="15" w:type="dxa"/>
                <w:tblCellSpacing w:w="0" w:type="dxa"/>
                <w:jc w:val="center"/>
              </w:trPr>
              <w:tc>
                <w:tcPr>
                  <w:tcW w:w="448" w:type="dxa"/>
                  <w:tcBorders>
                    <w:bottom w:val="single" w:color="auto" w:sz="4" w:space="0"/>
                  </w:tcBorders>
                  <w:vAlign w:val="center"/>
                </w:tcPr>
                <w:p>
                  <w:pPr>
                    <w:widowControl/>
                    <w:jc w:val="center"/>
                    <w:rPr>
                      <w:kern w:val="0"/>
                      <w:szCs w:val="18"/>
                    </w:rPr>
                  </w:pPr>
                  <w:r>
                    <w:rPr>
                      <w:kern w:val="0"/>
                      <w:szCs w:val="21"/>
                    </w:rPr>
                    <w:t>13</w:t>
                  </w:r>
                </w:p>
              </w:tc>
              <w:tc>
                <w:tcPr>
                  <w:tcW w:w="3063" w:type="dxa"/>
                  <w:tcBorders>
                    <w:bottom w:val="single" w:color="auto" w:sz="4" w:space="0"/>
                  </w:tcBorders>
                  <w:vAlign w:val="center"/>
                </w:tcPr>
                <w:p>
                  <w:pPr>
                    <w:widowControl/>
                    <w:jc w:val="center"/>
                    <w:rPr>
                      <w:kern w:val="0"/>
                      <w:szCs w:val="18"/>
                    </w:rPr>
                  </w:pPr>
                  <w:r>
                    <w:rPr>
                      <w:kern w:val="0"/>
                      <w:szCs w:val="21"/>
                    </w:rPr>
                    <w:t>总大肠菌群/（个/L) ≤</w:t>
                  </w:r>
                </w:p>
              </w:tc>
              <w:tc>
                <w:tcPr>
                  <w:tcW w:w="705" w:type="dxa"/>
                  <w:tcBorders>
                    <w:left w:val="single" w:color="auto" w:sz="4" w:space="0"/>
                    <w:bottom w:val="single" w:color="auto" w:sz="4" w:space="0"/>
                  </w:tcBorders>
                  <w:vAlign w:val="center"/>
                </w:tcPr>
                <w:p>
                  <w:pPr>
                    <w:jc w:val="center"/>
                    <w:rPr>
                      <w:kern w:val="0"/>
                      <w:szCs w:val="18"/>
                    </w:rPr>
                  </w:pPr>
                  <w:r>
                    <w:rPr>
                      <w:kern w:val="0"/>
                      <w:szCs w:val="21"/>
                    </w:rPr>
                    <w:t>3</w:t>
                  </w:r>
                </w:p>
              </w:tc>
            </w:tr>
          </w:tbl>
          <w:p>
            <w:pPr>
              <w:widowControl/>
              <w:spacing w:line="360" w:lineRule="auto"/>
              <w:ind w:left="480" w:firstLine="482" w:firstLineChars="200"/>
              <w:jc w:val="center"/>
              <w:rPr>
                <w:b/>
                <w:color w:val="000000"/>
                <w:kern w:val="0"/>
                <w:sz w:val="24"/>
              </w:rPr>
            </w:pPr>
            <w:r>
              <w:rPr>
                <w:b/>
                <w:color w:val="000000"/>
                <w:kern w:val="0"/>
                <w:sz w:val="24"/>
              </w:rPr>
              <w:t>表3-7 排入市政污水管网水质限值</w:t>
            </w:r>
          </w:p>
          <w:tbl>
            <w:tblPr>
              <w:tblStyle w:val="44"/>
              <w:tblW w:w="54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892"/>
              <w:gridCol w:w="1163"/>
              <w:gridCol w:w="1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4" w:hRule="atLeast"/>
                <w:tblHeader/>
                <w:jc w:val="center"/>
              </w:trPr>
              <w:tc>
                <w:tcPr>
                  <w:tcW w:w="758" w:type="dxa"/>
                  <w:vAlign w:val="center"/>
                </w:tcPr>
                <w:p>
                  <w:pPr>
                    <w:widowControl/>
                    <w:jc w:val="center"/>
                    <w:rPr>
                      <w:kern w:val="0"/>
                      <w:szCs w:val="21"/>
                    </w:rPr>
                  </w:pPr>
                  <w:r>
                    <w:rPr>
                      <w:kern w:val="0"/>
                      <w:szCs w:val="21"/>
                    </w:rPr>
                    <w:t>序号</w:t>
                  </w:r>
                </w:p>
              </w:tc>
              <w:tc>
                <w:tcPr>
                  <w:tcW w:w="1892" w:type="dxa"/>
                  <w:vAlign w:val="center"/>
                </w:tcPr>
                <w:p>
                  <w:pPr>
                    <w:widowControl/>
                    <w:jc w:val="center"/>
                    <w:rPr>
                      <w:kern w:val="0"/>
                      <w:szCs w:val="21"/>
                    </w:rPr>
                  </w:pPr>
                  <w:r>
                    <w:rPr>
                      <w:kern w:val="0"/>
                      <w:szCs w:val="21"/>
                    </w:rPr>
                    <w:t>控制项目</w:t>
                  </w:r>
                </w:p>
              </w:tc>
              <w:tc>
                <w:tcPr>
                  <w:tcW w:w="1163" w:type="dxa"/>
                  <w:vAlign w:val="center"/>
                </w:tcPr>
                <w:p>
                  <w:pPr>
                    <w:widowControl/>
                    <w:jc w:val="center"/>
                    <w:rPr>
                      <w:kern w:val="0"/>
                      <w:szCs w:val="21"/>
                    </w:rPr>
                  </w:pPr>
                  <w:r>
                    <w:rPr>
                      <w:kern w:val="0"/>
                      <w:szCs w:val="21"/>
                    </w:rPr>
                    <w:t>单位</w:t>
                  </w:r>
                </w:p>
              </w:tc>
              <w:tc>
                <w:tcPr>
                  <w:tcW w:w="1598" w:type="dxa"/>
                  <w:vAlign w:val="center"/>
                </w:tcPr>
                <w:p>
                  <w:pPr>
                    <w:widowControl/>
                    <w:jc w:val="center"/>
                    <w:rPr>
                      <w:kern w:val="0"/>
                      <w:szCs w:val="21"/>
                    </w:rPr>
                  </w:pPr>
                  <w:r>
                    <w:rPr>
                      <w:kern w:val="0"/>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9" w:hRule="atLeast"/>
                <w:jc w:val="center"/>
              </w:trPr>
              <w:tc>
                <w:tcPr>
                  <w:tcW w:w="758" w:type="dxa"/>
                  <w:vAlign w:val="center"/>
                </w:tcPr>
                <w:p>
                  <w:pPr>
                    <w:widowControl/>
                    <w:jc w:val="center"/>
                    <w:rPr>
                      <w:kern w:val="0"/>
                      <w:szCs w:val="21"/>
                    </w:rPr>
                  </w:pPr>
                  <w:r>
                    <w:rPr>
                      <w:kern w:val="0"/>
                      <w:szCs w:val="21"/>
                    </w:rPr>
                    <w:t>1</w:t>
                  </w:r>
                </w:p>
              </w:tc>
              <w:tc>
                <w:tcPr>
                  <w:tcW w:w="1892" w:type="dxa"/>
                  <w:vAlign w:val="center"/>
                </w:tcPr>
                <w:p>
                  <w:pPr>
                    <w:widowControl/>
                    <w:jc w:val="center"/>
                    <w:rPr>
                      <w:kern w:val="0"/>
                      <w:szCs w:val="21"/>
                    </w:rPr>
                  </w:pPr>
                  <w:r>
                    <w:rPr>
                      <w:kern w:val="0"/>
                      <w:szCs w:val="21"/>
                    </w:rPr>
                    <w:t>pH值</w:t>
                  </w:r>
                </w:p>
              </w:tc>
              <w:tc>
                <w:tcPr>
                  <w:tcW w:w="1163" w:type="dxa"/>
                  <w:vAlign w:val="center"/>
                </w:tcPr>
                <w:p>
                  <w:pPr>
                    <w:widowControl/>
                    <w:jc w:val="center"/>
                    <w:rPr>
                      <w:kern w:val="0"/>
                      <w:szCs w:val="21"/>
                    </w:rPr>
                  </w:pPr>
                  <w:r>
                    <w:rPr>
                      <w:kern w:val="0"/>
                      <w:szCs w:val="21"/>
                    </w:rPr>
                    <w:t>——</w:t>
                  </w:r>
                </w:p>
              </w:tc>
              <w:tc>
                <w:tcPr>
                  <w:tcW w:w="1598" w:type="dxa"/>
                  <w:vAlign w:val="center"/>
                </w:tcPr>
                <w:p>
                  <w:pPr>
                    <w:widowControl/>
                    <w:jc w:val="center"/>
                    <w:rPr>
                      <w:kern w:val="0"/>
                      <w:szCs w:val="21"/>
                    </w:rPr>
                  </w:pPr>
                  <w:r>
                    <w:rPr>
                      <w:kern w:val="0"/>
                      <w:szCs w:val="21"/>
                    </w:rPr>
                    <w:t>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2" w:hRule="atLeast"/>
                <w:jc w:val="center"/>
              </w:trPr>
              <w:tc>
                <w:tcPr>
                  <w:tcW w:w="758" w:type="dxa"/>
                  <w:vAlign w:val="center"/>
                </w:tcPr>
                <w:p>
                  <w:pPr>
                    <w:widowControl/>
                    <w:jc w:val="center"/>
                    <w:rPr>
                      <w:kern w:val="0"/>
                      <w:szCs w:val="21"/>
                    </w:rPr>
                  </w:pPr>
                  <w:r>
                    <w:rPr>
                      <w:kern w:val="0"/>
                      <w:szCs w:val="21"/>
                    </w:rPr>
                    <w:t>2</w:t>
                  </w:r>
                </w:p>
              </w:tc>
              <w:tc>
                <w:tcPr>
                  <w:tcW w:w="1892" w:type="dxa"/>
                  <w:vAlign w:val="center"/>
                </w:tcPr>
                <w:p>
                  <w:pPr>
                    <w:widowControl/>
                    <w:jc w:val="center"/>
                    <w:rPr>
                      <w:kern w:val="0"/>
                      <w:szCs w:val="21"/>
                    </w:rPr>
                  </w:pPr>
                  <w:r>
                    <w:rPr>
                      <w:kern w:val="0"/>
                      <w:szCs w:val="21"/>
                    </w:rPr>
                    <w:t>悬浮物（SS）</w:t>
                  </w:r>
                </w:p>
              </w:tc>
              <w:tc>
                <w:tcPr>
                  <w:tcW w:w="1163" w:type="dxa"/>
                  <w:vAlign w:val="center"/>
                </w:tcPr>
                <w:p>
                  <w:pPr>
                    <w:widowControl/>
                    <w:jc w:val="center"/>
                    <w:rPr>
                      <w:kern w:val="0"/>
                      <w:szCs w:val="21"/>
                    </w:rPr>
                  </w:pPr>
                  <w:r>
                    <w:rPr>
                      <w:kern w:val="0"/>
                      <w:szCs w:val="21"/>
                    </w:rPr>
                    <w:t>mg/L</w:t>
                  </w:r>
                </w:p>
              </w:tc>
              <w:tc>
                <w:tcPr>
                  <w:tcW w:w="1598" w:type="dxa"/>
                  <w:vAlign w:val="center"/>
                </w:tcPr>
                <w:p>
                  <w:pPr>
                    <w:widowControl/>
                    <w:jc w:val="center"/>
                    <w:rPr>
                      <w:kern w:val="0"/>
                      <w:szCs w:val="21"/>
                    </w:rPr>
                  </w:pPr>
                  <w:r>
                    <w:rPr>
                      <w:kern w:val="0"/>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0" w:hRule="atLeast"/>
                <w:jc w:val="center"/>
              </w:trPr>
              <w:tc>
                <w:tcPr>
                  <w:tcW w:w="758" w:type="dxa"/>
                  <w:vAlign w:val="center"/>
                </w:tcPr>
                <w:p>
                  <w:pPr>
                    <w:widowControl/>
                    <w:jc w:val="center"/>
                    <w:rPr>
                      <w:kern w:val="0"/>
                      <w:szCs w:val="21"/>
                    </w:rPr>
                  </w:pPr>
                  <w:r>
                    <w:rPr>
                      <w:kern w:val="0"/>
                      <w:szCs w:val="21"/>
                    </w:rPr>
                    <w:t>3</w:t>
                  </w:r>
                </w:p>
              </w:tc>
              <w:tc>
                <w:tcPr>
                  <w:tcW w:w="1892" w:type="dxa"/>
                  <w:vAlign w:val="center"/>
                </w:tcPr>
                <w:p>
                  <w:pPr>
                    <w:widowControl/>
                    <w:jc w:val="center"/>
                    <w:rPr>
                      <w:kern w:val="0"/>
                      <w:szCs w:val="21"/>
                    </w:rPr>
                  </w:pPr>
                  <w:r>
                    <w:rPr>
                      <w:kern w:val="0"/>
                      <w:szCs w:val="21"/>
                    </w:rPr>
                    <w:t>BOD</w:t>
                  </w:r>
                  <w:r>
                    <w:rPr>
                      <w:kern w:val="0"/>
                      <w:szCs w:val="21"/>
                      <w:vertAlign w:val="subscript"/>
                    </w:rPr>
                    <w:t>5</w:t>
                  </w:r>
                </w:p>
              </w:tc>
              <w:tc>
                <w:tcPr>
                  <w:tcW w:w="1163" w:type="dxa"/>
                  <w:vAlign w:val="center"/>
                </w:tcPr>
                <w:p>
                  <w:pPr>
                    <w:widowControl/>
                    <w:jc w:val="center"/>
                    <w:rPr>
                      <w:kern w:val="0"/>
                      <w:szCs w:val="21"/>
                    </w:rPr>
                  </w:pPr>
                  <w:r>
                    <w:rPr>
                      <w:kern w:val="0"/>
                      <w:szCs w:val="21"/>
                    </w:rPr>
                    <w:t>mg/L</w:t>
                  </w:r>
                </w:p>
              </w:tc>
              <w:tc>
                <w:tcPr>
                  <w:tcW w:w="1598" w:type="dxa"/>
                  <w:vAlign w:val="center"/>
                </w:tcPr>
                <w:p>
                  <w:pPr>
                    <w:widowControl/>
                    <w:jc w:val="center"/>
                    <w:rPr>
                      <w:kern w:val="0"/>
                      <w:szCs w:val="21"/>
                    </w:rPr>
                  </w:pPr>
                  <w:r>
                    <w:rPr>
                      <w:kern w:val="0"/>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0" w:hRule="atLeast"/>
                <w:jc w:val="center"/>
              </w:trPr>
              <w:tc>
                <w:tcPr>
                  <w:tcW w:w="758" w:type="dxa"/>
                  <w:vAlign w:val="center"/>
                </w:tcPr>
                <w:p>
                  <w:pPr>
                    <w:widowControl/>
                    <w:jc w:val="center"/>
                    <w:rPr>
                      <w:kern w:val="0"/>
                      <w:szCs w:val="21"/>
                    </w:rPr>
                  </w:pPr>
                  <w:r>
                    <w:rPr>
                      <w:kern w:val="0"/>
                      <w:szCs w:val="21"/>
                    </w:rPr>
                    <w:t>4</w:t>
                  </w:r>
                </w:p>
              </w:tc>
              <w:tc>
                <w:tcPr>
                  <w:tcW w:w="1892" w:type="dxa"/>
                  <w:vAlign w:val="center"/>
                </w:tcPr>
                <w:p>
                  <w:pPr>
                    <w:widowControl/>
                    <w:jc w:val="center"/>
                    <w:rPr>
                      <w:kern w:val="0"/>
                      <w:szCs w:val="21"/>
                    </w:rPr>
                  </w:pPr>
                  <w:r>
                    <w:rPr>
                      <w:kern w:val="0"/>
                      <w:szCs w:val="21"/>
                    </w:rPr>
                    <w:t>COD</w:t>
                  </w:r>
                </w:p>
              </w:tc>
              <w:tc>
                <w:tcPr>
                  <w:tcW w:w="1163" w:type="dxa"/>
                  <w:vAlign w:val="center"/>
                </w:tcPr>
                <w:p>
                  <w:pPr>
                    <w:widowControl/>
                    <w:jc w:val="center"/>
                    <w:rPr>
                      <w:kern w:val="0"/>
                      <w:szCs w:val="21"/>
                    </w:rPr>
                  </w:pPr>
                  <w:r>
                    <w:rPr>
                      <w:kern w:val="0"/>
                      <w:szCs w:val="21"/>
                    </w:rPr>
                    <w:t>mg/L</w:t>
                  </w:r>
                </w:p>
              </w:tc>
              <w:tc>
                <w:tcPr>
                  <w:tcW w:w="1598" w:type="dxa"/>
                  <w:vAlign w:val="center"/>
                </w:tcPr>
                <w:p>
                  <w:pPr>
                    <w:widowControl/>
                    <w:jc w:val="center"/>
                    <w:rPr>
                      <w:kern w:val="0"/>
                      <w:szCs w:val="21"/>
                    </w:rPr>
                  </w:pPr>
                  <w:r>
                    <w:rPr>
                      <w:kern w:val="0"/>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0" w:hRule="atLeast"/>
                <w:jc w:val="center"/>
              </w:trPr>
              <w:tc>
                <w:tcPr>
                  <w:tcW w:w="758" w:type="dxa"/>
                  <w:vAlign w:val="center"/>
                </w:tcPr>
                <w:p>
                  <w:pPr>
                    <w:widowControl/>
                    <w:jc w:val="center"/>
                    <w:rPr>
                      <w:kern w:val="0"/>
                      <w:szCs w:val="21"/>
                    </w:rPr>
                  </w:pPr>
                  <w:r>
                    <w:rPr>
                      <w:kern w:val="0"/>
                      <w:szCs w:val="21"/>
                    </w:rPr>
                    <w:t>5</w:t>
                  </w:r>
                </w:p>
              </w:tc>
              <w:tc>
                <w:tcPr>
                  <w:tcW w:w="1892" w:type="dxa"/>
                  <w:vAlign w:val="center"/>
                </w:tcPr>
                <w:p>
                  <w:pPr>
                    <w:widowControl/>
                    <w:jc w:val="center"/>
                    <w:rPr>
                      <w:kern w:val="0"/>
                      <w:szCs w:val="21"/>
                    </w:rPr>
                  </w:pPr>
                  <w:r>
                    <w:rPr>
                      <w:kern w:val="0"/>
                      <w:szCs w:val="21"/>
                    </w:rPr>
                    <w:t>氨氮</w:t>
                  </w:r>
                </w:p>
              </w:tc>
              <w:tc>
                <w:tcPr>
                  <w:tcW w:w="1163" w:type="dxa"/>
                  <w:vAlign w:val="center"/>
                </w:tcPr>
                <w:p>
                  <w:pPr>
                    <w:widowControl/>
                    <w:jc w:val="center"/>
                    <w:rPr>
                      <w:kern w:val="0"/>
                      <w:szCs w:val="21"/>
                    </w:rPr>
                  </w:pPr>
                  <w:r>
                    <w:rPr>
                      <w:kern w:val="0"/>
                      <w:szCs w:val="21"/>
                    </w:rPr>
                    <w:t>mg/L</w:t>
                  </w:r>
                </w:p>
              </w:tc>
              <w:tc>
                <w:tcPr>
                  <w:tcW w:w="1598" w:type="dxa"/>
                  <w:vAlign w:val="center"/>
                </w:tcPr>
                <w:p>
                  <w:pPr>
                    <w:widowControl/>
                    <w:jc w:val="center"/>
                    <w:rPr>
                      <w:kern w:val="0"/>
                      <w:szCs w:val="21"/>
                    </w:rPr>
                  </w:pPr>
                  <w:r>
                    <w:rPr>
                      <w:kern w:val="0"/>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0" w:hRule="atLeast"/>
                <w:jc w:val="center"/>
              </w:trPr>
              <w:tc>
                <w:tcPr>
                  <w:tcW w:w="758" w:type="dxa"/>
                  <w:vAlign w:val="center"/>
                </w:tcPr>
                <w:p>
                  <w:pPr>
                    <w:widowControl/>
                    <w:jc w:val="center"/>
                    <w:rPr>
                      <w:kern w:val="0"/>
                      <w:szCs w:val="21"/>
                    </w:rPr>
                  </w:pPr>
                  <w:r>
                    <w:rPr>
                      <w:kern w:val="0"/>
                      <w:szCs w:val="21"/>
                    </w:rPr>
                    <w:t>6</w:t>
                  </w:r>
                </w:p>
              </w:tc>
              <w:tc>
                <w:tcPr>
                  <w:tcW w:w="1892" w:type="dxa"/>
                  <w:vAlign w:val="center"/>
                </w:tcPr>
                <w:p>
                  <w:pPr>
                    <w:widowControl/>
                    <w:jc w:val="center"/>
                    <w:rPr>
                      <w:kern w:val="0"/>
                      <w:szCs w:val="21"/>
                    </w:rPr>
                  </w:pPr>
                  <w:r>
                    <w:rPr>
                      <w:kern w:val="0"/>
                      <w:szCs w:val="21"/>
                    </w:rPr>
                    <w:t>总磷</w:t>
                  </w:r>
                </w:p>
              </w:tc>
              <w:tc>
                <w:tcPr>
                  <w:tcW w:w="1163" w:type="dxa"/>
                  <w:vAlign w:val="center"/>
                </w:tcPr>
                <w:p>
                  <w:pPr>
                    <w:widowControl/>
                    <w:jc w:val="center"/>
                    <w:rPr>
                      <w:kern w:val="0"/>
                      <w:szCs w:val="21"/>
                    </w:rPr>
                  </w:pPr>
                  <w:r>
                    <w:rPr>
                      <w:kern w:val="0"/>
                      <w:szCs w:val="21"/>
                    </w:rPr>
                    <w:t>mg/L</w:t>
                  </w:r>
                </w:p>
              </w:tc>
              <w:tc>
                <w:tcPr>
                  <w:tcW w:w="1598" w:type="dxa"/>
                  <w:vAlign w:val="center"/>
                </w:tcPr>
                <w:p>
                  <w:pPr>
                    <w:widowControl/>
                    <w:jc w:val="center"/>
                    <w:rPr>
                      <w:kern w:val="0"/>
                      <w:szCs w:val="21"/>
                    </w:rPr>
                  </w:pPr>
                  <w:r>
                    <w:rPr>
                      <w:kern w:val="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0" w:hRule="atLeast"/>
                <w:jc w:val="center"/>
              </w:trPr>
              <w:tc>
                <w:tcPr>
                  <w:tcW w:w="758" w:type="dxa"/>
                  <w:vAlign w:val="center"/>
                </w:tcPr>
                <w:p>
                  <w:pPr>
                    <w:widowControl/>
                    <w:jc w:val="center"/>
                    <w:rPr>
                      <w:kern w:val="0"/>
                      <w:szCs w:val="21"/>
                    </w:rPr>
                  </w:pPr>
                  <w:r>
                    <w:rPr>
                      <w:kern w:val="0"/>
                      <w:szCs w:val="21"/>
                    </w:rPr>
                    <w:t>7</w:t>
                  </w:r>
                </w:p>
              </w:tc>
              <w:tc>
                <w:tcPr>
                  <w:tcW w:w="1892" w:type="dxa"/>
                  <w:vAlign w:val="center"/>
                </w:tcPr>
                <w:p>
                  <w:pPr>
                    <w:widowControl/>
                    <w:jc w:val="center"/>
                    <w:rPr>
                      <w:kern w:val="0"/>
                      <w:szCs w:val="21"/>
                    </w:rPr>
                  </w:pPr>
                  <w:r>
                    <w:rPr>
                      <w:kern w:val="0"/>
                      <w:szCs w:val="21"/>
                    </w:rPr>
                    <w:t>动植物油</w:t>
                  </w:r>
                </w:p>
              </w:tc>
              <w:tc>
                <w:tcPr>
                  <w:tcW w:w="1163" w:type="dxa"/>
                  <w:vAlign w:val="center"/>
                </w:tcPr>
                <w:p>
                  <w:pPr>
                    <w:widowControl/>
                    <w:jc w:val="center"/>
                    <w:rPr>
                      <w:kern w:val="0"/>
                      <w:szCs w:val="21"/>
                    </w:rPr>
                  </w:pPr>
                  <w:r>
                    <w:rPr>
                      <w:kern w:val="0"/>
                      <w:szCs w:val="21"/>
                    </w:rPr>
                    <w:t>mg/L</w:t>
                  </w:r>
                </w:p>
              </w:tc>
              <w:tc>
                <w:tcPr>
                  <w:tcW w:w="1598" w:type="dxa"/>
                  <w:vAlign w:val="center"/>
                </w:tcPr>
                <w:p>
                  <w:pPr>
                    <w:widowControl/>
                    <w:jc w:val="center"/>
                    <w:rPr>
                      <w:kern w:val="0"/>
                      <w:szCs w:val="21"/>
                    </w:rPr>
                  </w:pPr>
                  <w:r>
                    <w:rPr>
                      <w:kern w:val="0"/>
                      <w:szCs w:val="21"/>
                    </w:rPr>
                    <w:t>100</w:t>
                  </w:r>
                </w:p>
              </w:tc>
            </w:tr>
          </w:tbl>
          <w:p>
            <w:pPr>
              <w:spacing w:line="360" w:lineRule="auto"/>
              <w:rPr>
                <w:b/>
                <w:sz w:val="24"/>
              </w:rPr>
            </w:pPr>
            <w:r>
              <w:rPr>
                <w:b/>
                <w:sz w:val="24"/>
              </w:rPr>
              <w:t>3、噪声排放标准</w:t>
            </w:r>
          </w:p>
          <w:p>
            <w:pPr>
              <w:spacing w:line="360" w:lineRule="auto"/>
              <w:ind w:firstLine="480" w:firstLineChars="200"/>
              <w:rPr>
                <w:rFonts w:hAnsi="宋体"/>
                <w:sz w:val="24"/>
              </w:rPr>
            </w:pPr>
            <w:r>
              <w:rPr>
                <w:rFonts w:hAnsi="宋体"/>
                <w:sz w:val="24"/>
              </w:rPr>
              <w:t>项目</w:t>
            </w:r>
            <w:r>
              <w:rPr>
                <w:rFonts w:hint="eastAsia" w:hAnsi="宋体"/>
                <w:sz w:val="24"/>
              </w:rPr>
              <w:t>运营期</w:t>
            </w:r>
            <w:r>
              <w:rPr>
                <w:rFonts w:hAnsi="宋体"/>
                <w:sz w:val="24"/>
              </w:rPr>
              <w:t>噪声执行《工业企业厂界环境噪声排放标准》（GB12348</w:t>
            </w:r>
            <w:r>
              <w:rPr>
                <w:rFonts w:hint="eastAsia" w:hAnsi="宋体"/>
                <w:sz w:val="24"/>
              </w:rPr>
              <w:t>-</w:t>
            </w:r>
            <w:r>
              <w:rPr>
                <w:rFonts w:hAnsi="宋体"/>
                <w:sz w:val="24"/>
              </w:rPr>
              <w:t>2008）3类标准。具体标准限值见表</w:t>
            </w:r>
            <w:r>
              <w:rPr>
                <w:sz w:val="24"/>
              </w:rPr>
              <w:t>3-8</w:t>
            </w:r>
            <w:r>
              <w:rPr>
                <w:rFonts w:hAnsi="宋体"/>
                <w:sz w:val="24"/>
              </w:rPr>
              <w:t>。</w:t>
            </w:r>
          </w:p>
          <w:p>
            <w:pPr>
              <w:tabs>
                <w:tab w:val="left" w:pos="6740"/>
              </w:tabs>
              <w:spacing w:line="360" w:lineRule="auto"/>
              <w:ind w:firstLine="482"/>
              <w:jc w:val="center"/>
              <w:rPr>
                <w:rFonts w:eastAsiaTheme="minorEastAsia"/>
                <w:b/>
                <w:sz w:val="24"/>
              </w:rPr>
            </w:pPr>
            <w:r>
              <w:rPr>
                <w:rFonts w:eastAsiaTheme="minorEastAsia"/>
                <w:b/>
                <w:sz w:val="24"/>
              </w:rPr>
              <w:t>表3-8 工业企业厂界环境噪声排放标准限值  单位:dB(A)</w:t>
            </w:r>
          </w:p>
          <w:tbl>
            <w:tblPr>
              <w:tblStyle w:val="44"/>
              <w:tblW w:w="7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4"/>
              <w:gridCol w:w="1685"/>
              <w:gridCol w:w="2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4084" w:type="dxa"/>
                  <w:vMerge w:val="restart"/>
                  <w:tcBorders>
                    <w:tl2br w:val="single" w:color="auto" w:sz="4" w:space="0"/>
                  </w:tcBorders>
                </w:tcPr>
                <w:p>
                  <w:pPr>
                    <w:jc w:val="right"/>
                    <w:rPr>
                      <w:szCs w:val="21"/>
                    </w:rPr>
                  </w:pPr>
                  <w:r>
                    <w:rPr>
                      <w:szCs w:val="21"/>
                    </w:rPr>
                    <w:t xml:space="preserve">             </w:t>
                  </w:r>
                  <w:r>
                    <w:rPr>
                      <w:rFonts w:hAnsi="宋体"/>
                      <w:szCs w:val="21"/>
                    </w:rPr>
                    <w:t>时段</w:t>
                  </w:r>
                </w:p>
                <w:p>
                  <w:pPr>
                    <w:rPr>
                      <w:szCs w:val="21"/>
                    </w:rPr>
                  </w:pPr>
                  <w:r>
                    <w:rPr>
                      <w:rFonts w:hAnsi="宋体"/>
                      <w:szCs w:val="21"/>
                    </w:rPr>
                    <w:t>厂界外声环境功能区类别</w:t>
                  </w:r>
                </w:p>
              </w:tc>
              <w:tc>
                <w:tcPr>
                  <w:tcW w:w="3734" w:type="dxa"/>
                  <w:gridSpan w:val="2"/>
                  <w:vAlign w:val="center"/>
                </w:tcPr>
                <w:p>
                  <w:pPr>
                    <w:jc w:val="center"/>
                    <w:rPr>
                      <w:szCs w:val="21"/>
                    </w:rPr>
                  </w:pPr>
                  <w:r>
                    <w:rPr>
                      <w:rFonts w:hAnsi="宋体"/>
                      <w:szCs w:val="21"/>
                    </w:rPr>
                    <w:t>等效声级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084" w:type="dxa"/>
                  <w:vMerge w:val="continue"/>
                  <w:vAlign w:val="center"/>
                </w:tcPr>
                <w:p>
                  <w:pPr>
                    <w:jc w:val="center"/>
                    <w:rPr>
                      <w:szCs w:val="21"/>
                    </w:rPr>
                  </w:pPr>
                </w:p>
              </w:tc>
              <w:tc>
                <w:tcPr>
                  <w:tcW w:w="1685" w:type="dxa"/>
                  <w:vAlign w:val="center"/>
                </w:tcPr>
                <w:p>
                  <w:pPr>
                    <w:jc w:val="center"/>
                    <w:rPr>
                      <w:szCs w:val="21"/>
                    </w:rPr>
                  </w:pPr>
                  <w:r>
                    <w:rPr>
                      <w:rFonts w:hAnsi="宋体"/>
                      <w:szCs w:val="21"/>
                    </w:rPr>
                    <w:t>昼间</w:t>
                  </w:r>
                </w:p>
              </w:tc>
              <w:tc>
                <w:tcPr>
                  <w:tcW w:w="2049" w:type="dxa"/>
                  <w:vAlign w:val="center"/>
                </w:tcPr>
                <w:p>
                  <w:pPr>
                    <w:jc w:val="center"/>
                    <w:rPr>
                      <w:szCs w:val="21"/>
                    </w:rPr>
                  </w:pPr>
                  <w:r>
                    <w:rPr>
                      <w:rFonts w:hAnsi="宋体"/>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 w:hRule="atLeast"/>
              </w:trPr>
              <w:tc>
                <w:tcPr>
                  <w:tcW w:w="4084" w:type="dxa"/>
                  <w:vAlign w:val="center"/>
                </w:tcPr>
                <w:p>
                  <w:pPr>
                    <w:jc w:val="center"/>
                    <w:rPr>
                      <w:szCs w:val="21"/>
                    </w:rPr>
                  </w:pPr>
                  <w:r>
                    <w:rPr>
                      <w:szCs w:val="21"/>
                    </w:rPr>
                    <w:t>3</w:t>
                  </w:r>
                </w:p>
              </w:tc>
              <w:tc>
                <w:tcPr>
                  <w:tcW w:w="1685" w:type="dxa"/>
                  <w:vAlign w:val="center"/>
                </w:tcPr>
                <w:p>
                  <w:pPr>
                    <w:jc w:val="center"/>
                    <w:rPr>
                      <w:szCs w:val="21"/>
                    </w:rPr>
                  </w:pPr>
                  <w:r>
                    <w:rPr>
                      <w:szCs w:val="21"/>
                    </w:rPr>
                    <w:t>65</w:t>
                  </w:r>
                </w:p>
              </w:tc>
              <w:tc>
                <w:tcPr>
                  <w:tcW w:w="2049" w:type="dxa"/>
                  <w:vAlign w:val="center"/>
                </w:tcPr>
                <w:p>
                  <w:pPr>
                    <w:jc w:val="center"/>
                    <w:rPr>
                      <w:szCs w:val="21"/>
                    </w:rPr>
                  </w:pPr>
                  <w:r>
                    <w:rPr>
                      <w:szCs w:val="21"/>
                    </w:rPr>
                    <w:t>55</w:t>
                  </w:r>
                </w:p>
              </w:tc>
            </w:tr>
          </w:tbl>
          <w:p>
            <w:pPr>
              <w:spacing w:line="360" w:lineRule="auto"/>
              <w:rPr>
                <w:b/>
                <w:sz w:val="24"/>
              </w:rPr>
            </w:pPr>
            <w:r>
              <w:rPr>
                <w:rFonts w:hint="eastAsia"/>
                <w:b/>
                <w:sz w:val="24"/>
              </w:rPr>
              <w:t>4、固体废弃物</w:t>
            </w:r>
          </w:p>
          <w:p>
            <w:pPr>
              <w:widowControl/>
              <w:spacing w:line="360" w:lineRule="auto"/>
              <w:ind w:firstLine="480" w:firstLineChars="200"/>
              <w:rPr>
                <w:kern w:val="0"/>
                <w:sz w:val="24"/>
              </w:rPr>
            </w:pPr>
            <w:r>
              <w:rPr>
                <w:kern w:val="0"/>
                <w:sz w:val="24"/>
              </w:rPr>
              <w:t>一般固废参照《一般工业固体废物贮存、处置场污染物控制标准》（GB18599-2001）及其2013年修改单标准。</w:t>
            </w:r>
          </w:p>
          <w:p>
            <w:pPr>
              <w:adjustRightInd w:val="0"/>
              <w:snapToGrid w:val="0"/>
              <w:jc w:val="center"/>
              <w:rPr>
                <w:kern w:val="0"/>
                <w:szCs w:val="21"/>
              </w:rPr>
            </w:pPr>
            <w:r>
              <w:rPr>
                <w:kern w:val="0"/>
                <w:sz w:val="24"/>
              </w:rPr>
              <w:t>危险废物执行《危险废物贮存污染控制标准》(GB 18597-2001)。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30" w:hRule="atLeast"/>
          <w:jc w:val="center"/>
        </w:trPr>
        <w:tc>
          <w:tcPr>
            <w:tcW w:w="800" w:type="dxa"/>
            <w:vAlign w:val="center"/>
          </w:tcPr>
          <w:p>
            <w:pPr>
              <w:adjustRightInd w:val="0"/>
              <w:snapToGrid w:val="0"/>
              <w:jc w:val="center"/>
              <w:rPr>
                <w:kern w:val="0"/>
                <w:szCs w:val="21"/>
              </w:rPr>
            </w:pPr>
            <w:r>
              <w:rPr>
                <w:kern w:val="0"/>
                <w:szCs w:val="21"/>
              </w:rPr>
              <w:t>总量</w:t>
            </w:r>
          </w:p>
          <w:p>
            <w:pPr>
              <w:adjustRightInd w:val="0"/>
              <w:snapToGrid w:val="0"/>
              <w:jc w:val="center"/>
              <w:rPr>
                <w:kern w:val="0"/>
                <w:szCs w:val="21"/>
              </w:rPr>
            </w:pPr>
            <w:r>
              <w:rPr>
                <w:kern w:val="0"/>
                <w:szCs w:val="21"/>
              </w:rPr>
              <w:t>控制</w:t>
            </w:r>
          </w:p>
          <w:p>
            <w:pPr>
              <w:adjustRightInd w:val="0"/>
              <w:snapToGrid w:val="0"/>
              <w:jc w:val="center"/>
              <w:rPr>
                <w:kern w:val="0"/>
                <w:szCs w:val="21"/>
              </w:rPr>
            </w:pPr>
            <w:r>
              <w:rPr>
                <w:kern w:val="0"/>
                <w:szCs w:val="21"/>
              </w:rPr>
              <w:t>指标</w:t>
            </w:r>
          </w:p>
        </w:tc>
        <w:tc>
          <w:tcPr>
            <w:tcW w:w="8190" w:type="dxa"/>
            <w:vAlign w:val="center"/>
          </w:tcPr>
          <w:p>
            <w:pPr>
              <w:widowControl/>
              <w:spacing w:line="360" w:lineRule="auto"/>
              <w:ind w:left="480" w:firstLine="480" w:firstLineChars="200"/>
              <w:rPr>
                <w:kern w:val="0"/>
                <w:sz w:val="24"/>
              </w:rPr>
            </w:pPr>
            <w:r>
              <w:rPr>
                <w:kern w:val="0"/>
                <w:sz w:val="24"/>
              </w:rPr>
              <w:t>一、污水</w:t>
            </w:r>
          </w:p>
          <w:p>
            <w:pPr>
              <w:widowControl/>
              <w:spacing w:line="360" w:lineRule="auto"/>
              <w:ind w:left="480" w:firstLine="480" w:firstLineChars="200"/>
              <w:rPr>
                <w:kern w:val="0"/>
                <w:sz w:val="24"/>
                <w:lang w:val="fr-FR"/>
              </w:rPr>
            </w:pPr>
            <w:r>
              <w:rPr>
                <w:rFonts w:hint="eastAsia"/>
                <w:kern w:val="0"/>
                <w:sz w:val="24"/>
              </w:rPr>
              <w:t>本项目废水主要为生活废水和生产废水，生产废水主要来自于地坪冲洗和车体清洗水，生产废水通过一期已建隔油池处理后排入污水处理站，餐饮废水通过已建餐饮废水隔油池处理后同其他生活污水一同排入化粪池处理后排入污水处理站，处理后近期非雨天回用于厂区绿化；远期非雨天回用于厂区绿化，雨天通过总排口排入滇池南岸截污管网，最终进入淤泥河污水处理厂</w:t>
            </w:r>
            <w:r>
              <w:rPr>
                <w:kern w:val="0"/>
                <w:sz w:val="24"/>
              </w:rPr>
              <w:t>。本项目废水污染物排放指标计入</w:t>
            </w:r>
            <w:r>
              <w:rPr>
                <w:rFonts w:hint="eastAsia"/>
                <w:kern w:val="0"/>
                <w:sz w:val="24"/>
              </w:rPr>
              <w:t>淤泥河水质净化厂</w:t>
            </w:r>
            <w:r>
              <w:rPr>
                <w:kern w:val="0"/>
                <w:sz w:val="24"/>
              </w:rPr>
              <w:t>总量控制指标。</w:t>
            </w:r>
          </w:p>
          <w:p>
            <w:pPr>
              <w:widowControl/>
              <w:spacing w:line="360" w:lineRule="auto"/>
              <w:ind w:left="480" w:firstLine="480" w:firstLineChars="200"/>
              <w:rPr>
                <w:kern w:val="0"/>
                <w:sz w:val="24"/>
              </w:rPr>
            </w:pPr>
            <w:r>
              <w:rPr>
                <w:kern w:val="0"/>
                <w:sz w:val="24"/>
              </w:rPr>
              <w:t>二、固体废弃物</w:t>
            </w:r>
          </w:p>
          <w:p>
            <w:pPr>
              <w:widowControl/>
              <w:spacing w:line="360" w:lineRule="auto"/>
              <w:ind w:left="480" w:firstLine="480" w:firstLineChars="200"/>
              <w:rPr>
                <w:kern w:val="0"/>
                <w:sz w:val="24"/>
                <w:lang w:val="fr-FR"/>
              </w:rPr>
            </w:pPr>
            <w:r>
              <w:rPr>
                <w:rFonts w:hint="eastAsia"/>
                <w:kern w:val="0"/>
                <w:sz w:val="24"/>
              </w:rPr>
              <w:t>危险废物</w:t>
            </w:r>
            <w:r>
              <w:rPr>
                <w:kern w:val="0"/>
                <w:sz w:val="24"/>
              </w:rPr>
              <w:t>、生活垃圾处置率100％。</w:t>
            </w:r>
          </w:p>
          <w:p>
            <w:pPr>
              <w:adjustRightInd w:val="0"/>
              <w:snapToGrid w:val="0"/>
              <w:jc w:val="center"/>
              <w:rPr>
                <w:kern w:val="0"/>
                <w:szCs w:val="21"/>
              </w:rPr>
            </w:pPr>
            <w:r>
              <w:rPr>
                <w:kern w:val="0"/>
                <w:sz w:val="24"/>
                <w:lang w:val="fr-FR"/>
              </w:rPr>
              <w:t xml:space="preserve">        </w:t>
            </w:r>
          </w:p>
        </w:tc>
      </w:tr>
    </w:tbl>
    <w:p>
      <w:pPr>
        <w:pStyle w:val="39"/>
        <w:jc w:val="center"/>
        <w:outlineLvl w:val="0"/>
        <w:rPr>
          <w:rFonts w:ascii="Times New Roman" w:hAnsi="Times New Roman"/>
          <w:snapToGrid w:val="0"/>
          <w:sz w:val="30"/>
          <w:szCs w:val="30"/>
        </w:rPr>
      </w:pPr>
      <w:r>
        <w:rPr>
          <w:rFonts w:ascii="Times New Roman" w:hAnsi="Times New Roman"/>
          <w:snapToGrid w:val="0"/>
          <w:sz w:val="36"/>
          <w:szCs w:val="36"/>
        </w:rPr>
        <w:br w:type="page"/>
      </w:r>
      <w:bookmarkStart w:id="108" w:name="_Toc69230296"/>
      <w:r>
        <w:rPr>
          <w:rFonts w:ascii="Times New Roman" w:hAnsi="Times New Roman"/>
          <w:snapToGrid w:val="0"/>
          <w:sz w:val="30"/>
          <w:szCs w:val="30"/>
        </w:rPr>
        <w:t>四、主要环境影响和保护措施</w:t>
      </w:r>
      <w:bookmarkEnd w:id="108"/>
    </w:p>
    <w:tbl>
      <w:tblPr>
        <w:tblStyle w:val="44"/>
        <w:tblW w:w="877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0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49" w:hRule="atLeast"/>
          <w:jc w:val="center"/>
        </w:trPr>
        <w:tc>
          <w:tcPr>
            <w:tcW w:w="746" w:type="dxa"/>
            <w:tcMar>
              <w:left w:w="28" w:type="dxa"/>
              <w:right w:w="28" w:type="dxa"/>
            </w:tcMar>
            <w:vAlign w:val="center"/>
          </w:tcPr>
          <w:p>
            <w:pPr>
              <w:pStyle w:val="39"/>
              <w:adjustRightInd w:val="0"/>
              <w:snapToGrid w:val="0"/>
              <w:spacing w:before="0" w:beforeAutospacing="0" w:after="0" w:afterAutospacing="0"/>
              <w:jc w:val="center"/>
              <w:rPr>
                <w:rFonts w:ascii="Times New Roman" w:hAnsi="Times New Roman" w:eastAsiaTheme="minorEastAsia"/>
                <w:kern w:val="2"/>
                <w:sz w:val="21"/>
                <w:szCs w:val="21"/>
              </w:rPr>
            </w:pPr>
            <w:r>
              <w:rPr>
                <w:rFonts w:ascii="Times New Roman" w:hAnsi="Times New Roman" w:eastAsiaTheme="minorEastAsia"/>
                <w:kern w:val="2"/>
                <w:sz w:val="21"/>
                <w:szCs w:val="21"/>
              </w:rPr>
              <w:t>施工</w:t>
            </w:r>
          </w:p>
          <w:p>
            <w:pPr>
              <w:pStyle w:val="39"/>
              <w:adjustRightInd w:val="0"/>
              <w:snapToGrid w:val="0"/>
              <w:spacing w:before="0" w:beforeAutospacing="0" w:after="0" w:afterAutospacing="0"/>
              <w:jc w:val="center"/>
              <w:rPr>
                <w:rFonts w:ascii="Times New Roman" w:hAnsi="Times New Roman" w:eastAsiaTheme="minorEastAsia"/>
                <w:kern w:val="2"/>
                <w:sz w:val="21"/>
                <w:szCs w:val="21"/>
              </w:rPr>
            </w:pPr>
            <w:r>
              <w:rPr>
                <w:rFonts w:ascii="Times New Roman" w:hAnsi="Times New Roman" w:eastAsiaTheme="minorEastAsia"/>
                <w:kern w:val="2"/>
                <w:sz w:val="21"/>
                <w:szCs w:val="21"/>
              </w:rPr>
              <w:t>期环</w:t>
            </w:r>
          </w:p>
          <w:p>
            <w:pPr>
              <w:pStyle w:val="39"/>
              <w:adjustRightInd w:val="0"/>
              <w:snapToGrid w:val="0"/>
              <w:spacing w:before="0" w:beforeAutospacing="0" w:after="0" w:afterAutospacing="0"/>
              <w:jc w:val="center"/>
              <w:rPr>
                <w:rFonts w:ascii="Times New Roman" w:hAnsi="Times New Roman" w:eastAsiaTheme="minorEastAsia"/>
                <w:kern w:val="2"/>
                <w:sz w:val="21"/>
                <w:szCs w:val="21"/>
              </w:rPr>
            </w:pPr>
            <w:r>
              <w:rPr>
                <w:rFonts w:ascii="Times New Roman" w:hAnsi="Times New Roman" w:eastAsiaTheme="minorEastAsia"/>
                <w:kern w:val="2"/>
                <w:sz w:val="21"/>
                <w:szCs w:val="21"/>
              </w:rPr>
              <w:t>境影响和保</w:t>
            </w:r>
          </w:p>
          <w:p>
            <w:pPr>
              <w:pStyle w:val="39"/>
              <w:adjustRightInd w:val="0"/>
              <w:snapToGrid w:val="0"/>
              <w:spacing w:before="0" w:beforeAutospacing="0" w:after="0" w:afterAutospacing="0"/>
              <w:jc w:val="center"/>
              <w:rPr>
                <w:rFonts w:ascii="Times New Roman" w:hAnsi="Times New Roman" w:eastAsiaTheme="minorEastAsia"/>
                <w:kern w:val="2"/>
                <w:sz w:val="21"/>
                <w:szCs w:val="21"/>
              </w:rPr>
            </w:pPr>
            <w:r>
              <w:rPr>
                <w:rFonts w:ascii="Times New Roman" w:hAnsi="Times New Roman" w:eastAsiaTheme="minorEastAsia"/>
                <w:kern w:val="2"/>
                <w:sz w:val="21"/>
                <w:szCs w:val="21"/>
              </w:rPr>
              <w:t>护措</w:t>
            </w:r>
          </w:p>
          <w:p>
            <w:pPr>
              <w:pStyle w:val="39"/>
              <w:adjustRightInd w:val="0"/>
              <w:snapToGrid w:val="0"/>
              <w:spacing w:before="0" w:beforeAutospacing="0" w:after="0" w:afterAutospacing="0"/>
              <w:jc w:val="center"/>
              <w:rPr>
                <w:rFonts w:ascii="Times New Roman" w:hAnsi="Times New Roman" w:eastAsiaTheme="minorEastAsia"/>
                <w:bCs/>
                <w:kern w:val="2"/>
                <w:sz w:val="21"/>
                <w:szCs w:val="21"/>
              </w:rPr>
            </w:pPr>
            <w:r>
              <w:rPr>
                <w:rFonts w:ascii="Times New Roman" w:hAnsi="Times New Roman" w:eastAsiaTheme="minorEastAsia"/>
                <w:kern w:val="2"/>
                <w:sz w:val="21"/>
                <w:szCs w:val="21"/>
              </w:rPr>
              <w:t>施</w:t>
            </w:r>
          </w:p>
        </w:tc>
        <w:tc>
          <w:tcPr>
            <w:tcW w:w="8033" w:type="dxa"/>
            <w:vAlign w:val="center"/>
          </w:tcPr>
          <w:p>
            <w:pPr>
              <w:adjustRightInd w:val="0"/>
              <w:snapToGrid w:val="0"/>
              <w:spacing w:line="360" w:lineRule="auto"/>
              <w:rPr>
                <w:rFonts w:eastAsiaTheme="minorEastAsia"/>
                <w:b/>
                <w:bCs/>
                <w:spacing w:val="-10"/>
                <w:sz w:val="24"/>
              </w:rPr>
            </w:pPr>
            <w:r>
              <w:rPr>
                <w:rFonts w:eastAsiaTheme="minorEastAsia"/>
                <w:b/>
                <w:bCs/>
                <w:spacing w:val="-10"/>
                <w:sz w:val="24"/>
              </w:rPr>
              <w:t>一、施工期环境影响分析</w:t>
            </w:r>
          </w:p>
          <w:p>
            <w:pPr>
              <w:widowControl/>
              <w:adjustRightInd w:val="0"/>
              <w:snapToGrid w:val="0"/>
              <w:spacing w:line="360" w:lineRule="auto"/>
              <w:ind w:firstLine="472" w:firstLineChars="196"/>
              <w:rPr>
                <w:b/>
                <w:bCs/>
                <w:kern w:val="0"/>
                <w:sz w:val="24"/>
              </w:rPr>
            </w:pPr>
            <w:r>
              <w:rPr>
                <w:b/>
                <w:kern w:val="0"/>
                <w:sz w:val="24"/>
              </w:rPr>
              <w:t>1、</w:t>
            </w:r>
            <w:r>
              <w:rPr>
                <w:b/>
                <w:bCs/>
                <w:kern w:val="0"/>
                <w:sz w:val="24"/>
              </w:rPr>
              <w:t>环境空气影响分析</w:t>
            </w:r>
          </w:p>
          <w:p>
            <w:pPr>
              <w:widowControl/>
              <w:tabs>
                <w:tab w:val="left" w:pos="6046"/>
              </w:tabs>
              <w:spacing w:line="360" w:lineRule="auto"/>
              <w:ind w:firstLine="480" w:firstLineChars="200"/>
              <w:jc w:val="left"/>
              <w:rPr>
                <w:kern w:val="0"/>
                <w:sz w:val="24"/>
              </w:rPr>
            </w:pPr>
            <w:r>
              <w:rPr>
                <w:rFonts w:hint="eastAsia"/>
                <w:kern w:val="0"/>
                <w:sz w:val="24"/>
              </w:rPr>
              <w:t>①施工扬尘</w:t>
            </w:r>
          </w:p>
          <w:p>
            <w:pPr>
              <w:widowControl/>
              <w:spacing w:line="360" w:lineRule="auto"/>
              <w:ind w:firstLine="480" w:firstLineChars="200"/>
              <w:jc w:val="left"/>
              <w:rPr>
                <w:color w:val="0000CC"/>
                <w:kern w:val="0"/>
                <w:sz w:val="24"/>
              </w:rPr>
            </w:pPr>
            <w:r>
              <w:rPr>
                <w:rFonts w:hAnsi="宋体"/>
                <w:color w:val="0000CC"/>
                <w:kern w:val="0"/>
                <w:sz w:val="24"/>
              </w:rPr>
              <w:t>施工扬尘主要集中在项目土建施工阶段。施工扬尘污染的危害不容忽视，在施工现场的作业人员，如果长时间吸入大量细微尘埃，不但会引起各种呼吸道疾病，而且扬尘中可能携带病源菌，还会传染其它各种疾病，施工作业人员的身体健康存在一定的安全隐患。</w:t>
            </w:r>
          </w:p>
          <w:p>
            <w:pPr>
              <w:widowControl/>
              <w:spacing w:line="360" w:lineRule="auto"/>
              <w:ind w:firstLine="480" w:firstLineChars="200"/>
              <w:jc w:val="left"/>
              <w:rPr>
                <w:color w:val="0000CC"/>
                <w:kern w:val="0"/>
                <w:sz w:val="24"/>
              </w:rPr>
            </w:pPr>
            <w:r>
              <w:rPr>
                <w:rFonts w:hAnsi="宋体"/>
                <w:color w:val="0000CC"/>
                <w:kern w:val="0"/>
                <w:sz w:val="24"/>
              </w:rPr>
              <w:t>施工扬尘按起尘的原因可分为风力起尘和动力起尘。其中，风力起尘主要是由于露天堆放的建材及裸露的施工区表层浮尘因天气干燥及大风，产生风尘扬尘；而动力起尘，主要是在建材的装卸过程中，由于外力而产生的尘粒再悬浮而造成，其中施工及装卸车辆造成的扬尘最为严重。</w:t>
            </w:r>
          </w:p>
          <w:p>
            <w:pPr>
              <w:widowControl/>
              <w:spacing w:line="360" w:lineRule="auto"/>
              <w:ind w:firstLine="480" w:firstLineChars="200"/>
              <w:jc w:val="left"/>
              <w:rPr>
                <w:kern w:val="0"/>
                <w:sz w:val="24"/>
              </w:rPr>
            </w:pPr>
            <w:r>
              <w:rPr>
                <w:rFonts w:hAnsi="宋体"/>
                <w:kern w:val="0"/>
                <w:sz w:val="24"/>
              </w:rPr>
              <w:t>施工期产生的风力扬尘主要来源于露天堆场和裸露场地。鉴于施工的需要，一些建材需露天堆放；一些施工点表层土壤需人工开挖、堆放，在气候干燥且有风的情况下，会产生扬尘。</w:t>
            </w:r>
          </w:p>
          <w:p>
            <w:pPr>
              <w:widowControl/>
              <w:spacing w:line="360" w:lineRule="auto"/>
              <w:ind w:firstLine="480" w:firstLineChars="200"/>
              <w:jc w:val="left"/>
              <w:rPr>
                <w:kern w:val="0"/>
                <w:sz w:val="24"/>
              </w:rPr>
            </w:pPr>
            <w:r>
              <w:rPr>
                <w:rFonts w:hAnsi="宋体"/>
                <w:kern w:val="0"/>
                <w:sz w:val="24"/>
              </w:rPr>
              <w:t>根据经验计算，堆场起尘的计算公式如下：</w:t>
            </w:r>
          </w:p>
          <w:p>
            <w:pPr>
              <w:widowControl/>
              <w:spacing w:line="360" w:lineRule="auto"/>
              <w:ind w:firstLine="2160" w:firstLineChars="900"/>
              <w:jc w:val="left"/>
              <w:rPr>
                <w:kern w:val="0"/>
                <w:sz w:val="24"/>
              </w:rPr>
            </w:pPr>
            <w:r>
              <w:rPr>
                <w:kern w:val="0"/>
                <w:position w:val="-12"/>
                <w:sz w:val="24"/>
              </w:rPr>
              <w:drawing>
                <wp:inline distT="0" distB="0" distL="0" distR="0">
                  <wp:extent cx="1562100" cy="2762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62100" cy="276225"/>
                          </a:xfrm>
                          <a:prstGeom prst="rect">
                            <a:avLst/>
                          </a:prstGeom>
                          <a:noFill/>
                          <a:ln>
                            <a:noFill/>
                          </a:ln>
                        </pic:spPr>
                      </pic:pic>
                    </a:graphicData>
                  </a:graphic>
                </wp:inline>
              </w:drawing>
            </w:r>
          </w:p>
          <w:p>
            <w:pPr>
              <w:widowControl/>
              <w:spacing w:line="360" w:lineRule="auto"/>
              <w:ind w:firstLine="480" w:firstLineChars="200"/>
              <w:jc w:val="left"/>
              <w:rPr>
                <w:kern w:val="0"/>
                <w:sz w:val="24"/>
              </w:rPr>
            </w:pPr>
            <w:r>
              <w:rPr>
                <w:kern w:val="0"/>
                <w:sz w:val="24"/>
              </w:rPr>
              <w:t xml:space="preserve">          </w:t>
            </w:r>
            <w:r>
              <w:rPr>
                <w:rFonts w:hAnsi="宋体"/>
                <w:kern w:val="0"/>
                <w:sz w:val="24"/>
              </w:rPr>
              <w:t>式中：</w:t>
            </w:r>
            <w:r>
              <w:rPr>
                <w:kern w:val="0"/>
                <w:sz w:val="24"/>
              </w:rPr>
              <w:t>Q——</w:t>
            </w:r>
            <w:r>
              <w:rPr>
                <w:rFonts w:hAnsi="宋体"/>
                <w:kern w:val="0"/>
                <w:sz w:val="24"/>
              </w:rPr>
              <w:t>起尘量，</w:t>
            </w:r>
            <w:r>
              <w:rPr>
                <w:kern w:val="0"/>
                <w:sz w:val="24"/>
              </w:rPr>
              <w:t>kg/</w:t>
            </w:r>
            <w:r>
              <w:rPr>
                <w:rFonts w:hAnsi="宋体"/>
                <w:kern w:val="0"/>
                <w:sz w:val="24"/>
              </w:rPr>
              <w:t>吨</w:t>
            </w:r>
            <w:r>
              <w:rPr>
                <w:kern w:val="0"/>
                <w:sz w:val="24"/>
              </w:rPr>
              <w:t>·</w:t>
            </w:r>
            <w:r>
              <w:rPr>
                <w:rFonts w:hAnsi="宋体"/>
                <w:kern w:val="0"/>
                <w:sz w:val="24"/>
              </w:rPr>
              <w:t>年</w:t>
            </w:r>
          </w:p>
          <w:p>
            <w:pPr>
              <w:widowControl/>
              <w:spacing w:line="360" w:lineRule="auto"/>
              <w:ind w:firstLine="480" w:firstLineChars="200"/>
              <w:jc w:val="left"/>
              <w:outlineLvl w:val="0"/>
              <w:rPr>
                <w:kern w:val="0"/>
                <w:sz w:val="24"/>
              </w:rPr>
            </w:pPr>
            <w:r>
              <w:rPr>
                <w:kern w:val="0"/>
                <w:sz w:val="24"/>
              </w:rPr>
              <w:t xml:space="preserve">                </w:t>
            </w:r>
            <w:bookmarkStart w:id="109" w:name="_Toc369874447"/>
            <w:bookmarkStart w:id="110" w:name="_Toc370399302"/>
            <w:r>
              <w:rPr>
                <w:kern w:val="0"/>
                <w:sz w:val="24"/>
              </w:rPr>
              <w:t>V</w:t>
            </w:r>
            <w:r>
              <w:rPr>
                <w:kern w:val="0"/>
                <w:sz w:val="24"/>
                <w:vertAlign w:val="subscript"/>
              </w:rPr>
              <w:t>50</w:t>
            </w:r>
            <w:r>
              <w:rPr>
                <w:kern w:val="0"/>
                <w:sz w:val="24"/>
              </w:rPr>
              <w:t>——</w:t>
            </w:r>
            <w:r>
              <w:rPr>
                <w:rFonts w:hAnsi="宋体"/>
                <w:kern w:val="0"/>
                <w:sz w:val="24"/>
              </w:rPr>
              <w:t>距地面</w:t>
            </w:r>
            <w:r>
              <w:rPr>
                <w:kern w:val="0"/>
                <w:sz w:val="24"/>
              </w:rPr>
              <w:t>50m</w:t>
            </w:r>
            <w:r>
              <w:rPr>
                <w:rFonts w:hAnsi="宋体"/>
                <w:kern w:val="0"/>
                <w:sz w:val="24"/>
              </w:rPr>
              <w:t>处风速，</w:t>
            </w:r>
            <w:r>
              <w:rPr>
                <w:kern w:val="0"/>
                <w:sz w:val="24"/>
              </w:rPr>
              <w:t>m/s</w:t>
            </w:r>
            <w:r>
              <w:rPr>
                <w:rFonts w:hAnsi="宋体"/>
                <w:kern w:val="0"/>
                <w:sz w:val="24"/>
              </w:rPr>
              <w:t>；</w:t>
            </w:r>
            <w:bookmarkEnd w:id="109"/>
            <w:bookmarkEnd w:id="110"/>
          </w:p>
          <w:p>
            <w:pPr>
              <w:widowControl/>
              <w:tabs>
                <w:tab w:val="left" w:pos="280"/>
              </w:tabs>
              <w:spacing w:line="360" w:lineRule="auto"/>
              <w:ind w:firstLine="2388" w:firstLineChars="995"/>
              <w:jc w:val="left"/>
              <w:rPr>
                <w:kern w:val="0"/>
                <w:sz w:val="24"/>
              </w:rPr>
            </w:pPr>
            <w:r>
              <w:rPr>
                <w:kern w:val="0"/>
                <w:sz w:val="24"/>
              </w:rPr>
              <w:t>V</w:t>
            </w:r>
            <w:r>
              <w:rPr>
                <w:kern w:val="0"/>
                <w:sz w:val="24"/>
                <w:vertAlign w:val="subscript"/>
              </w:rPr>
              <w:t>0</w:t>
            </w:r>
            <w:r>
              <w:rPr>
                <w:kern w:val="0"/>
                <w:sz w:val="24"/>
              </w:rPr>
              <w:t>——</w:t>
            </w:r>
            <w:r>
              <w:rPr>
                <w:rFonts w:hAnsi="宋体"/>
                <w:kern w:val="0"/>
                <w:sz w:val="24"/>
              </w:rPr>
              <w:t>起尘</w:t>
            </w:r>
            <w:bookmarkStart w:id="111" w:name="_Hlt9132753"/>
            <w:bookmarkEnd w:id="111"/>
            <w:r>
              <w:rPr>
                <w:rFonts w:hAnsi="宋体"/>
                <w:kern w:val="0"/>
                <w:sz w:val="24"/>
              </w:rPr>
              <w:t>风速，</w:t>
            </w:r>
            <w:r>
              <w:rPr>
                <w:kern w:val="0"/>
                <w:sz w:val="24"/>
              </w:rPr>
              <w:t>m/s</w:t>
            </w:r>
            <w:r>
              <w:rPr>
                <w:rFonts w:hAnsi="宋体"/>
                <w:kern w:val="0"/>
                <w:sz w:val="24"/>
              </w:rPr>
              <w:t>；</w:t>
            </w:r>
          </w:p>
          <w:p>
            <w:pPr>
              <w:widowControl/>
              <w:tabs>
                <w:tab w:val="left" w:pos="280"/>
              </w:tabs>
              <w:spacing w:line="360" w:lineRule="auto"/>
              <w:ind w:firstLine="2388" w:firstLineChars="995"/>
              <w:jc w:val="left"/>
              <w:rPr>
                <w:kern w:val="0"/>
                <w:sz w:val="24"/>
              </w:rPr>
            </w:pPr>
            <w:r>
              <w:rPr>
                <w:kern w:val="0"/>
                <w:sz w:val="24"/>
              </w:rPr>
              <w:t>W——</w:t>
            </w:r>
            <w:r>
              <w:rPr>
                <w:rFonts w:hAnsi="宋体"/>
                <w:kern w:val="0"/>
                <w:sz w:val="24"/>
              </w:rPr>
              <w:t>尘粒的含水率，</w:t>
            </w:r>
            <w:r>
              <w:rPr>
                <w:kern w:val="0"/>
                <w:sz w:val="24"/>
              </w:rPr>
              <w:t>%</w:t>
            </w:r>
            <w:r>
              <w:rPr>
                <w:rFonts w:hAnsi="宋体"/>
                <w:kern w:val="0"/>
                <w:sz w:val="24"/>
              </w:rPr>
              <w:t>。</w:t>
            </w:r>
          </w:p>
          <w:p>
            <w:pPr>
              <w:widowControl/>
              <w:tabs>
                <w:tab w:val="left" w:pos="280"/>
              </w:tabs>
              <w:spacing w:line="360" w:lineRule="auto"/>
              <w:ind w:firstLine="480" w:firstLineChars="200"/>
              <w:jc w:val="left"/>
              <w:rPr>
                <w:rFonts w:hAnsi="宋体"/>
                <w:kern w:val="0"/>
                <w:sz w:val="24"/>
              </w:rPr>
            </w:pPr>
            <w:r>
              <w:rPr>
                <w:rFonts w:hAnsi="宋体"/>
                <w:kern w:val="0"/>
                <w:sz w:val="24"/>
              </w:rPr>
              <w:t>由上式可知，尘粒在空气中的传播扩散情况与风速等气象条件有关，也与尘粒本身的沉降速度有关。不同粒径的尘粒的沉降速度见表</w:t>
            </w:r>
            <w:r>
              <w:rPr>
                <w:rFonts w:hint="eastAsia"/>
                <w:kern w:val="0"/>
                <w:sz w:val="24"/>
              </w:rPr>
              <w:t>7-1</w:t>
            </w:r>
            <w:r>
              <w:rPr>
                <w:rFonts w:hAnsi="宋体"/>
                <w:kern w:val="0"/>
                <w:sz w:val="24"/>
              </w:rPr>
              <w:t>。</w:t>
            </w:r>
          </w:p>
          <w:p>
            <w:pPr>
              <w:widowControl/>
              <w:tabs>
                <w:tab w:val="left" w:pos="280"/>
              </w:tabs>
              <w:spacing w:line="360" w:lineRule="auto"/>
              <w:ind w:firstLine="482" w:firstLineChars="200"/>
              <w:jc w:val="center"/>
              <w:rPr>
                <w:b/>
                <w:kern w:val="0"/>
                <w:sz w:val="24"/>
              </w:rPr>
            </w:pPr>
            <w:r>
              <w:rPr>
                <w:rFonts w:hAnsi="宋体"/>
                <w:b/>
                <w:kern w:val="0"/>
                <w:sz w:val="24"/>
              </w:rPr>
              <w:t>表</w:t>
            </w:r>
            <w:r>
              <w:rPr>
                <w:rFonts w:hint="eastAsia"/>
                <w:b/>
                <w:kern w:val="0"/>
                <w:sz w:val="24"/>
              </w:rPr>
              <w:t xml:space="preserve">7-1 </w:t>
            </w:r>
            <w:r>
              <w:rPr>
                <w:rFonts w:hAnsi="宋体"/>
                <w:b/>
                <w:kern w:val="0"/>
                <w:sz w:val="24"/>
              </w:rPr>
              <w:t>不同粒径尘粒的沉降速度</w:t>
            </w:r>
          </w:p>
          <w:tbl>
            <w:tblPr>
              <w:tblStyle w:val="44"/>
              <w:tblW w:w="795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79"/>
              <w:gridCol w:w="905"/>
              <w:gridCol w:w="905"/>
              <w:gridCol w:w="814"/>
              <w:gridCol w:w="938"/>
              <w:gridCol w:w="938"/>
              <w:gridCol w:w="905"/>
              <w:gridCol w:w="96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46" w:hRule="atLeast"/>
                <w:jc w:val="center"/>
              </w:trPr>
              <w:tc>
                <w:tcPr>
                  <w:tcW w:w="1579" w:type="dxa"/>
                  <w:vAlign w:val="center"/>
                </w:tcPr>
                <w:p>
                  <w:pPr>
                    <w:widowControl/>
                    <w:jc w:val="center"/>
                    <w:rPr>
                      <w:rFonts w:hAnsi="宋体"/>
                      <w:kern w:val="0"/>
                      <w:szCs w:val="21"/>
                    </w:rPr>
                  </w:pPr>
                  <w:r>
                    <w:rPr>
                      <w:rFonts w:hAnsi="宋体"/>
                      <w:kern w:val="0"/>
                      <w:szCs w:val="21"/>
                    </w:rPr>
                    <w:t>粒径，μm</w:t>
                  </w:r>
                </w:p>
              </w:tc>
              <w:tc>
                <w:tcPr>
                  <w:tcW w:w="905" w:type="dxa"/>
                  <w:vAlign w:val="center"/>
                </w:tcPr>
                <w:p>
                  <w:pPr>
                    <w:widowControl/>
                    <w:jc w:val="center"/>
                    <w:rPr>
                      <w:rFonts w:hAnsi="宋体"/>
                      <w:kern w:val="0"/>
                      <w:szCs w:val="21"/>
                    </w:rPr>
                  </w:pPr>
                  <w:r>
                    <w:rPr>
                      <w:rFonts w:hAnsi="宋体"/>
                      <w:kern w:val="0"/>
                      <w:szCs w:val="21"/>
                    </w:rPr>
                    <w:t>10</w:t>
                  </w:r>
                </w:p>
              </w:tc>
              <w:tc>
                <w:tcPr>
                  <w:tcW w:w="905" w:type="dxa"/>
                  <w:vAlign w:val="center"/>
                </w:tcPr>
                <w:p>
                  <w:pPr>
                    <w:widowControl/>
                    <w:jc w:val="center"/>
                    <w:rPr>
                      <w:rFonts w:hAnsi="宋体"/>
                      <w:kern w:val="0"/>
                      <w:szCs w:val="21"/>
                    </w:rPr>
                  </w:pPr>
                  <w:r>
                    <w:rPr>
                      <w:rFonts w:hAnsi="宋体"/>
                      <w:kern w:val="0"/>
                      <w:szCs w:val="21"/>
                    </w:rPr>
                    <w:t>20</w:t>
                  </w:r>
                </w:p>
              </w:tc>
              <w:tc>
                <w:tcPr>
                  <w:tcW w:w="814" w:type="dxa"/>
                  <w:vAlign w:val="center"/>
                </w:tcPr>
                <w:p>
                  <w:pPr>
                    <w:widowControl/>
                    <w:jc w:val="center"/>
                    <w:rPr>
                      <w:rFonts w:hAnsi="宋体"/>
                      <w:kern w:val="0"/>
                      <w:szCs w:val="21"/>
                    </w:rPr>
                  </w:pPr>
                  <w:r>
                    <w:rPr>
                      <w:rFonts w:hAnsi="宋体"/>
                      <w:kern w:val="0"/>
                      <w:szCs w:val="21"/>
                    </w:rPr>
                    <w:t>30</w:t>
                  </w:r>
                </w:p>
              </w:tc>
              <w:tc>
                <w:tcPr>
                  <w:tcW w:w="938" w:type="dxa"/>
                  <w:vAlign w:val="center"/>
                </w:tcPr>
                <w:p>
                  <w:pPr>
                    <w:widowControl/>
                    <w:jc w:val="center"/>
                    <w:rPr>
                      <w:rFonts w:hAnsi="宋体"/>
                      <w:kern w:val="0"/>
                      <w:szCs w:val="21"/>
                    </w:rPr>
                  </w:pPr>
                  <w:r>
                    <w:rPr>
                      <w:rFonts w:hAnsi="宋体"/>
                      <w:kern w:val="0"/>
                      <w:szCs w:val="21"/>
                    </w:rPr>
                    <w:t>40</w:t>
                  </w:r>
                </w:p>
              </w:tc>
              <w:tc>
                <w:tcPr>
                  <w:tcW w:w="938" w:type="dxa"/>
                  <w:vAlign w:val="center"/>
                </w:tcPr>
                <w:p>
                  <w:pPr>
                    <w:widowControl/>
                    <w:jc w:val="center"/>
                    <w:rPr>
                      <w:rFonts w:hAnsi="宋体"/>
                      <w:kern w:val="0"/>
                      <w:szCs w:val="21"/>
                    </w:rPr>
                  </w:pPr>
                  <w:r>
                    <w:rPr>
                      <w:rFonts w:hAnsi="宋体"/>
                      <w:kern w:val="0"/>
                      <w:szCs w:val="21"/>
                    </w:rPr>
                    <w:t>50</w:t>
                  </w:r>
                </w:p>
              </w:tc>
              <w:tc>
                <w:tcPr>
                  <w:tcW w:w="905" w:type="dxa"/>
                  <w:vAlign w:val="center"/>
                </w:tcPr>
                <w:p>
                  <w:pPr>
                    <w:widowControl/>
                    <w:jc w:val="center"/>
                    <w:rPr>
                      <w:rFonts w:hAnsi="宋体"/>
                      <w:kern w:val="0"/>
                      <w:szCs w:val="21"/>
                    </w:rPr>
                  </w:pPr>
                  <w:r>
                    <w:rPr>
                      <w:rFonts w:hAnsi="宋体"/>
                      <w:kern w:val="0"/>
                      <w:szCs w:val="21"/>
                    </w:rPr>
                    <w:t>60</w:t>
                  </w:r>
                </w:p>
              </w:tc>
              <w:tc>
                <w:tcPr>
                  <w:tcW w:w="969" w:type="dxa"/>
                  <w:vAlign w:val="center"/>
                </w:tcPr>
                <w:p>
                  <w:pPr>
                    <w:widowControl/>
                    <w:jc w:val="center"/>
                    <w:rPr>
                      <w:rFonts w:hAnsi="宋体"/>
                      <w:kern w:val="0"/>
                      <w:szCs w:val="21"/>
                    </w:rPr>
                  </w:pPr>
                  <w:r>
                    <w:rPr>
                      <w:rFonts w:hAnsi="宋体"/>
                      <w:kern w:val="0"/>
                      <w:szCs w:val="21"/>
                    </w:rPr>
                    <w:t>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764" w:hRule="atLeast"/>
                <w:jc w:val="center"/>
              </w:trPr>
              <w:tc>
                <w:tcPr>
                  <w:tcW w:w="1579" w:type="dxa"/>
                  <w:vAlign w:val="center"/>
                </w:tcPr>
                <w:p>
                  <w:pPr>
                    <w:widowControl/>
                    <w:jc w:val="center"/>
                    <w:rPr>
                      <w:rFonts w:hAnsi="宋体"/>
                      <w:kern w:val="0"/>
                      <w:szCs w:val="21"/>
                    </w:rPr>
                  </w:pPr>
                  <w:r>
                    <w:rPr>
                      <w:rFonts w:hAnsi="宋体"/>
                      <w:kern w:val="0"/>
                      <w:szCs w:val="21"/>
                    </w:rPr>
                    <w:t>沉降速度，m/s</w:t>
                  </w:r>
                </w:p>
              </w:tc>
              <w:tc>
                <w:tcPr>
                  <w:tcW w:w="905" w:type="dxa"/>
                  <w:vAlign w:val="center"/>
                </w:tcPr>
                <w:p>
                  <w:pPr>
                    <w:widowControl/>
                    <w:jc w:val="center"/>
                    <w:rPr>
                      <w:rFonts w:hAnsi="宋体"/>
                      <w:kern w:val="0"/>
                      <w:szCs w:val="21"/>
                    </w:rPr>
                  </w:pPr>
                  <w:r>
                    <w:rPr>
                      <w:rFonts w:hAnsi="宋体"/>
                      <w:kern w:val="0"/>
                      <w:szCs w:val="21"/>
                    </w:rPr>
                    <w:t>0.003</w:t>
                  </w:r>
                </w:p>
              </w:tc>
              <w:tc>
                <w:tcPr>
                  <w:tcW w:w="905" w:type="dxa"/>
                  <w:vAlign w:val="center"/>
                </w:tcPr>
                <w:p>
                  <w:pPr>
                    <w:widowControl/>
                    <w:jc w:val="center"/>
                    <w:rPr>
                      <w:rFonts w:hAnsi="宋体"/>
                      <w:kern w:val="0"/>
                      <w:szCs w:val="21"/>
                    </w:rPr>
                  </w:pPr>
                  <w:r>
                    <w:rPr>
                      <w:rFonts w:hAnsi="宋体"/>
                      <w:kern w:val="0"/>
                      <w:szCs w:val="21"/>
                    </w:rPr>
                    <w:t>0.012</w:t>
                  </w:r>
                </w:p>
              </w:tc>
              <w:tc>
                <w:tcPr>
                  <w:tcW w:w="814" w:type="dxa"/>
                  <w:vAlign w:val="center"/>
                </w:tcPr>
                <w:p>
                  <w:pPr>
                    <w:widowControl/>
                    <w:jc w:val="center"/>
                    <w:rPr>
                      <w:rFonts w:hAnsi="宋体"/>
                      <w:kern w:val="0"/>
                      <w:szCs w:val="21"/>
                    </w:rPr>
                  </w:pPr>
                  <w:r>
                    <w:rPr>
                      <w:rFonts w:hAnsi="宋体"/>
                      <w:kern w:val="0"/>
                      <w:szCs w:val="21"/>
                    </w:rPr>
                    <w:t>0.027</w:t>
                  </w:r>
                </w:p>
              </w:tc>
              <w:tc>
                <w:tcPr>
                  <w:tcW w:w="938" w:type="dxa"/>
                  <w:vAlign w:val="center"/>
                </w:tcPr>
                <w:p>
                  <w:pPr>
                    <w:widowControl/>
                    <w:jc w:val="center"/>
                    <w:rPr>
                      <w:rFonts w:hAnsi="宋体"/>
                      <w:kern w:val="0"/>
                      <w:szCs w:val="21"/>
                    </w:rPr>
                  </w:pPr>
                  <w:r>
                    <w:rPr>
                      <w:rFonts w:hAnsi="宋体"/>
                      <w:kern w:val="0"/>
                      <w:szCs w:val="21"/>
                    </w:rPr>
                    <w:t>0.048</w:t>
                  </w:r>
                </w:p>
              </w:tc>
              <w:tc>
                <w:tcPr>
                  <w:tcW w:w="938" w:type="dxa"/>
                  <w:vAlign w:val="center"/>
                </w:tcPr>
                <w:p>
                  <w:pPr>
                    <w:widowControl/>
                    <w:jc w:val="center"/>
                    <w:rPr>
                      <w:rFonts w:hAnsi="宋体"/>
                      <w:kern w:val="0"/>
                      <w:szCs w:val="21"/>
                    </w:rPr>
                  </w:pPr>
                  <w:r>
                    <w:rPr>
                      <w:rFonts w:hAnsi="宋体"/>
                      <w:kern w:val="0"/>
                      <w:szCs w:val="21"/>
                    </w:rPr>
                    <w:t>0.075</w:t>
                  </w:r>
                </w:p>
              </w:tc>
              <w:tc>
                <w:tcPr>
                  <w:tcW w:w="905" w:type="dxa"/>
                  <w:vAlign w:val="center"/>
                </w:tcPr>
                <w:p>
                  <w:pPr>
                    <w:widowControl/>
                    <w:jc w:val="center"/>
                    <w:rPr>
                      <w:rFonts w:hAnsi="宋体"/>
                      <w:kern w:val="0"/>
                      <w:szCs w:val="21"/>
                    </w:rPr>
                  </w:pPr>
                  <w:r>
                    <w:rPr>
                      <w:rFonts w:hAnsi="宋体"/>
                      <w:kern w:val="0"/>
                      <w:szCs w:val="21"/>
                    </w:rPr>
                    <w:t>0.108</w:t>
                  </w:r>
                </w:p>
              </w:tc>
              <w:tc>
                <w:tcPr>
                  <w:tcW w:w="969" w:type="dxa"/>
                  <w:vAlign w:val="center"/>
                </w:tcPr>
                <w:p>
                  <w:pPr>
                    <w:widowControl/>
                    <w:jc w:val="center"/>
                    <w:rPr>
                      <w:rFonts w:hAnsi="宋体"/>
                      <w:kern w:val="0"/>
                      <w:szCs w:val="21"/>
                    </w:rPr>
                  </w:pPr>
                  <w:r>
                    <w:rPr>
                      <w:rFonts w:hAnsi="宋体"/>
                      <w:kern w:val="0"/>
                      <w:szCs w:val="21"/>
                    </w:rPr>
                    <w:t>0.147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8" w:hRule="atLeast"/>
                <w:jc w:val="center"/>
              </w:trPr>
              <w:tc>
                <w:tcPr>
                  <w:tcW w:w="1579" w:type="dxa"/>
                  <w:vAlign w:val="center"/>
                </w:tcPr>
                <w:p>
                  <w:pPr>
                    <w:widowControl/>
                    <w:jc w:val="center"/>
                    <w:rPr>
                      <w:rFonts w:hAnsi="宋体"/>
                      <w:kern w:val="0"/>
                      <w:szCs w:val="21"/>
                    </w:rPr>
                  </w:pPr>
                  <w:r>
                    <w:rPr>
                      <w:rFonts w:hAnsi="宋体"/>
                      <w:kern w:val="0"/>
                      <w:szCs w:val="21"/>
                    </w:rPr>
                    <w:t>粒径，μm</w:t>
                  </w:r>
                </w:p>
              </w:tc>
              <w:tc>
                <w:tcPr>
                  <w:tcW w:w="905" w:type="dxa"/>
                  <w:vAlign w:val="center"/>
                </w:tcPr>
                <w:p>
                  <w:pPr>
                    <w:widowControl/>
                    <w:jc w:val="center"/>
                    <w:rPr>
                      <w:rFonts w:hAnsi="宋体"/>
                      <w:kern w:val="0"/>
                      <w:szCs w:val="21"/>
                    </w:rPr>
                  </w:pPr>
                  <w:r>
                    <w:rPr>
                      <w:rFonts w:hAnsi="宋体"/>
                      <w:kern w:val="0"/>
                      <w:szCs w:val="21"/>
                    </w:rPr>
                    <w:t>80</w:t>
                  </w:r>
                </w:p>
              </w:tc>
              <w:tc>
                <w:tcPr>
                  <w:tcW w:w="905" w:type="dxa"/>
                  <w:vAlign w:val="center"/>
                </w:tcPr>
                <w:p>
                  <w:pPr>
                    <w:widowControl/>
                    <w:jc w:val="center"/>
                    <w:rPr>
                      <w:rFonts w:hAnsi="宋体"/>
                      <w:kern w:val="0"/>
                      <w:szCs w:val="21"/>
                    </w:rPr>
                  </w:pPr>
                  <w:r>
                    <w:rPr>
                      <w:rFonts w:hAnsi="宋体"/>
                      <w:kern w:val="0"/>
                      <w:szCs w:val="21"/>
                    </w:rPr>
                    <w:t>90</w:t>
                  </w:r>
                </w:p>
              </w:tc>
              <w:tc>
                <w:tcPr>
                  <w:tcW w:w="814" w:type="dxa"/>
                  <w:vAlign w:val="center"/>
                </w:tcPr>
                <w:p>
                  <w:pPr>
                    <w:widowControl/>
                    <w:jc w:val="center"/>
                    <w:rPr>
                      <w:rFonts w:hAnsi="宋体"/>
                      <w:kern w:val="0"/>
                      <w:szCs w:val="21"/>
                    </w:rPr>
                  </w:pPr>
                  <w:r>
                    <w:rPr>
                      <w:rFonts w:hAnsi="宋体"/>
                      <w:kern w:val="0"/>
                      <w:szCs w:val="21"/>
                    </w:rPr>
                    <w:t>100</w:t>
                  </w:r>
                </w:p>
              </w:tc>
              <w:tc>
                <w:tcPr>
                  <w:tcW w:w="938" w:type="dxa"/>
                  <w:vAlign w:val="center"/>
                </w:tcPr>
                <w:p>
                  <w:pPr>
                    <w:widowControl/>
                    <w:jc w:val="center"/>
                    <w:rPr>
                      <w:rFonts w:hAnsi="宋体"/>
                      <w:kern w:val="0"/>
                      <w:szCs w:val="21"/>
                    </w:rPr>
                  </w:pPr>
                  <w:r>
                    <w:rPr>
                      <w:rFonts w:hAnsi="宋体"/>
                      <w:kern w:val="0"/>
                      <w:szCs w:val="21"/>
                    </w:rPr>
                    <w:t>156.06</w:t>
                  </w:r>
                </w:p>
              </w:tc>
              <w:tc>
                <w:tcPr>
                  <w:tcW w:w="938" w:type="dxa"/>
                  <w:vAlign w:val="center"/>
                </w:tcPr>
                <w:p>
                  <w:pPr>
                    <w:widowControl/>
                    <w:jc w:val="center"/>
                    <w:rPr>
                      <w:rFonts w:hAnsi="宋体"/>
                      <w:kern w:val="0"/>
                      <w:szCs w:val="21"/>
                    </w:rPr>
                  </w:pPr>
                  <w:r>
                    <w:rPr>
                      <w:rFonts w:hAnsi="宋体"/>
                      <w:kern w:val="0"/>
                      <w:szCs w:val="21"/>
                    </w:rPr>
                    <w:t>200</w:t>
                  </w:r>
                </w:p>
              </w:tc>
              <w:tc>
                <w:tcPr>
                  <w:tcW w:w="905" w:type="dxa"/>
                  <w:vAlign w:val="center"/>
                </w:tcPr>
                <w:p>
                  <w:pPr>
                    <w:widowControl/>
                    <w:jc w:val="center"/>
                    <w:rPr>
                      <w:rFonts w:hAnsi="宋体"/>
                      <w:kern w:val="0"/>
                      <w:szCs w:val="21"/>
                    </w:rPr>
                  </w:pPr>
                  <w:r>
                    <w:rPr>
                      <w:rFonts w:hAnsi="宋体"/>
                      <w:kern w:val="0"/>
                      <w:szCs w:val="21"/>
                    </w:rPr>
                    <w:t>250</w:t>
                  </w:r>
                </w:p>
              </w:tc>
              <w:tc>
                <w:tcPr>
                  <w:tcW w:w="969" w:type="dxa"/>
                  <w:vAlign w:val="center"/>
                </w:tcPr>
                <w:p>
                  <w:pPr>
                    <w:widowControl/>
                    <w:jc w:val="center"/>
                    <w:rPr>
                      <w:rFonts w:hAnsi="宋体"/>
                      <w:kern w:val="0"/>
                      <w:szCs w:val="21"/>
                    </w:rPr>
                  </w:pPr>
                  <w:r>
                    <w:rPr>
                      <w:rFonts w:hAnsi="宋体"/>
                      <w:kern w:val="0"/>
                      <w:szCs w:val="21"/>
                    </w:rPr>
                    <w:t>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46" w:hRule="atLeast"/>
                <w:jc w:val="center"/>
              </w:trPr>
              <w:tc>
                <w:tcPr>
                  <w:tcW w:w="1579" w:type="dxa"/>
                  <w:vAlign w:val="center"/>
                </w:tcPr>
                <w:p>
                  <w:pPr>
                    <w:widowControl/>
                    <w:jc w:val="center"/>
                    <w:rPr>
                      <w:rFonts w:hAnsi="宋体"/>
                      <w:kern w:val="0"/>
                      <w:szCs w:val="21"/>
                    </w:rPr>
                  </w:pPr>
                  <w:r>
                    <w:rPr>
                      <w:rFonts w:hAnsi="宋体"/>
                      <w:kern w:val="0"/>
                      <w:szCs w:val="21"/>
                    </w:rPr>
                    <w:t>沉降速度，m/s</w:t>
                  </w:r>
                </w:p>
              </w:tc>
              <w:tc>
                <w:tcPr>
                  <w:tcW w:w="905" w:type="dxa"/>
                  <w:vAlign w:val="center"/>
                </w:tcPr>
                <w:p>
                  <w:pPr>
                    <w:widowControl/>
                    <w:jc w:val="center"/>
                    <w:rPr>
                      <w:rFonts w:hAnsi="宋体"/>
                      <w:kern w:val="0"/>
                      <w:szCs w:val="21"/>
                    </w:rPr>
                  </w:pPr>
                  <w:r>
                    <w:rPr>
                      <w:rFonts w:hAnsi="宋体"/>
                      <w:kern w:val="0"/>
                      <w:szCs w:val="21"/>
                    </w:rPr>
                    <w:t>0.158</w:t>
                  </w:r>
                </w:p>
              </w:tc>
              <w:tc>
                <w:tcPr>
                  <w:tcW w:w="905" w:type="dxa"/>
                  <w:vAlign w:val="center"/>
                </w:tcPr>
                <w:p>
                  <w:pPr>
                    <w:widowControl/>
                    <w:jc w:val="center"/>
                    <w:rPr>
                      <w:rFonts w:hAnsi="宋体"/>
                      <w:kern w:val="0"/>
                      <w:szCs w:val="21"/>
                    </w:rPr>
                  </w:pPr>
                  <w:r>
                    <w:rPr>
                      <w:rFonts w:hAnsi="宋体"/>
                      <w:kern w:val="0"/>
                      <w:szCs w:val="21"/>
                    </w:rPr>
                    <w:t>0.170</w:t>
                  </w:r>
                </w:p>
              </w:tc>
              <w:tc>
                <w:tcPr>
                  <w:tcW w:w="814" w:type="dxa"/>
                  <w:vAlign w:val="center"/>
                </w:tcPr>
                <w:p>
                  <w:pPr>
                    <w:widowControl/>
                    <w:jc w:val="center"/>
                    <w:rPr>
                      <w:rFonts w:hAnsi="宋体"/>
                      <w:kern w:val="0"/>
                      <w:szCs w:val="21"/>
                    </w:rPr>
                  </w:pPr>
                  <w:r>
                    <w:rPr>
                      <w:rFonts w:hAnsi="宋体"/>
                      <w:kern w:val="0"/>
                      <w:szCs w:val="21"/>
                    </w:rPr>
                    <w:t>0.182</w:t>
                  </w:r>
                </w:p>
              </w:tc>
              <w:tc>
                <w:tcPr>
                  <w:tcW w:w="938" w:type="dxa"/>
                  <w:vAlign w:val="center"/>
                </w:tcPr>
                <w:p>
                  <w:pPr>
                    <w:widowControl/>
                    <w:jc w:val="center"/>
                    <w:rPr>
                      <w:rFonts w:hAnsi="宋体"/>
                      <w:kern w:val="0"/>
                      <w:szCs w:val="21"/>
                    </w:rPr>
                  </w:pPr>
                  <w:r>
                    <w:rPr>
                      <w:rFonts w:hAnsi="宋体"/>
                      <w:kern w:val="0"/>
                      <w:szCs w:val="21"/>
                    </w:rPr>
                    <w:t>0.239</w:t>
                  </w:r>
                </w:p>
              </w:tc>
              <w:tc>
                <w:tcPr>
                  <w:tcW w:w="938" w:type="dxa"/>
                  <w:vAlign w:val="center"/>
                </w:tcPr>
                <w:p>
                  <w:pPr>
                    <w:widowControl/>
                    <w:jc w:val="center"/>
                    <w:rPr>
                      <w:rFonts w:hAnsi="宋体"/>
                      <w:kern w:val="0"/>
                      <w:szCs w:val="21"/>
                    </w:rPr>
                  </w:pPr>
                  <w:r>
                    <w:rPr>
                      <w:rFonts w:hAnsi="宋体"/>
                      <w:kern w:val="0"/>
                      <w:szCs w:val="21"/>
                    </w:rPr>
                    <w:t>0.804</w:t>
                  </w:r>
                </w:p>
              </w:tc>
              <w:tc>
                <w:tcPr>
                  <w:tcW w:w="905" w:type="dxa"/>
                  <w:vAlign w:val="center"/>
                </w:tcPr>
                <w:p>
                  <w:pPr>
                    <w:widowControl/>
                    <w:jc w:val="center"/>
                    <w:rPr>
                      <w:rFonts w:hAnsi="宋体"/>
                      <w:kern w:val="0"/>
                      <w:szCs w:val="21"/>
                    </w:rPr>
                  </w:pPr>
                  <w:r>
                    <w:rPr>
                      <w:rFonts w:hAnsi="宋体"/>
                      <w:kern w:val="0"/>
                      <w:szCs w:val="21"/>
                    </w:rPr>
                    <w:t>1.005</w:t>
                  </w:r>
                </w:p>
              </w:tc>
              <w:tc>
                <w:tcPr>
                  <w:tcW w:w="969" w:type="dxa"/>
                  <w:vAlign w:val="center"/>
                </w:tcPr>
                <w:p>
                  <w:pPr>
                    <w:widowControl/>
                    <w:jc w:val="center"/>
                    <w:rPr>
                      <w:rFonts w:hAnsi="宋体"/>
                      <w:kern w:val="0"/>
                      <w:szCs w:val="21"/>
                    </w:rPr>
                  </w:pPr>
                  <w:r>
                    <w:rPr>
                      <w:rFonts w:hAnsi="宋体"/>
                      <w:kern w:val="0"/>
                      <w:szCs w:val="21"/>
                    </w:rPr>
                    <w:t>1.829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8" w:hRule="atLeast"/>
                <w:jc w:val="center"/>
              </w:trPr>
              <w:tc>
                <w:tcPr>
                  <w:tcW w:w="1579" w:type="dxa"/>
                  <w:vAlign w:val="center"/>
                </w:tcPr>
                <w:p>
                  <w:pPr>
                    <w:widowControl/>
                    <w:jc w:val="center"/>
                    <w:rPr>
                      <w:rFonts w:hAnsi="宋体"/>
                      <w:kern w:val="0"/>
                      <w:szCs w:val="21"/>
                    </w:rPr>
                  </w:pPr>
                  <w:r>
                    <w:rPr>
                      <w:rFonts w:hAnsi="宋体"/>
                      <w:kern w:val="0"/>
                      <w:szCs w:val="21"/>
                    </w:rPr>
                    <w:t>粒径，μm</w:t>
                  </w:r>
                </w:p>
              </w:tc>
              <w:tc>
                <w:tcPr>
                  <w:tcW w:w="905" w:type="dxa"/>
                  <w:vAlign w:val="center"/>
                </w:tcPr>
                <w:p>
                  <w:pPr>
                    <w:widowControl/>
                    <w:jc w:val="center"/>
                    <w:rPr>
                      <w:rFonts w:hAnsi="宋体"/>
                      <w:kern w:val="0"/>
                      <w:szCs w:val="21"/>
                    </w:rPr>
                  </w:pPr>
                  <w:r>
                    <w:rPr>
                      <w:rFonts w:hAnsi="宋体"/>
                      <w:kern w:val="0"/>
                      <w:szCs w:val="21"/>
                    </w:rPr>
                    <w:t>450</w:t>
                  </w:r>
                </w:p>
              </w:tc>
              <w:tc>
                <w:tcPr>
                  <w:tcW w:w="905" w:type="dxa"/>
                  <w:vAlign w:val="center"/>
                </w:tcPr>
                <w:p>
                  <w:pPr>
                    <w:widowControl/>
                    <w:jc w:val="center"/>
                    <w:rPr>
                      <w:rFonts w:hAnsi="宋体"/>
                      <w:kern w:val="0"/>
                      <w:szCs w:val="21"/>
                    </w:rPr>
                  </w:pPr>
                  <w:r>
                    <w:rPr>
                      <w:rFonts w:hAnsi="宋体"/>
                      <w:kern w:val="0"/>
                      <w:szCs w:val="21"/>
                    </w:rPr>
                    <w:t>550</w:t>
                  </w:r>
                </w:p>
              </w:tc>
              <w:tc>
                <w:tcPr>
                  <w:tcW w:w="814" w:type="dxa"/>
                  <w:vAlign w:val="center"/>
                </w:tcPr>
                <w:p>
                  <w:pPr>
                    <w:widowControl/>
                    <w:jc w:val="center"/>
                    <w:rPr>
                      <w:rFonts w:hAnsi="宋体"/>
                      <w:kern w:val="0"/>
                      <w:szCs w:val="21"/>
                    </w:rPr>
                  </w:pPr>
                  <w:r>
                    <w:rPr>
                      <w:rFonts w:hAnsi="宋体"/>
                      <w:kern w:val="0"/>
                      <w:szCs w:val="21"/>
                    </w:rPr>
                    <w:t>650</w:t>
                  </w:r>
                </w:p>
              </w:tc>
              <w:tc>
                <w:tcPr>
                  <w:tcW w:w="938" w:type="dxa"/>
                  <w:vAlign w:val="center"/>
                </w:tcPr>
                <w:p>
                  <w:pPr>
                    <w:widowControl/>
                    <w:jc w:val="center"/>
                    <w:rPr>
                      <w:rFonts w:hAnsi="宋体"/>
                      <w:kern w:val="0"/>
                      <w:szCs w:val="21"/>
                    </w:rPr>
                  </w:pPr>
                  <w:r>
                    <w:rPr>
                      <w:rFonts w:hAnsi="宋体"/>
                      <w:kern w:val="0"/>
                      <w:szCs w:val="21"/>
                    </w:rPr>
                    <w:t>750</w:t>
                  </w:r>
                </w:p>
              </w:tc>
              <w:tc>
                <w:tcPr>
                  <w:tcW w:w="938" w:type="dxa"/>
                  <w:vAlign w:val="center"/>
                </w:tcPr>
                <w:p>
                  <w:pPr>
                    <w:widowControl/>
                    <w:jc w:val="center"/>
                    <w:rPr>
                      <w:rFonts w:hAnsi="宋体"/>
                      <w:kern w:val="0"/>
                      <w:szCs w:val="21"/>
                    </w:rPr>
                  </w:pPr>
                  <w:r>
                    <w:rPr>
                      <w:rFonts w:hAnsi="宋体"/>
                      <w:kern w:val="0"/>
                      <w:szCs w:val="21"/>
                    </w:rPr>
                    <w:t>850</w:t>
                  </w:r>
                </w:p>
              </w:tc>
              <w:tc>
                <w:tcPr>
                  <w:tcW w:w="905" w:type="dxa"/>
                  <w:vAlign w:val="center"/>
                </w:tcPr>
                <w:p>
                  <w:pPr>
                    <w:widowControl/>
                    <w:jc w:val="center"/>
                    <w:rPr>
                      <w:rFonts w:hAnsi="宋体"/>
                      <w:kern w:val="0"/>
                      <w:szCs w:val="21"/>
                    </w:rPr>
                  </w:pPr>
                  <w:r>
                    <w:rPr>
                      <w:rFonts w:hAnsi="宋体"/>
                      <w:kern w:val="0"/>
                      <w:szCs w:val="21"/>
                    </w:rPr>
                    <w:t>950</w:t>
                  </w:r>
                </w:p>
              </w:tc>
              <w:tc>
                <w:tcPr>
                  <w:tcW w:w="969" w:type="dxa"/>
                  <w:vAlign w:val="center"/>
                </w:tcPr>
                <w:p>
                  <w:pPr>
                    <w:widowControl/>
                    <w:jc w:val="center"/>
                    <w:rPr>
                      <w:rFonts w:hAnsi="宋体"/>
                      <w:kern w:val="0"/>
                      <w:szCs w:val="21"/>
                    </w:rPr>
                  </w:pPr>
                  <w:r>
                    <w:rPr>
                      <w:rFonts w:hAnsi="宋体"/>
                      <w:kern w:val="0"/>
                      <w:szCs w:val="21"/>
                    </w:rPr>
                    <w:t>1050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02" w:hRule="atLeast"/>
                <w:jc w:val="center"/>
              </w:trPr>
              <w:tc>
                <w:tcPr>
                  <w:tcW w:w="1579" w:type="dxa"/>
                  <w:vAlign w:val="center"/>
                </w:tcPr>
                <w:p>
                  <w:pPr>
                    <w:widowControl/>
                    <w:jc w:val="center"/>
                    <w:rPr>
                      <w:rFonts w:hAnsi="宋体"/>
                      <w:kern w:val="0"/>
                      <w:szCs w:val="21"/>
                    </w:rPr>
                  </w:pPr>
                  <w:r>
                    <w:rPr>
                      <w:rFonts w:hAnsi="宋体"/>
                      <w:kern w:val="0"/>
                      <w:szCs w:val="21"/>
                    </w:rPr>
                    <w:t>沉降速度，m/s</w:t>
                  </w:r>
                </w:p>
              </w:tc>
              <w:tc>
                <w:tcPr>
                  <w:tcW w:w="905" w:type="dxa"/>
                  <w:vAlign w:val="center"/>
                </w:tcPr>
                <w:p>
                  <w:pPr>
                    <w:widowControl/>
                    <w:jc w:val="center"/>
                    <w:rPr>
                      <w:rFonts w:hAnsi="宋体"/>
                      <w:kern w:val="0"/>
                      <w:szCs w:val="21"/>
                    </w:rPr>
                  </w:pPr>
                  <w:r>
                    <w:rPr>
                      <w:rFonts w:hAnsi="宋体"/>
                      <w:kern w:val="0"/>
                      <w:szCs w:val="21"/>
                    </w:rPr>
                    <w:t>2.211</w:t>
                  </w:r>
                </w:p>
              </w:tc>
              <w:tc>
                <w:tcPr>
                  <w:tcW w:w="905" w:type="dxa"/>
                  <w:vAlign w:val="center"/>
                </w:tcPr>
                <w:p>
                  <w:pPr>
                    <w:widowControl/>
                    <w:jc w:val="center"/>
                    <w:rPr>
                      <w:rFonts w:hAnsi="宋体"/>
                      <w:kern w:val="0"/>
                      <w:szCs w:val="21"/>
                    </w:rPr>
                  </w:pPr>
                  <w:r>
                    <w:rPr>
                      <w:rFonts w:hAnsi="宋体"/>
                      <w:kern w:val="0"/>
                      <w:szCs w:val="21"/>
                    </w:rPr>
                    <w:t>2.614</w:t>
                  </w:r>
                </w:p>
              </w:tc>
              <w:tc>
                <w:tcPr>
                  <w:tcW w:w="814" w:type="dxa"/>
                  <w:vAlign w:val="center"/>
                </w:tcPr>
                <w:p>
                  <w:pPr>
                    <w:widowControl/>
                    <w:jc w:val="center"/>
                    <w:rPr>
                      <w:rFonts w:hAnsi="宋体"/>
                      <w:kern w:val="0"/>
                      <w:szCs w:val="21"/>
                    </w:rPr>
                  </w:pPr>
                  <w:r>
                    <w:rPr>
                      <w:rFonts w:hAnsi="宋体"/>
                      <w:kern w:val="0"/>
                      <w:szCs w:val="21"/>
                    </w:rPr>
                    <w:t>3.016</w:t>
                  </w:r>
                </w:p>
              </w:tc>
              <w:tc>
                <w:tcPr>
                  <w:tcW w:w="938" w:type="dxa"/>
                  <w:vAlign w:val="center"/>
                </w:tcPr>
                <w:p>
                  <w:pPr>
                    <w:widowControl/>
                    <w:jc w:val="center"/>
                    <w:rPr>
                      <w:rFonts w:hAnsi="宋体"/>
                      <w:kern w:val="0"/>
                      <w:szCs w:val="21"/>
                    </w:rPr>
                  </w:pPr>
                  <w:r>
                    <w:rPr>
                      <w:rFonts w:hAnsi="宋体"/>
                      <w:kern w:val="0"/>
                      <w:szCs w:val="21"/>
                    </w:rPr>
                    <w:t>3.418</w:t>
                  </w:r>
                </w:p>
              </w:tc>
              <w:tc>
                <w:tcPr>
                  <w:tcW w:w="938" w:type="dxa"/>
                  <w:vAlign w:val="center"/>
                </w:tcPr>
                <w:p>
                  <w:pPr>
                    <w:widowControl/>
                    <w:jc w:val="center"/>
                    <w:rPr>
                      <w:rFonts w:hAnsi="宋体"/>
                      <w:kern w:val="0"/>
                      <w:szCs w:val="21"/>
                    </w:rPr>
                  </w:pPr>
                  <w:r>
                    <w:rPr>
                      <w:rFonts w:hAnsi="宋体"/>
                      <w:kern w:val="0"/>
                      <w:szCs w:val="21"/>
                    </w:rPr>
                    <w:t>3.820</w:t>
                  </w:r>
                </w:p>
              </w:tc>
              <w:tc>
                <w:tcPr>
                  <w:tcW w:w="905" w:type="dxa"/>
                  <w:vAlign w:val="center"/>
                </w:tcPr>
                <w:p>
                  <w:pPr>
                    <w:widowControl/>
                    <w:jc w:val="center"/>
                    <w:rPr>
                      <w:rFonts w:hAnsi="宋体"/>
                      <w:kern w:val="0"/>
                      <w:szCs w:val="21"/>
                    </w:rPr>
                  </w:pPr>
                  <w:r>
                    <w:rPr>
                      <w:rFonts w:hAnsi="宋体"/>
                      <w:kern w:val="0"/>
                      <w:szCs w:val="21"/>
                    </w:rPr>
                    <w:t>4.222</w:t>
                  </w:r>
                </w:p>
              </w:tc>
              <w:tc>
                <w:tcPr>
                  <w:tcW w:w="969" w:type="dxa"/>
                  <w:vAlign w:val="center"/>
                </w:tcPr>
                <w:p>
                  <w:pPr>
                    <w:widowControl/>
                    <w:jc w:val="center"/>
                    <w:rPr>
                      <w:rFonts w:hAnsi="宋体"/>
                      <w:kern w:val="0"/>
                      <w:szCs w:val="21"/>
                    </w:rPr>
                  </w:pPr>
                  <w:r>
                    <w:rPr>
                      <w:rFonts w:hAnsi="宋体"/>
                      <w:kern w:val="0"/>
                      <w:szCs w:val="21"/>
                    </w:rPr>
                    <w:t>4.624</w:t>
                  </w:r>
                </w:p>
              </w:tc>
            </w:tr>
          </w:tbl>
          <w:p>
            <w:pPr>
              <w:widowControl/>
              <w:tabs>
                <w:tab w:val="left" w:pos="280"/>
              </w:tabs>
              <w:snapToGrid w:val="0"/>
              <w:spacing w:before="120" w:beforeLines="50" w:line="360" w:lineRule="auto"/>
              <w:ind w:firstLine="480" w:firstLineChars="200"/>
              <w:jc w:val="left"/>
              <w:rPr>
                <w:kern w:val="0"/>
                <w:sz w:val="24"/>
              </w:rPr>
            </w:pPr>
            <w:r>
              <w:rPr>
                <w:rFonts w:hAnsi="宋体"/>
                <w:kern w:val="0"/>
                <w:sz w:val="24"/>
              </w:rPr>
              <w:t>从表</w:t>
            </w:r>
            <w:r>
              <w:rPr>
                <w:rFonts w:hint="eastAsia"/>
                <w:kern w:val="0"/>
                <w:sz w:val="24"/>
              </w:rPr>
              <w:t>7-1</w:t>
            </w:r>
            <w:r>
              <w:rPr>
                <w:rFonts w:hAnsi="宋体"/>
                <w:kern w:val="0"/>
                <w:sz w:val="24"/>
              </w:rPr>
              <w:t>可以看出，尘粒的沉降速度随粒径的增大而迅速增大。当粒径为</w:t>
            </w:r>
            <w:r>
              <w:rPr>
                <w:kern w:val="0"/>
                <w:sz w:val="24"/>
              </w:rPr>
              <w:t>250μm</w:t>
            </w:r>
            <w:r>
              <w:rPr>
                <w:rFonts w:hAnsi="宋体"/>
                <w:kern w:val="0"/>
                <w:sz w:val="24"/>
              </w:rPr>
              <w:t>时，沉降速度为</w:t>
            </w:r>
            <w:r>
              <w:rPr>
                <w:kern w:val="0"/>
                <w:sz w:val="24"/>
              </w:rPr>
              <w:t>1.005m/s</w:t>
            </w:r>
            <w:r>
              <w:rPr>
                <w:rFonts w:hAnsi="宋体"/>
                <w:kern w:val="0"/>
                <w:sz w:val="24"/>
              </w:rPr>
              <w:t>，因此可以认为当尘粒大于</w:t>
            </w:r>
            <w:r>
              <w:rPr>
                <w:kern w:val="0"/>
                <w:sz w:val="24"/>
              </w:rPr>
              <w:t>250μm</w:t>
            </w:r>
            <w:r>
              <w:rPr>
                <w:rFonts w:hAnsi="宋体"/>
                <w:kern w:val="0"/>
                <w:sz w:val="24"/>
              </w:rPr>
              <w:t>时，主要影响范围在扬尘点下风向近距离范围内，而真正对外环境产生影响的是一些微小尘粒。在有风的情况下，施工扬尘会对该区域造成一定的影响。由起尘计算公式可知，</w:t>
            </w:r>
            <w:r>
              <w:rPr>
                <w:kern w:val="0"/>
                <w:sz w:val="24"/>
              </w:rPr>
              <w:t>V</w:t>
            </w:r>
            <w:r>
              <w:rPr>
                <w:kern w:val="0"/>
                <w:sz w:val="24"/>
                <w:vertAlign w:val="subscript"/>
              </w:rPr>
              <w:t>0</w:t>
            </w:r>
            <w:r>
              <w:rPr>
                <w:rFonts w:hAnsi="宋体"/>
                <w:kern w:val="0"/>
                <w:sz w:val="24"/>
              </w:rPr>
              <w:t>与粒径和含水率有关，因此，通过采取减少露天堆放和保证一定的含水率及减少裸露地面等措施后，风力起尘对环境的影响较小。</w:t>
            </w:r>
          </w:p>
          <w:p>
            <w:pPr>
              <w:widowControl/>
              <w:tabs>
                <w:tab w:val="left" w:pos="280"/>
              </w:tabs>
              <w:snapToGrid w:val="0"/>
              <w:spacing w:line="360" w:lineRule="auto"/>
              <w:ind w:firstLine="480" w:firstLineChars="200"/>
              <w:jc w:val="left"/>
              <w:rPr>
                <w:kern w:val="0"/>
                <w:sz w:val="24"/>
              </w:rPr>
            </w:pPr>
            <w:r>
              <w:rPr>
                <w:rFonts w:hAnsi="宋体"/>
                <w:kern w:val="0"/>
                <w:sz w:val="24"/>
              </w:rPr>
              <w:t>施工期扬尘的另一个主要原因是施工车辆行驶产生的扬尘以及项目废弃土石方、建筑材料运输过程中会产生一定的扬尘。据有关文献资料介绍，车辆行驶产生的扬尘占总扬尘的</w:t>
            </w:r>
            <w:r>
              <w:rPr>
                <w:kern w:val="0"/>
                <w:sz w:val="24"/>
              </w:rPr>
              <w:t>60%</w:t>
            </w:r>
            <w:r>
              <w:rPr>
                <w:rFonts w:hAnsi="宋体"/>
                <w:kern w:val="0"/>
                <w:sz w:val="24"/>
              </w:rPr>
              <w:t>上。本项目的施工车辆主要以卡车为主。根据相关研究，在完全干燥的情况下，一辆</w:t>
            </w:r>
            <w:r>
              <w:rPr>
                <w:kern w:val="0"/>
                <w:sz w:val="24"/>
              </w:rPr>
              <w:t>5</w:t>
            </w:r>
            <w:r>
              <w:rPr>
                <w:rFonts w:hAnsi="宋体"/>
                <w:kern w:val="0"/>
                <w:sz w:val="24"/>
              </w:rPr>
              <w:t>吨的卡车在行驶时产生的扬尘量的经验计算公式为：</w:t>
            </w:r>
          </w:p>
          <w:p>
            <w:pPr>
              <w:widowControl/>
              <w:tabs>
                <w:tab w:val="left" w:pos="280"/>
              </w:tabs>
              <w:snapToGrid w:val="0"/>
              <w:spacing w:line="360" w:lineRule="auto"/>
              <w:ind w:firstLine="2160" w:firstLineChars="900"/>
              <w:jc w:val="left"/>
              <w:rPr>
                <w:kern w:val="0"/>
                <w:sz w:val="24"/>
              </w:rPr>
            </w:pPr>
            <w:r>
              <w:rPr>
                <w:kern w:val="0"/>
                <w:position w:val="-8"/>
                <w:sz w:val="24"/>
              </w:rPr>
              <w:drawing>
                <wp:inline distT="0" distB="0" distL="0" distR="0">
                  <wp:extent cx="2457450" cy="304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57450" cy="304800"/>
                          </a:xfrm>
                          <a:prstGeom prst="rect">
                            <a:avLst/>
                          </a:prstGeom>
                          <a:noFill/>
                          <a:ln>
                            <a:noFill/>
                          </a:ln>
                        </pic:spPr>
                      </pic:pic>
                    </a:graphicData>
                  </a:graphic>
                </wp:inline>
              </w:drawing>
            </w:r>
          </w:p>
          <w:p>
            <w:pPr>
              <w:widowControl/>
              <w:tabs>
                <w:tab w:val="left" w:pos="280"/>
              </w:tabs>
              <w:spacing w:line="360" w:lineRule="auto"/>
              <w:ind w:firstLine="960" w:firstLineChars="400"/>
              <w:jc w:val="left"/>
              <w:rPr>
                <w:kern w:val="0"/>
                <w:sz w:val="24"/>
              </w:rPr>
            </w:pPr>
            <w:r>
              <w:rPr>
                <w:kern w:val="0"/>
                <w:sz w:val="24"/>
              </w:rPr>
              <w:t xml:space="preserve">    </w:t>
            </w:r>
            <w:r>
              <w:rPr>
                <w:rFonts w:hAnsi="宋体"/>
                <w:kern w:val="0"/>
                <w:sz w:val="24"/>
              </w:rPr>
              <w:t>式中：</w:t>
            </w:r>
            <w:r>
              <w:rPr>
                <w:kern w:val="0"/>
                <w:sz w:val="24"/>
              </w:rPr>
              <w:t>Q——</w:t>
            </w:r>
            <w:r>
              <w:rPr>
                <w:rFonts w:hAnsi="宋体"/>
                <w:kern w:val="0"/>
                <w:sz w:val="24"/>
              </w:rPr>
              <w:t>汽车行驶的扬尘，</w:t>
            </w:r>
            <w:r>
              <w:rPr>
                <w:kern w:val="0"/>
                <w:sz w:val="24"/>
              </w:rPr>
              <w:t>kg/km·</w:t>
            </w:r>
            <w:r>
              <w:rPr>
                <w:rFonts w:hAnsi="宋体"/>
                <w:kern w:val="0"/>
                <w:sz w:val="24"/>
              </w:rPr>
              <w:t>辆；</w:t>
            </w:r>
          </w:p>
          <w:p>
            <w:pPr>
              <w:widowControl/>
              <w:tabs>
                <w:tab w:val="left" w:pos="280"/>
              </w:tabs>
              <w:spacing w:line="360" w:lineRule="auto"/>
              <w:ind w:firstLine="2148" w:firstLineChars="895"/>
              <w:jc w:val="left"/>
              <w:rPr>
                <w:kern w:val="0"/>
                <w:sz w:val="24"/>
              </w:rPr>
            </w:pPr>
            <w:r>
              <w:rPr>
                <w:kern w:val="0"/>
                <w:sz w:val="24"/>
              </w:rPr>
              <w:t>V——</w:t>
            </w:r>
            <w:r>
              <w:rPr>
                <w:rFonts w:hAnsi="宋体"/>
                <w:kern w:val="0"/>
                <w:sz w:val="24"/>
              </w:rPr>
              <w:t>汽车速度，</w:t>
            </w:r>
            <w:r>
              <w:rPr>
                <w:kern w:val="0"/>
                <w:sz w:val="24"/>
              </w:rPr>
              <w:t>km/hr</w:t>
            </w:r>
            <w:r>
              <w:rPr>
                <w:rFonts w:hAnsi="宋体"/>
                <w:kern w:val="0"/>
                <w:sz w:val="24"/>
              </w:rPr>
              <w:t>；</w:t>
            </w:r>
          </w:p>
          <w:p>
            <w:pPr>
              <w:widowControl/>
              <w:tabs>
                <w:tab w:val="left" w:pos="280"/>
              </w:tabs>
              <w:spacing w:line="360" w:lineRule="auto"/>
              <w:ind w:firstLine="2148" w:firstLineChars="895"/>
              <w:jc w:val="left"/>
              <w:rPr>
                <w:kern w:val="0"/>
                <w:sz w:val="24"/>
              </w:rPr>
            </w:pPr>
            <w:r>
              <w:rPr>
                <w:kern w:val="0"/>
                <w:sz w:val="24"/>
              </w:rPr>
              <w:t>W——</w:t>
            </w:r>
            <w:r>
              <w:rPr>
                <w:rFonts w:hAnsi="宋体"/>
                <w:kern w:val="0"/>
                <w:sz w:val="24"/>
              </w:rPr>
              <w:t>汽车载重量，吨；</w:t>
            </w:r>
          </w:p>
          <w:p>
            <w:pPr>
              <w:widowControl/>
              <w:tabs>
                <w:tab w:val="left" w:pos="280"/>
              </w:tabs>
              <w:spacing w:line="360" w:lineRule="auto"/>
              <w:ind w:firstLine="2148" w:firstLineChars="895"/>
              <w:jc w:val="left"/>
              <w:rPr>
                <w:kern w:val="0"/>
                <w:sz w:val="24"/>
              </w:rPr>
            </w:pPr>
            <w:r>
              <w:rPr>
                <w:kern w:val="0"/>
                <w:sz w:val="24"/>
              </w:rPr>
              <w:t>P——</w:t>
            </w:r>
            <w:r>
              <w:rPr>
                <w:rFonts w:hAnsi="宋体"/>
                <w:kern w:val="0"/>
                <w:sz w:val="24"/>
              </w:rPr>
              <w:t>道路表面粉尘量，</w:t>
            </w:r>
            <w:r>
              <w:rPr>
                <w:kern w:val="0"/>
                <w:sz w:val="24"/>
              </w:rPr>
              <w:t>kg/m</w:t>
            </w:r>
            <w:r>
              <w:rPr>
                <w:kern w:val="0"/>
                <w:sz w:val="24"/>
                <w:vertAlign w:val="superscript"/>
              </w:rPr>
              <w:t>2</w:t>
            </w:r>
            <w:r>
              <w:rPr>
                <w:rFonts w:hAnsi="宋体"/>
                <w:kern w:val="0"/>
                <w:sz w:val="24"/>
              </w:rPr>
              <w:t>。</w:t>
            </w:r>
          </w:p>
          <w:p>
            <w:pPr>
              <w:widowControl/>
              <w:adjustRightInd w:val="0"/>
              <w:snapToGrid w:val="0"/>
              <w:spacing w:line="360" w:lineRule="auto"/>
              <w:ind w:firstLine="480" w:firstLineChars="200"/>
              <w:jc w:val="left"/>
              <w:rPr>
                <w:rFonts w:hAnsi="宋体"/>
                <w:kern w:val="0"/>
                <w:sz w:val="24"/>
              </w:rPr>
            </w:pPr>
            <w:r>
              <w:rPr>
                <w:rFonts w:hAnsi="宋体"/>
                <w:kern w:val="0"/>
                <w:sz w:val="24"/>
              </w:rPr>
              <w:t>表</w:t>
            </w:r>
            <w:r>
              <w:rPr>
                <w:rFonts w:hint="eastAsia"/>
                <w:kern w:val="0"/>
                <w:sz w:val="24"/>
              </w:rPr>
              <w:t>7-2</w:t>
            </w:r>
            <w:r>
              <w:rPr>
                <w:rFonts w:hAnsi="宋体"/>
                <w:kern w:val="0"/>
                <w:sz w:val="24"/>
              </w:rPr>
              <w:t>为一辆载重</w:t>
            </w:r>
            <w:r>
              <w:rPr>
                <w:kern w:val="0"/>
                <w:sz w:val="24"/>
              </w:rPr>
              <w:t>5</w:t>
            </w:r>
            <w:r>
              <w:rPr>
                <w:rFonts w:hAnsi="宋体"/>
                <w:kern w:val="0"/>
                <w:sz w:val="24"/>
              </w:rPr>
              <w:t>吨的卡车，通过一段长度为</w:t>
            </w:r>
            <w:r>
              <w:rPr>
                <w:kern w:val="0"/>
                <w:sz w:val="24"/>
              </w:rPr>
              <w:t>500</w:t>
            </w:r>
            <w:r>
              <w:rPr>
                <w:rFonts w:hint="eastAsia" w:hAnsi="宋体"/>
                <w:kern w:val="0"/>
                <w:sz w:val="24"/>
              </w:rPr>
              <w:t>m</w:t>
            </w:r>
            <w:r>
              <w:rPr>
                <w:rFonts w:hAnsi="宋体"/>
                <w:kern w:val="0"/>
                <w:sz w:val="24"/>
              </w:rPr>
              <w:t>的路面时，不同路面清洁程度，不同行驶速度情况下产生的扬尘量。由此可见，在同样路面清洁情况下，车速越快，扬尘量越大；而在同样车速情况下，路面清洁度越差，则扬尘量越大。</w:t>
            </w:r>
          </w:p>
          <w:p>
            <w:pPr>
              <w:widowControl/>
              <w:adjustRightInd w:val="0"/>
              <w:snapToGrid w:val="0"/>
              <w:spacing w:line="360" w:lineRule="auto"/>
              <w:ind w:firstLine="482" w:firstLineChars="200"/>
              <w:jc w:val="center"/>
              <w:rPr>
                <w:b/>
                <w:snapToGrid w:val="0"/>
                <w:kern w:val="28"/>
                <w:sz w:val="24"/>
                <w:lang w:val="sq-AL"/>
              </w:rPr>
            </w:pPr>
            <w:r>
              <w:rPr>
                <w:rFonts w:hAnsi="宋体"/>
                <w:b/>
                <w:snapToGrid w:val="0"/>
                <w:kern w:val="28"/>
                <w:sz w:val="24"/>
                <w:lang w:val="sq-AL"/>
              </w:rPr>
              <w:t>表</w:t>
            </w:r>
            <w:r>
              <w:rPr>
                <w:rFonts w:hint="eastAsia"/>
                <w:b/>
                <w:snapToGrid w:val="0"/>
                <w:kern w:val="28"/>
                <w:sz w:val="24"/>
                <w:lang w:val="sq-AL"/>
              </w:rPr>
              <w:t xml:space="preserve">7-2 </w:t>
            </w:r>
            <w:r>
              <w:rPr>
                <w:rFonts w:hAnsi="宋体"/>
                <w:b/>
                <w:snapToGrid w:val="0"/>
                <w:kern w:val="28"/>
                <w:sz w:val="24"/>
                <w:lang w:val="sq-AL"/>
              </w:rPr>
              <w:t>不同车速和地面清洁程度时的汽车扬尘</w:t>
            </w:r>
          </w:p>
          <w:tbl>
            <w:tblPr>
              <w:tblStyle w:val="44"/>
              <w:tblW w:w="79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6"/>
              <w:gridCol w:w="931"/>
              <w:gridCol w:w="931"/>
              <w:gridCol w:w="931"/>
              <w:gridCol w:w="931"/>
              <w:gridCol w:w="931"/>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6" w:hRule="atLeast"/>
                <w:jc w:val="center"/>
              </w:trPr>
              <w:tc>
                <w:tcPr>
                  <w:tcW w:w="2346" w:type="dxa"/>
                  <w:vMerge w:val="restart"/>
                  <w:tcBorders>
                    <w:tl2br w:val="single" w:color="auto" w:sz="4" w:space="0"/>
                  </w:tcBorders>
                  <w:tcMar>
                    <w:left w:w="28" w:type="dxa"/>
                    <w:right w:w="28" w:type="dxa"/>
                  </w:tcMar>
                  <w:vAlign w:val="center"/>
                </w:tcPr>
                <w:p>
                  <w:pPr>
                    <w:widowControl/>
                    <w:jc w:val="center"/>
                    <w:rPr>
                      <w:rFonts w:hAnsi="宋体"/>
                      <w:kern w:val="28"/>
                      <w:szCs w:val="21"/>
                      <w:lang w:val="sq-AL"/>
                    </w:rPr>
                  </w:pPr>
                  <w:r>
                    <w:rPr>
                      <w:rFonts w:hAnsi="宋体"/>
                      <w:kern w:val="28"/>
                      <w:szCs w:val="21"/>
                      <w:lang w:val="sq-AL"/>
                    </w:rPr>
                    <w:t>P</w:t>
                  </w:r>
                </w:p>
                <w:p>
                  <w:pPr>
                    <w:widowControl/>
                    <w:jc w:val="center"/>
                    <w:rPr>
                      <w:rFonts w:hAnsi="宋体"/>
                      <w:kern w:val="28"/>
                      <w:szCs w:val="21"/>
                      <w:lang w:val="sq-AL"/>
                    </w:rPr>
                  </w:pPr>
                  <w:r>
                    <w:rPr>
                      <w:rFonts w:hAnsi="宋体"/>
                      <w:kern w:val="28"/>
                      <w:szCs w:val="21"/>
                      <w:lang w:val="sq-AL"/>
                    </w:rPr>
                    <w:t>汽车速度，km/h</w:t>
                  </w:r>
                </w:p>
              </w:tc>
              <w:tc>
                <w:tcPr>
                  <w:tcW w:w="5588" w:type="dxa"/>
                  <w:gridSpan w:val="6"/>
                  <w:tcMar>
                    <w:left w:w="28" w:type="dxa"/>
                    <w:right w:w="28" w:type="dxa"/>
                  </w:tcMar>
                  <w:vAlign w:val="center"/>
                </w:tcPr>
                <w:p>
                  <w:pPr>
                    <w:widowControl/>
                    <w:jc w:val="center"/>
                    <w:rPr>
                      <w:rFonts w:hAnsi="宋体"/>
                      <w:kern w:val="28"/>
                      <w:szCs w:val="21"/>
                      <w:lang w:val="sq-AL"/>
                    </w:rPr>
                  </w:pPr>
                  <w:r>
                    <w:rPr>
                      <w:rFonts w:hAnsi="宋体"/>
                      <w:kern w:val="28"/>
                      <w:szCs w:val="21"/>
                      <w:lang w:val="sq-AL"/>
                    </w:rPr>
                    <w:t>道路表面粉尘量，kg/m</w:t>
                  </w:r>
                  <w:r>
                    <w:rPr>
                      <w:rFonts w:hAnsi="宋体"/>
                      <w:kern w:val="28"/>
                      <w:szCs w:val="21"/>
                      <w:vertAlign w:val="superscript"/>
                      <w:lang w:val="sq-A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2" w:hRule="atLeast"/>
                <w:jc w:val="center"/>
              </w:trPr>
              <w:tc>
                <w:tcPr>
                  <w:tcW w:w="2346" w:type="dxa"/>
                  <w:vMerge w:val="continue"/>
                  <w:tcMar>
                    <w:left w:w="28" w:type="dxa"/>
                    <w:right w:w="28" w:type="dxa"/>
                  </w:tcMar>
                  <w:vAlign w:val="center"/>
                </w:tcPr>
                <w:p>
                  <w:pPr>
                    <w:widowControl/>
                    <w:jc w:val="center"/>
                    <w:rPr>
                      <w:rFonts w:hAnsi="宋体"/>
                      <w:kern w:val="28"/>
                      <w:szCs w:val="21"/>
                      <w:lang w:val="sq-AL"/>
                    </w:rPr>
                  </w:pPr>
                </w:p>
              </w:tc>
              <w:tc>
                <w:tcPr>
                  <w:tcW w:w="93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0.1</w:t>
                  </w:r>
                </w:p>
              </w:tc>
              <w:tc>
                <w:tcPr>
                  <w:tcW w:w="93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0.2</w:t>
                  </w:r>
                </w:p>
              </w:tc>
              <w:tc>
                <w:tcPr>
                  <w:tcW w:w="93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0.3</w:t>
                  </w:r>
                </w:p>
              </w:tc>
              <w:tc>
                <w:tcPr>
                  <w:tcW w:w="93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0.4</w:t>
                  </w:r>
                </w:p>
              </w:tc>
              <w:tc>
                <w:tcPr>
                  <w:tcW w:w="93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0.5</w:t>
                  </w:r>
                </w:p>
              </w:tc>
              <w:tc>
                <w:tcPr>
                  <w:tcW w:w="933"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346"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5</w:t>
                  </w:r>
                </w:p>
              </w:tc>
              <w:tc>
                <w:tcPr>
                  <w:tcW w:w="93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0.0283</w:t>
                  </w:r>
                </w:p>
              </w:tc>
              <w:tc>
                <w:tcPr>
                  <w:tcW w:w="93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0.0476</w:t>
                  </w:r>
                </w:p>
              </w:tc>
              <w:tc>
                <w:tcPr>
                  <w:tcW w:w="93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0.0646</w:t>
                  </w:r>
                </w:p>
              </w:tc>
              <w:tc>
                <w:tcPr>
                  <w:tcW w:w="93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0.0801</w:t>
                  </w:r>
                </w:p>
              </w:tc>
              <w:tc>
                <w:tcPr>
                  <w:tcW w:w="93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0.0947</w:t>
                  </w:r>
                </w:p>
              </w:tc>
              <w:tc>
                <w:tcPr>
                  <w:tcW w:w="933"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0.1593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2346"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10</w:t>
                  </w:r>
                </w:p>
              </w:tc>
              <w:tc>
                <w:tcPr>
                  <w:tcW w:w="93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0.0566</w:t>
                  </w:r>
                </w:p>
              </w:tc>
              <w:tc>
                <w:tcPr>
                  <w:tcW w:w="93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0.0953</w:t>
                  </w:r>
                </w:p>
              </w:tc>
              <w:tc>
                <w:tcPr>
                  <w:tcW w:w="93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0.1291</w:t>
                  </w:r>
                </w:p>
              </w:tc>
              <w:tc>
                <w:tcPr>
                  <w:tcW w:w="93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0.1602</w:t>
                  </w:r>
                </w:p>
              </w:tc>
              <w:tc>
                <w:tcPr>
                  <w:tcW w:w="93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0.1894</w:t>
                  </w:r>
                </w:p>
              </w:tc>
              <w:tc>
                <w:tcPr>
                  <w:tcW w:w="933"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0.3186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2346"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15</w:t>
                  </w:r>
                </w:p>
              </w:tc>
              <w:tc>
                <w:tcPr>
                  <w:tcW w:w="93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0.0850</w:t>
                  </w:r>
                </w:p>
              </w:tc>
              <w:tc>
                <w:tcPr>
                  <w:tcW w:w="93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0.1429</w:t>
                  </w:r>
                </w:p>
              </w:tc>
              <w:tc>
                <w:tcPr>
                  <w:tcW w:w="93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0.1937</w:t>
                  </w:r>
                </w:p>
              </w:tc>
              <w:tc>
                <w:tcPr>
                  <w:tcW w:w="93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0.2403</w:t>
                  </w:r>
                </w:p>
              </w:tc>
              <w:tc>
                <w:tcPr>
                  <w:tcW w:w="93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0.2841</w:t>
                  </w:r>
                </w:p>
              </w:tc>
              <w:tc>
                <w:tcPr>
                  <w:tcW w:w="933"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0.4778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 w:hRule="atLeast"/>
                <w:jc w:val="center"/>
              </w:trPr>
              <w:tc>
                <w:tcPr>
                  <w:tcW w:w="2346"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20</w:t>
                  </w:r>
                </w:p>
              </w:tc>
              <w:tc>
                <w:tcPr>
                  <w:tcW w:w="93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0.1133</w:t>
                  </w:r>
                </w:p>
              </w:tc>
              <w:tc>
                <w:tcPr>
                  <w:tcW w:w="93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0.1905</w:t>
                  </w:r>
                </w:p>
              </w:tc>
              <w:tc>
                <w:tcPr>
                  <w:tcW w:w="93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0.2583</w:t>
                  </w:r>
                </w:p>
              </w:tc>
              <w:tc>
                <w:tcPr>
                  <w:tcW w:w="93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0.3204</w:t>
                  </w:r>
                </w:p>
              </w:tc>
              <w:tc>
                <w:tcPr>
                  <w:tcW w:w="93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0.3788</w:t>
                  </w:r>
                </w:p>
              </w:tc>
              <w:tc>
                <w:tcPr>
                  <w:tcW w:w="933"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0.6371</w:t>
                  </w:r>
                </w:p>
              </w:tc>
            </w:tr>
          </w:tbl>
          <w:p>
            <w:pPr>
              <w:widowControl/>
              <w:tabs>
                <w:tab w:val="left" w:pos="280"/>
              </w:tabs>
              <w:snapToGrid w:val="0"/>
              <w:spacing w:line="360" w:lineRule="auto"/>
              <w:ind w:firstLine="480" w:firstLineChars="200"/>
              <w:jc w:val="left"/>
              <w:rPr>
                <w:kern w:val="0"/>
                <w:sz w:val="24"/>
                <w:lang w:val="sq-AL"/>
              </w:rPr>
            </w:pPr>
            <w:r>
              <w:rPr>
                <w:rFonts w:hAnsi="宋体"/>
                <w:kern w:val="0"/>
                <w:sz w:val="24"/>
              </w:rPr>
              <w:t>表</w:t>
            </w:r>
            <w:r>
              <w:rPr>
                <w:rFonts w:hint="eastAsia"/>
                <w:kern w:val="0"/>
                <w:sz w:val="24"/>
              </w:rPr>
              <w:t>7-3</w:t>
            </w:r>
            <w:r>
              <w:rPr>
                <w:rFonts w:hAnsi="宋体"/>
                <w:kern w:val="0"/>
                <w:sz w:val="24"/>
                <w:lang w:val="sq-AL"/>
              </w:rPr>
              <w:t>为施工场地洒水抑尘的试验结果。</w:t>
            </w:r>
          </w:p>
          <w:p>
            <w:pPr>
              <w:widowControl/>
              <w:spacing w:line="360" w:lineRule="auto"/>
              <w:ind w:firstLine="482" w:firstLineChars="200"/>
              <w:jc w:val="center"/>
              <w:rPr>
                <w:b/>
                <w:snapToGrid w:val="0"/>
                <w:kern w:val="28"/>
                <w:sz w:val="24"/>
                <w:lang w:val="sq-AL"/>
              </w:rPr>
            </w:pPr>
            <w:r>
              <w:rPr>
                <w:b/>
                <w:snapToGrid w:val="0"/>
                <w:kern w:val="28"/>
                <w:sz w:val="24"/>
                <w:lang w:val="sq-AL"/>
              </w:rPr>
              <w:t>表</w:t>
            </w:r>
            <w:r>
              <w:rPr>
                <w:rFonts w:hint="eastAsia"/>
                <w:b/>
                <w:snapToGrid w:val="0"/>
                <w:kern w:val="28"/>
                <w:sz w:val="24"/>
                <w:lang w:val="sq-AL"/>
              </w:rPr>
              <w:t>7-3</w:t>
            </w:r>
            <w:r>
              <w:rPr>
                <w:b/>
                <w:snapToGrid w:val="0"/>
                <w:kern w:val="28"/>
                <w:sz w:val="24"/>
                <w:lang w:val="sq-AL"/>
              </w:rPr>
              <w:t>施工场地洒水抑尘试验结果</w:t>
            </w:r>
          </w:p>
          <w:tbl>
            <w:tblPr>
              <w:tblStyle w:val="44"/>
              <w:tblW w:w="78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1108"/>
              <w:gridCol w:w="1294"/>
              <w:gridCol w:w="1062"/>
              <w:gridCol w:w="120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8" w:hRule="atLeast"/>
                <w:jc w:val="center"/>
              </w:trPr>
              <w:tc>
                <w:tcPr>
                  <w:tcW w:w="3273" w:type="dxa"/>
                  <w:gridSpan w:val="2"/>
                  <w:tcMar>
                    <w:left w:w="28" w:type="dxa"/>
                    <w:right w:w="28" w:type="dxa"/>
                  </w:tcMar>
                  <w:vAlign w:val="center"/>
                </w:tcPr>
                <w:p>
                  <w:pPr>
                    <w:widowControl/>
                    <w:jc w:val="center"/>
                    <w:rPr>
                      <w:rFonts w:hAnsi="宋体"/>
                      <w:kern w:val="28"/>
                      <w:szCs w:val="21"/>
                      <w:lang w:val="sq-AL"/>
                    </w:rPr>
                  </w:pPr>
                  <w:r>
                    <w:rPr>
                      <w:rFonts w:hAnsi="宋体"/>
                      <w:kern w:val="28"/>
                      <w:szCs w:val="21"/>
                      <w:lang w:val="sq-AL"/>
                    </w:rPr>
                    <w:t>距离(m)</w:t>
                  </w:r>
                </w:p>
              </w:tc>
              <w:tc>
                <w:tcPr>
                  <w:tcW w:w="1294"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5</w:t>
                  </w:r>
                </w:p>
              </w:tc>
              <w:tc>
                <w:tcPr>
                  <w:tcW w:w="1062"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20</w:t>
                  </w:r>
                </w:p>
              </w:tc>
              <w:tc>
                <w:tcPr>
                  <w:tcW w:w="120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50</w:t>
                  </w:r>
                </w:p>
              </w:tc>
              <w:tc>
                <w:tcPr>
                  <w:tcW w:w="992"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8" w:hRule="atLeast"/>
                <w:jc w:val="center"/>
              </w:trPr>
              <w:tc>
                <w:tcPr>
                  <w:tcW w:w="2165" w:type="dxa"/>
                  <w:vMerge w:val="restart"/>
                  <w:tcMar>
                    <w:left w:w="28" w:type="dxa"/>
                    <w:right w:w="28" w:type="dxa"/>
                  </w:tcMar>
                  <w:vAlign w:val="center"/>
                </w:tcPr>
                <w:p>
                  <w:pPr>
                    <w:widowControl/>
                    <w:jc w:val="center"/>
                    <w:rPr>
                      <w:rFonts w:hAnsi="宋体"/>
                      <w:kern w:val="28"/>
                      <w:szCs w:val="21"/>
                      <w:lang w:val="sq-AL"/>
                    </w:rPr>
                  </w:pPr>
                  <w:r>
                    <w:rPr>
                      <w:rFonts w:hAnsi="宋体"/>
                      <w:kern w:val="28"/>
                      <w:szCs w:val="21"/>
                      <w:lang w:val="sq-AL"/>
                    </w:rPr>
                    <w:t>TSP小时平均</w:t>
                  </w:r>
                </w:p>
                <w:p>
                  <w:pPr>
                    <w:widowControl/>
                    <w:jc w:val="center"/>
                    <w:rPr>
                      <w:rFonts w:hAnsi="宋体"/>
                      <w:kern w:val="28"/>
                      <w:szCs w:val="21"/>
                      <w:lang w:val="sq-AL"/>
                    </w:rPr>
                  </w:pPr>
                  <w:r>
                    <w:rPr>
                      <w:rFonts w:hAnsi="宋体"/>
                      <w:kern w:val="28"/>
                      <w:szCs w:val="21"/>
                      <w:lang w:val="sq-AL"/>
                    </w:rPr>
                    <w:t>浓度、mg/m</w:t>
                  </w:r>
                  <w:r>
                    <w:rPr>
                      <w:rFonts w:hAnsi="宋体"/>
                      <w:kern w:val="28"/>
                      <w:szCs w:val="21"/>
                      <w:vertAlign w:val="superscript"/>
                      <w:lang w:val="sq-AL"/>
                    </w:rPr>
                    <w:t>3</w:t>
                  </w:r>
                </w:p>
              </w:tc>
              <w:tc>
                <w:tcPr>
                  <w:tcW w:w="1108"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不洒水</w:t>
                  </w:r>
                </w:p>
              </w:tc>
              <w:tc>
                <w:tcPr>
                  <w:tcW w:w="1294"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10.14</w:t>
                  </w:r>
                </w:p>
              </w:tc>
              <w:tc>
                <w:tcPr>
                  <w:tcW w:w="1062"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2.89</w:t>
                  </w:r>
                </w:p>
              </w:tc>
              <w:tc>
                <w:tcPr>
                  <w:tcW w:w="1201"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1.15</w:t>
                  </w:r>
                </w:p>
              </w:tc>
              <w:tc>
                <w:tcPr>
                  <w:tcW w:w="992" w:type="dxa"/>
                  <w:tcMar>
                    <w:left w:w="28" w:type="dxa"/>
                    <w:right w:w="28" w:type="dxa"/>
                  </w:tcMar>
                  <w:vAlign w:val="center"/>
                </w:tcPr>
                <w:p>
                  <w:pPr>
                    <w:widowControl/>
                    <w:jc w:val="center"/>
                    <w:rPr>
                      <w:rFonts w:hAnsi="宋体"/>
                      <w:kern w:val="28"/>
                      <w:szCs w:val="21"/>
                      <w:lang w:val="sq-AL"/>
                    </w:rPr>
                  </w:pPr>
                  <w:r>
                    <w:rPr>
                      <w:rFonts w:hAnsi="宋体"/>
                      <w:kern w:val="28"/>
                      <w:szCs w:val="21"/>
                      <w:lang w:val="sq-AL"/>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 w:hRule="atLeast"/>
                <w:jc w:val="center"/>
              </w:trPr>
              <w:tc>
                <w:tcPr>
                  <w:tcW w:w="2165" w:type="dxa"/>
                  <w:vMerge w:val="continue"/>
                  <w:shd w:val="clear" w:color="auto" w:fill="auto"/>
                  <w:tcMar>
                    <w:left w:w="28" w:type="dxa"/>
                    <w:right w:w="28" w:type="dxa"/>
                  </w:tcMar>
                  <w:vAlign w:val="center"/>
                </w:tcPr>
                <w:p>
                  <w:pPr>
                    <w:widowControl/>
                    <w:jc w:val="center"/>
                    <w:rPr>
                      <w:rFonts w:hAnsi="宋体"/>
                      <w:kern w:val="0"/>
                      <w:szCs w:val="21"/>
                      <w:lang w:val="sq-AL"/>
                    </w:rPr>
                  </w:pPr>
                </w:p>
              </w:tc>
              <w:tc>
                <w:tcPr>
                  <w:tcW w:w="1108" w:type="dxa"/>
                  <w:shd w:val="clear" w:color="auto" w:fill="FFFFFF"/>
                  <w:tcMar>
                    <w:left w:w="28" w:type="dxa"/>
                    <w:right w:w="28" w:type="dxa"/>
                  </w:tcMar>
                  <w:vAlign w:val="center"/>
                </w:tcPr>
                <w:p>
                  <w:pPr>
                    <w:widowControl/>
                    <w:jc w:val="center"/>
                    <w:rPr>
                      <w:rFonts w:hAnsi="宋体"/>
                      <w:kern w:val="0"/>
                      <w:szCs w:val="21"/>
                      <w:lang w:val="sq-AL"/>
                    </w:rPr>
                  </w:pPr>
                  <w:r>
                    <w:rPr>
                      <w:rFonts w:hAnsi="宋体"/>
                      <w:kern w:val="28"/>
                      <w:szCs w:val="21"/>
                      <w:lang w:val="sq-AL"/>
                    </w:rPr>
                    <w:t>洒  水</w:t>
                  </w:r>
                </w:p>
              </w:tc>
              <w:tc>
                <w:tcPr>
                  <w:tcW w:w="1294" w:type="dxa"/>
                  <w:shd w:val="clear" w:color="auto" w:fill="FFFFFF"/>
                  <w:tcMar>
                    <w:left w:w="28" w:type="dxa"/>
                    <w:right w:w="28" w:type="dxa"/>
                  </w:tcMar>
                  <w:vAlign w:val="center"/>
                </w:tcPr>
                <w:p>
                  <w:pPr>
                    <w:widowControl/>
                    <w:jc w:val="center"/>
                    <w:rPr>
                      <w:rFonts w:hAnsi="宋体"/>
                      <w:kern w:val="0"/>
                      <w:szCs w:val="21"/>
                      <w:lang w:val="sq-AL"/>
                    </w:rPr>
                  </w:pPr>
                  <w:r>
                    <w:rPr>
                      <w:rFonts w:hAnsi="宋体"/>
                      <w:kern w:val="28"/>
                      <w:szCs w:val="21"/>
                      <w:lang w:val="sq-AL"/>
                    </w:rPr>
                    <w:t>2.01</w:t>
                  </w:r>
                </w:p>
              </w:tc>
              <w:tc>
                <w:tcPr>
                  <w:tcW w:w="1062" w:type="dxa"/>
                  <w:shd w:val="clear" w:color="auto" w:fill="FFFFFF"/>
                  <w:tcMar>
                    <w:left w:w="28" w:type="dxa"/>
                    <w:right w:w="28" w:type="dxa"/>
                  </w:tcMar>
                  <w:vAlign w:val="center"/>
                </w:tcPr>
                <w:p>
                  <w:pPr>
                    <w:widowControl/>
                    <w:jc w:val="center"/>
                    <w:rPr>
                      <w:rFonts w:hAnsi="宋体"/>
                      <w:kern w:val="0"/>
                      <w:szCs w:val="21"/>
                      <w:lang w:val="sq-AL"/>
                    </w:rPr>
                  </w:pPr>
                  <w:r>
                    <w:rPr>
                      <w:rFonts w:hAnsi="宋体"/>
                      <w:kern w:val="28"/>
                      <w:szCs w:val="21"/>
                      <w:lang w:val="sq-AL"/>
                    </w:rPr>
                    <w:t>1.40</w:t>
                  </w:r>
                </w:p>
              </w:tc>
              <w:tc>
                <w:tcPr>
                  <w:tcW w:w="1201" w:type="dxa"/>
                  <w:shd w:val="clear" w:color="auto" w:fill="FFFFFF"/>
                  <w:tcMar>
                    <w:left w:w="28" w:type="dxa"/>
                    <w:right w:w="28" w:type="dxa"/>
                  </w:tcMar>
                  <w:vAlign w:val="center"/>
                </w:tcPr>
                <w:p>
                  <w:pPr>
                    <w:widowControl/>
                    <w:jc w:val="center"/>
                    <w:rPr>
                      <w:rFonts w:hAnsi="宋体"/>
                      <w:kern w:val="0"/>
                      <w:szCs w:val="21"/>
                      <w:lang w:val="sq-AL"/>
                    </w:rPr>
                  </w:pPr>
                  <w:r>
                    <w:rPr>
                      <w:rFonts w:hAnsi="宋体"/>
                      <w:kern w:val="28"/>
                      <w:szCs w:val="21"/>
                      <w:lang w:val="sq-AL"/>
                    </w:rPr>
                    <w:t>0.67</w:t>
                  </w:r>
                </w:p>
              </w:tc>
              <w:tc>
                <w:tcPr>
                  <w:tcW w:w="992" w:type="dxa"/>
                  <w:shd w:val="clear" w:color="auto" w:fill="FFFFFF"/>
                  <w:tcMar>
                    <w:left w:w="28" w:type="dxa"/>
                    <w:right w:w="28" w:type="dxa"/>
                  </w:tcMar>
                  <w:vAlign w:val="center"/>
                </w:tcPr>
                <w:p>
                  <w:pPr>
                    <w:widowControl/>
                    <w:jc w:val="center"/>
                    <w:rPr>
                      <w:rFonts w:hAnsi="宋体"/>
                      <w:kern w:val="0"/>
                      <w:szCs w:val="21"/>
                      <w:lang w:val="sq-AL"/>
                    </w:rPr>
                  </w:pPr>
                  <w:r>
                    <w:rPr>
                      <w:rFonts w:hAnsi="宋体"/>
                      <w:kern w:val="28"/>
                      <w:szCs w:val="21"/>
                      <w:lang w:val="sq-AL"/>
                    </w:rPr>
                    <w:t>0.60</w:t>
                  </w:r>
                </w:p>
              </w:tc>
            </w:tr>
          </w:tbl>
          <w:p>
            <w:pPr>
              <w:widowControl/>
              <w:spacing w:line="360" w:lineRule="auto"/>
              <w:ind w:firstLine="480" w:firstLineChars="200"/>
              <w:jc w:val="left"/>
              <w:rPr>
                <w:color w:val="0000CC"/>
                <w:kern w:val="0"/>
                <w:sz w:val="24"/>
                <w:lang w:val="sq-AL"/>
              </w:rPr>
            </w:pPr>
            <w:r>
              <w:rPr>
                <w:color w:val="0000CC"/>
                <w:kern w:val="0"/>
                <w:sz w:val="24"/>
              </w:rPr>
              <w:t>从表</w:t>
            </w:r>
            <w:r>
              <w:rPr>
                <w:rFonts w:hint="eastAsia"/>
                <w:color w:val="0000CC"/>
                <w:kern w:val="0"/>
                <w:sz w:val="24"/>
              </w:rPr>
              <w:t>7-3</w:t>
            </w:r>
            <w:r>
              <w:rPr>
                <w:color w:val="0000CC"/>
                <w:kern w:val="0"/>
                <w:sz w:val="24"/>
              </w:rPr>
              <w:t>可以看出，在施工场地每日</w:t>
            </w:r>
            <w:r>
              <w:rPr>
                <w:rFonts w:hint="eastAsia"/>
                <w:color w:val="0000CC"/>
                <w:kern w:val="0"/>
                <w:sz w:val="24"/>
              </w:rPr>
              <w:t>适时的洒水</w:t>
            </w:r>
            <w:r>
              <w:rPr>
                <w:color w:val="0000CC"/>
                <w:kern w:val="0"/>
                <w:sz w:val="24"/>
              </w:rPr>
              <w:t>，可有效地控制施工扬尘的产生，对扬尘起到良好的抑尘作用，将TSP污染距离缩小在20～50m范围内。</w:t>
            </w:r>
            <w:r>
              <w:rPr>
                <w:color w:val="0000CC"/>
                <w:kern w:val="0"/>
                <w:sz w:val="24"/>
                <w:lang w:val="sq-AL"/>
              </w:rPr>
              <w:t>如果不采取洒水措施，根据施工期无组织排放颗粒物执行《大气污染物综合排放标准》</w:t>
            </w:r>
            <w:r>
              <w:rPr>
                <w:rFonts w:hint="eastAsia"/>
                <w:color w:val="0000CC"/>
                <w:kern w:val="0"/>
                <w:sz w:val="24"/>
                <w:lang w:val="sq-AL"/>
              </w:rPr>
              <w:t>（</w:t>
            </w:r>
            <w:r>
              <w:rPr>
                <w:color w:val="0000CC"/>
                <w:kern w:val="0"/>
                <w:sz w:val="24"/>
                <w:lang w:val="sq-AL"/>
              </w:rPr>
              <w:t>GB16297-1996</w:t>
            </w:r>
            <w:r>
              <w:rPr>
                <w:rFonts w:hint="eastAsia"/>
                <w:color w:val="0000CC"/>
                <w:kern w:val="0"/>
                <w:sz w:val="24"/>
                <w:lang w:val="sq-AL"/>
              </w:rPr>
              <w:t>）</w:t>
            </w:r>
            <w:r>
              <w:rPr>
                <w:color w:val="0000CC"/>
                <w:kern w:val="0"/>
                <w:sz w:val="24"/>
                <w:lang w:val="sq-AL"/>
              </w:rPr>
              <w:t>颗粒物</w:t>
            </w:r>
            <w:r>
              <w:rPr>
                <w:rFonts w:ascii="宋体"/>
                <w:color w:val="0000CC"/>
                <w:kern w:val="0"/>
                <w:sz w:val="24"/>
                <w:lang w:val="sq-AL"/>
              </w:rPr>
              <w:t>≤</w:t>
            </w:r>
            <w:r>
              <w:rPr>
                <w:color w:val="0000CC"/>
                <w:kern w:val="0"/>
                <w:sz w:val="24"/>
                <w:lang w:val="sq-AL"/>
              </w:rPr>
              <w:t>1.0 mg/m</w:t>
            </w:r>
            <w:r>
              <w:rPr>
                <w:color w:val="0000CC"/>
                <w:kern w:val="0"/>
                <w:sz w:val="24"/>
                <w:vertAlign w:val="superscript"/>
                <w:lang w:val="sq-AL"/>
              </w:rPr>
              <w:t>3</w:t>
            </w:r>
            <w:r>
              <w:rPr>
                <w:rFonts w:hint="eastAsia"/>
                <w:color w:val="0000CC"/>
                <w:kern w:val="0"/>
                <w:sz w:val="24"/>
                <w:lang w:val="sq-AL"/>
              </w:rPr>
              <w:t>。</w:t>
            </w:r>
          </w:p>
          <w:p>
            <w:pPr>
              <w:widowControl/>
              <w:tabs>
                <w:tab w:val="left" w:pos="6046"/>
              </w:tabs>
              <w:spacing w:line="360" w:lineRule="auto"/>
              <w:ind w:firstLine="480" w:firstLineChars="200"/>
              <w:jc w:val="left"/>
              <w:rPr>
                <w:color w:val="0000CC"/>
                <w:kern w:val="0"/>
                <w:sz w:val="24"/>
              </w:rPr>
            </w:pPr>
            <w:r>
              <w:rPr>
                <w:rFonts w:hint="eastAsia"/>
                <w:color w:val="0000CC"/>
                <w:kern w:val="0"/>
                <w:sz w:val="24"/>
              </w:rPr>
              <w:t>项目区常年主导风向为西南风，</w:t>
            </w:r>
            <w:r>
              <w:rPr>
                <w:color w:val="0000CC"/>
                <w:kern w:val="0"/>
                <w:sz w:val="24"/>
              </w:rPr>
              <w:t>年平均风速为</w:t>
            </w:r>
            <w:r>
              <w:rPr>
                <w:rFonts w:hint="eastAsia"/>
                <w:color w:val="0000CC"/>
                <w:kern w:val="0"/>
                <w:sz w:val="24"/>
              </w:rPr>
              <w:t>2.2</w:t>
            </w:r>
            <w:r>
              <w:rPr>
                <w:color w:val="0000CC"/>
                <w:kern w:val="0"/>
                <w:sz w:val="24"/>
              </w:rPr>
              <w:t>m/s</w:t>
            </w:r>
            <w:r>
              <w:rPr>
                <w:rFonts w:hint="eastAsia"/>
                <w:color w:val="0000CC"/>
                <w:kern w:val="0"/>
                <w:sz w:val="24"/>
              </w:rPr>
              <w:t>，</w:t>
            </w:r>
            <w:r>
              <w:rPr>
                <w:color w:val="0000CC"/>
                <w:kern w:val="0"/>
                <w:sz w:val="24"/>
              </w:rPr>
              <w:t>瞬时最大风速23m/s。</w:t>
            </w:r>
            <w:r>
              <w:rPr>
                <w:rFonts w:hint="eastAsia"/>
                <w:color w:val="0000CC"/>
                <w:kern w:val="0"/>
                <w:sz w:val="24"/>
              </w:rPr>
              <w:t>项目区下风向为东北侧；扬尘对下风向的影响较大。项目区下风向和运输道路沿线主要为富有村。由于项目工程量较小，且拟在施工期采取洒水降尘措施们因此对杨户村的施工影响可以降到最低。同时本评价要求施工期物料应遮盖运输，材料及临时土石方堆放场地应使用土工布覆盖，减轻扬尘影响。</w:t>
            </w:r>
          </w:p>
          <w:p>
            <w:pPr>
              <w:widowControl/>
              <w:tabs>
                <w:tab w:val="left" w:pos="280"/>
              </w:tabs>
              <w:spacing w:line="360" w:lineRule="auto"/>
              <w:ind w:firstLine="480" w:firstLineChars="200"/>
              <w:jc w:val="left"/>
              <w:outlineLvl w:val="0"/>
              <w:rPr>
                <w:kern w:val="0"/>
                <w:sz w:val="24"/>
              </w:rPr>
            </w:pPr>
            <w:r>
              <w:rPr>
                <w:rFonts w:hint="eastAsia"/>
                <w:kern w:val="0"/>
                <w:sz w:val="24"/>
              </w:rPr>
              <w:t>（2）</w:t>
            </w:r>
            <w:r>
              <w:rPr>
                <w:rFonts w:hAnsi="宋体"/>
                <w:kern w:val="0"/>
                <w:sz w:val="24"/>
              </w:rPr>
              <w:t>施工机械、运输车辆产生的废气对环境的影响</w:t>
            </w:r>
          </w:p>
          <w:p>
            <w:pPr>
              <w:widowControl/>
              <w:tabs>
                <w:tab w:val="left" w:pos="280"/>
              </w:tabs>
              <w:spacing w:line="360" w:lineRule="auto"/>
              <w:ind w:firstLine="480" w:firstLineChars="200"/>
              <w:jc w:val="left"/>
              <w:rPr>
                <w:kern w:val="0"/>
                <w:sz w:val="24"/>
              </w:rPr>
            </w:pPr>
            <w:r>
              <w:rPr>
                <w:rFonts w:hAnsi="宋体"/>
                <w:kern w:val="0"/>
                <w:sz w:val="24"/>
              </w:rPr>
              <w:t>施工机械和运输车辆，使用汽油、柴油作为能源，在运行时排放的废气会对环境产生一定的影响。废气包括的污染物主要是</w:t>
            </w:r>
            <w:r>
              <w:rPr>
                <w:kern w:val="0"/>
                <w:sz w:val="24"/>
              </w:rPr>
              <w:t>CO</w:t>
            </w:r>
            <w:r>
              <w:rPr>
                <w:rFonts w:hAnsi="宋体"/>
                <w:kern w:val="0"/>
                <w:sz w:val="24"/>
              </w:rPr>
              <w:t>、碳氢化合物等，其产生量及废气中污染物浓度视其使用频率及发动机对燃料的燃烧情况而异。</w:t>
            </w:r>
          </w:p>
          <w:p>
            <w:pPr>
              <w:widowControl/>
              <w:tabs>
                <w:tab w:val="left" w:pos="6046"/>
              </w:tabs>
              <w:spacing w:line="360" w:lineRule="auto"/>
              <w:ind w:firstLine="480" w:firstLineChars="200"/>
              <w:jc w:val="left"/>
              <w:rPr>
                <w:kern w:val="0"/>
                <w:sz w:val="24"/>
              </w:rPr>
            </w:pPr>
            <w:r>
              <w:rPr>
                <w:rFonts w:hAnsi="宋体"/>
                <w:kern w:val="0"/>
                <w:sz w:val="24"/>
              </w:rPr>
              <w:t>施工机械废气属低架点源无组织排放性质，具有间断性产生、产生量较小、产生点相对分散、易被稀释扩散等特点，加之项目区施工范围相对较大，施工场地周围较空旷，大气扩散条件相对较好，故一般情况下，施工机械和运输车辆所产生污染在空气中经自然扩散和稀释后，对评价区域的空气环境质量影响不大。</w:t>
            </w:r>
          </w:p>
          <w:p>
            <w:pPr>
              <w:widowControl/>
              <w:spacing w:line="360" w:lineRule="auto"/>
              <w:ind w:firstLine="482" w:firstLineChars="200"/>
              <w:jc w:val="left"/>
              <w:rPr>
                <w:b/>
                <w:bCs/>
                <w:iCs/>
                <w:kern w:val="0"/>
                <w:sz w:val="24"/>
              </w:rPr>
            </w:pPr>
            <w:r>
              <w:rPr>
                <w:b/>
                <w:bCs/>
                <w:iCs/>
                <w:kern w:val="0"/>
                <w:sz w:val="24"/>
              </w:rPr>
              <w:t>2、施工期声环境影响分析：</w:t>
            </w:r>
          </w:p>
          <w:p>
            <w:pPr>
              <w:adjustRightInd w:val="0"/>
              <w:snapToGrid w:val="0"/>
              <w:spacing w:line="360" w:lineRule="auto"/>
              <w:ind w:firstLine="480" w:firstLineChars="200"/>
              <w:rPr>
                <w:sz w:val="24"/>
                <w:szCs w:val="20"/>
              </w:rPr>
            </w:pPr>
            <w:r>
              <w:rPr>
                <w:sz w:val="24"/>
                <w:szCs w:val="20"/>
              </w:rPr>
              <w:t>项目建设期间噪声源为机械噪声。项目建设过程中将使用打桩机、挖掘机、货车等噪声较大的设备及车辆进行施工。各施工阶段的主要噪声源 及其声级见表 4-4。</w:t>
            </w:r>
          </w:p>
          <w:p>
            <w:pPr>
              <w:widowControl/>
              <w:adjustRightInd w:val="0"/>
              <w:snapToGrid w:val="0"/>
              <w:spacing w:line="360" w:lineRule="auto"/>
              <w:ind w:left="480" w:firstLine="482" w:firstLineChars="200"/>
              <w:jc w:val="center"/>
              <w:rPr>
                <w:b/>
                <w:kern w:val="0"/>
                <w:sz w:val="24"/>
              </w:rPr>
            </w:pPr>
            <w:r>
              <w:rPr>
                <w:b/>
                <w:iCs/>
                <w:sz w:val="24"/>
                <w:szCs w:val="32"/>
              </w:rPr>
              <w:t xml:space="preserve">表4-4   </w:t>
            </w:r>
            <w:r>
              <w:rPr>
                <w:b/>
                <w:kern w:val="0"/>
                <w:sz w:val="24"/>
              </w:rPr>
              <w:t>施工期噪声排污参数</w:t>
            </w:r>
          </w:p>
          <w:tbl>
            <w:tblPr>
              <w:tblStyle w:val="44"/>
              <w:tblW w:w="78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2754"/>
              <w:gridCol w:w="3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466" w:type="dxa"/>
                  <w:vAlign w:val="center"/>
                </w:tcPr>
                <w:p>
                  <w:pPr>
                    <w:widowControl/>
                    <w:ind w:firstLine="420"/>
                    <w:jc w:val="center"/>
                    <w:rPr>
                      <w:kern w:val="0"/>
                      <w:szCs w:val="21"/>
                    </w:rPr>
                  </w:pPr>
                  <w:r>
                    <w:rPr>
                      <w:kern w:val="0"/>
                      <w:szCs w:val="21"/>
                    </w:rPr>
                    <w:t>施工阶段</w:t>
                  </w:r>
                </w:p>
              </w:tc>
              <w:tc>
                <w:tcPr>
                  <w:tcW w:w="2754" w:type="dxa"/>
                  <w:vAlign w:val="center"/>
                </w:tcPr>
                <w:p>
                  <w:pPr>
                    <w:widowControl/>
                    <w:ind w:firstLine="420"/>
                    <w:jc w:val="center"/>
                    <w:rPr>
                      <w:kern w:val="0"/>
                      <w:szCs w:val="21"/>
                    </w:rPr>
                  </w:pPr>
                  <w:r>
                    <w:rPr>
                      <w:kern w:val="0"/>
                      <w:szCs w:val="21"/>
                    </w:rPr>
                    <w:t>设备名称</w:t>
                  </w:r>
                </w:p>
              </w:tc>
              <w:tc>
                <w:tcPr>
                  <w:tcW w:w="3587" w:type="dxa"/>
                  <w:vAlign w:val="center"/>
                </w:tcPr>
                <w:p>
                  <w:pPr>
                    <w:widowControl/>
                    <w:ind w:firstLine="420"/>
                    <w:jc w:val="center"/>
                    <w:rPr>
                      <w:kern w:val="0"/>
                      <w:szCs w:val="21"/>
                    </w:rPr>
                  </w:pPr>
                  <w:r>
                    <w:rPr>
                      <w:kern w:val="0"/>
                      <w:szCs w:val="21"/>
                    </w:rPr>
                    <w:t>噪声强度[dB(A)]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466" w:type="dxa"/>
                  <w:vMerge w:val="restart"/>
                  <w:vAlign w:val="center"/>
                </w:tcPr>
                <w:p>
                  <w:pPr>
                    <w:widowControl/>
                    <w:jc w:val="left"/>
                    <w:rPr>
                      <w:kern w:val="0"/>
                      <w:szCs w:val="21"/>
                    </w:rPr>
                  </w:pPr>
                  <w:r>
                    <w:rPr>
                      <w:kern w:val="0"/>
                      <w:szCs w:val="21"/>
                    </w:rPr>
                    <w:t>土石方及打桩阶段</w:t>
                  </w:r>
                </w:p>
              </w:tc>
              <w:tc>
                <w:tcPr>
                  <w:tcW w:w="2754" w:type="dxa"/>
                  <w:vAlign w:val="center"/>
                </w:tcPr>
                <w:p>
                  <w:pPr>
                    <w:widowControl/>
                    <w:ind w:firstLine="420"/>
                    <w:jc w:val="center"/>
                    <w:rPr>
                      <w:kern w:val="0"/>
                      <w:szCs w:val="21"/>
                    </w:rPr>
                  </w:pPr>
                  <w:r>
                    <w:rPr>
                      <w:kern w:val="0"/>
                      <w:szCs w:val="21"/>
                    </w:rPr>
                    <w:t>挖土机</w:t>
                  </w:r>
                </w:p>
              </w:tc>
              <w:tc>
                <w:tcPr>
                  <w:tcW w:w="3587" w:type="dxa"/>
                  <w:vAlign w:val="center"/>
                </w:tcPr>
                <w:p>
                  <w:pPr>
                    <w:widowControl/>
                    <w:ind w:firstLine="420"/>
                    <w:jc w:val="center"/>
                    <w:rPr>
                      <w:kern w:val="0"/>
                      <w:szCs w:val="21"/>
                    </w:rPr>
                  </w:pPr>
                  <w:r>
                    <w:rPr>
                      <w:kern w:val="0"/>
                      <w:szCs w:val="21"/>
                    </w:rPr>
                    <w:t>78-96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466" w:type="dxa"/>
                  <w:vMerge w:val="continue"/>
                  <w:vAlign w:val="center"/>
                </w:tcPr>
                <w:p>
                  <w:pPr>
                    <w:widowControl/>
                    <w:ind w:firstLine="420"/>
                    <w:jc w:val="center"/>
                    <w:rPr>
                      <w:kern w:val="0"/>
                      <w:szCs w:val="21"/>
                    </w:rPr>
                  </w:pPr>
                </w:p>
              </w:tc>
              <w:tc>
                <w:tcPr>
                  <w:tcW w:w="2754" w:type="dxa"/>
                  <w:vAlign w:val="center"/>
                </w:tcPr>
                <w:p>
                  <w:pPr>
                    <w:widowControl/>
                    <w:ind w:firstLine="420"/>
                    <w:jc w:val="center"/>
                    <w:rPr>
                      <w:kern w:val="0"/>
                      <w:szCs w:val="21"/>
                    </w:rPr>
                  </w:pPr>
                  <w:r>
                    <w:rPr>
                      <w:kern w:val="0"/>
                      <w:szCs w:val="21"/>
                    </w:rPr>
                    <w:t>空压机</w:t>
                  </w:r>
                </w:p>
              </w:tc>
              <w:tc>
                <w:tcPr>
                  <w:tcW w:w="3587" w:type="dxa"/>
                  <w:vAlign w:val="center"/>
                </w:tcPr>
                <w:p>
                  <w:pPr>
                    <w:widowControl/>
                    <w:ind w:firstLine="420"/>
                    <w:jc w:val="center"/>
                    <w:rPr>
                      <w:kern w:val="0"/>
                      <w:szCs w:val="21"/>
                    </w:rPr>
                  </w:pPr>
                  <w:r>
                    <w:rPr>
                      <w:kern w:val="0"/>
                      <w:szCs w:val="21"/>
                    </w:rPr>
                    <w:t>75-85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466" w:type="dxa"/>
                  <w:vMerge w:val="continue"/>
                  <w:vAlign w:val="center"/>
                </w:tcPr>
                <w:p>
                  <w:pPr>
                    <w:widowControl/>
                    <w:ind w:firstLine="420"/>
                    <w:jc w:val="center"/>
                    <w:rPr>
                      <w:kern w:val="0"/>
                      <w:szCs w:val="21"/>
                    </w:rPr>
                  </w:pPr>
                </w:p>
              </w:tc>
              <w:tc>
                <w:tcPr>
                  <w:tcW w:w="2754" w:type="dxa"/>
                  <w:vAlign w:val="center"/>
                </w:tcPr>
                <w:p>
                  <w:pPr>
                    <w:widowControl/>
                    <w:ind w:firstLine="420"/>
                    <w:jc w:val="center"/>
                    <w:rPr>
                      <w:kern w:val="0"/>
                      <w:szCs w:val="21"/>
                    </w:rPr>
                  </w:pPr>
                  <w:r>
                    <w:rPr>
                      <w:kern w:val="0"/>
                      <w:szCs w:val="21"/>
                    </w:rPr>
                    <w:t>大型载重车</w:t>
                  </w:r>
                </w:p>
              </w:tc>
              <w:tc>
                <w:tcPr>
                  <w:tcW w:w="3587" w:type="dxa"/>
                  <w:vAlign w:val="center"/>
                </w:tcPr>
                <w:p>
                  <w:pPr>
                    <w:widowControl/>
                    <w:ind w:firstLine="420"/>
                    <w:jc w:val="center"/>
                    <w:rPr>
                      <w:kern w:val="0"/>
                      <w:szCs w:val="21"/>
                    </w:rPr>
                  </w:pPr>
                  <w:r>
                    <w:rPr>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466" w:type="dxa"/>
                  <w:vMerge w:val="restart"/>
                  <w:vAlign w:val="center"/>
                </w:tcPr>
                <w:p>
                  <w:pPr>
                    <w:widowControl/>
                    <w:jc w:val="left"/>
                    <w:rPr>
                      <w:kern w:val="0"/>
                      <w:szCs w:val="21"/>
                    </w:rPr>
                  </w:pPr>
                  <w:r>
                    <w:rPr>
                      <w:kern w:val="0"/>
                      <w:szCs w:val="21"/>
                    </w:rPr>
                    <w:t>底板与结构阶段</w:t>
                  </w:r>
                </w:p>
              </w:tc>
              <w:tc>
                <w:tcPr>
                  <w:tcW w:w="2754" w:type="dxa"/>
                  <w:vAlign w:val="center"/>
                </w:tcPr>
                <w:p>
                  <w:pPr>
                    <w:widowControl/>
                    <w:ind w:firstLine="420"/>
                    <w:jc w:val="center"/>
                    <w:rPr>
                      <w:kern w:val="0"/>
                      <w:szCs w:val="21"/>
                    </w:rPr>
                  </w:pPr>
                  <w:r>
                    <w:rPr>
                      <w:kern w:val="0"/>
                      <w:szCs w:val="21"/>
                    </w:rPr>
                    <w:t>振捣器</w:t>
                  </w:r>
                </w:p>
              </w:tc>
              <w:tc>
                <w:tcPr>
                  <w:tcW w:w="3587" w:type="dxa"/>
                  <w:vAlign w:val="center"/>
                </w:tcPr>
                <w:p>
                  <w:pPr>
                    <w:widowControl/>
                    <w:ind w:firstLine="420"/>
                    <w:jc w:val="center"/>
                    <w:rPr>
                      <w:kern w:val="0"/>
                      <w:szCs w:val="21"/>
                    </w:rPr>
                  </w:pPr>
                  <w:r>
                    <w:rPr>
                      <w:kern w:val="0"/>
                      <w:szCs w:val="21"/>
                    </w:rPr>
                    <w:t>100-105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466" w:type="dxa"/>
                  <w:vMerge w:val="continue"/>
                  <w:vAlign w:val="center"/>
                </w:tcPr>
                <w:p>
                  <w:pPr>
                    <w:widowControl/>
                    <w:ind w:firstLine="420"/>
                    <w:jc w:val="center"/>
                    <w:rPr>
                      <w:kern w:val="0"/>
                      <w:szCs w:val="21"/>
                    </w:rPr>
                  </w:pPr>
                </w:p>
              </w:tc>
              <w:tc>
                <w:tcPr>
                  <w:tcW w:w="2754" w:type="dxa"/>
                  <w:vAlign w:val="center"/>
                </w:tcPr>
                <w:p>
                  <w:pPr>
                    <w:widowControl/>
                    <w:ind w:firstLine="420"/>
                    <w:jc w:val="center"/>
                    <w:rPr>
                      <w:kern w:val="0"/>
                      <w:szCs w:val="21"/>
                    </w:rPr>
                  </w:pPr>
                  <w:r>
                    <w:rPr>
                      <w:kern w:val="0"/>
                      <w:szCs w:val="21"/>
                    </w:rPr>
                    <w:t>电锯</w:t>
                  </w:r>
                </w:p>
              </w:tc>
              <w:tc>
                <w:tcPr>
                  <w:tcW w:w="3587" w:type="dxa"/>
                  <w:vAlign w:val="center"/>
                </w:tcPr>
                <w:p>
                  <w:pPr>
                    <w:widowControl/>
                    <w:ind w:firstLine="420"/>
                    <w:jc w:val="center"/>
                    <w:rPr>
                      <w:kern w:val="0"/>
                      <w:szCs w:val="21"/>
                    </w:rPr>
                  </w:pPr>
                  <w:r>
                    <w:rPr>
                      <w:kern w:val="0"/>
                      <w:szCs w:val="21"/>
                    </w:rPr>
                    <w:t>100-110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466" w:type="dxa"/>
                  <w:vMerge w:val="continue"/>
                  <w:vAlign w:val="center"/>
                </w:tcPr>
                <w:p>
                  <w:pPr>
                    <w:widowControl/>
                    <w:ind w:firstLine="420"/>
                    <w:jc w:val="center"/>
                    <w:rPr>
                      <w:kern w:val="0"/>
                      <w:szCs w:val="21"/>
                    </w:rPr>
                  </w:pPr>
                </w:p>
              </w:tc>
              <w:tc>
                <w:tcPr>
                  <w:tcW w:w="2754" w:type="dxa"/>
                  <w:vAlign w:val="center"/>
                </w:tcPr>
                <w:p>
                  <w:pPr>
                    <w:widowControl/>
                    <w:ind w:firstLine="420"/>
                    <w:jc w:val="center"/>
                    <w:rPr>
                      <w:kern w:val="0"/>
                      <w:szCs w:val="21"/>
                    </w:rPr>
                  </w:pPr>
                  <w:r>
                    <w:rPr>
                      <w:kern w:val="0"/>
                      <w:szCs w:val="21"/>
                    </w:rPr>
                    <w:t>电焊机</w:t>
                  </w:r>
                </w:p>
              </w:tc>
              <w:tc>
                <w:tcPr>
                  <w:tcW w:w="3587" w:type="dxa"/>
                  <w:vAlign w:val="center"/>
                </w:tcPr>
                <w:p>
                  <w:pPr>
                    <w:widowControl/>
                    <w:ind w:firstLine="420"/>
                    <w:jc w:val="center"/>
                    <w:rPr>
                      <w:kern w:val="0"/>
                      <w:szCs w:val="21"/>
                    </w:rPr>
                  </w:pPr>
                  <w:r>
                    <w:rPr>
                      <w:kern w:val="0"/>
                      <w:szCs w:val="21"/>
                    </w:rPr>
                    <w:t>90-95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466" w:type="dxa"/>
                  <w:vMerge w:val="continue"/>
                  <w:vAlign w:val="center"/>
                </w:tcPr>
                <w:p>
                  <w:pPr>
                    <w:widowControl/>
                    <w:ind w:firstLine="420"/>
                    <w:jc w:val="center"/>
                    <w:rPr>
                      <w:kern w:val="0"/>
                      <w:szCs w:val="21"/>
                    </w:rPr>
                  </w:pPr>
                </w:p>
              </w:tc>
              <w:tc>
                <w:tcPr>
                  <w:tcW w:w="2754" w:type="dxa"/>
                  <w:vAlign w:val="center"/>
                </w:tcPr>
                <w:p>
                  <w:pPr>
                    <w:widowControl/>
                    <w:ind w:firstLine="420"/>
                    <w:jc w:val="center"/>
                    <w:rPr>
                      <w:kern w:val="0"/>
                      <w:szCs w:val="21"/>
                    </w:rPr>
                  </w:pPr>
                  <w:r>
                    <w:rPr>
                      <w:kern w:val="0"/>
                      <w:szCs w:val="21"/>
                    </w:rPr>
                    <w:t>空压机</w:t>
                  </w:r>
                </w:p>
              </w:tc>
              <w:tc>
                <w:tcPr>
                  <w:tcW w:w="3587" w:type="dxa"/>
                  <w:vAlign w:val="center"/>
                </w:tcPr>
                <w:p>
                  <w:pPr>
                    <w:widowControl/>
                    <w:ind w:firstLine="420"/>
                    <w:jc w:val="center"/>
                    <w:rPr>
                      <w:kern w:val="0"/>
                      <w:szCs w:val="21"/>
                    </w:rPr>
                  </w:pPr>
                  <w:r>
                    <w:rPr>
                      <w:kern w:val="0"/>
                      <w:szCs w:val="21"/>
                    </w:rPr>
                    <w:t>75-85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466" w:type="dxa"/>
                  <w:vMerge w:val="continue"/>
                  <w:vAlign w:val="center"/>
                </w:tcPr>
                <w:p>
                  <w:pPr>
                    <w:widowControl/>
                    <w:ind w:firstLine="420"/>
                    <w:jc w:val="center"/>
                    <w:rPr>
                      <w:kern w:val="0"/>
                      <w:szCs w:val="21"/>
                    </w:rPr>
                  </w:pPr>
                </w:p>
              </w:tc>
              <w:tc>
                <w:tcPr>
                  <w:tcW w:w="2754" w:type="dxa"/>
                  <w:vAlign w:val="center"/>
                </w:tcPr>
                <w:p>
                  <w:pPr>
                    <w:widowControl/>
                    <w:ind w:firstLine="420"/>
                    <w:jc w:val="center"/>
                    <w:rPr>
                      <w:kern w:val="0"/>
                      <w:szCs w:val="21"/>
                    </w:rPr>
                  </w:pPr>
                  <w:r>
                    <w:rPr>
                      <w:kern w:val="0"/>
                      <w:szCs w:val="21"/>
                    </w:rPr>
                    <w:t>中型载重车</w:t>
                  </w:r>
                </w:p>
              </w:tc>
              <w:tc>
                <w:tcPr>
                  <w:tcW w:w="3587" w:type="dxa"/>
                  <w:vAlign w:val="center"/>
                </w:tcPr>
                <w:p>
                  <w:pPr>
                    <w:widowControl/>
                    <w:ind w:firstLine="420"/>
                    <w:jc w:val="center"/>
                    <w:rPr>
                      <w:kern w:val="0"/>
                      <w:szCs w:val="21"/>
                    </w:rPr>
                  </w:pPr>
                  <w:r>
                    <w:rPr>
                      <w:kern w:val="0"/>
                      <w:szCs w:val="21"/>
                    </w:rPr>
                    <w:t>80-85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466" w:type="dxa"/>
                  <w:vMerge w:val="restart"/>
                  <w:vAlign w:val="center"/>
                </w:tcPr>
                <w:p>
                  <w:pPr>
                    <w:widowControl/>
                    <w:jc w:val="left"/>
                    <w:rPr>
                      <w:kern w:val="0"/>
                      <w:szCs w:val="21"/>
                    </w:rPr>
                  </w:pPr>
                  <w:r>
                    <w:rPr>
                      <w:kern w:val="0"/>
                      <w:szCs w:val="21"/>
                    </w:rPr>
                    <w:t>装修、安装阶段</w:t>
                  </w:r>
                </w:p>
              </w:tc>
              <w:tc>
                <w:tcPr>
                  <w:tcW w:w="2754" w:type="dxa"/>
                  <w:vAlign w:val="center"/>
                </w:tcPr>
                <w:p>
                  <w:pPr>
                    <w:widowControl/>
                    <w:ind w:firstLine="420"/>
                    <w:jc w:val="center"/>
                    <w:rPr>
                      <w:kern w:val="0"/>
                      <w:szCs w:val="21"/>
                    </w:rPr>
                  </w:pPr>
                  <w:r>
                    <w:rPr>
                      <w:kern w:val="0"/>
                      <w:szCs w:val="21"/>
                    </w:rPr>
                    <w:t>电钻</w:t>
                  </w:r>
                </w:p>
              </w:tc>
              <w:tc>
                <w:tcPr>
                  <w:tcW w:w="3587" w:type="dxa"/>
                  <w:vAlign w:val="center"/>
                </w:tcPr>
                <w:p>
                  <w:pPr>
                    <w:widowControl/>
                    <w:ind w:firstLine="420"/>
                    <w:jc w:val="center"/>
                    <w:rPr>
                      <w:kern w:val="0"/>
                      <w:szCs w:val="21"/>
                    </w:rPr>
                  </w:pPr>
                  <w:r>
                    <w:rPr>
                      <w:kern w:val="0"/>
                      <w:szCs w:val="21"/>
                    </w:rPr>
                    <w:t>100-105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466" w:type="dxa"/>
                  <w:vMerge w:val="continue"/>
                  <w:vAlign w:val="center"/>
                </w:tcPr>
                <w:p>
                  <w:pPr>
                    <w:widowControl/>
                    <w:ind w:firstLine="420"/>
                    <w:jc w:val="center"/>
                    <w:rPr>
                      <w:kern w:val="0"/>
                      <w:szCs w:val="21"/>
                    </w:rPr>
                  </w:pPr>
                </w:p>
              </w:tc>
              <w:tc>
                <w:tcPr>
                  <w:tcW w:w="2754" w:type="dxa"/>
                  <w:vAlign w:val="center"/>
                </w:tcPr>
                <w:p>
                  <w:pPr>
                    <w:widowControl/>
                    <w:ind w:firstLine="420"/>
                    <w:jc w:val="center"/>
                    <w:rPr>
                      <w:kern w:val="0"/>
                      <w:szCs w:val="21"/>
                    </w:rPr>
                  </w:pPr>
                  <w:r>
                    <w:rPr>
                      <w:kern w:val="0"/>
                      <w:szCs w:val="21"/>
                    </w:rPr>
                    <w:t>电锤</w:t>
                  </w:r>
                </w:p>
              </w:tc>
              <w:tc>
                <w:tcPr>
                  <w:tcW w:w="3587" w:type="dxa"/>
                  <w:vAlign w:val="center"/>
                </w:tcPr>
                <w:p>
                  <w:pPr>
                    <w:widowControl/>
                    <w:ind w:firstLine="420"/>
                    <w:jc w:val="center"/>
                    <w:rPr>
                      <w:kern w:val="0"/>
                      <w:szCs w:val="21"/>
                    </w:rPr>
                  </w:pPr>
                  <w:r>
                    <w:rPr>
                      <w:kern w:val="0"/>
                      <w:szCs w:val="21"/>
                    </w:rPr>
                    <w:t>100-105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466" w:type="dxa"/>
                  <w:vMerge w:val="continue"/>
                  <w:vAlign w:val="center"/>
                </w:tcPr>
                <w:p>
                  <w:pPr>
                    <w:widowControl/>
                    <w:ind w:firstLine="420"/>
                    <w:jc w:val="center"/>
                    <w:rPr>
                      <w:kern w:val="0"/>
                      <w:szCs w:val="21"/>
                    </w:rPr>
                  </w:pPr>
                </w:p>
              </w:tc>
              <w:tc>
                <w:tcPr>
                  <w:tcW w:w="2754" w:type="dxa"/>
                  <w:vAlign w:val="center"/>
                </w:tcPr>
                <w:p>
                  <w:pPr>
                    <w:widowControl/>
                    <w:ind w:firstLine="420"/>
                    <w:jc w:val="center"/>
                    <w:rPr>
                      <w:kern w:val="0"/>
                      <w:szCs w:val="21"/>
                    </w:rPr>
                  </w:pPr>
                  <w:r>
                    <w:rPr>
                      <w:kern w:val="0"/>
                      <w:szCs w:val="21"/>
                    </w:rPr>
                    <w:t>手工钻</w:t>
                  </w:r>
                </w:p>
              </w:tc>
              <w:tc>
                <w:tcPr>
                  <w:tcW w:w="3587" w:type="dxa"/>
                  <w:vAlign w:val="center"/>
                </w:tcPr>
                <w:p>
                  <w:pPr>
                    <w:widowControl/>
                    <w:ind w:firstLine="420"/>
                    <w:jc w:val="center"/>
                    <w:rPr>
                      <w:kern w:val="0"/>
                      <w:szCs w:val="21"/>
                    </w:rPr>
                  </w:pPr>
                  <w:r>
                    <w:rPr>
                      <w:kern w:val="0"/>
                      <w:szCs w:val="21"/>
                    </w:rPr>
                    <w:t>100-105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466" w:type="dxa"/>
                  <w:vMerge w:val="continue"/>
                  <w:vAlign w:val="center"/>
                </w:tcPr>
                <w:p>
                  <w:pPr>
                    <w:widowControl/>
                    <w:ind w:firstLine="420"/>
                    <w:jc w:val="center"/>
                    <w:rPr>
                      <w:kern w:val="0"/>
                      <w:szCs w:val="21"/>
                    </w:rPr>
                  </w:pPr>
                </w:p>
              </w:tc>
              <w:tc>
                <w:tcPr>
                  <w:tcW w:w="2754" w:type="dxa"/>
                  <w:vAlign w:val="center"/>
                </w:tcPr>
                <w:p>
                  <w:pPr>
                    <w:widowControl/>
                    <w:ind w:firstLine="420"/>
                    <w:jc w:val="center"/>
                    <w:rPr>
                      <w:kern w:val="0"/>
                      <w:szCs w:val="21"/>
                    </w:rPr>
                  </w:pPr>
                  <w:r>
                    <w:rPr>
                      <w:kern w:val="0"/>
                      <w:szCs w:val="21"/>
                    </w:rPr>
                    <w:t>无齿锯</w:t>
                  </w:r>
                </w:p>
              </w:tc>
              <w:tc>
                <w:tcPr>
                  <w:tcW w:w="3587" w:type="dxa"/>
                  <w:vAlign w:val="center"/>
                </w:tcPr>
                <w:p>
                  <w:pPr>
                    <w:widowControl/>
                    <w:ind w:firstLine="420"/>
                    <w:jc w:val="center"/>
                    <w:rPr>
                      <w:kern w:val="0"/>
                      <w:szCs w:val="21"/>
                    </w:rPr>
                  </w:pPr>
                  <w:r>
                    <w:rPr>
                      <w:kern w:val="0"/>
                      <w:szCs w:val="21"/>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466" w:type="dxa"/>
                  <w:vMerge w:val="continue"/>
                  <w:vAlign w:val="center"/>
                </w:tcPr>
                <w:p>
                  <w:pPr>
                    <w:widowControl/>
                    <w:ind w:firstLine="420"/>
                    <w:jc w:val="center"/>
                    <w:rPr>
                      <w:kern w:val="0"/>
                      <w:szCs w:val="21"/>
                    </w:rPr>
                  </w:pPr>
                </w:p>
              </w:tc>
              <w:tc>
                <w:tcPr>
                  <w:tcW w:w="2754" w:type="dxa"/>
                  <w:vAlign w:val="center"/>
                </w:tcPr>
                <w:p>
                  <w:pPr>
                    <w:widowControl/>
                    <w:ind w:firstLine="420"/>
                    <w:jc w:val="center"/>
                    <w:rPr>
                      <w:kern w:val="0"/>
                      <w:szCs w:val="21"/>
                    </w:rPr>
                  </w:pPr>
                  <w:r>
                    <w:rPr>
                      <w:kern w:val="0"/>
                      <w:szCs w:val="21"/>
                    </w:rPr>
                    <w:t>多功能木工刨</w:t>
                  </w:r>
                </w:p>
              </w:tc>
              <w:tc>
                <w:tcPr>
                  <w:tcW w:w="3587" w:type="dxa"/>
                  <w:vAlign w:val="center"/>
                </w:tcPr>
                <w:p>
                  <w:pPr>
                    <w:widowControl/>
                    <w:ind w:firstLine="420"/>
                    <w:jc w:val="center"/>
                    <w:rPr>
                      <w:kern w:val="0"/>
                      <w:szCs w:val="21"/>
                    </w:rPr>
                  </w:pPr>
                  <w:r>
                    <w:rPr>
                      <w:kern w:val="0"/>
                      <w:szCs w:val="21"/>
                    </w:rPr>
                    <w:t>90-100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466" w:type="dxa"/>
                  <w:vMerge w:val="continue"/>
                  <w:vAlign w:val="center"/>
                </w:tcPr>
                <w:p>
                  <w:pPr>
                    <w:widowControl/>
                    <w:ind w:firstLine="420"/>
                    <w:jc w:val="center"/>
                    <w:rPr>
                      <w:kern w:val="0"/>
                      <w:szCs w:val="21"/>
                    </w:rPr>
                  </w:pPr>
                </w:p>
              </w:tc>
              <w:tc>
                <w:tcPr>
                  <w:tcW w:w="2754" w:type="dxa"/>
                  <w:vAlign w:val="center"/>
                </w:tcPr>
                <w:p>
                  <w:pPr>
                    <w:widowControl/>
                    <w:ind w:firstLine="420"/>
                    <w:jc w:val="center"/>
                    <w:rPr>
                      <w:kern w:val="0"/>
                      <w:szCs w:val="21"/>
                    </w:rPr>
                  </w:pPr>
                  <w:r>
                    <w:rPr>
                      <w:kern w:val="0"/>
                      <w:szCs w:val="21"/>
                    </w:rPr>
                    <w:t>云石机</w:t>
                  </w:r>
                </w:p>
              </w:tc>
              <w:tc>
                <w:tcPr>
                  <w:tcW w:w="3587" w:type="dxa"/>
                  <w:vAlign w:val="center"/>
                </w:tcPr>
                <w:p>
                  <w:pPr>
                    <w:widowControl/>
                    <w:ind w:firstLine="420"/>
                    <w:jc w:val="center"/>
                    <w:rPr>
                      <w:kern w:val="0"/>
                      <w:szCs w:val="21"/>
                    </w:rPr>
                  </w:pPr>
                  <w:r>
                    <w:rPr>
                      <w:kern w:val="0"/>
                      <w:szCs w:val="21"/>
                    </w:rPr>
                    <w:t>100-110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466" w:type="dxa"/>
                  <w:vMerge w:val="continue"/>
                  <w:vAlign w:val="center"/>
                </w:tcPr>
                <w:p>
                  <w:pPr>
                    <w:widowControl/>
                    <w:ind w:firstLine="420"/>
                    <w:jc w:val="center"/>
                    <w:rPr>
                      <w:kern w:val="0"/>
                      <w:szCs w:val="21"/>
                    </w:rPr>
                  </w:pPr>
                </w:p>
              </w:tc>
              <w:tc>
                <w:tcPr>
                  <w:tcW w:w="2754" w:type="dxa"/>
                  <w:vAlign w:val="center"/>
                </w:tcPr>
                <w:p>
                  <w:pPr>
                    <w:widowControl/>
                    <w:ind w:firstLine="420"/>
                    <w:jc w:val="center"/>
                    <w:rPr>
                      <w:kern w:val="0"/>
                      <w:szCs w:val="21"/>
                    </w:rPr>
                  </w:pPr>
                  <w:r>
                    <w:rPr>
                      <w:kern w:val="0"/>
                      <w:szCs w:val="21"/>
                    </w:rPr>
                    <w:t>轻型载重车</w:t>
                  </w:r>
                </w:p>
              </w:tc>
              <w:tc>
                <w:tcPr>
                  <w:tcW w:w="3587" w:type="dxa"/>
                  <w:vAlign w:val="center"/>
                </w:tcPr>
                <w:p>
                  <w:pPr>
                    <w:widowControl/>
                    <w:ind w:firstLine="420"/>
                    <w:jc w:val="center"/>
                    <w:rPr>
                      <w:kern w:val="0"/>
                      <w:szCs w:val="21"/>
                    </w:rPr>
                  </w:pPr>
                  <w:r>
                    <w:rPr>
                      <w:kern w:val="0"/>
                      <w:szCs w:val="21"/>
                    </w:rPr>
                    <w:t>75</w:t>
                  </w:r>
                </w:p>
              </w:tc>
            </w:tr>
          </w:tbl>
          <w:p>
            <w:pPr>
              <w:keepNext/>
              <w:keepLines/>
              <w:spacing w:line="360" w:lineRule="auto"/>
              <w:ind w:firstLine="600" w:firstLineChars="250"/>
              <w:outlineLvl w:val="2"/>
              <w:rPr>
                <w:iCs/>
                <w:sz w:val="24"/>
                <w:szCs w:val="32"/>
              </w:rPr>
            </w:pPr>
            <w:r>
              <w:rPr>
                <w:iCs/>
                <w:sz w:val="24"/>
                <w:szCs w:val="32"/>
              </w:rPr>
              <w:t>（2）施工机械噪声衰减预测</w:t>
            </w:r>
          </w:p>
          <w:p>
            <w:pPr>
              <w:widowControl/>
              <w:adjustRightInd w:val="0"/>
              <w:snapToGrid w:val="0"/>
              <w:spacing w:line="360" w:lineRule="auto"/>
              <w:ind w:left="480" w:firstLine="480" w:firstLineChars="200"/>
              <w:rPr>
                <w:kern w:val="0"/>
                <w:sz w:val="24"/>
              </w:rPr>
            </w:pPr>
            <w:r>
              <w:rPr>
                <w:kern w:val="0"/>
                <w:sz w:val="24"/>
              </w:rPr>
              <w:t>采用点源衰减模式，预测只计算声源至受声点的几何发散衰减，不考虑障碍物遮挡、空气吸收等衰减。预测公式如下：</w:t>
            </w:r>
          </w:p>
          <w:p>
            <w:pPr>
              <w:widowControl/>
              <w:adjustRightInd w:val="0"/>
              <w:snapToGrid w:val="0"/>
              <w:spacing w:line="360" w:lineRule="auto"/>
              <w:ind w:left="480" w:firstLine="480" w:firstLineChars="200"/>
              <w:rPr>
                <w:kern w:val="0"/>
                <w:sz w:val="24"/>
              </w:rPr>
            </w:pPr>
            <w:r>
              <w:rPr>
                <w:kern w:val="0"/>
                <w:sz w:val="24"/>
              </w:rPr>
              <w:t>L</w:t>
            </w:r>
            <w:r>
              <w:rPr>
                <w:kern w:val="0"/>
                <w:sz w:val="24"/>
                <w:vertAlign w:val="subscript"/>
              </w:rPr>
              <w:t>r</w:t>
            </w:r>
            <w:r>
              <w:rPr>
                <w:kern w:val="0"/>
                <w:sz w:val="24"/>
              </w:rPr>
              <w:t>=L</w:t>
            </w:r>
            <w:r>
              <w:rPr>
                <w:kern w:val="0"/>
                <w:sz w:val="24"/>
                <w:vertAlign w:val="subscript"/>
              </w:rPr>
              <w:t>r0</w:t>
            </w:r>
            <w:r>
              <w:rPr>
                <w:kern w:val="0"/>
                <w:sz w:val="24"/>
              </w:rPr>
              <w:t>-20lg(r／r</w:t>
            </w:r>
            <w:r>
              <w:rPr>
                <w:kern w:val="0"/>
                <w:sz w:val="24"/>
                <w:vertAlign w:val="subscript"/>
              </w:rPr>
              <w:t>o</w:t>
            </w:r>
            <w:r>
              <w:rPr>
                <w:kern w:val="0"/>
                <w:sz w:val="24"/>
              </w:rPr>
              <w:t>)</w:t>
            </w:r>
          </w:p>
          <w:p>
            <w:pPr>
              <w:widowControl/>
              <w:adjustRightInd w:val="0"/>
              <w:snapToGrid w:val="0"/>
              <w:spacing w:line="360" w:lineRule="auto"/>
              <w:ind w:left="480" w:firstLine="480" w:firstLineChars="200"/>
              <w:rPr>
                <w:kern w:val="0"/>
                <w:sz w:val="24"/>
              </w:rPr>
            </w:pPr>
            <w:r>
              <w:rPr>
                <w:kern w:val="0"/>
                <w:sz w:val="24"/>
              </w:rPr>
              <w:t>式中：L</w:t>
            </w:r>
            <w:r>
              <w:rPr>
                <w:kern w:val="0"/>
                <w:sz w:val="24"/>
                <w:vertAlign w:val="subscript"/>
              </w:rPr>
              <w:t>r</w:t>
            </w:r>
            <w:r>
              <w:rPr>
                <w:kern w:val="0"/>
                <w:sz w:val="24"/>
              </w:rPr>
              <w:t>---距声源r处的A声压级，dB(A)；</w:t>
            </w:r>
          </w:p>
          <w:p>
            <w:pPr>
              <w:widowControl/>
              <w:adjustRightInd w:val="0"/>
              <w:snapToGrid w:val="0"/>
              <w:spacing w:line="360" w:lineRule="auto"/>
              <w:ind w:left="480" w:firstLine="480" w:firstLineChars="200"/>
              <w:rPr>
                <w:kern w:val="0"/>
                <w:sz w:val="24"/>
              </w:rPr>
            </w:pPr>
            <w:r>
              <w:rPr>
                <w:kern w:val="0"/>
                <w:sz w:val="24"/>
              </w:rPr>
              <w:t>L</w:t>
            </w:r>
            <w:r>
              <w:rPr>
                <w:kern w:val="0"/>
                <w:sz w:val="24"/>
                <w:vertAlign w:val="subscript"/>
              </w:rPr>
              <w:t>rO</w:t>
            </w:r>
            <w:r>
              <w:rPr>
                <w:kern w:val="0"/>
                <w:sz w:val="24"/>
              </w:rPr>
              <w:t>---距声源r</w:t>
            </w:r>
            <w:r>
              <w:rPr>
                <w:kern w:val="0"/>
                <w:sz w:val="24"/>
                <w:vertAlign w:val="subscript"/>
              </w:rPr>
              <w:t>0</w:t>
            </w:r>
            <w:r>
              <w:rPr>
                <w:kern w:val="0"/>
                <w:sz w:val="24"/>
              </w:rPr>
              <w:t>处的A声压级，dB(A)；</w:t>
            </w:r>
          </w:p>
          <w:p>
            <w:pPr>
              <w:widowControl/>
              <w:adjustRightInd w:val="0"/>
              <w:snapToGrid w:val="0"/>
              <w:spacing w:line="360" w:lineRule="auto"/>
              <w:ind w:left="480" w:firstLine="480" w:firstLineChars="200"/>
              <w:rPr>
                <w:kern w:val="0"/>
                <w:sz w:val="24"/>
              </w:rPr>
            </w:pPr>
            <w:r>
              <w:rPr>
                <w:kern w:val="0"/>
                <w:sz w:val="24"/>
              </w:rPr>
              <w:t>r一预测点与声源的距离，m；</w:t>
            </w:r>
          </w:p>
          <w:p>
            <w:pPr>
              <w:widowControl/>
              <w:adjustRightInd w:val="0"/>
              <w:snapToGrid w:val="0"/>
              <w:spacing w:line="360" w:lineRule="auto"/>
              <w:ind w:left="480" w:firstLine="480" w:firstLineChars="200"/>
              <w:rPr>
                <w:kern w:val="0"/>
                <w:sz w:val="24"/>
              </w:rPr>
            </w:pPr>
            <w:r>
              <w:rPr>
                <w:kern w:val="0"/>
                <w:sz w:val="24"/>
              </w:rPr>
              <w:t>r</w:t>
            </w:r>
            <w:r>
              <w:rPr>
                <w:kern w:val="0"/>
                <w:sz w:val="24"/>
                <w:vertAlign w:val="subscript"/>
              </w:rPr>
              <w:t>o</w:t>
            </w:r>
            <w:r>
              <w:rPr>
                <w:kern w:val="0"/>
                <w:sz w:val="24"/>
              </w:rPr>
              <w:t>--监测设备噪声时的距离，m。</w:t>
            </w:r>
          </w:p>
          <w:p>
            <w:pPr>
              <w:widowControl/>
              <w:adjustRightInd w:val="0"/>
              <w:snapToGrid w:val="0"/>
              <w:spacing w:line="360" w:lineRule="auto"/>
              <w:ind w:left="480" w:firstLine="480" w:firstLineChars="200"/>
              <w:rPr>
                <w:kern w:val="0"/>
                <w:sz w:val="24"/>
              </w:rPr>
            </w:pPr>
            <w:r>
              <w:rPr>
                <w:kern w:val="0"/>
                <w:sz w:val="24"/>
              </w:rPr>
              <w:t>首先预测主要施工机械在不同距离贡献值，预测结果见表4-5。</w:t>
            </w:r>
          </w:p>
          <w:p>
            <w:pPr>
              <w:widowControl/>
              <w:spacing w:line="360" w:lineRule="auto"/>
              <w:ind w:left="480" w:firstLine="482" w:firstLineChars="200"/>
              <w:jc w:val="center"/>
              <w:rPr>
                <w:b/>
                <w:kern w:val="0"/>
                <w:sz w:val="24"/>
              </w:rPr>
            </w:pPr>
            <w:r>
              <w:rPr>
                <w:b/>
                <w:kern w:val="0"/>
                <w:sz w:val="24"/>
              </w:rPr>
              <w:t>表4-5   各主要施工机械在不同距离处的贡献值</w:t>
            </w:r>
          </w:p>
          <w:tbl>
            <w:tblPr>
              <w:tblStyle w:val="44"/>
              <w:tblW w:w="7371" w:type="dxa"/>
              <w:jc w:val="center"/>
              <w:tblInd w:w="0" w:type="dxa"/>
              <w:tblLayout w:type="fixed"/>
              <w:tblCellMar>
                <w:top w:w="0" w:type="dxa"/>
                <w:left w:w="0" w:type="dxa"/>
                <w:bottom w:w="0" w:type="dxa"/>
                <w:right w:w="0" w:type="dxa"/>
              </w:tblCellMar>
            </w:tblPr>
            <w:tblGrid>
              <w:gridCol w:w="374"/>
              <w:gridCol w:w="516"/>
              <w:gridCol w:w="12"/>
              <w:gridCol w:w="528"/>
              <w:gridCol w:w="545"/>
              <w:gridCol w:w="544"/>
              <w:gridCol w:w="545"/>
              <w:gridCol w:w="655"/>
              <w:gridCol w:w="544"/>
              <w:gridCol w:w="655"/>
              <w:gridCol w:w="870"/>
              <w:gridCol w:w="545"/>
              <w:gridCol w:w="391"/>
              <w:gridCol w:w="647"/>
            </w:tblGrid>
            <w:tr>
              <w:tblPrEx>
                <w:tblLayout w:type="fixed"/>
                <w:tblCellMar>
                  <w:top w:w="0" w:type="dxa"/>
                  <w:left w:w="0" w:type="dxa"/>
                  <w:bottom w:w="0" w:type="dxa"/>
                  <w:right w:w="0" w:type="dxa"/>
                </w:tblCellMar>
              </w:tblPrEx>
              <w:trPr>
                <w:cantSplit/>
                <w:trHeight w:val="200" w:hRule="atLeast"/>
                <w:jc w:val="center"/>
              </w:trPr>
              <w:tc>
                <w:tcPr>
                  <w:tcW w:w="374" w:type="dxa"/>
                  <w:vMerge w:val="restart"/>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序</w:t>
                  </w:r>
                </w:p>
                <w:p>
                  <w:pPr>
                    <w:widowControl/>
                    <w:jc w:val="center"/>
                    <w:rPr>
                      <w:kern w:val="0"/>
                      <w:szCs w:val="21"/>
                    </w:rPr>
                  </w:pPr>
                  <w:r>
                    <w:rPr>
                      <w:kern w:val="0"/>
                      <w:szCs w:val="21"/>
                    </w:rPr>
                    <w:t>号</w:t>
                  </w:r>
                </w:p>
              </w:tc>
              <w:tc>
                <w:tcPr>
                  <w:tcW w:w="528" w:type="dxa"/>
                  <w:gridSpan w:val="2"/>
                  <w:vMerge w:val="restart"/>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机械</w:t>
                  </w:r>
                </w:p>
                <w:p>
                  <w:pPr>
                    <w:widowControl/>
                    <w:jc w:val="center"/>
                    <w:rPr>
                      <w:kern w:val="0"/>
                      <w:szCs w:val="21"/>
                    </w:rPr>
                  </w:pPr>
                  <w:r>
                    <w:rPr>
                      <w:kern w:val="0"/>
                      <w:szCs w:val="21"/>
                    </w:rPr>
                    <w:t>名称</w:t>
                  </w:r>
                </w:p>
              </w:tc>
              <w:tc>
                <w:tcPr>
                  <w:tcW w:w="5822" w:type="dxa"/>
                  <w:gridSpan w:val="10"/>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不同距离处的噪声预测(dB(A))</w:t>
                  </w:r>
                </w:p>
              </w:tc>
              <w:tc>
                <w:tcPr>
                  <w:tcW w:w="647" w:type="dxa"/>
                  <w:vMerge w:val="restart"/>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施工</w:t>
                  </w:r>
                </w:p>
                <w:p>
                  <w:pPr>
                    <w:widowControl/>
                    <w:jc w:val="center"/>
                    <w:rPr>
                      <w:kern w:val="0"/>
                      <w:szCs w:val="21"/>
                    </w:rPr>
                  </w:pPr>
                  <w:r>
                    <w:rPr>
                      <w:kern w:val="0"/>
                      <w:szCs w:val="21"/>
                    </w:rPr>
                    <w:t>阶段</w:t>
                  </w:r>
                </w:p>
              </w:tc>
            </w:tr>
            <w:tr>
              <w:tblPrEx>
                <w:tblLayout w:type="fixed"/>
                <w:tblCellMar>
                  <w:top w:w="0" w:type="dxa"/>
                  <w:left w:w="0" w:type="dxa"/>
                  <w:bottom w:w="0" w:type="dxa"/>
                  <w:right w:w="0" w:type="dxa"/>
                </w:tblCellMar>
              </w:tblPrEx>
              <w:trPr>
                <w:cantSplit/>
                <w:trHeight w:val="266" w:hRule="atLeast"/>
                <w:jc w:val="center"/>
              </w:trPr>
              <w:tc>
                <w:tcPr>
                  <w:tcW w:w="374" w:type="dxa"/>
                  <w:vMerge w:val="continue"/>
                  <w:tcBorders>
                    <w:left w:val="single" w:color="auto" w:sz="8" w:space="0"/>
                    <w:bottom w:val="single" w:color="auto" w:sz="8" w:space="0"/>
                    <w:right w:val="single" w:color="auto" w:sz="8" w:space="0"/>
                  </w:tcBorders>
                  <w:vAlign w:val="center"/>
                </w:tcPr>
                <w:p>
                  <w:pPr>
                    <w:widowControl/>
                    <w:jc w:val="center"/>
                    <w:rPr>
                      <w:kern w:val="0"/>
                      <w:szCs w:val="21"/>
                    </w:rPr>
                  </w:pPr>
                </w:p>
              </w:tc>
              <w:tc>
                <w:tcPr>
                  <w:tcW w:w="528" w:type="dxa"/>
                  <w:gridSpan w:val="2"/>
                  <w:vMerge w:val="continue"/>
                  <w:tcBorders>
                    <w:left w:val="single" w:color="auto" w:sz="8" w:space="0"/>
                    <w:bottom w:val="single" w:color="auto" w:sz="8" w:space="0"/>
                    <w:right w:val="single" w:color="auto" w:sz="8" w:space="0"/>
                  </w:tcBorders>
                  <w:vAlign w:val="center"/>
                </w:tcPr>
                <w:p>
                  <w:pPr>
                    <w:widowControl/>
                    <w:jc w:val="center"/>
                    <w:rPr>
                      <w:kern w:val="0"/>
                      <w:szCs w:val="21"/>
                    </w:rPr>
                  </w:pPr>
                </w:p>
              </w:tc>
              <w:tc>
                <w:tcPr>
                  <w:tcW w:w="528"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10m</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20m</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30m</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40m</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50m</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100m</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150m</w:t>
                  </w:r>
                </w:p>
              </w:tc>
              <w:tc>
                <w:tcPr>
                  <w:tcW w:w="870"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200m</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250m</w:t>
                  </w:r>
                </w:p>
              </w:tc>
              <w:tc>
                <w:tcPr>
                  <w:tcW w:w="391"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300m</w:t>
                  </w:r>
                </w:p>
              </w:tc>
              <w:tc>
                <w:tcPr>
                  <w:tcW w:w="647" w:type="dxa"/>
                  <w:vMerge w:val="continue"/>
                  <w:tcBorders>
                    <w:left w:val="single" w:color="auto" w:sz="8" w:space="0"/>
                    <w:bottom w:val="single" w:color="auto" w:sz="8" w:space="0"/>
                    <w:right w:val="single" w:color="auto" w:sz="8" w:space="0"/>
                  </w:tcBorders>
                  <w:vAlign w:val="center"/>
                </w:tcPr>
                <w:p>
                  <w:pPr>
                    <w:widowControl/>
                    <w:jc w:val="center"/>
                    <w:rPr>
                      <w:kern w:val="0"/>
                      <w:szCs w:val="21"/>
                    </w:rPr>
                  </w:pPr>
                </w:p>
              </w:tc>
            </w:tr>
            <w:tr>
              <w:tblPrEx>
                <w:tblLayout w:type="fixed"/>
                <w:tblCellMar>
                  <w:top w:w="0" w:type="dxa"/>
                  <w:left w:w="0" w:type="dxa"/>
                  <w:bottom w:w="0" w:type="dxa"/>
                  <w:right w:w="0" w:type="dxa"/>
                </w:tblCellMar>
              </w:tblPrEx>
              <w:trPr>
                <w:cantSplit/>
                <w:trHeight w:val="283" w:hRule="atLeast"/>
                <w:jc w:val="center"/>
              </w:trPr>
              <w:tc>
                <w:tcPr>
                  <w:tcW w:w="374" w:type="dxa"/>
                  <w:tcBorders>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1</w:t>
                  </w:r>
                </w:p>
              </w:tc>
              <w:tc>
                <w:tcPr>
                  <w:tcW w:w="528" w:type="dxa"/>
                  <w:gridSpan w:val="2"/>
                  <w:tcBorders>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挖土机</w:t>
                  </w:r>
                </w:p>
              </w:tc>
              <w:tc>
                <w:tcPr>
                  <w:tcW w:w="528"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76</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70</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66</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64</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62</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56</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52</w:t>
                  </w:r>
                </w:p>
              </w:tc>
              <w:tc>
                <w:tcPr>
                  <w:tcW w:w="870"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50</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48</w:t>
                  </w:r>
                </w:p>
              </w:tc>
              <w:tc>
                <w:tcPr>
                  <w:tcW w:w="391"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46</w:t>
                  </w:r>
                </w:p>
              </w:tc>
              <w:tc>
                <w:tcPr>
                  <w:tcW w:w="647" w:type="dxa"/>
                  <w:vMerge w:val="restart"/>
                  <w:tcBorders>
                    <w:left w:val="single" w:color="auto" w:sz="8" w:space="0"/>
                    <w:right w:val="single" w:color="auto" w:sz="8" w:space="0"/>
                  </w:tcBorders>
                  <w:vAlign w:val="center"/>
                </w:tcPr>
                <w:p>
                  <w:pPr>
                    <w:widowControl/>
                    <w:jc w:val="center"/>
                    <w:rPr>
                      <w:kern w:val="0"/>
                      <w:szCs w:val="21"/>
                    </w:rPr>
                  </w:pPr>
                  <w:r>
                    <w:rPr>
                      <w:kern w:val="0"/>
                      <w:szCs w:val="21"/>
                    </w:rPr>
                    <w:t>土石方阶段</w:t>
                  </w:r>
                </w:p>
              </w:tc>
            </w:tr>
            <w:tr>
              <w:tblPrEx>
                <w:tblLayout w:type="fixed"/>
                <w:tblCellMar>
                  <w:top w:w="0" w:type="dxa"/>
                  <w:left w:w="0" w:type="dxa"/>
                  <w:bottom w:w="0" w:type="dxa"/>
                  <w:right w:w="0" w:type="dxa"/>
                </w:tblCellMar>
              </w:tblPrEx>
              <w:trPr>
                <w:cantSplit/>
                <w:trHeight w:val="283" w:hRule="atLeast"/>
                <w:jc w:val="center"/>
              </w:trPr>
              <w:tc>
                <w:tcPr>
                  <w:tcW w:w="374" w:type="dxa"/>
                  <w:tcBorders>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2</w:t>
                  </w:r>
                </w:p>
              </w:tc>
              <w:tc>
                <w:tcPr>
                  <w:tcW w:w="528" w:type="dxa"/>
                  <w:gridSpan w:val="2"/>
                  <w:tcBorders>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大型载重车</w:t>
                  </w:r>
                </w:p>
              </w:tc>
              <w:tc>
                <w:tcPr>
                  <w:tcW w:w="528"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70</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64</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60</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58</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56</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50</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46</w:t>
                  </w:r>
                </w:p>
              </w:tc>
              <w:tc>
                <w:tcPr>
                  <w:tcW w:w="870"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44</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42</w:t>
                  </w:r>
                </w:p>
              </w:tc>
              <w:tc>
                <w:tcPr>
                  <w:tcW w:w="391"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40</w:t>
                  </w:r>
                </w:p>
              </w:tc>
              <w:tc>
                <w:tcPr>
                  <w:tcW w:w="647" w:type="dxa"/>
                  <w:vMerge w:val="continue"/>
                  <w:tcBorders>
                    <w:left w:val="single" w:color="auto" w:sz="8" w:space="0"/>
                    <w:right w:val="single" w:color="auto" w:sz="8" w:space="0"/>
                  </w:tcBorders>
                  <w:vAlign w:val="center"/>
                </w:tcPr>
                <w:p>
                  <w:pPr>
                    <w:widowControl/>
                    <w:jc w:val="center"/>
                    <w:rPr>
                      <w:kern w:val="0"/>
                      <w:szCs w:val="21"/>
                    </w:rPr>
                  </w:pPr>
                </w:p>
              </w:tc>
            </w:tr>
            <w:tr>
              <w:tblPrEx>
                <w:tblLayout w:type="fixed"/>
                <w:tblCellMar>
                  <w:top w:w="0" w:type="dxa"/>
                  <w:left w:w="0" w:type="dxa"/>
                  <w:bottom w:w="0" w:type="dxa"/>
                  <w:right w:w="0" w:type="dxa"/>
                </w:tblCellMar>
              </w:tblPrEx>
              <w:trPr>
                <w:cantSplit/>
                <w:trHeight w:val="283" w:hRule="atLeast"/>
                <w:jc w:val="center"/>
              </w:trPr>
              <w:tc>
                <w:tcPr>
                  <w:tcW w:w="890" w:type="dxa"/>
                  <w:gridSpan w:val="2"/>
                  <w:tcBorders>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多声源叠加值</w:t>
                  </w:r>
                </w:p>
              </w:tc>
              <w:tc>
                <w:tcPr>
                  <w:tcW w:w="540" w:type="dxa"/>
                  <w:gridSpan w:val="2"/>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77</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71</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67</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65</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63</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57</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53</w:t>
                  </w:r>
                </w:p>
              </w:tc>
              <w:tc>
                <w:tcPr>
                  <w:tcW w:w="870"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51</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49</w:t>
                  </w:r>
                </w:p>
              </w:tc>
              <w:tc>
                <w:tcPr>
                  <w:tcW w:w="391"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47</w:t>
                  </w:r>
                </w:p>
              </w:tc>
              <w:tc>
                <w:tcPr>
                  <w:tcW w:w="647" w:type="dxa"/>
                  <w:vMerge w:val="continue"/>
                  <w:tcBorders>
                    <w:left w:val="single" w:color="auto" w:sz="8" w:space="0"/>
                    <w:bottom w:val="single" w:color="auto" w:sz="4" w:space="0"/>
                    <w:right w:val="single" w:color="auto" w:sz="8" w:space="0"/>
                  </w:tcBorders>
                  <w:vAlign w:val="center"/>
                </w:tcPr>
                <w:p>
                  <w:pPr>
                    <w:widowControl/>
                    <w:jc w:val="center"/>
                    <w:rPr>
                      <w:kern w:val="0"/>
                      <w:szCs w:val="21"/>
                    </w:rPr>
                  </w:pPr>
                </w:p>
              </w:tc>
            </w:tr>
            <w:tr>
              <w:tblPrEx>
                <w:tblLayout w:type="fixed"/>
                <w:tblCellMar>
                  <w:top w:w="0" w:type="dxa"/>
                  <w:left w:w="0" w:type="dxa"/>
                  <w:bottom w:w="0" w:type="dxa"/>
                  <w:right w:w="0" w:type="dxa"/>
                </w:tblCellMar>
              </w:tblPrEx>
              <w:trPr>
                <w:cantSplit/>
                <w:trHeight w:val="283" w:hRule="atLeast"/>
                <w:jc w:val="center"/>
              </w:trPr>
              <w:tc>
                <w:tcPr>
                  <w:tcW w:w="37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1</w:t>
                  </w:r>
                </w:p>
              </w:tc>
              <w:tc>
                <w:tcPr>
                  <w:tcW w:w="528" w:type="dxa"/>
                  <w:gridSpan w:val="2"/>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振捣器</w:t>
                  </w:r>
                </w:p>
              </w:tc>
              <w:tc>
                <w:tcPr>
                  <w:tcW w:w="528"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85</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79</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75</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73</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71</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65</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61</w:t>
                  </w:r>
                </w:p>
              </w:tc>
              <w:tc>
                <w:tcPr>
                  <w:tcW w:w="870"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59</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57</w:t>
                  </w:r>
                </w:p>
              </w:tc>
              <w:tc>
                <w:tcPr>
                  <w:tcW w:w="391"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55</w:t>
                  </w:r>
                </w:p>
              </w:tc>
              <w:tc>
                <w:tcPr>
                  <w:tcW w:w="647" w:type="dxa"/>
                  <w:vMerge w:val="restart"/>
                  <w:tcBorders>
                    <w:top w:val="single" w:color="auto" w:sz="4" w:space="0"/>
                    <w:left w:val="single" w:color="auto" w:sz="8" w:space="0"/>
                    <w:right w:val="single" w:color="auto" w:sz="8" w:space="0"/>
                  </w:tcBorders>
                  <w:vAlign w:val="center"/>
                </w:tcPr>
                <w:p>
                  <w:pPr>
                    <w:widowControl/>
                    <w:jc w:val="center"/>
                    <w:rPr>
                      <w:kern w:val="0"/>
                      <w:szCs w:val="21"/>
                    </w:rPr>
                  </w:pPr>
                  <w:r>
                    <w:rPr>
                      <w:kern w:val="0"/>
                      <w:szCs w:val="21"/>
                    </w:rPr>
                    <w:t>底板与结构阶段</w:t>
                  </w:r>
                </w:p>
              </w:tc>
            </w:tr>
            <w:tr>
              <w:tblPrEx>
                <w:tblLayout w:type="fixed"/>
                <w:tblCellMar>
                  <w:top w:w="0" w:type="dxa"/>
                  <w:left w:w="0" w:type="dxa"/>
                  <w:bottom w:w="0" w:type="dxa"/>
                  <w:right w:w="0" w:type="dxa"/>
                </w:tblCellMar>
              </w:tblPrEx>
              <w:trPr>
                <w:cantSplit/>
                <w:trHeight w:val="283" w:hRule="atLeast"/>
                <w:jc w:val="center"/>
              </w:trPr>
              <w:tc>
                <w:tcPr>
                  <w:tcW w:w="37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2</w:t>
                  </w:r>
                </w:p>
              </w:tc>
              <w:tc>
                <w:tcPr>
                  <w:tcW w:w="528" w:type="dxa"/>
                  <w:gridSpan w:val="2"/>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电锯</w:t>
                  </w:r>
                </w:p>
              </w:tc>
              <w:tc>
                <w:tcPr>
                  <w:tcW w:w="528"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90</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84</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80</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78</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76</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70</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66</w:t>
                  </w:r>
                </w:p>
              </w:tc>
              <w:tc>
                <w:tcPr>
                  <w:tcW w:w="870"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64</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62</w:t>
                  </w:r>
                </w:p>
              </w:tc>
              <w:tc>
                <w:tcPr>
                  <w:tcW w:w="391"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60</w:t>
                  </w:r>
                </w:p>
              </w:tc>
              <w:tc>
                <w:tcPr>
                  <w:tcW w:w="647" w:type="dxa"/>
                  <w:vMerge w:val="continue"/>
                  <w:tcBorders>
                    <w:left w:val="single" w:color="auto" w:sz="8" w:space="0"/>
                    <w:right w:val="single" w:color="auto" w:sz="8" w:space="0"/>
                  </w:tcBorders>
                  <w:vAlign w:val="center"/>
                </w:tcPr>
                <w:p>
                  <w:pPr>
                    <w:widowControl/>
                    <w:jc w:val="center"/>
                    <w:rPr>
                      <w:kern w:val="0"/>
                      <w:szCs w:val="21"/>
                    </w:rPr>
                  </w:pPr>
                </w:p>
              </w:tc>
            </w:tr>
            <w:tr>
              <w:tblPrEx>
                <w:tblLayout w:type="fixed"/>
                <w:tblCellMar>
                  <w:top w:w="0" w:type="dxa"/>
                  <w:left w:w="0" w:type="dxa"/>
                  <w:bottom w:w="0" w:type="dxa"/>
                  <w:right w:w="0" w:type="dxa"/>
                </w:tblCellMar>
              </w:tblPrEx>
              <w:trPr>
                <w:cantSplit/>
                <w:trHeight w:val="283" w:hRule="atLeast"/>
                <w:jc w:val="center"/>
              </w:trPr>
              <w:tc>
                <w:tcPr>
                  <w:tcW w:w="37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3</w:t>
                  </w:r>
                </w:p>
              </w:tc>
              <w:tc>
                <w:tcPr>
                  <w:tcW w:w="528" w:type="dxa"/>
                  <w:gridSpan w:val="2"/>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电焊机</w:t>
                  </w:r>
                </w:p>
              </w:tc>
              <w:tc>
                <w:tcPr>
                  <w:tcW w:w="528"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75</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69</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65</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63</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61</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55</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51</w:t>
                  </w:r>
                </w:p>
              </w:tc>
              <w:tc>
                <w:tcPr>
                  <w:tcW w:w="870"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49</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47</w:t>
                  </w:r>
                </w:p>
              </w:tc>
              <w:tc>
                <w:tcPr>
                  <w:tcW w:w="391"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45</w:t>
                  </w:r>
                </w:p>
              </w:tc>
              <w:tc>
                <w:tcPr>
                  <w:tcW w:w="647" w:type="dxa"/>
                  <w:vMerge w:val="continue"/>
                  <w:tcBorders>
                    <w:left w:val="single" w:color="auto" w:sz="8" w:space="0"/>
                    <w:right w:val="single" w:color="auto" w:sz="8" w:space="0"/>
                  </w:tcBorders>
                  <w:vAlign w:val="center"/>
                </w:tcPr>
                <w:p>
                  <w:pPr>
                    <w:widowControl/>
                    <w:jc w:val="center"/>
                    <w:rPr>
                      <w:kern w:val="0"/>
                      <w:szCs w:val="21"/>
                    </w:rPr>
                  </w:pPr>
                </w:p>
              </w:tc>
            </w:tr>
            <w:tr>
              <w:tblPrEx>
                <w:tblLayout w:type="fixed"/>
                <w:tblCellMar>
                  <w:top w:w="0" w:type="dxa"/>
                  <w:left w:w="0" w:type="dxa"/>
                  <w:bottom w:w="0" w:type="dxa"/>
                  <w:right w:w="0" w:type="dxa"/>
                </w:tblCellMar>
              </w:tblPrEx>
              <w:trPr>
                <w:cantSplit/>
                <w:trHeight w:val="283" w:hRule="atLeast"/>
                <w:jc w:val="center"/>
              </w:trPr>
              <w:tc>
                <w:tcPr>
                  <w:tcW w:w="37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4</w:t>
                  </w:r>
                </w:p>
              </w:tc>
              <w:tc>
                <w:tcPr>
                  <w:tcW w:w="528" w:type="dxa"/>
                  <w:gridSpan w:val="2"/>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空压机</w:t>
                  </w:r>
                </w:p>
              </w:tc>
              <w:tc>
                <w:tcPr>
                  <w:tcW w:w="528"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65</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59</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55</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53</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51</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45</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41</w:t>
                  </w:r>
                </w:p>
              </w:tc>
              <w:tc>
                <w:tcPr>
                  <w:tcW w:w="870"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39</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37</w:t>
                  </w:r>
                </w:p>
              </w:tc>
              <w:tc>
                <w:tcPr>
                  <w:tcW w:w="391"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35</w:t>
                  </w:r>
                </w:p>
              </w:tc>
              <w:tc>
                <w:tcPr>
                  <w:tcW w:w="647" w:type="dxa"/>
                  <w:vMerge w:val="continue"/>
                  <w:tcBorders>
                    <w:left w:val="single" w:color="auto" w:sz="8" w:space="0"/>
                    <w:right w:val="single" w:color="auto" w:sz="8" w:space="0"/>
                  </w:tcBorders>
                  <w:vAlign w:val="center"/>
                </w:tcPr>
                <w:p>
                  <w:pPr>
                    <w:widowControl/>
                    <w:jc w:val="center"/>
                    <w:rPr>
                      <w:kern w:val="0"/>
                      <w:szCs w:val="21"/>
                    </w:rPr>
                  </w:pPr>
                </w:p>
              </w:tc>
            </w:tr>
            <w:tr>
              <w:tblPrEx>
                <w:tblLayout w:type="fixed"/>
                <w:tblCellMar>
                  <w:top w:w="0" w:type="dxa"/>
                  <w:left w:w="0" w:type="dxa"/>
                  <w:bottom w:w="0" w:type="dxa"/>
                  <w:right w:w="0" w:type="dxa"/>
                </w:tblCellMar>
              </w:tblPrEx>
              <w:trPr>
                <w:cantSplit/>
                <w:trHeight w:val="283" w:hRule="atLeast"/>
                <w:jc w:val="center"/>
              </w:trPr>
              <w:tc>
                <w:tcPr>
                  <w:tcW w:w="374" w:type="dxa"/>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5</w:t>
                  </w:r>
                </w:p>
              </w:tc>
              <w:tc>
                <w:tcPr>
                  <w:tcW w:w="528" w:type="dxa"/>
                  <w:gridSpan w:val="2"/>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中型载重车</w:t>
                  </w:r>
                </w:p>
              </w:tc>
              <w:tc>
                <w:tcPr>
                  <w:tcW w:w="528" w:type="dxa"/>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65</w:t>
                  </w:r>
                </w:p>
              </w:tc>
              <w:tc>
                <w:tcPr>
                  <w:tcW w:w="545" w:type="dxa"/>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59</w:t>
                  </w:r>
                </w:p>
              </w:tc>
              <w:tc>
                <w:tcPr>
                  <w:tcW w:w="544" w:type="dxa"/>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55</w:t>
                  </w:r>
                </w:p>
              </w:tc>
              <w:tc>
                <w:tcPr>
                  <w:tcW w:w="545" w:type="dxa"/>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53</w:t>
                  </w:r>
                </w:p>
              </w:tc>
              <w:tc>
                <w:tcPr>
                  <w:tcW w:w="655" w:type="dxa"/>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51</w:t>
                  </w:r>
                </w:p>
              </w:tc>
              <w:tc>
                <w:tcPr>
                  <w:tcW w:w="544" w:type="dxa"/>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45</w:t>
                  </w:r>
                </w:p>
              </w:tc>
              <w:tc>
                <w:tcPr>
                  <w:tcW w:w="655" w:type="dxa"/>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41</w:t>
                  </w:r>
                </w:p>
              </w:tc>
              <w:tc>
                <w:tcPr>
                  <w:tcW w:w="870" w:type="dxa"/>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39</w:t>
                  </w:r>
                </w:p>
              </w:tc>
              <w:tc>
                <w:tcPr>
                  <w:tcW w:w="545" w:type="dxa"/>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37</w:t>
                  </w:r>
                </w:p>
              </w:tc>
              <w:tc>
                <w:tcPr>
                  <w:tcW w:w="391" w:type="dxa"/>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35</w:t>
                  </w:r>
                </w:p>
              </w:tc>
              <w:tc>
                <w:tcPr>
                  <w:tcW w:w="647" w:type="dxa"/>
                  <w:vMerge w:val="continue"/>
                  <w:tcBorders>
                    <w:left w:val="single" w:color="auto" w:sz="8" w:space="0"/>
                    <w:right w:val="single" w:color="auto" w:sz="8" w:space="0"/>
                  </w:tcBorders>
                  <w:vAlign w:val="center"/>
                </w:tcPr>
                <w:p>
                  <w:pPr>
                    <w:widowControl/>
                    <w:jc w:val="center"/>
                    <w:rPr>
                      <w:kern w:val="0"/>
                      <w:szCs w:val="21"/>
                    </w:rPr>
                  </w:pPr>
                </w:p>
              </w:tc>
            </w:tr>
            <w:tr>
              <w:tblPrEx>
                <w:tblLayout w:type="fixed"/>
                <w:tblCellMar>
                  <w:top w:w="0" w:type="dxa"/>
                  <w:left w:w="0" w:type="dxa"/>
                  <w:bottom w:w="0" w:type="dxa"/>
                  <w:right w:w="0" w:type="dxa"/>
                </w:tblCellMar>
              </w:tblPrEx>
              <w:trPr>
                <w:cantSplit/>
                <w:trHeight w:val="283" w:hRule="atLeast"/>
                <w:jc w:val="center"/>
              </w:trPr>
              <w:tc>
                <w:tcPr>
                  <w:tcW w:w="890" w:type="dxa"/>
                  <w:gridSpan w:val="2"/>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多声源叠加值</w:t>
                  </w:r>
                </w:p>
              </w:tc>
              <w:tc>
                <w:tcPr>
                  <w:tcW w:w="540" w:type="dxa"/>
                  <w:gridSpan w:val="2"/>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92</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86</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82</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80</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78</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76</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72</w:t>
                  </w:r>
                </w:p>
              </w:tc>
              <w:tc>
                <w:tcPr>
                  <w:tcW w:w="870"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68</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64</w:t>
                  </w:r>
                </w:p>
              </w:tc>
              <w:tc>
                <w:tcPr>
                  <w:tcW w:w="391"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62</w:t>
                  </w:r>
                </w:p>
              </w:tc>
              <w:tc>
                <w:tcPr>
                  <w:tcW w:w="647" w:type="dxa"/>
                  <w:vMerge w:val="continue"/>
                  <w:tcBorders>
                    <w:left w:val="single" w:color="auto" w:sz="8" w:space="0"/>
                    <w:bottom w:val="single" w:color="auto" w:sz="4" w:space="0"/>
                    <w:right w:val="single" w:color="auto" w:sz="8" w:space="0"/>
                  </w:tcBorders>
                  <w:vAlign w:val="center"/>
                </w:tcPr>
                <w:p>
                  <w:pPr>
                    <w:widowControl/>
                    <w:jc w:val="center"/>
                    <w:rPr>
                      <w:kern w:val="0"/>
                      <w:szCs w:val="21"/>
                    </w:rPr>
                  </w:pPr>
                </w:p>
              </w:tc>
            </w:tr>
            <w:tr>
              <w:tblPrEx>
                <w:tblLayout w:type="fixed"/>
                <w:tblCellMar>
                  <w:top w:w="0" w:type="dxa"/>
                  <w:left w:w="0" w:type="dxa"/>
                  <w:bottom w:w="0" w:type="dxa"/>
                  <w:right w:w="0" w:type="dxa"/>
                </w:tblCellMar>
              </w:tblPrEx>
              <w:trPr>
                <w:cantSplit/>
                <w:trHeight w:val="283" w:hRule="atLeast"/>
                <w:jc w:val="center"/>
              </w:trPr>
              <w:tc>
                <w:tcPr>
                  <w:tcW w:w="37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1</w:t>
                  </w:r>
                </w:p>
              </w:tc>
              <w:tc>
                <w:tcPr>
                  <w:tcW w:w="528" w:type="dxa"/>
                  <w:gridSpan w:val="2"/>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电钻</w:t>
                  </w:r>
                </w:p>
              </w:tc>
              <w:tc>
                <w:tcPr>
                  <w:tcW w:w="528"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85</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79</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75</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73</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71</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65</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61</w:t>
                  </w:r>
                </w:p>
              </w:tc>
              <w:tc>
                <w:tcPr>
                  <w:tcW w:w="870"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59</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57</w:t>
                  </w:r>
                </w:p>
              </w:tc>
              <w:tc>
                <w:tcPr>
                  <w:tcW w:w="391"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55</w:t>
                  </w:r>
                </w:p>
              </w:tc>
              <w:tc>
                <w:tcPr>
                  <w:tcW w:w="647" w:type="dxa"/>
                  <w:vMerge w:val="restart"/>
                  <w:tcBorders>
                    <w:top w:val="single" w:color="auto" w:sz="4" w:space="0"/>
                    <w:left w:val="single" w:color="auto" w:sz="8" w:space="0"/>
                    <w:right w:val="single" w:color="auto" w:sz="8" w:space="0"/>
                  </w:tcBorders>
                  <w:vAlign w:val="center"/>
                </w:tcPr>
                <w:p>
                  <w:pPr>
                    <w:widowControl/>
                    <w:jc w:val="center"/>
                    <w:rPr>
                      <w:kern w:val="0"/>
                      <w:szCs w:val="21"/>
                    </w:rPr>
                  </w:pPr>
                  <w:r>
                    <w:rPr>
                      <w:kern w:val="0"/>
                      <w:szCs w:val="21"/>
                    </w:rPr>
                    <w:t>装修与安装阶段</w:t>
                  </w:r>
                </w:p>
              </w:tc>
            </w:tr>
            <w:tr>
              <w:tblPrEx>
                <w:tblLayout w:type="fixed"/>
                <w:tblCellMar>
                  <w:top w:w="0" w:type="dxa"/>
                  <w:left w:w="0" w:type="dxa"/>
                  <w:bottom w:w="0" w:type="dxa"/>
                  <w:right w:w="0" w:type="dxa"/>
                </w:tblCellMar>
              </w:tblPrEx>
              <w:trPr>
                <w:cantSplit/>
                <w:trHeight w:val="283" w:hRule="atLeast"/>
                <w:jc w:val="center"/>
              </w:trPr>
              <w:tc>
                <w:tcPr>
                  <w:tcW w:w="37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2</w:t>
                  </w:r>
                </w:p>
              </w:tc>
              <w:tc>
                <w:tcPr>
                  <w:tcW w:w="528" w:type="dxa"/>
                  <w:gridSpan w:val="2"/>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电锤</w:t>
                  </w:r>
                </w:p>
              </w:tc>
              <w:tc>
                <w:tcPr>
                  <w:tcW w:w="528"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85</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79</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75</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73</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71</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65</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61</w:t>
                  </w:r>
                </w:p>
              </w:tc>
              <w:tc>
                <w:tcPr>
                  <w:tcW w:w="870"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59</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57</w:t>
                  </w:r>
                </w:p>
              </w:tc>
              <w:tc>
                <w:tcPr>
                  <w:tcW w:w="391"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55</w:t>
                  </w:r>
                </w:p>
              </w:tc>
              <w:tc>
                <w:tcPr>
                  <w:tcW w:w="647" w:type="dxa"/>
                  <w:vMerge w:val="continue"/>
                  <w:tcBorders>
                    <w:left w:val="single" w:color="auto" w:sz="8" w:space="0"/>
                    <w:right w:val="single" w:color="auto" w:sz="8" w:space="0"/>
                  </w:tcBorders>
                  <w:vAlign w:val="center"/>
                </w:tcPr>
                <w:p>
                  <w:pPr>
                    <w:widowControl/>
                    <w:jc w:val="center"/>
                    <w:rPr>
                      <w:kern w:val="0"/>
                      <w:szCs w:val="21"/>
                    </w:rPr>
                  </w:pPr>
                </w:p>
              </w:tc>
            </w:tr>
            <w:tr>
              <w:tblPrEx>
                <w:tblLayout w:type="fixed"/>
                <w:tblCellMar>
                  <w:top w:w="0" w:type="dxa"/>
                  <w:left w:w="0" w:type="dxa"/>
                  <w:bottom w:w="0" w:type="dxa"/>
                  <w:right w:w="0" w:type="dxa"/>
                </w:tblCellMar>
              </w:tblPrEx>
              <w:trPr>
                <w:cantSplit/>
                <w:trHeight w:val="283" w:hRule="atLeast"/>
                <w:jc w:val="center"/>
              </w:trPr>
              <w:tc>
                <w:tcPr>
                  <w:tcW w:w="37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3</w:t>
                  </w:r>
                </w:p>
              </w:tc>
              <w:tc>
                <w:tcPr>
                  <w:tcW w:w="528" w:type="dxa"/>
                  <w:gridSpan w:val="2"/>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手工钻</w:t>
                  </w:r>
                </w:p>
              </w:tc>
              <w:tc>
                <w:tcPr>
                  <w:tcW w:w="528"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85</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79</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75</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73</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71</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65</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61</w:t>
                  </w:r>
                </w:p>
              </w:tc>
              <w:tc>
                <w:tcPr>
                  <w:tcW w:w="870"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59</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57</w:t>
                  </w:r>
                </w:p>
              </w:tc>
              <w:tc>
                <w:tcPr>
                  <w:tcW w:w="391"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55</w:t>
                  </w:r>
                </w:p>
              </w:tc>
              <w:tc>
                <w:tcPr>
                  <w:tcW w:w="647" w:type="dxa"/>
                  <w:vMerge w:val="continue"/>
                  <w:tcBorders>
                    <w:left w:val="single" w:color="auto" w:sz="8" w:space="0"/>
                    <w:right w:val="single" w:color="auto" w:sz="8" w:space="0"/>
                  </w:tcBorders>
                  <w:vAlign w:val="center"/>
                </w:tcPr>
                <w:p>
                  <w:pPr>
                    <w:widowControl/>
                    <w:jc w:val="center"/>
                    <w:rPr>
                      <w:kern w:val="0"/>
                      <w:szCs w:val="21"/>
                    </w:rPr>
                  </w:pPr>
                </w:p>
              </w:tc>
            </w:tr>
            <w:tr>
              <w:tblPrEx>
                <w:tblLayout w:type="fixed"/>
                <w:tblCellMar>
                  <w:top w:w="0" w:type="dxa"/>
                  <w:left w:w="0" w:type="dxa"/>
                  <w:bottom w:w="0" w:type="dxa"/>
                  <w:right w:w="0" w:type="dxa"/>
                </w:tblCellMar>
              </w:tblPrEx>
              <w:trPr>
                <w:cantSplit/>
                <w:trHeight w:val="283" w:hRule="atLeast"/>
                <w:jc w:val="center"/>
              </w:trPr>
              <w:tc>
                <w:tcPr>
                  <w:tcW w:w="37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4</w:t>
                  </w:r>
                </w:p>
              </w:tc>
              <w:tc>
                <w:tcPr>
                  <w:tcW w:w="528" w:type="dxa"/>
                  <w:gridSpan w:val="2"/>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无齿锯</w:t>
                  </w:r>
                </w:p>
              </w:tc>
              <w:tc>
                <w:tcPr>
                  <w:tcW w:w="528"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85</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79</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75</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73</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71</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65</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61</w:t>
                  </w:r>
                </w:p>
              </w:tc>
              <w:tc>
                <w:tcPr>
                  <w:tcW w:w="870"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59</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57</w:t>
                  </w:r>
                </w:p>
              </w:tc>
              <w:tc>
                <w:tcPr>
                  <w:tcW w:w="391"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55</w:t>
                  </w:r>
                </w:p>
              </w:tc>
              <w:tc>
                <w:tcPr>
                  <w:tcW w:w="647" w:type="dxa"/>
                  <w:vMerge w:val="continue"/>
                  <w:tcBorders>
                    <w:left w:val="single" w:color="auto" w:sz="8" w:space="0"/>
                    <w:right w:val="single" w:color="auto" w:sz="8" w:space="0"/>
                  </w:tcBorders>
                  <w:vAlign w:val="center"/>
                </w:tcPr>
                <w:p>
                  <w:pPr>
                    <w:widowControl/>
                    <w:jc w:val="center"/>
                    <w:rPr>
                      <w:kern w:val="0"/>
                      <w:szCs w:val="21"/>
                    </w:rPr>
                  </w:pPr>
                </w:p>
              </w:tc>
            </w:tr>
            <w:tr>
              <w:tblPrEx>
                <w:tblLayout w:type="fixed"/>
                <w:tblCellMar>
                  <w:top w:w="0" w:type="dxa"/>
                  <w:left w:w="0" w:type="dxa"/>
                  <w:bottom w:w="0" w:type="dxa"/>
                  <w:right w:w="0" w:type="dxa"/>
                </w:tblCellMar>
              </w:tblPrEx>
              <w:trPr>
                <w:cantSplit/>
                <w:trHeight w:val="283" w:hRule="atLeast"/>
                <w:jc w:val="center"/>
              </w:trPr>
              <w:tc>
                <w:tcPr>
                  <w:tcW w:w="37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w:t>
                  </w:r>
                </w:p>
              </w:tc>
              <w:tc>
                <w:tcPr>
                  <w:tcW w:w="528" w:type="dxa"/>
                  <w:gridSpan w:val="2"/>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多功能木工刨</w:t>
                  </w:r>
                </w:p>
              </w:tc>
              <w:tc>
                <w:tcPr>
                  <w:tcW w:w="528"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80</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74</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70</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68</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66</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60</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56</w:t>
                  </w:r>
                </w:p>
              </w:tc>
              <w:tc>
                <w:tcPr>
                  <w:tcW w:w="870"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54</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52</w:t>
                  </w:r>
                </w:p>
              </w:tc>
              <w:tc>
                <w:tcPr>
                  <w:tcW w:w="391"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50</w:t>
                  </w:r>
                </w:p>
              </w:tc>
              <w:tc>
                <w:tcPr>
                  <w:tcW w:w="647" w:type="dxa"/>
                  <w:vMerge w:val="continue"/>
                  <w:tcBorders>
                    <w:left w:val="single" w:color="auto" w:sz="8" w:space="0"/>
                    <w:right w:val="single" w:color="auto" w:sz="8" w:space="0"/>
                  </w:tcBorders>
                  <w:vAlign w:val="center"/>
                </w:tcPr>
                <w:p>
                  <w:pPr>
                    <w:widowControl/>
                    <w:jc w:val="center"/>
                    <w:rPr>
                      <w:kern w:val="0"/>
                      <w:szCs w:val="21"/>
                    </w:rPr>
                  </w:pPr>
                </w:p>
              </w:tc>
            </w:tr>
            <w:tr>
              <w:tblPrEx>
                <w:tblLayout w:type="fixed"/>
                <w:tblCellMar>
                  <w:top w:w="0" w:type="dxa"/>
                  <w:left w:w="0" w:type="dxa"/>
                  <w:bottom w:w="0" w:type="dxa"/>
                  <w:right w:w="0" w:type="dxa"/>
                </w:tblCellMar>
              </w:tblPrEx>
              <w:trPr>
                <w:cantSplit/>
                <w:trHeight w:val="283" w:hRule="atLeast"/>
                <w:jc w:val="center"/>
              </w:trPr>
              <w:tc>
                <w:tcPr>
                  <w:tcW w:w="37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w:t>
                  </w:r>
                </w:p>
              </w:tc>
              <w:tc>
                <w:tcPr>
                  <w:tcW w:w="528" w:type="dxa"/>
                  <w:gridSpan w:val="2"/>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云石机</w:t>
                  </w:r>
                </w:p>
              </w:tc>
              <w:tc>
                <w:tcPr>
                  <w:tcW w:w="528"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90</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84</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80</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78</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76</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70</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66</w:t>
                  </w:r>
                </w:p>
              </w:tc>
              <w:tc>
                <w:tcPr>
                  <w:tcW w:w="870"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64</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62</w:t>
                  </w:r>
                </w:p>
              </w:tc>
              <w:tc>
                <w:tcPr>
                  <w:tcW w:w="391"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60</w:t>
                  </w:r>
                </w:p>
              </w:tc>
              <w:tc>
                <w:tcPr>
                  <w:tcW w:w="647" w:type="dxa"/>
                  <w:vMerge w:val="continue"/>
                  <w:tcBorders>
                    <w:left w:val="single" w:color="auto" w:sz="8" w:space="0"/>
                    <w:right w:val="single" w:color="auto" w:sz="8" w:space="0"/>
                  </w:tcBorders>
                  <w:vAlign w:val="center"/>
                </w:tcPr>
                <w:p>
                  <w:pPr>
                    <w:widowControl/>
                    <w:jc w:val="center"/>
                    <w:rPr>
                      <w:kern w:val="0"/>
                      <w:szCs w:val="21"/>
                    </w:rPr>
                  </w:pPr>
                </w:p>
              </w:tc>
            </w:tr>
            <w:tr>
              <w:tblPrEx>
                <w:tblLayout w:type="fixed"/>
                <w:tblCellMar>
                  <w:top w:w="0" w:type="dxa"/>
                  <w:left w:w="0" w:type="dxa"/>
                  <w:bottom w:w="0" w:type="dxa"/>
                  <w:right w:w="0" w:type="dxa"/>
                </w:tblCellMar>
              </w:tblPrEx>
              <w:trPr>
                <w:cantSplit/>
                <w:trHeight w:val="283" w:hRule="atLeast"/>
                <w:jc w:val="center"/>
              </w:trPr>
              <w:tc>
                <w:tcPr>
                  <w:tcW w:w="374" w:type="dxa"/>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7</w:t>
                  </w:r>
                </w:p>
              </w:tc>
              <w:tc>
                <w:tcPr>
                  <w:tcW w:w="528" w:type="dxa"/>
                  <w:gridSpan w:val="2"/>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轻型载重车</w:t>
                  </w:r>
                </w:p>
              </w:tc>
              <w:tc>
                <w:tcPr>
                  <w:tcW w:w="528" w:type="dxa"/>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55</w:t>
                  </w:r>
                </w:p>
              </w:tc>
              <w:tc>
                <w:tcPr>
                  <w:tcW w:w="545" w:type="dxa"/>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49</w:t>
                  </w:r>
                </w:p>
              </w:tc>
              <w:tc>
                <w:tcPr>
                  <w:tcW w:w="544" w:type="dxa"/>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45</w:t>
                  </w:r>
                </w:p>
              </w:tc>
              <w:tc>
                <w:tcPr>
                  <w:tcW w:w="545" w:type="dxa"/>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43</w:t>
                  </w:r>
                </w:p>
              </w:tc>
              <w:tc>
                <w:tcPr>
                  <w:tcW w:w="655" w:type="dxa"/>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41</w:t>
                  </w:r>
                </w:p>
              </w:tc>
              <w:tc>
                <w:tcPr>
                  <w:tcW w:w="544" w:type="dxa"/>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35</w:t>
                  </w:r>
                </w:p>
              </w:tc>
              <w:tc>
                <w:tcPr>
                  <w:tcW w:w="655" w:type="dxa"/>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31</w:t>
                  </w:r>
                </w:p>
              </w:tc>
              <w:tc>
                <w:tcPr>
                  <w:tcW w:w="870" w:type="dxa"/>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29</w:t>
                  </w:r>
                </w:p>
              </w:tc>
              <w:tc>
                <w:tcPr>
                  <w:tcW w:w="545" w:type="dxa"/>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27</w:t>
                  </w:r>
                </w:p>
              </w:tc>
              <w:tc>
                <w:tcPr>
                  <w:tcW w:w="391" w:type="dxa"/>
                  <w:tcBorders>
                    <w:top w:val="single" w:color="auto" w:sz="8" w:space="0"/>
                    <w:left w:val="single" w:color="auto" w:sz="8" w:space="0"/>
                    <w:right w:val="single" w:color="auto" w:sz="8" w:space="0"/>
                  </w:tcBorders>
                  <w:vAlign w:val="center"/>
                </w:tcPr>
                <w:p>
                  <w:pPr>
                    <w:widowControl/>
                    <w:jc w:val="center"/>
                    <w:rPr>
                      <w:kern w:val="0"/>
                      <w:szCs w:val="21"/>
                    </w:rPr>
                  </w:pPr>
                  <w:r>
                    <w:rPr>
                      <w:kern w:val="0"/>
                      <w:szCs w:val="21"/>
                    </w:rPr>
                    <w:t>25</w:t>
                  </w:r>
                </w:p>
              </w:tc>
              <w:tc>
                <w:tcPr>
                  <w:tcW w:w="647" w:type="dxa"/>
                  <w:vMerge w:val="continue"/>
                  <w:tcBorders>
                    <w:left w:val="single" w:color="auto" w:sz="8" w:space="0"/>
                    <w:right w:val="single" w:color="auto" w:sz="8" w:space="0"/>
                  </w:tcBorders>
                  <w:vAlign w:val="center"/>
                </w:tcPr>
                <w:p>
                  <w:pPr>
                    <w:widowControl/>
                    <w:jc w:val="center"/>
                    <w:rPr>
                      <w:kern w:val="0"/>
                      <w:szCs w:val="21"/>
                    </w:rPr>
                  </w:pPr>
                </w:p>
              </w:tc>
            </w:tr>
            <w:tr>
              <w:tblPrEx>
                <w:tblLayout w:type="fixed"/>
                <w:tblCellMar>
                  <w:top w:w="0" w:type="dxa"/>
                  <w:left w:w="0" w:type="dxa"/>
                  <w:bottom w:w="0" w:type="dxa"/>
                  <w:right w:w="0" w:type="dxa"/>
                </w:tblCellMar>
              </w:tblPrEx>
              <w:trPr>
                <w:cantSplit/>
                <w:trHeight w:val="283" w:hRule="atLeast"/>
                <w:jc w:val="center"/>
              </w:trPr>
              <w:tc>
                <w:tcPr>
                  <w:tcW w:w="890" w:type="dxa"/>
                  <w:gridSpan w:val="2"/>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多声源叠加值</w:t>
                  </w:r>
                </w:p>
              </w:tc>
              <w:tc>
                <w:tcPr>
                  <w:tcW w:w="540" w:type="dxa"/>
                  <w:gridSpan w:val="2"/>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94</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87</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84</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82</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80</w:t>
                  </w:r>
                </w:p>
              </w:tc>
              <w:tc>
                <w:tcPr>
                  <w:tcW w:w="544"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74</w:t>
                  </w:r>
                </w:p>
              </w:tc>
              <w:tc>
                <w:tcPr>
                  <w:tcW w:w="65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70</w:t>
                  </w:r>
                </w:p>
              </w:tc>
              <w:tc>
                <w:tcPr>
                  <w:tcW w:w="870"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68</w:t>
                  </w:r>
                </w:p>
              </w:tc>
              <w:tc>
                <w:tcPr>
                  <w:tcW w:w="545"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66</w:t>
                  </w:r>
                </w:p>
              </w:tc>
              <w:tc>
                <w:tcPr>
                  <w:tcW w:w="391" w:type="dxa"/>
                  <w:tcBorders>
                    <w:top w:val="single" w:color="auto" w:sz="8" w:space="0"/>
                    <w:left w:val="single" w:color="auto" w:sz="8" w:space="0"/>
                    <w:bottom w:val="single" w:color="auto" w:sz="8" w:space="0"/>
                    <w:right w:val="single" w:color="auto" w:sz="8" w:space="0"/>
                  </w:tcBorders>
                  <w:vAlign w:val="center"/>
                </w:tcPr>
                <w:p>
                  <w:pPr>
                    <w:widowControl/>
                    <w:jc w:val="center"/>
                    <w:rPr>
                      <w:kern w:val="0"/>
                      <w:szCs w:val="21"/>
                    </w:rPr>
                  </w:pPr>
                  <w:r>
                    <w:rPr>
                      <w:kern w:val="0"/>
                      <w:szCs w:val="21"/>
                    </w:rPr>
                    <w:t>64</w:t>
                  </w:r>
                </w:p>
              </w:tc>
              <w:tc>
                <w:tcPr>
                  <w:tcW w:w="647" w:type="dxa"/>
                  <w:vMerge w:val="continue"/>
                  <w:tcBorders>
                    <w:left w:val="single" w:color="auto" w:sz="8" w:space="0"/>
                    <w:bottom w:val="single" w:color="auto" w:sz="8" w:space="0"/>
                    <w:right w:val="single" w:color="auto" w:sz="8" w:space="0"/>
                  </w:tcBorders>
                  <w:vAlign w:val="center"/>
                </w:tcPr>
                <w:p>
                  <w:pPr>
                    <w:widowControl/>
                    <w:jc w:val="center"/>
                    <w:rPr>
                      <w:kern w:val="0"/>
                      <w:szCs w:val="21"/>
                    </w:rPr>
                  </w:pPr>
                </w:p>
              </w:tc>
            </w:tr>
          </w:tbl>
          <w:p>
            <w:pPr>
              <w:keepNext/>
              <w:keepLines/>
              <w:spacing w:line="360" w:lineRule="auto"/>
              <w:ind w:firstLine="480" w:firstLineChars="200"/>
              <w:outlineLvl w:val="2"/>
              <w:rPr>
                <w:iCs/>
                <w:sz w:val="24"/>
                <w:szCs w:val="32"/>
              </w:rPr>
            </w:pPr>
            <w:r>
              <w:rPr>
                <w:iCs/>
                <w:sz w:val="24"/>
                <w:szCs w:val="32"/>
              </w:rPr>
              <w:t>（3）施工厂界噪声</w:t>
            </w:r>
          </w:p>
          <w:p>
            <w:pPr>
              <w:keepNext/>
              <w:keepLines/>
              <w:spacing w:before="120" w:line="360" w:lineRule="auto"/>
              <w:ind w:firstLine="480" w:firstLineChars="200"/>
              <w:outlineLvl w:val="2"/>
              <w:rPr>
                <w:kern w:val="0"/>
                <w:sz w:val="24"/>
              </w:rPr>
            </w:pPr>
            <w:r>
              <w:rPr>
                <w:iCs/>
                <w:sz w:val="24"/>
                <w:szCs w:val="32"/>
              </w:rPr>
              <w:t>根据GB12523-2011《建筑施工场界环境噪声排放标准》，昼间噪声限值为70dB，夜间限值为55dB（A）。从表7-5可以看出，场地平整阶段，昼间在距声源约20m以外区域方可符合标准限值，夜间则需在距声源约100m以外区域方可符合标准限值；土石方阶段，昼间在距声源约10m以外区域方可符合标准限值，夜间则需在距声源约80m以外区域方可符合标准限值；基础施工阶段，昼间在距声源约10m以外区域方可符合标准限值，夜间则需在距声源约80m以外区域方可符合标准限值；底板与结构阶段，昼间在距声源约40m以外区域方可符合标准限值，夜间则需在距声源约200m以外区域方可符合标准限值；装修与安装阶段，昼间在距声源约50m以外区域方可符合标准限值，夜间则需在距声源约250m以外区域方可符合标准限值。由于本项目场地狭小，无法实现把安排产噪的施工机械设备向远离施工场界的中心区域安置，故在不采取措施的情况下，本项目的施工场界噪声在大部分施工阶段里将超过GB12523-2011《建筑施工场界环境噪声排放标准》的要求。因此项目施工需采取相应的噪声防护措施，如夜间禁止施工、设置围挡、采用低噪设备、加强施工管理及加快施工进度等，在采取相应的噪声防护措施后，项目产生的施工噪声影响可有效降低。</w:t>
            </w:r>
          </w:p>
          <w:p>
            <w:pPr>
              <w:widowControl/>
              <w:spacing w:line="360" w:lineRule="auto"/>
              <w:ind w:firstLine="480" w:firstLineChars="200"/>
              <w:rPr>
                <w:kern w:val="0"/>
                <w:sz w:val="24"/>
              </w:rPr>
            </w:pPr>
            <w:r>
              <w:rPr>
                <w:kern w:val="0"/>
                <w:sz w:val="24"/>
              </w:rPr>
              <w:t>施工场地</w:t>
            </w:r>
            <w:r>
              <w:rPr>
                <w:rFonts w:hint="eastAsia"/>
                <w:kern w:val="0"/>
                <w:sz w:val="24"/>
              </w:rPr>
              <w:t>周边5</w:t>
            </w:r>
            <w:r>
              <w:rPr>
                <w:kern w:val="0"/>
                <w:sz w:val="24"/>
              </w:rPr>
              <w:t>0m范围内无敏感点分布，距离项目最近考虑距离和</w:t>
            </w:r>
            <w:r>
              <w:rPr>
                <w:rFonts w:hint="eastAsia"/>
                <w:kern w:val="0"/>
                <w:sz w:val="24"/>
              </w:rPr>
              <w:t>绿化</w:t>
            </w:r>
            <w:r>
              <w:rPr>
                <w:kern w:val="0"/>
                <w:sz w:val="24"/>
              </w:rPr>
              <w:t>体相隔的削减作用，且工程施工期短</w:t>
            </w:r>
            <w:r>
              <w:rPr>
                <w:rFonts w:hint="eastAsia"/>
                <w:kern w:val="0"/>
                <w:sz w:val="24"/>
              </w:rPr>
              <w:t>，</w:t>
            </w:r>
            <w:r>
              <w:rPr>
                <w:kern w:val="0"/>
                <w:sz w:val="24"/>
              </w:rPr>
              <w:t>工程量较小</w:t>
            </w:r>
            <w:r>
              <w:rPr>
                <w:rFonts w:hint="eastAsia"/>
                <w:kern w:val="0"/>
                <w:sz w:val="24"/>
              </w:rPr>
              <w:t>，</w:t>
            </w:r>
            <w:r>
              <w:rPr>
                <w:kern w:val="0"/>
                <w:sz w:val="24"/>
              </w:rPr>
              <w:t>施工期噪声对村民的生产生活影响不大，是可以接受的。</w:t>
            </w:r>
          </w:p>
          <w:p>
            <w:pPr>
              <w:widowControl/>
              <w:spacing w:line="360" w:lineRule="auto"/>
              <w:ind w:firstLine="480" w:firstLineChars="200"/>
              <w:rPr>
                <w:color w:val="0000CC"/>
                <w:kern w:val="0"/>
                <w:sz w:val="24"/>
              </w:rPr>
            </w:pPr>
            <w:r>
              <w:rPr>
                <w:kern w:val="0"/>
                <w:sz w:val="24"/>
              </w:rPr>
              <w:t>本评级要求夜间禁止施工</w:t>
            </w:r>
            <w:r>
              <w:rPr>
                <w:rFonts w:hint="eastAsia"/>
                <w:kern w:val="0"/>
                <w:sz w:val="24"/>
              </w:rPr>
              <w:t>，</w:t>
            </w:r>
            <w:r>
              <w:rPr>
                <w:kern w:val="0"/>
                <w:sz w:val="24"/>
              </w:rPr>
              <w:t>同时选用低噪设备</w:t>
            </w:r>
            <w:r>
              <w:rPr>
                <w:rFonts w:hint="eastAsia"/>
                <w:kern w:val="0"/>
                <w:sz w:val="24"/>
              </w:rPr>
              <w:t>，</w:t>
            </w:r>
            <w:r>
              <w:rPr>
                <w:kern w:val="0"/>
                <w:sz w:val="24"/>
              </w:rPr>
              <w:t>进一步降低噪声影响</w:t>
            </w:r>
            <w:r>
              <w:rPr>
                <w:rFonts w:hint="eastAsia"/>
                <w:kern w:val="0"/>
                <w:sz w:val="24"/>
              </w:rPr>
              <w:t>。</w:t>
            </w:r>
          </w:p>
          <w:p>
            <w:pPr>
              <w:widowControl/>
              <w:spacing w:line="360" w:lineRule="auto"/>
              <w:ind w:firstLine="472" w:firstLineChars="196"/>
              <w:rPr>
                <w:b/>
                <w:kern w:val="0"/>
                <w:sz w:val="24"/>
              </w:rPr>
            </w:pPr>
            <w:r>
              <w:rPr>
                <w:b/>
                <w:kern w:val="0"/>
                <w:sz w:val="24"/>
              </w:rPr>
              <w:t>3、地表水环境影响分析</w:t>
            </w:r>
          </w:p>
          <w:p>
            <w:pPr>
              <w:widowControl/>
              <w:spacing w:line="360" w:lineRule="auto"/>
              <w:ind w:firstLine="480" w:firstLineChars="200"/>
              <w:rPr>
                <w:kern w:val="0"/>
                <w:sz w:val="24"/>
              </w:rPr>
            </w:pPr>
            <w:r>
              <w:rPr>
                <w:kern w:val="0"/>
                <w:sz w:val="24"/>
              </w:rPr>
              <w:t>项目不在场地内设置施工营地</w:t>
            </w:r>
            <w:r>
              <w:rPr>
                <w:rFonts w:hint="eastAsia"/>
                <w:kern w:val="0"/>
                <w:sz w:val="24"/>
              </w:rPr>
              <w:t>，</w:t>
            </w:r>
            <w:r>
              <w:rPr>
                <w:kern w:val="0"/>
                <w:sz w:val="24"/>
              </w:rPr>
              <w:t>施工人员聘请当地村民</w:t>
            </w:r>
            <w:r>
              <w:rPr>
                <w:rFonts w:hint="eastAsia"/>
                <w:kern w:val="0"/>
                <w:sz w:val="24"/>
              </w:rPr>
              <w:t>，</w:t>
            </w:r>
            <w:r>
              <w:rPr>
                <w:kern w:val="0"/>
                <w:sz w:val="24"/>
              </w:rPr>
              <w:t>因此工程施工期间废水主要为少量混凝土养护废水和雨天径流</w:t>
            </w:r>
            <w:r>
              <w:rPr>
                <w:rFonts w:hint="eastAsia"/>
                <w:kern w:val="0"/>
                <w:sz w:val="24"/>
              </w:rPr>
              <w:t>。</w:t>
            </w:r>
          </w:p>
          <w:p>
            <w:pPr>
              <w:widowControl/>
              <w:spacing w:line="360" w:lineRule="auto"/>
              <w:ind w:firstLine="480" w:firstLineChars="200"/>
              <w:rPr>
                <w:kern w:val="0"/>
                <w:sz w:val="24"/>
              </w:rPr>
            </w:pPr>
            <w:r>
              <w:rPr>
                <w:rFonts w:hint="eastAsia"/>
                <w:kern w:val="0"/>
                <w:sz w:val="24"/>
              </w:rPr>
              <w:t>混凝土</w:t>
            </w:r>
            <w:r>
              <w:rPr>
                <w:kern w:val="0"/>
                <w:sz w:val="24"/>
              </w:rPr>
              <w:t>养护水中的污染物主要为悬浮物，导致废水的浑浊度和色度等物理性指标较高。但项目混凝土使用量很小，仅建设一栋钢混结构综合楼和门卫室等</w:t>
            </w:r>
            <w:r>
              <w:rPr>
                <w:rFonts w:hint="eastAsia"/>
                <w:kern w:val="0"/>
                <w:sz w:val="24"/>
              </w:rPr>
              <w:t>，</w:t>
            </w:r>
            <w:r>
              <w:rPr>
                <w:kern w:val="0"/>
                <w:sz w:val="24"/>
              </w:rPr>
              <w:t>混凝土养护水产生量也很少 ，经过混凝土吸收和自然蒸发后不会产生废水向周边排放。对周边水环境影响较小</w:t>
            </w:r>
            <w:r>
              <w:rPr>
                <w:color w:val="0000FF"/>
                <w:kern w:val="0"/>
                <w:sz w:val="24"/>
              </w:rPr>
              <w:t>。</w:t>
            </w:r>
          </w:p>
          <w:p>
            <w:pPr>
              <w:widowControl/>
              <w:spacing w:line="360" w:lineRule="auto"/>
              <w:ind w:firstLine="480" w:firstLineChars="200"/>
              <w:jc w:val="left"/>
              <w:rPr>
                <w:kern w:val="0"/>
                <w:sz w:val="24"/>
              </w:rPr>
            </w:pPr>
            <w:r>
              <w:rPr>
                <w:kern w:val="0"/>
                <w:sz w:val="24"/>
              </w:rPr>
              <w:t>项目施工期间的废水还包括降雨后地表径流形成的泥浆水以及其中所携带的污染物。暴雨后的地表径流冲刷浮土等形成的泥浆水，会携带大量泥沙、土壤养分、水泥、油类及其它地表固体污染物。本评价要求施工单位设置了截排水沟、沉砂池等水土保持措施以减小地表径流的影响。</w:t>
            </w:r>
          </w:p>
          <w:p>
            <w:pPr>
              <w:widowControl/>
              <w:spacing w:line="360" w:lineRule="auto"/>
              <w:ind w:firstLine="480" w:firstLineChars="200"/>
              <w:jc w:val="left"/>
              <w:rPr>
                <w:kern w:val="0"/>
                <w:sz w:val="24"/>
              </w:rPr>
            </w:pPr>
            <w:r>
              <w:rPr>
                <w:kern w:val="0"/>
                <w:sz w:val="24"/>
              </w:rPr>
              <w:t>设置截排水沟</w:t>
            </w:r>
            <w:r>
              <w:rPr>
                <w:rFonts w:hint="eastAsia"/>
                <w:kern w:val="0"/>
                <w:sz w:val="24"/>
              </w:rPr>
              <w:t>、</w:t>
            </w:r>
            <w:r>
              <w:rPr>
                <w:kern w:val="0"/>
                <w:sz w:val="24"/>
              </w:rPr>
              <w:t>沉砂池等水保措施后项目施工期对地表水影响较小</w:t>
            </w:r>
            <w:r>
              <w:rPr>
                <w:rFonts w:hint="eastAsia"/>
                <w:kern w:val="0"/>
                <w:sz w:val="24"/>
              </w:rPr>
              <w:t>。</w:t>
            </w:r>
          </w:p>
          <w:p>
            <w:pPr>
              <w:keepNext/>
              <w:spacing w:line="336" w:lineRule="auto"/>
              <w:ind w:firstLine="472" w:firstLineChars="196"/>
              <w:outlineLvl w:val="1"/>
              <w:rPr>
                <w:b/>
                <w:bCs/>
                <w:sz w:val="24"/>
              </w:rPr>
            </w:pPr>
            <w:r>
              <w:rPr>
                <w:b/>
                <w:bCs/>
                <w:sz w:val="24"/>
              </w:rPr>
              <w:t>4、固体废物影响分析</w:t>
            </w:r>
          </w:p>
          <w:p>
            <w:pPr>
              <w:widowControl/>
              <w:spacing w:line="360" w:lineRule="auto"/>
              <w:ind w:firstLine="480" w:firstLineChars="200"/>
              <w:jc w:val="left"/>
              <w:rPr>
                <w:kern w:val="0"/>
                <w:sz w:val="24"/>
              </w:rPr>
            </w:pPr>
            <w:r>
              <w:rPr>
                <w:kern w:val="0"/>
                <w:sz w:val="24"/>
              </w:rPr>
              <w:t>施工中的固体废弃物主要是开挖土石方、废弃建筑材料。</w:t>
            </w:r>
          </w:p>
          <w:p>
            <w:pPr>
              <w:widowControl/>
              <w:spacing w:line="360" w:lineRule="auto"/>
              <w:ind w:firstLine="480" w:firstLineChars="200"/>
              <w:jc w:val="left"/>
              <w:rPr>
                <w:kern w:val="0"/>
                <w:sz w:val="24"/>
              </w:rPr>
            </w:pPr>
            <w:r>
              <w:rPr>
                <w:rFonts w:hint="eastAsia"/>
                <w:kern w:val="0"/>
                <w:sz w:val="24"/>
              </w:rPr>
              <w:t>项目工程量较小，根据业主提供的资料，项目土石方开挖量约为</w:t>
            </w:r>
            <w:r>
              <w:rPr>
                <w:kern w:val="0"/>
                <w:sz w:val="24"/>
              </w:rPr>
              <w:t>1.35万</w:t>
            </w:r>
            <w:r>
              <w:rPr>
                <w:rFonts w:hint="eastAsia"/>
                <w:kern w:val="0"/>
                <w:sz w:val="24"/>
              </w:rPr>
              <w:t>m³，工程内基本可以做到土石方平衡，无废弃土石方产生。</w:t>
            </w:r>
          </w:p>
          <w:p>
            <w:pPr>
              <w:widowControl/>
              <w:spacing w:line="360" w:lineRule="auto"/>
              <w:ind w:firstLine="480" w:firstLineChars="200"/>
              <w:jc w:val="left"/>
              <w:rPr>
                <w:kern w:val="0"/>
                <w:sz w:val="24"/>
              </w:rPr>
            </w:pPr>
            <w:r>
              <w:rPr>
                <w:kern w:val="0"/>
                <w:sz w:val="24"/>
              </w:rPr>
              <w:t>根据城建部门一般经验，项目共产生4.5</w:t>
            </w:r>
            <w:r>
              <w:rPr>
                <w:rFonts w:hint="eastAsia"/>
                <w:kern w:val="0"/>
                <w:sz w:val="24"/>
              </w:rPr>
              <w:t>t的建筑垃圾，建筑垃圾统一收集，施工结束后由环卫部门统一清运处置。</w:t>
            </w:r>
          </w:p>
          <w:p>
            <w:pPr>
              <w:widowControl/>
              <w:spacing w:line="360" w:lineRule="auto"/>
              <w:ind w:firstLine="480" w:firstLineChars="200"/>
              <w:jc w:val="left"/>
              <w:rPr>
                <w:rFonts w:eastAsiaTheme="minorEastAsia"/>
                <w:kern w:val="0"/>
                <w:sz w:val="24"/>
              </w:rPr>
            </w:pPr>
            <w:r>
              <w:rPr>
                <w:kern w:val="0"/>
                <w:sz w:val="24"/>
              </w:rPr>
              <w:t>施工期固体废弃物影响较小</w:t>
            </w:r>
            <w:r>
              <w:rPr>
                <w:rFonts w:hint="eastAsia"/>
                <w:kern w:val="0"/>
                <w:sz w:val="24"/>
              </w:rPr>
              <w:t>。</w:t>
            </w:r>
          </w:p>
          <w:p>
            <w:pPr>
              <w:adjustRightInd w:val="0"/>
              <w:snapToGrid w:val="0"/>
              <w:spacing w:line="360" w:lineRule="auto"/>
              <w:rPr>
                <w:rFonts w:eastAsiaTheme="minorEastAsia"/>
                <w:b/>
                <w:bCs/>
                <w:spacing w:val="-10"/>
                <w:sz w:val="24"/>
              </w:rPr>
            </w:pPr>
            <w:r>
              <w:rPr>
                <w:rFonts w:eastAsiaTheme="minorEastAsia"/>
                <w:b/>
                <w:bCs/>
                <w:spacing w:val="-10"/>
                <w:sz w:val="24"/>
              </w:rPr>
              <w:t>二、施工期环境保护对策措施</w:t>
            </w:r>
          </w:p>
          <w:p>
            <w:pPr>
              <w:widowControl/>
              <w:spacing w:line="360" w:lineRule="auto"/>
              <w:ind w:firstLine="470" w:firstLineChars="196"/>
              <w:rPr>
                <w:bCs/>
                <w:kern w:val="0"/>
                <w:sz w:val="24"/>
              </w:rPr>
            </w:pPr>
            <w:r>
              <w:rPr>
                <w:rFonts w:hint="eastAsia"/>
                <w:bCs/>
                <w:kern w:val="0"/>
                <w:sz w:val="24"/>
              </w:rPr>
              <w:t>1、大气环境</w:t>
            </w:r>
          </w:p>
          <w:p>
            <w:pPr>
              <w:widowControl/>
              <w:spacing w:line="360" w:lineRule="auto"/>
              <w:ind w:firstLine="470" w:firstLineChars="196"/>
              <w:rPr>
                <w:bCs/>
                <w:kern w:val="0"/>
                <w:sz w:val="24"/>
              </w:rPr>
            </w:pPr>
            <w:r>
              <w:rPr>
                <w:bCs/>
                <w:kern w:val="0"/>
                <w:sz w:val="24"/>
              </w:rPr>
              <w:t>（1）在基础施工期间，尽可能采取措施提高工程进度，实施标准化施工，工地配置</w:t>
            </w:r>
            <w:r>
              <w:rPr>
                <w:rFonts w:hint="eastAsia"/>
                <w:bCs/>
                <w:kern w:val="0"/>
                <w:sz w:val="24"/>
              </w:rPr>
              <w:t>挡墙</w:t>
            </w:r>
            <w:r>
              <w:rPr>
                <w:bCs/>
                <w:kern w:val="0"/>
                <w:sz w:val="24"/>
              </w:rPr>
              <w:t>，缩短扬尘的危害周期。</w:t>
            </w:r>
          </w:p>
          <w:p>
            <w:pPr>
              <w:widowControl/>
              <w:spacing w:line="360" w:lineRule="auto"/>
              <w:ind w:firstLine="470" w:firstLineChars="196"/>
              <w:rPr>
                <w:bCs/>
                <w:kern w:val="0"/>
                <w:sz w:val="24"/>
              </w:rPr>
            </w:pPr>
            <w:r>
              <w:rPr>
                <w:bCs/>
                <w:kern w:val="0"/>
                <w:sz w:val="24"/>
              </w:rPr>
              <w:t>（2）对作业面应适当地洒水，使其保持一定的湿度，减小起尘量</w:t>
            </w:r>
            <w:r>
              <w:rPr>
                <w:rFonts w:hint="eastAsia"/>
                <w:bCs/>
                <w:kern w:val="0"/>
                <w:sz w:val="24"/>
              </w:rPr>
              <w:t>，</w:t>
            </w:r>
            <w:r>
              <w:rPr>
                <w:bCs/>
                <w:kern w:val="0"/>
                <w:sz w:val="24"/>
              </w:rPr>
              <w:t>防止扬尘的扩散。</w:t>
            </w:r>
            <w:r>
              <w:rPr>
                <w:rFonts w:hint="eastAsia"/>
                <w:bCs/>
                <w:kern w:val="0"/>
                <w:sz w:val="24"/>
              </w:rPr>
              <w:t>在旱季风大时，应加大洒水量及洒水频次。项目施工过程应适时洒水，保证施工过程不起尘或少起尘，严禁施工扬尘影响周边环境和</w:t>
            </w:r>
            <w:r>
              <w:rPr>
                <w:bCs/>
                <w:kern w:val="0"/>
                <w:sz w:val="24"/>
              </w:rPr>
              <w:t>市政道路</w:t>
            </w:r>
            <w:r>
              <w:rPr>
                <w:rFonts w:hint="eastAsia"/>
                <w:bCs/>
                <w:kern w:val="0"/>
                <w:sz w:val="24"/>
              </w:rPr>
              <w:t>车辆正常运行。</w:t>
            </w:r>
          </w:p>
          <w:p>
            <w:pPr>
              <w:widowControl/>
              <w:spacing w:line="360" w:lineRule="auto"/>
              <w:ind w:firstLine="470" w:firstLineChars="196"/>
              <w:rPr>
                <w:bCs/>
                <w:kern w:val="0"/>
                <w:sz w:val="24"/>
              </w:rPr>
            </w:pPr>
            <w:r>
              <w:rPr>
                <w:bCs/>
                <w:kern w:val="0"/>
                <w:sz w:val="24"/>
              </w:rPr>
              <w:t>（3）</w:t>
            </w:r>
            <w:r>
              <w:rPr>
                <w:rFonts w:hint="eastAsia"/>
                <w:bCs/>
                <w:kern w:val="0"/>
                <w:sz w:val="24"/>
              </w:rPr>
              <w:t>施工场地内运输通道应及时清扫和平整，以尽量减少运输车辆行驶产生的扬尘，采取洒水抑层、垫草席等措施</w:t>
            </w:r>
            <w:r>
              <w:rPr>
                <w:bCs/>
                <w:kern w:val="0"/>
                <w:sz w:val="24"/>
              </w:rPr>
              <w:t>。</w:t>
            </w:r>
          </w:p>
          <w:p>
            <w:pPr>
              <w:widowControl/>
              <w:spacing w:line="360" w:lineRule="auto"/>
              <w:ind w:firstLine="470" w:firstLineChars="196"/>
              <w:rPr>
                <w:bCs/>
                <w:kern w:val="0"/>
                <w:sz w:val="24"/>
              </w:rPr>
            </w:pPr>
            <w:r>
              <w:rPr>
                <w:bCs/>
                <w:kern w:val="0"/>
                <w:sz w:val="24"/>
              </w:rPr>
              <w:t>（4）</w:t>
            </w:r>
            <w:r>
              <w:rPr>
                <w:rFonts w:hint="eastAsia"/>
                <w:bCs/>
                <w:kern w:val="0"/>
                <w:sz w:val="24"/>
              </w:rPr>
              <w:t>运输车辆进入施工场地要限速行驶，</w:t>
            </w:r>
            <w:r>
              <w:rPr>
                <w:bCs/>
                <w:kern w:val="0"/>
                <w:sz w:val="24"/>
              </w:rPr>
              <w:t>运输车辆不宜装载过满，同时运输车辆须使用车厢可封闭式的车型</w:t>
            </w:r>
            <w:r>
              <w:rPr>
                <w:rFonts w:hint="eastAsia"/>
                <w:bCs/>
                <w:kern w:val="0"/>
                <w:sz w:val="24"/>
              </w:rPr>
              <w:t>或车辆加蓬处理</w:t>
            </w:r>
            <w:r>
              <w:rPr>
                <w:bCs/>
                <w:kern w:val="0"/>
                <w:sz w:val="24"/>
              </w:rPr>
              <w:t>。对不慎洒落的沙土和建筑材料，应对地面进行及时清理。</w:t>
            </w:r>
          </w:p>
          <w:p>
            <w:pPr>
              <w:widowControl/>
              <w:spacing w:line="360" w:lineRule="auto"/>
              <w:ind w:firstLine="470" w:firstLineChars="196"/>
              <w:rPr>
                <w:bCs/>
                <w:kern w:val="0"/>
                <w:sz w:val="24"/>
              </w:rPr>
            </w:pPr>
            <w:r>
              <w:rPr>
                <w:bCs/>
                <w:kern w:val="0"/>
                <w:sz w:val="24"/>
              </w:rPr>
              <w:t>（5）原料堆存</w:t>
            </w:r>
            <w:r>
              <w:rPr>
                <w:rFonts w:hint="eastAsia"/>
                <w:bCs/>
                <w:kern w:val="0"/>
                <w:sz w:val="24"/>
              </w:rPr>
              <w:t>时</w:t>
            </w:r>
            <w:r>
              <w:rPr>
                <w:bCs/>
                <w:kern w:val="0"/>
                <w:sz w:val="24"/>
              </w:rPr>
              <w:t>应用土工布进行覆盖。</w:t>
            </w:r>
          </w:p>
          <w:p>
            <w:pPr>
              <w:widowControl/>
              <w:spacing w:line="360" w:lineRule="auto"/>
              <w:ind w:firstLine="470" w:firstLineChars="196"/>
              <w:rPr>
                <w:bCs/>
                <w:kern w:val="0"/>
                <w:sz w:val="24"/>
              </w:rPr>
            </w:pPr>
            <w:r>
              <w:rPr>
                <w:bCs/>
                <w:kern w:val="0"/>
                <w:sz w:val="24"/>
              </w:rPr>
              <w:t>（6）合理安排施工运输工作，对于施工作业中的大型构件和大量物资的运输，应尽量避开交通高峰期，以缓解交通压力。避免压车和交通阻塞，最大限度的控制汽车尾气的排放。</w:t>
            </w:r>
          </w:p>
          <w:p>
            <w:pPr>
              <w:widowControl/>
              <w:spacing w:line="360" w:lineRule="auto"/>
              <w:ind w:firstLine="470" w:firstLineChars="196"/>
              <w:rPr>
                <w:bCs/>
                <w:kern w:val="0"/>
                <w:sz w:val="24"/>
              </w:rPr>
            </w:pPr>
            <w:r>
              <w:rPr>
                <w:bCs/>
                <w:kern w:val="0"/>
                <w:sz w:val="24"/>
              </w:rPr>
              <w:t>（7）在施工机械的选型上考虑相应的环保型产品，主要使用轻质柴油或电作为能源。</w:t>
            </w:r>
          </w:p>
          <w:p>
            <w:pPr>
              <w:widowControl/>
              <w:spacing w:line="360" w:lineRule="auto"/>
              <w:ind w:firstLine="470" w:firstLineChars="196"/>
              <w:rPr>
                <w:bCs/>
                <w:kern w:val="0"/>
                <w:sz w:val="24"/>
              </w:rPr>
            </w:pPr>
            <w:r>
              <w:rPr>
                <w:rFonts w:hint="eastAsia"/>
                <w:bCs/>
                <w:kern w:val="0"/>
                <w:sz w:val="24"/>
              </w:rPr>
              <w:t>（8）按照昆政办〔2011〕88、〔2011〕89号令的要求文明施工，按照规定采取措施减缓影响</w:t>
            </w:r>
            <w:r>
              <w:rPr>
                <w:bCs/>
                <w:kern w:val="0"/>
                <w:sz w:val="24"/>
              </w:rPr>
              <w:t>，</w:t>
            </w:r>
            <w:r>
              <w:rPr>
                <w:rFonts w:hint="eastAsia"/>
                <w:bCs/>
                <w:kern w:val="0"/>
                <w:sz w:val="24"/>
              </w:rPr>
              <w:t>施工工地周边按文明施工和城市管理有关标准设置不低于2.5m的遮挡围墙。围墙应用标准板材或砖砌筑，砖砌筑应当粉刷涂白，封闭严密，保持整洁完整；施工工地进出口处地面进行硬化处理，必须设置车辆过水池、沉淀池、过滤池及车辆清洗设备（即“三池一设备”）。粉尘逸散性的工程材料、砂石、土方或废弃物，应当集中堆置于工地区域，并采取覆盖防尘布或防尘网、定期洒水降尘、袋装等扬尘防范措施。</w:t>
            </w:r>
          </w:p>
          <w:p>
            <w:pPr>
              <w:widowControl/>
              <w:spacing w:line="360" w:lineRule="auto"/>
              <w:ind w:firstLine="470" w:firstLineChars="196"/>
              <w:rPr>
                <w:bCs/>
                <w:kern w:val="0"/>
                <w:sz w:val="24"/>
              </w:rPr>
            </w:pPr>
            <w:r>
              <w:rPr>
                <w:rFonts w:hint="eastAsia"/>
                <w:bCs/>
                <w:kern w:val="0"/>
                <w:sz w:val="24"/>
              </w:rPr>
              <w:t>2、水环境</w:t>
            </w:r>
          </w:p>
          <w:p>
            <w:pPr>
              <w:widowControl/>
              <w:spacing w:line="360" w:lineRule="auto"/>
              <w:ind w:firstLine="470" w:firstLineChars="196"/>
              <w:rPr>
                <w:bCs/>
                <w:kern w:val="0"/>
                <w:sz w:val="24"/>
              </w:rPr>
            </w:pPr>
            <w:r>
              <w:rPr>
                <w:rFonts w:hint="eastAsia"/>
                <w:bCs/>
                <w:kern w:val="0"/>
                <w:sz w:val="24"/>
              </w:rPr>
              <w:t>（</w:t>
            </w:r>
            <w:r>
              <w:rPr>
                <w:bCs/>
                <w:kern w:val="0"/>
                <w:sz w:val="24"/>
              </w:rPr>
              <w:t>1</w:t>
            </w:r>
            <w:r>
              <w:rPr>
                <w:rFonts w:hint="eastAsia"/>
                <w:bCs/>
                <w:kern w:val="0"/>
                <w:sz w:val="24"/>
              </w:rPr>
              <w:t>）注意施工期节约用水，减少废水的产生。</w:t>
            </w:r>
          </w:p>
          <w:p>
            <w:pPr>
              <w:widowControl/>
              <w:spacing w:line="360" w:lineRule="auto"/>
              <w:ind w:firstLine="470" w:firstLineChars="196"/>
              <w:rPr>
                <w:bCs/>
                <w:kern w:val="0"/>
                <w:sz w:val="24"/>
              </w:rPr>
            </w:pPr>
            <w:r>
              <w:rPr>
                <w:rFonts w:hint="eastAsia"/>
                <w:bCs/>
                <w:kern w:val="0"/>
                <w:sz w:val="24"/>
              </w:rPr>
              <w:t>（</w:t>
            </w:r>
            <w:r>
              <w:rPr>
                <w:bCs/>
                <w:kern w:val="0"/>
                <w:sz w:val="24"/>
              </w:rPr>
              <w:t>2</w:t>
            </w:r>
            <w:r>
              <w:rPr>
                <w:rFonts w:hint="eastAsia"/>
                <w:bCs/>
                <w:kern w:val="0"/>
                <w:sz w:val="24"/>
              </w:rPr>
              <w:t>）施工期间优先完成区内外雨水截流沟，使施工区内外的雨水分流，雨水通过适当沉淀处理后排入市政雨水管网，避免暴雨使得施工场地成为较大的面状污染源。</w:t>
            </w:r>
          </w:p>
          <w:p>
            <w:pPr>
              <w:widowControl/>
              <w:spacing w:line="360" w:lineRule="auto"/>
              <w:ind w:firstLine="470" w:firstLineChars="196"/>
              <w:rPr>
                <w:bCs/>
                <w:kern w:val="0"/>
                <w:sz w:val="24"/>
              </w:rPr>
            </w:pPr>
            <w:r>
              <w:rPr>
                <w:rFonts w:hint="eastAsia"/>
                <w:bCs/>
                <w:kern w:val="0"/>
                <w:sz w:val="24"/>
              </w:rPr>
              <w:t>（</w:t>
            </w:r>
            <w:r>
              <w:rPr>
                <w:bCs/>
                <w:kern w:val="0"/>
                <w:sz w:val="24"/>
              </w:rPr>
              <w:t>3</w:t>
            </w:r>
            <w:r>
              <w:rPr>
                <w:rFonts w:hint="eastAsia"/>
                <w:bCs/>
                <w:kern w:val="0"/>
                <w:sz w:val="24"/>
              </w:rPr>
              <w:t>）及时进行项目区内的绿化，提高场地内的绿化率，项目区绿化与主体工程同时完成，避免水土流失影响水环境。</w:t>
            </w:r>
          </w:p>
          <w:p>
            <w:pPr>
              <w:widowControl/>
              <w:spacing w:line="360" w:lineRule="auto"/>
              <w:ind w:firstLine="470" w:firstLineChars="196"/>
              <w:rPr>
                <w:bCs/>
                <w:kern w:val="0"/>
                <w:sz w:val="24"/>
              </w:rPr>
            </w:pPr>
            <w:r>
              <w:rPr>
                <w:rFonts w:hint="eastAsia"/>
                <w:bCs/>
                <w:kern w:val="0"/>
                <w:sz w:val="24"/>
              </w:rPr>
              <w:t>（</w:t>
            </w:r>
            <w:r>
              <w:rPr>
                <w:bCs/>
                <w:kern w:val="0"/>
                <w:sz w:val="24"/>
              </w:rPr>
              <w:t>4</w:t>
            </w:r>
            <w:r>
              <w:rPr>
                <w:rFonts w:hint="eastAsia"/>
                <w:bCs/>
                <w:kern w:val="0"/>
                <w:sz w:val="24"/>
              </w:rPr>
              <w:t>）在施工期采取积极有效的水土保持措施如平整、压实、设置截洪沟、沉沙池等工程措施。</w:t>
            </w:r>
          </w:p>
          <w:p>
            <w:pPr>
              <w:widowControl/>
              <w:spacing w:line="360" w:lineRule="auto"/>
              <w:ind w:firstLine="470" w:firstLineChars="196"/>
              <w:rPr>
                <w:bCs/>
                <w:kern w:val="0"/>
                <w:sz w:val="24"/>
              </w:rPr>
            </w:pPr>
            <w:r>
              <w:rPr>
                <w:bCs/>
                <w:kern w:val="0"/>
                <w:sz w:val="24"/>
              </w:rPr>
              <w:t>3</w:t>
            </w:r>
            <w:r>
              <w:rPr>
                <w:rFonts w:hint="eastAsia"/>
                <w:bCs/>
                <w:kern w:val="0"/>
                <w:sz w:val="24"/>
              </w:rPr>
              <w:t>、</w:t>
            </w:r>
            <w:r>
              <w:rPr>
                <w:bCs/>
                <w:kern w:val="0"/>
                <w:sz w:val="24"/>
              </w:rPr>
              <w:t>声环境</w:t>
            </w:r>
          </w:p>
          <w:p>
            <w:pPr>
              <w:widowControl/>
              <w:spacing w:line="360" w:lineRule="auto"/>
              <w:ind w:firstLine="470" w:firstLineChars="196"/>
              <w:rPr>
                <w:bCs/>
                <w:kern w:val="0"/>
                <w:sz w:val="24"/>
              </w:rPr>
            </w:pPr>
            <w:r>
              <w:rPr>
                <w:rFonts w:hint="eastAsia"/>
                <w:bCs/>
                <w:kern w:val="0"/>
                <w:sz w:val="24"/>
              </w:rPr>
              <w:t>（1）</w:t>
            </w:r>
            <w:r>
              <w:rPr>
                <w:bCs/>
                <w:kern w:val="0"/>
                <w:sz w:val="24"/>
              </w:rPr>
              <w:t>从声源上控制：施工单位使用的主要机械设备应为低噪声机械设备，例如选液压机械取代燃油机械。同时在施工过程中施工单位应设专人对设备进行定期保养和维护，并负责对现场工作人员进行培训，严格按操作规范使用各类机械。</w:t>
            </w:r>
          </w:p>
          <w:p>
            <w:pPr>
              <w:widowControl/>
              <w:spacing w:line="360" w:lineRule="auto"/>
              <w:ind w:firstLine="470" w:firstLineChars="196"/>
              <w:rPr>
                <w:bCs/>
                <w:kern w:val="0"/>
                <w:sz w:val="24"/>
              </w:rPr>
            </w:pPr>
            <w:r>
              <w:rPr>
                <w:rFonts w:hint="eastAsia"/>
                <w:bCs/>
                <w:kern w:val="0"/>
                <w:sz w:val="24"/>
              </w:rPr>
              <w:t>（2）</w:t>
            </w:r>
            <w:r>
              <w:rPr>
                <w:bCs/>
                <w:kern w:val="0"/>
                <w:sz w:val="24"/>
              </w:rPr>
              <w:t>合理安排施工时间：合理安排施工计划和施工机械设备组合。施工单位应合理安排好施工时间</w:t>
            </w:r>
            <w:r>
              <w:rPr>
                <w:rFonts w:hint="eastAsia"/>
                <w:bCs/>
                <w:kern w:val="0"/>
                <w:sz w:val="24"/>
              </w:rPr>
              <w:t>，</w:t>
            </w:r>
            <w:r>
              <w:rPr>
                <w:bCs/>
                <w:kern w:val="0"/>
                <w:sz w:val="24"/>
              </w:rPr>
              <w:t>严禁在12：00~14：00、22：00~</w:t>
            </w:r>
            <w:r>
              <w:rPr>
                <w:rFonts w:hint="eastAsia"/>
                <w:bCs/>
                <w:kern w:val="0"/>
                <w:sz w:val="24"/>
              </w:rPr>
              <w:t>6</w:t>
            </w:r>
            <w:r>
              <w:rPr>
                <w:bCs/>
                <w:kern w:val="0"/>
                <w:sz w:val="24"/>
              </w:rPr>
              <w:t>：00期间施工</w:t>
            </w:r>
            <w:r>
              <w:rPr>
                <w:rFonts w:hint="eastAsia"/>
                <w:bCs/>
                <w:kern w:val="0"/>
                <w:sz w:val="24"/>
              </w:rPr>
              <w:t>，但抢修、抢险作业和因混凝土浇灌、桩基冲孔、钻孔桩成型等生产工艺需要连续作业的除外。</w:t>
            </w:r>
          </w:p>
          <w:p>
            <w:pPr>
              <w:widowControl/>
              <w:spacing w:line="360" w:lineRule="auto"/>
              <w:ind w:firstLine="470" w:firstLineChars="196"/>
              <w:rPr>
                <w:bCs/>
                <w:kern w:val="0"/>
                <w:sz w:val="24"/>
              </w:rPr>
            </w:pPr>
            <w:r>
              <w:rPr>
                <w:rFonts w:hint="eastAsia"/>
                <w:bCs/>
                <w:kern w:val="0"/>
                <w:sz w:val="24"/>
              </w:rPr>
              <w:t>（3）</w:t>
            </w:r>
            <w:r>
              <w:rPr>
                <w:bCs/>
                <w:kern w:val="0"/>
                <w:sz w:val="24"/>
              </w:rPr>
              <w:t>采用距离防护措施：在不影响施工情况下将噪声设备尽量不集中安排，同时对固定的机械设备尽量入棚操作。</w:t>
            </w:r>
          </w:p>
          <w:p>
            <w:pPr>
              <w:widowControl/>
              <w:spacing w:line="360" w:lineRule="auto"/>
              <w:ind w:firstLine="470" w:firstLineChars="196"/>
              <w:rPr>
                <w:bCs/>
                <w:kern w:val="0"/>
                <w:sz w:val="24"/>
              </w:rPr>
            </w:pPr>
            <w:r>
              <w:rPr>
                <w:rFonts w:hint="eastAsia"/>
                <w:bCs/>
                <w:kern w:val="0"/>
                <w:sz w:val="24"/>
              </w:rPr>
              <w:t>（4）</w:t>
            </w:r>
            <w:r>
              <w:rPr>
                <w:bCs/>
                <w:kern w:val="0"/>
                <w:sz w:val="24"/>
              </w:rPr>
              <w:t>采用</w:t>
            </w:r>
            <w:r>
              <w:rPr>
                <w:rFonts w:hint="eastAsia"/>
                <w:bCs/>
                <w:kern w:val="0"/>
                <w:sz w:val="24"/>
              </w:rPr>
              <w:t>噪声阻隔</w:t>
            </w:r>
            <w:r>
              <w:rPr>
                <w:bCs/>
                <w:kern w:val="0"/>
                <w:sz w:val="24"/>
              </w:rPr>
              <w:t>措施：应在施工场界</w:t>
            </w:r>
            <w:r>
              <w:rPr>
                <w:rFonts w:hint="eastAsia"/>
                <w:bCs/>
                <w:kern w:val="0"/>
                <w:sz w:val="24"/>
              </w:rPr>
              <w:t>设置临时挡墙，挡墙</w:t>
            </w:r>
            <w:r>
              <w:rPr>
                <w:bCs/>
                <w:kern w:val="0"/>
                <w:sz w:val="24"/>
              </w:rPr>
              <w:t>高度应在</w:t>
            </w:r>
            <w:r>
              <w:rPr>
                <w:rFonts w:hint="eastAsia"/>
                <w:bCs/>
                <w:kern w:val="0"/>
                <w:sz w:val="24"/>
              </w:rPr>
              <w:t>2.5</w:t>
            </w:r>
            <w:r>
              <w:rPr>
                <w:bCs/>
                <w:kern w:val="0"/>
                <w:sz w:val="24"/>
              </w:rPr>
              <w:t>m以上，以进一步减轻噪声对周围环境的影响。</w:t>
            </w:r>
          </w:p>
          <w:p>
            <w:pPr>
              <w:widowControl/>
              <w:spacing w:line="360" w:lineRule="auto"/>
              <w:ind w:firstLine="470" w:firstLineChars="196"/>
              <w:rPr>
                <w:bCs/>
                <w:kern w:val="0"/>
                <w:sz w:val="24"/>
              </w:rPr>
            </w:pPr>
            <w:r>
              <w:rPr>
                <w:bCs/>
                <w:kern w:val="0"/>
                <w:sz w:val="24"/>
              </w:rPr>
              <w:t>（</w:t>
            </w:r>
            <w:r>
              <w:rPr>
                <w:rFonts w:hint="eastAsia"/>
                <w:bCs/>
                <w:kern w:val="0"/>
                <w:sz w:val="24"/>
              </w:rPr>
              <w:t>5</w:t>
            </w:r>
            <w:r>
              <w:rPr>
                <w:bCs/>
                <w:kern w:val="0"/>
                <w:sz w:val="24"/>
              </w:rPr>
              <w:t>）建设管理部门应加强对施工场地的噪声管理，施工企业也应对施工噪声进行自律，文明施工，避免因施工噪声产生纠纷。</w:t>
            </w:r>
          </w:p>
          <w:p>
            <w:pPr>
              <w:widowControl/>
              <w:spacing w:line="360" w:lineRule="auto"/>
              <w:ind w:firstLine="470" w:firstLineChars="196"/>
              <w:rPr>
                <w:bCs/>
                <w:kern w:val="0"/>
                <w:sz w:val="24"/>
              </w:rPr>
            </w:pPr>
            <w:r>
              <w:rPr>
                <w:bCs/>
                <w:kern w:val="0"/>
                <w:sz w:val="24"/>
              </w:rPr>
              <w:t>综上所述，由于施工期影响为短期影响，施工结束后即可终止，因此本项目在采取了防治措施后，施工期噪声不会对周围声环境产生大的长期的不利影响。</w:t>
            </w:r>
          </w:p>
          <w:p>
            <w:pPr>
              <w:widowControl/>
              <w:spacing w:line="360" w:lineRule="auto"/>
              <w:ind w:firstLine="470" w:firstLineChars="196"/>
              <w:rPr>
                <w:bCs/>
                <w:kern w:val="0"/>
                <w:sz w:val="24"/>
              </w:rPr>
            </w:pPr>
            <w:r>
              <w:rPr>
                <w:rFonts w:hint="eastAsia"/>
                <w:bCs/>
                <w:kern w:val="0"/>
                <w:sz w:val="24"/>
              </w:rPr>
              <w:t>4、固体废弃物</w:t>
            </w:r>
          </w:p>
          <w:p>
            <w:pPr>
              <w:widowControl/>
              <w:spacing w:line="360" w:lineRule="auto"/>
              <w:ind w:firstLine="470" w:firstLineChars="196"/>
              <w:rPr>
                <w:bCs/>
                <w:kern w:val="0"/>
                <w:sz w:val="24"/>
              </w:rPr>
            </w:pPr>
            <w:r>
              <w:rPr>
                <w:bCs/>
                <w:kern w:val="0"/>
                <w:sz w:val="24"/>
              </w:rPr>
              <w:t>建设方须按照《昆明市城市垃圾管理办法》（昆明市人民政府令第58号）处置建筑垃圾。</w:t>
            </w:r>
          </w:p>
          <w:p>
            <w:pPr>
              <w:widowControl/>
              <w:spacing w:line="360" w:lineRule="auto"/>
              <w:ind w:firstLine="470" w:firstLineChars="196"/>
              <w:rPr>
                <w:bCs/>
                <w:kern w:val="0"/>
                <w:sz w:val="24"/>
              </w:rPr>
            </w:pPr>
            <w:r>
              <w:rPr>
                <w:bCs/>
                <w:kern w:val="0"/>
                <w:sz w:val="24"/>
              </w:rPr>
              <w:t>（</w:t>
            </w:r>
            <w:r>
              <w:rPr>
                <w:rFonts w:hint="eastAsia"/>
                <w:bCs/>
                <w:kern w:val="0"/>
                <w:sz w:val="24"/>
              </w:rPr>
              <w:t>1</w:t>
            </w:r>
            <w:r>
              <w:rPr>
                <w:bCs/>
                <w:kern w:val="0"/>
                <w:sz w:val="24"/>
              </w:rPr>
              <w:t>）建筑垃圾分类处理。分捡出具有回收价值的废钢筋、废木材、废塑料、废包装材料等，可送废品收购站回收利用；</w:t>
            </w:r>
            <w:r>
              <w:rPr>
                <w:rFonts w:hint="eastAsia"/>
                <w:bCs/>
                <w:kern w:val="0"/>
                <w:sz w:val="24"/>
              </w:rPr>
              <w:t>不可回收的委托环卫部门清运处置；</w:t>
            </w:r>
          </w:p>
          <w:p>
            <w:pPr>
              <w:widowControl/>
              <w:spacing w:line="360" w:lineRule="auto"/>
              <w:ind w:firstLine="470" w:firstLineChars="196"/>
              <w:rPr>
                <w:bCs/>
                <w:kern w:val="0"/>
                <w:sz w:val="24"/>
              </w:rPr>
            </w:pPr>
            <w:r>
              <w:rPr>
                <w:rFonts w:hint="eastAsia"/>
                <w:bCs/>
                <w:kern w:val="0"/>
                <w:sz w:val="24"/>
              </w:rPr>
              <w:t>（2）严格执行昆政办【2011】 88号《昆明市人民政府办公厅关于转发昆明市城市建筑垃圾管路实施办法实施细则的通知》及</w:t>
            </w:r>
            <w:r>
              <w:rPr>
                <w:bCs/>
                <w:kern w:val="0"/>
                <w:sz w:val="24"/>
              </w:rPr>
              <w:t>中华人民共和国建设部第</w:t>
            </w:r>
            <w:r>
              <w:rPr>
                <w:rFonts w:hint="eastAsia"/>
                <w:bCs/>
                <w:kern w:val="0"/>
                <w:sz w:val="24"/>
              </w:rPr>
              <w:t>139</w:t>
            </w:r>
            <w:r>
              <w:rPr>
                <w:bCs/>
                <w:kern w:val="0"/>
                <w:sz w:val="24"/>
              </w:rPr>
              <w:t>号令《城市建筑垃圾管理规定</w:t>
            </w:r>
            <w:r>
              <w:rPr>
                <w:rFonts w:hint="eastAsia"/>
                <w:bCs/>
                <w:kern w:val="0"/>
                <w:sz w:val="24"/>
              </w:rPr>
              <w:t>》规定。加强建筑垃圾管理，推进建筑垃圾“减量化、资源化、无害化”进程，采取措施妥善处理，集中处理，分类收集并尽可能的回收再利用，不能回收利用的则应及时委托相关环卫部门或有资质</w:t>
            </w:r>
            <w:r>
              <w:rPr>
                <w:bCs/>
                <w:kern w:val="0"/>
                <w:sz w:val="24"/>
              </w:rPr>
              <w:t>的</w:t>
            </w:r>
            <w:r>
              <w:rPr>
                <w:rFonts w:hint="eastAsia"/>
                <w:bCs/>
                <w:kern w:val="0"/>
                <w:sz w:val="24"/>
              </w:rPr>
              <w:t>单位及时清运。建设单位应认真落实“两证、一书、一卡”管理制度。“两证”是指《昆明市建筑垃圾运输核准证》、《昆明市建筑垃圾消纳处置核准证》，“一书”是指《昆明市市容保洁责任书》，“一卡”是指《昆明市运载建筑垃圾车辆排放、处置备案卡》；建设业主单位应通过招标方式确定具备资质的建筑垃圾承运企业，并与承运企业签订《承运协议》后付费运输至建筑垃圾消纳处置场，建筑垃圾运输费用由建设业主单位向承运企业直接支付。建设业主单位与辖区城市管理综合行政执法部门签订《昆明市市容保洁责任书》。为保障建设业主单位确实按《昆明市市容保洁责任书》规定履行保洁责任，市城市管理综合行政执法部门应制定相应措施强化管理。</w:t>
            </w:r>
          </w:p>
          <w:p>
            <w:pPr>
              <w:widowControl/>
              <w:spacing w:line="360" w:lineRule="auto"/>
              <w:ind w:firstLine="470" w:firstLineChars="196"/>
              <w:rPr>
                <w:bCs/>
                <w:kern w:val="0"/>
                <w:sz w:val="24"/>
              </w:rPr>
            </w:pPr>
            <w:r>
              <w:rPr>
                <w:rFonts w:hint="eastAsia"/>
                <w:bCs/>
                <w:kern w:val="0"/>
                <w:sz w:val="24"/>
              </w:rPr>
              <w:t>（3）</w:t>
            </w:r>
            <w:r>
              <w:rPr>
                <w:bCs/>
                <w:kern w:val="0"/>
                <w:sz w:val="24"/>
              </w:rPr>
              <w:t>要加强施工期管理，规范运输，不得随路洒落和随意抛弃。</w:t>
            </w:r>
          </w:p>
          <w:p>
            <w:pPr>
              <w:widowControl/>
              <w:shd w:val="clear" w:color="auto" w:fill="FFFFFF"/>
              <w:spacing w:line="360" w:lineRule="auto"/>
              <w:ind w:firstLine="480" w:firstLineChars="200"/>
              <w:jc w:val="left"/>
              <w:rPr>
                <w:rFonts w:eastAsiaTheme="minorEastAsia"/>
                <w:kern w:val="0"/>
                <w:sz w:val="24"/>
              </w:rPr>
            </w:pPr>
            <w:r>
              <w:rPr>
                <w:bCs/>
                <w:kern w:val="0"/>
                <w:sz w:val="24"/>
              </w:rPr>
              <w:t>落实以上措施后，施工阶段产生的固体废物对外环境没有产生明显的不利影响。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pPr>
              <w:adjustRightInd w:val="0"/>
              <w:snapToGrid w:val="0"/>
              <w:jc w:val="center"/>
              <w:rPr>
                <w:rFonts w:eastAsiaTheme="minorEastAsia"/>
                <w:bCs/>
                <w:szCs w:val="21"/>
              </w:rPr>
            </w:pPr>
            <w:r>
              <w:rPr>
                <w:rFonts w:eastAsiaTheme="minorEastAsia"/>
                <w:bCs/>
                <w:szCs w:val="21"/>
              </w:rPr>
              <w:t>运营</w:t>
            </w:r>
          </w:p>
          <w:p>
            <w:pPr>
              <w:adjustRightInd w:val="0"/>
              <w:snapToGrid w:val="0"/>
              <w:jc w:val="center"/>
              <w:rPr>
                <w:rFonts w:eastAsiaTheme="minorEastAsia"/>
                <w:bCs/>
                <w:szCs w:val="21"/>
              </w:rPr>
            </w:pPr>
            <w:r>
              <w:rPr>
                <w:rFonts w:eastAsiaTheme="minorEastAsia"/>
                <w:bCs/>
                <w:szCs w:val="21"/>
              </w:rPr>
              <w:t>期环</w:t>
            </w:r>
          </w:p>
          <w:p>
            <w:pPr>
              <w:adjustRightInd w:val="0"/>
              <w:snapToGrid w:val="0"/>
              <w:jc w:val="center"/>
              <w:rPr>
                <w:rFonts w:eastAsiaTheme="minorEastAsia"/>
                <w:bCs/>
                <w:szCs w:val="21"/>
              </w:rPr>
            </w:pPr>
            <w:r>
              <w:rPr>
                <w:rFonts w:eastAsiaTheme="minorEastAsia"/>
                <w:bCs/>
                <w:szCs w:val="21"/>
              </w:rPr>
              <w:t>境影</w:t>
            </w:r>
          </w:p>
          <w:p>
            <w:pPr>
              <w:adjustRightInd w:val="0"/>
              <w:snapToGrid w:val="0"/>
              <w:jc w:val="center"/>
              <w:rPr>
                <w:rFonts w:eastAsiaTheme="minorEastAsia"/>
                <w:bCs/>
                <w:szCs w:val="21"/>
              </w:rPr>
            </w:pPr>
            <w:r>
              <w:rPr>
                <w:rFonts w:eastAsiaTheme="minorEastAsia"/>
                <w:bCs/>
                <w:szCs w:val="21"/>
              </w:rPr>
              <w:t>响和</w:t>
            </w:r>
          </w:p>
          <w:p>
            <w:pPr>
              <w:adjustRightInd w:val="0"/>
              <w:snapToGrid w:val="0"/>
              <w:jc w:val="center"/>
              <w:rPr>
                <w:rFonts w:eastAsiaTheme="minorEastAsia"/>
                <w:bCs/>
                <w:szCs w:val="21"/>
              </w:rPr>
            </w:pPr>
            <w:r>
              <w:rPr>
                <w:rFonts w:eastAsiaTheme="minorEastAsia"/>
                <w:bCs/>
                <w:szCs w:val="21"/>
              </w:rPr>
              <w:t>保护</w:t>
            </w:r>
          </w:p>
          <w:p>
            <w:pPr>
              <w:adjustRightInd w:val="0"/>
              <w:snapToGrid w:val="0"/>
              <w:jc w:val="center"/>
              <w:rPr>
                <w:rFonts w:eastAsiaTheme="minorEastAsia"/>
                <w:bCs/>
                <w:szCs w:val="21"/>
              </w:rPr>
            </w:pPr>
            <w:r>
              <w:rPr>
                <w:rFonts w:eastAsiaTheme="minorEastAsia"/>
                <w:bCs/>
                <w:szCs w:val="21"/>
              </w:rPr>
              <w:t>措施</w:t>
            </w:r>
          </w:p>
        </w:tc>
        <w:tc>
          <w:tcPr>
            <w:tcW w:w="8033" w:type="dxa"/>
            <w:vAlign w:val="center"/>
          </w:tcPr>
          <w:p>
            <w:pPr>
              <w:adjustRightInd w:val="0"/>
              <w:snapToGrid w:val="0"/>
              <w:spacing w:line="360" w:lineRule="auto"/>
              <w:rPr>
                <w:rFonts w:eastAsiaTheme="minorEastAsia"/>
                <w:b/>
                <w:bCs/>
                <w:spacing w:val="-10"/>
                <w:sz w:val="24"/>
              </w:rPr>
            </w:pPr>
            <w:r>
              <w:rPr>
                <w:rFonts w:eastAsiaTheme="minorEastAsia"/>
                <w:b/>
                <w:bCs/>
                <w:spacing w:val="-10"/>
                <w:sz w:val="24"/>
              </w:rPr>
              <w:t>一、营运期环境影响分析</w:t>
            </w:r>
          </w:p>
          <w:p>
            <w:pPr>
              <w:tabs>
                <w:tab w:val="center" w:pos="4746"/>
              </w:tabs>
              <w:autoSpaceDE w:val="0"/>
              <w:autoSpaceDN w:val="0"/>
              <w:adjustRightInd w:val="0"/>
              <w:spacing w:line="360" w:lineRule="auto"/>
              <w:rPr>
                <w:rFonts w:eastAsiaTheme="minorEastAsia"/>
                <w:b/>
                <w:sz w:val="24"/>
                <w:lang w:val="zh-CN"/>
              </w:rPr>
            </w:pPr>
            <w:r>
              <w:rPr>
                <w:rFonts w:eastAsiaTheme="minorEastAsia"/>
                <w:b/>
                <w:sz w:val="24"/>
                <w:lang w:val="zh-CN"/>
              </w:rPr>
              <w:t>（一）、大气环境影响分析</w:t>
            </w:r>
          </w:p>
          <w:p>
            <w:pPr>
              <w:spacing w:line="360" w:lineRule="auto"/>
              <w:ind w:firstLine="480" w:firstLineChars="200"/>
              <w:rPr>
                <w:rFonts w:eastAsiaTheme="minorEastAsia"/>
                <w:kern w:val="0"/>
                <w:sz w:val="24"/>
              </w:rPr>
            </w:pPr>
            <w:r>
              <w:rPr>
                <w:rFonts w:eastAsiaTheme="minorEastAsia"/>
                <w:kern w:val="0"/>
                <w:sz w:val="24"/>
              </w:rPr>
              <w:t>1、废气产生及排放量</w:t>
            </w:r>
          </w:p>
          <w:p>
            <w:pPr>
              <w:autoSpaceDE w:val="0"/>
              <w:autoSpaceDN w:val="0"/>
              <w:adjustRightInd w:val="0"/>
              <w:spacing w:line="360" w:lineRule="auto"/>
              <w:ind w:firstLine="480" w:firstLineChars="200"/>
              <w:jc w:val="left"/>
              <w:rPr>
                <w:rFonts w:eastAsiaTheme="minorEastAsia"/>
                <w:kern w:val="0"/>
                <w:sz w:val="24"/>
              </w:rPr>
            </w:pPr>
            <w:r>
              <w:rPr>
                <w:rFonts w:eastAsiaTheme="minorEastAsia"/>
                <w:kern w:val="0"/>
                <w:sz w:val="24"/>
              </w:rPr>
              <w:t>（1）备用发电机废气产生量</w:t>
            </w:r>
          </w:p>
          <w:p>
            <w:pPr>
              <w:autoSpaceDE w:val="0"/>
              <w:autoSpaceDN w:val="0"/>
              <w:adjustRightInd w:val="0"/>
              <w:spacing w:line="360" w:lineRule="auto"/>
              <w:ind w:firstLine="480" w:firstLineChars="200"/>
              <w:rPr>
                <w:rFonts w:eastAsiaTheme="minorEastAsia"/>
                <w:kern w:val="0"/>
                <w:sz w:val="24"/>
              </w:rPr>
            </w:pPr>
            <w:r>
              <w:rPr>
                <w:rFonts w:eastAsiaTheme="minorEastAsia"/>
                <w:kern w:val="0"/>
                <w:sz w:val="24"/>
              </w:rPr>
              <w:t>为保证</w:t>
            </w:r>
            <w:r>
              <w:rPr>
                <w:rFonts w:hint="eastAsia" w:eastAsiaTheme="minorEastAsia"/>
                <w:kern w:val="0"/>
                <w:sz w:val="24"/>
              </w:rPr>
              <w:t>本项目</w:t>
            </w:r>
            <w:r>
              <w:rPr>
                <w:rFonts w:eastAsiaTheme="minorEastAsia"/>
                <w:kern w:val="0"/>
                <w:sz w:val="24"/>
              </w:rPr>
              <w:t>在停电期间可正常运行，建设单位拟设置一台功率为250kW的柴油备用发电机。根据类比资料，柴油机的耗油一般是190～220g/kW/h（视不同的机器、不同牌号的燃油），一般取平均值200g/kW/h，项目使用150kW的柴油发电机每小时耗油量约30kg/h。0#柴油的密度一般为0.84kg/L，故备用发电机每小时消耗柴油约36L/h。</w:t>
            </w:r>
          </w:p>
          <w:p>
            <w:pPr>
              <w:autoSpaceDE w:val="0"/>
              <w:autoSpaceDN w:val="0"/>
              <w:adjustRightInd w:val="0"/>
              <w:spacing w:line="360" w:lineRule="auto"/>
              <w:ind w:firstLine="480" w:firstLineChars="200"/>
              <w:jc w:val="left"/>
              <w:rPr>
                <w:rFonts w:eastAsiaTheme="minorEastAsia"/>
                <w:kern w:val="0"/>
                <w:sz w:val="24"/>
              </w:rPr>
            </w:pPr>
            <w:r>
              <w:rPr>
                <w:rFonts w:eastAsiaTheme="minorEastAsia"/>
                <w:kern w:val="0"/>
                <w:sz w:val="24"/>
              </w:rPr>
              <w:t>由于项目运营期实际停电情况不确定，本评价以每年停电两次、每次停电时间4h计，项目使用的备用柴油发电机每年柴油使用量约240kg/a，286L/a。</w:t>
            </w:r>
          </w:p>
          <w:p>
            <w:pPr>
              <w:autoSpaceDE w:val="0"/>
              <w:autoSpaceDN w:val="0"/>
              <w:adjustRightInd w:val="0"/>
              <w:spacing w:line="360" w:lineRule="auto"/>
              <w:ind w:firstLine="480" w:firstLineChars="200"/>
              <w:rPr>
                <w:rFonts w:eastAsiaTheme="minorEastAsia"/>
                <w:kern w:val="0"/>
                <w:sz w:val="24"/>
              </w:rPr>
            </w:pPr>
            <w:r>
              <w:rPr>
                <w:rFonts w:eastAsiaTheme="minorEastAsia"/>
                <w:kern w:val="0"/>
                <w:sz w:val="24"/>
              </w:rPr>
              <w:t>根据《环境影响评价工程师执业资格等级培训教材——社会区域》给出的计算参数，发电机运行污染物排放系数：SO</w:t>
            </w:r>
            <w:r>
              <w:rPr>
                <w:rFonts w:eastAsiaTheme="minorEastAsia"/>
                <w:kern w:val="0"/>
                <w:sz w:val="24"/>
                <w:vertAlign w:val="subscript"/>
              </w:rPr>
              <w:t>2</w:t>
            </w:r>
            <w:r>
              <w:rPr>
                <w:rFonts w:eastAsiaTheme="minorEastAsia"/>
                <w:kern w:val="0"/>
                <w:sz w:val="24"/>
              </w:rPr>
              <w:t>为4g/L，烟尘为0.714g/L，NO</w:t>
            </w:r>
            <w:r>
              <w:rPr>
                <w:rFonts w:eastAsiaTheme="minorEastAsia"/>
                <w:kern w:val="0"/>
                <w:sz w:val="24"/>
                <w:vertAlign w:val="subscript"/>
              </w:rPr>
              <w:t>x</w:t>
            </w:r>
            <w:r>
              <w:rPr>
                <w:rFonts w:eastAsiaTheme="minorEastAsia"/>
                <w:kern w:val="0"/>
                <w:sz w:val="24"/>
              </w:rPr>
              <w:t>为2.56g/L，CO为1.52g/L，总烃1.489g/L。烟气量可按12m</w:t>
            </w:r>
            <w:r>
              <w:rPr>
                <w:rFonts w:eastAsiaTheme="minorEastAsia"/>
                <w:kern w:val="0"/>
                <w:sz w:val="24"/>
                <w:vertAlign w:val="superscript"/>
              </w:rPr>
              <w:t>3</w:t>
            </w:r>
            <w:r>
              <w:rPr>
                <w:rFonts w:eastAsiaTheme="minorEastAsia"/>
                <w:kern w:val="0"/>
                <w:sz w:val="24"/>
              </w:rPr>
              <w:t>/kg计。 则柴油发电机产生的大气污染物见表5-4。备用发电机产生的污染物均为无组织排放。</w:t>
            </w:r>
          </w:p>
          <w:p>
            <w:pPr>
              <w:tabs>
                <w:tab w:val="left" w:pos="6740"/>
              </w:tabs>
              <w:spacing w:line="360" w:lineRule="auto"/>
              <w:ind w:firstLine="482"/>
              <w:jc w:val="center"/>
              <w:rPr>
                <w:rFonts w:eastAsiaTheme="minorEastAsia"/>
                <w:b/>
                <w:sz w:val="24"/>
              </w:rPr>
            </w:pPr>
            <w:r>
              <w:rPr>
                <w:rFonts w:eastAsiaTheme="minorEastAsia"/>
                <w:b/>
                <w:sz w:val="24"/>
              </w:rPr>
              <w:t>表4-2  备用发电机大气污染物产排情况</w:t>
            </w:r>
          </w:p>
          <w:tbl>
            <w:tblPr>
              <w:tblStyle w:val="44"/>
              <w:tblW w:w="78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2"/>
              <w:gridCol w:w="893"/>
              <w:gridCol w:w="796"/>
              <w:gridCol w:w="731"/>
              <w:gridCol w:w="906"/>
              <w:gridCol w:w="1276"/>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4" w:hRule="atLeast"/>
                <w:jc w:val="center"/>
              </w:trPr>
              <w:tc>
                <w:tcPr>
                  <w:tcW w:w="2042" w:type="dxa"/>
                  <w:vAlign w:val="center"/>
                </w:tcPr>
                <w:p>
                  <w:pPr>
                    <w:jc w:val="center"/>
                    <w:rPr>
                      <w:rFonts w:eastAsiaTheme="minorEastAsia"/>
                      <w:kern w:val="0"/>
                      <w:szCs w:val="21"/>
                    </w:rPr>
                  </w:pPr>
                  <w:r>
                    <w:rPr>
                      <w:rFonts w:eastAsiaTheme="minorEastAsia"/>
                      <w:kern w:val="0"/>
                      <w:szCs w:val="21"/>
                    </w:rPr>
                    <w:t>污染物</w:t>
                  </w:r>
                </w:p>
              </w:tc>
              <w:tc>
                <w:tcPr>
                  <w:tcW w:w="893" w:type="dxa"/>
                  <w:tcBorders>
                    <w:right w:val="single" w:color="auto" w:sz="8" w:space="0"/>
                  </w:tcBorders>
                  <w:vAlign w:val="center"/>
                </w:tcPr>
                <w:p>
                  <w:pPr>
                    <w:jc w:val="center"/>
                    <w:rPr>
                      <w:rFonts w:eastAsiaTheme="minorEastAsia"/>
                      <w:kern w:val="0"/>
                      <w:szCs w:val="21"/>
                    </w:rPr>
                  </w:pPr>
                  <w:r>
                    <w:rPr>
                      <w:rFonts w:eastAsiaTheme="minorEastAsia"/>
                      <w:kern w:val="0"/>
                      <w:szCs w:val="21"/>
                    </w:rPr>
                    <w:t>SO</w:t>
                  </w:r>
                  <w:r>
                    <w:rPr>
                      <w:rFonts w:eastAsiaTheme="minorEastAsia"/>
                      <w:kern w:val="0"/>
                      <w:szCs w:val="21"/>
                      <w:vertAlign w:val="subscript"/>
                    </w:rPr>
                    <w:t>2</w:t>
                  </w:r>
                </w:p>
              </w:tc>
              <w:tc>
                <w:tcPr>
                  <w:tcW w:w="796" w:type="dxa"/>
                  <w:tcBorders>
                    <w:left w:val="single" w:color="auto" w:sz="8" w:space="0"/>
                  </w:tcBorders>
                  <w:vAlign w:val="center"/>
                </w:tcPr>
                <w:p>
                  <w:pPr>
                    <w:jc w:val="center"/>
                    <w:rPr>
                      <w:rFonts w:eastAsiaTheme="minorEastAsia"/>
                      <w:kern w:val="0"/>
                      <w:szCs w:val="21"/>
                    </w:rPr>
                  </w:pPr>
                  <w:r>
                    <w:rPr>
                      <w:rFonts w:eastAsiaTheme="minorEastAsia"/>
                      <w:kern w:val="0"/>
                      <w:szCs w:val="21"/>
                    </w:rPr>
                    <w:t>烟尘</w:t>
                  </w:r>
                </w:p>
              </w:tc>
              <w:tc>
                <w:tcPr>
                  <w:tcW w:w="731" w:type="dxa"/>
                  <w:vAlign w:val="center"/>
                </w:tcPr>
                <w:p>
                  <w:pPr>
                    <w:jc w:val="center"/>
                    <w:rPr>
                      <w:rFonts w:eastAsiaTheme="minorEastAsia"/>
                      <w:kern w:val="0"/>
                      <w:szCs w:val="21"/>
                    </w:rPr>
                  </w:pPr>
                  <w:r>
                    <w:rPr>
                      <w:rFonts w:eastAsiaTheme="minorEastAsia"/>
                      <w:kern w:val="0"/>
                      <w:szCs w:val="21"/>
                    </w:rPr>
                    <w:t>NOx</w:t>
                  </w:r>
                </w:p>
              </w:tc>
              <w:tc>
                <w:tcPr>
                  <w:tcW w:w="906" w:type="dxa"/>
                  <w:tcBorders>
                    <w:right w:val="single" w:color="auto" w:sz="8" w:space="0"/>
                  </w:tcBorders>
                  <w:vAlign w:val="center"/>
                </w:tcPr>
                <w:p>
                  <w:pPr>
                    <w:jc w:val="center"/>
                    <w:rPr>
                      <w:rFonts w:eastAsiaTheme="minorEastAsia"/>
                      <w:szCs w:val="21"/>
                    </w:rPr>
                  </w:pPr>
                  <w:r>
                    <w:rPr>
                      <w:rFonts w:eastAsiaTheme="minorEastAsia"/>
                      <w:szCs w:val="21"/>
                    </w:rPr>
                    <w:t>CO</w:t>
                  </w:r>
                </w:p>
              </w:tc>
              <w:tc>
                <w:tcPr>
                  <w:tcW w:w="1276" w:type="dxa"/>
                  <w:tcBorders>
                    <w:left w:val="single" w:color="auto" w:sz="8" w:space="0"/>
                  </w:tcBorders>
                  <w:vAlign w:val="center"/>
                </w:tcPr>
                <w:p>
                  <w:pPr>
                    <w:jc w:val="center"/>
                    <w:rPr>
                      <w:rFonts w:eastAsiaTheme="minorEastAsia"/>
                      <w:szCs w:val="21"/>
                    </w:rPr>
                  </w:pPr>
                  <w:r>
                    <w:rPr>
                      <w:rFonts w:eastAsiaTheme="minorEastAsia"/>
                      <w:szCs w:val="21"/>
                    </w:rPr>
                    <w:t>总烃</w:t>
                  </w:r>
                </w:p>
              </w:tc>
              <w:tc>
                <w:tcPr>
                  <w:tcW w:w="1163" w:type="dxa"/>
                  <w:tcBorders>
                    <w:left w:val="single" w:color="auto" w:sz="8" w:space="0"/>
                  </w:tcBorders>
                  <w:vAlign w:val="center"/>
                </w:tcPr>
                <w:p>
                  <w:pPr>
                    <w:jc w:val="center"/>
                    <w:rPr>
                      <w:rFonts w:eastAsiaTheme="minorEastAsia"/>
                      <w:kern w:val="0"/>
                      <w:szCs w:val="21"/>
                    </w:rPr>
                  </w:pPr>
                  <w:r>
                    <w:rPr>
                      <w:rFonts w:eastAsiaTheme="minorEastAsia"/>
                      <w:kern w:val="0"/>
                      <w:szCs w:val="21"/>
                    </w:rPr>
                    <w:t>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2042" w:type="dxa"/>
                  <w:vAlign w:val="center"/>
                </w:tcPr>
                <w:p>
                  <w:pPr>
                    <w:jc w:val="center"/>
                    <w:rPr>
                      <w:rFonts w:eastAsiaTheme="minorEastAsia"/>
                      <w:szCs w:val="21"/>
                    </w:rPr>
                  </w:pPr>
                  <w:r>
                    <w:rPr>
                      <w:rFonts w:eastAsiaTheme="minorEastAsia"/>
                      <w:szCs w:val="21"/>
                    </w:rPr>
                    <w:t>污染物排放量（g/h）</w:t>
                  </w:r>
                </w:p>
              </w:tc>
              <w:tc>
                <w:tcPr>
                  <w:tcW w:w="893" w:type="dxa"/>
                  <w:tcBorders>
                    <w:right w:val="single" w:color="auto" w:sz="8" w:space="0"/>
                  </w:tcBorders>
                  <w:vAlign w:val="bottom"/>
                </w:tcPr>
                <w:p>
                  <w:pPr>
                    <w:jc w:val="center"/>
                    <w:rPr>
                      <w:rFonts w:eastAsiaTheme="minorEastAsia"/>
                      <w:szCs w:val="21"/>
                    </w:rPr>
                  </w:pPr>
                  <w:r>
                    <w:rPr>
                      <w:rFonts w:eastAsiaTheme="minorEastAsia"/>
                      <w:szCs w:val="21"/>
                    </w:rPr>
                    <w:t>144</w:t>
                  </w:r>
                </w:p>
              </w:tc>
              <w:tc>
                <w:tcPr>
                  <w:tcW w:w="796" w:type="dxa"/>
                  <w:tcBorders>
                    <w:left w:val="single" w:color="auto" w:sz="8" w:space="0"/>
                  </w:tcBorders>
                  <w:vAlign w:val="bottom"/>
                </w:tcPr>
                <w:p>
                  <w:pPr>
                    <w:jc w:val="center"/>
                    <w:rPr>
                      <w:rFonts w:eastAsiaTheme="minorEastAsia"/>
                      <w:szCs w:val="21"/>
                    </w:rPr>
                  </w:pPr>
                  <w:r>
                    <w:rPr>
                      <w:rFonts w:eastAsiaTheme="minorEastAsia"/>
                      <w:szCs w:val="21"/>
                    </w:rPr>
                    <w:t>25.7</w:t>
                  </w:r>
                </w:p>
              </w:tc>
              <w:tc>
                <w:tcPr>
                  <w:tcW w:w="731" w:type="dxa"/>
                  <w:vAlign w:val="bottom"/>
                </w:tcPr>
                <w:p>
                  <w:pPr>
                    <w:jc w:val="center"/>
                    <w:rPr>
                      <w:rFonts w:eastAsiaTheme="minorEastAsia"/>
                      <w:szCs w:val="21"/>
                    </w:rPr>
                  </w:pPr>
                  <w:r>
                    <w:rPr>
                      <w:rFonts w:eastAsiaTheme="minorEastAsia"/>
                      <w:szCs w:val="21"/>
                    </w:rPr>
                    <w:t>92.16</w:t>
                  </w:r>
                </w:p>
              </w:tc>
              <w:tc>
                <w:tcPr>
                  <w:tcW w:w="906" w:type="dxa"/>
                  <w:tcBorders>
                    <w:right w:val="single" w:color="auto" w:sz="8" w:space="0"/>
                  </w:tcBorders>
                  <w:vAlign w:val="bottom"/>
                </w:tcPr>
                <w:p>
                  <w:pPr>
                    <w:jc w:val="center"/>
                    <w:rPr>
                      <w:rFonts w:eastAsiaTheme="minorEastAsia"/>
                      <w:szCs w:val="21"/>
                    </w:rPr>
                  </w:pPr>
                  <w:r>
                    <w:rPr>
                      <w:rFonts w:eastAsiaTheme="minorEastAsia"/>
                      <w:szCs w:val="21"/>
                    </w:rPr>
                    <w:t>54.72</w:t>
                  </w:r>
                </w:p>
              </w:tc>
              <w:tc>
                <w:tcPr>
                  <w:tcW w:w="1276" w:type="dxa"/>
                  <w:tcBorders>
                    <w:left w:val="single" w:color="auto" w:sz="8" w:space="0"/>
                  </w:tcBorders>
                  <w:vAlign w:val="bottom"/>
                </w:tcPr>
                <w:p>
                  <w:pPr>
                    <w:jc w:val="center"/>
                    <w:rPr>
                      <w:rFonts w:eastAsiaTheme="minorEastAsia"/>
                      <w:szCs w:val="21"/>
                    </w:rPr>
                  </w:pPr>
                  <w:r>
                    <w:rPr>
                      <w:rFonts w:eastAsiaTheme="minorEastAsia"/>
                      <w:szCs w:val="21"/>
                    </w:rPr>
                    <w:t>53.6</w:t>
                  </w:r>
                </w:p>
              </w:tc>
              <w:tc>
                <w:tcPr>
                  <w:tcW w:w="1163" w:type="dxa"/>
                  <w:tcBorders>
                    <w:left w:val="single" w:color="auto" w:sz="8" w:space="0"/>
                  </w:tcBorders>
                  <w:vAlign w:val="bottom"/>
                </w:tcPr>
                <w:p>
                  <w:pPr>
                    <w:jc w:val="center"/>
                    <w:rPr>
                      <w:rFonts w:eastAsiaTheme="minorEastAsia"/>
                      <w:szCs w:val="21"/>
                    </w:rPr>
                  </w:pPr>
                  <w:r>
                    <w:rPr>
                      <w:rFonts w:eastAsiaTheme="minorEastAsia"/>
                      <w:szCs w:val="21"/>
                    </w:rPr>
                    <w:t>360</w:t>
                  </w:r>
                  <w:r>
                    <w:rPr>
                      <w:rFonts w:eastAsiaTheme="minorEastAsia"/>
                      <w:kern w:val="0"/>
                      <w:szCs w:val="21"/>
                    </w:rPr>
                    <w:t xml:space="preserve"> m</w:t>
                  </w:r>
                  <w:r>
                    <w:rPr>
                      <w:rFonts w:eastAsiaTheme="minorEastAsia"/>
                      <w:kern w:val="0"/>
                      <w:szCs w:val="21"/>
                      <w:vertAlign w:val="superscript"/>
                    </w:rPr>
                    <w:t>3</w:t>
                  </w:r>
                  <w:r>
                    <w:rPr>
                      <w:rFonts w:eastAsiaTheme="minorEastAsia"/>
                      <w:kern w:val="0"/>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2042" w:type="dxa"/>
                  <w:vAlign w:val="center"/>
                </w:tcPr>
                <w:p>
                  <w:pPr>
                    <w:jc w:val="center"/>
                    <w:rPr>
                      <w:rFonts w:eastAsiaTheme="minorEastAsia"/>
                      <w:szCs w:val="21"/>
                    </w:rPr>
                  </w:pPr>
                  <w:r>
                    <w:rPr>
                      <w:rFonts w:eastAsiaTheme="minorEastAsia"/>
                      <w:szCs w:val="21"/>
                    </w:rPr>
                    <w:t>年排放量（g/a）</w:t>
                  </w:r>
                </w:p>
              </w:tc>
              <w:tc>
                <w:tcPr>
                  <w:tcW w:w="893" w:type="dxa"/>
                  <w:tcBorders>
                    <w:right w:val="single" w:color="auto" w:sz="8" w:space="0"/>
                  </w:tcBorders>
                  <w:vAlign w:val="bottom"/>
                </w:tcPr>
                <w:p>
                  <w:pPr>
                    <w:jc w:val="center"/>
                    <w:rPr>
                      <w:rFonts w:eastAsiaTheme="minorEastAsia"/>
                      <w:szCs w:val="21"/>
                    </w:rPr>
                  </w:pPr>
                  <w:r>
                    <w:rPr>
                      <w:rFonts w:eastAsiaTheme="minorEastAsia"/>
                      <w:szCs w:val="21"/>
                    </w:rPr>
                    <w:t>1144</w:t>
                  </w:r>
                </w:p>
              </w:tc>
              <w:tc>
                <w:tcPr>
                  <w:tcW w:w="796" w:type="dxa"/>
                  <w:tcBorders>
                    <w:left w:val="single" w:color="auto" w:sz="8" w:space="0"/>
                  </w:tcBorders>
                  <w:vAlign w:val="bottom"/>
                </w:tcPr>
                <w:p>
                  <w:pPr>
                    <w:jc w:val="center"/>
                    <w:rPr>
                      <w:rFonts w:eastAsiaTheme="minorEastAsia"/>
                      <w:szCs w:val="21"/>
                    </w:rPr>
                  </w:pPr>
                  <w:r>
                    <w:rPr>
                      <w:rFonts w:eastAsiaTheme="minorEastAsia"/>
                      <w:szCs w:val="21"/>
                    </w:rPr>
                    <w:t>204.2</w:t>
                  </w:r>
                </w:p>
              </w:tc>
              <w:tc>
                <w:tcPr>
                  <w:tcW w:w="731" w:type="dxa"/>
                  <w:vAlign w:val="bottom"/>
                </w:tcPr>
                <w:p>
                  <w:pPr>
                    <w:jc w:val="center"/>
                    <w:rPr>
                      <w:rFonts w:eastAsiaTheme="minorEastAsia"/>
                      <w:szCs w:val="21"/>
                    </w:rPr>
                  </w:pPr>
                  <w:r>
                    <w:rPr>
                      <w:rFonts w:eastAsiaTheme="minorEastAsia"/>
                      <w:szCs w:val="21"/>
                    </w:rPr>
                    <w:t>732.16</w:t>
                  </w:r>
                </w:p>
              </w:tc>
              <w:tc>
                <w:tcPr>
                  <w:tcW w:w="906" w:type="dxa"/>
                  <w:tcBorders>
                    <w:right w:val="single" w:color="auto" w:sz="8" w:space="0"/>
                  </w:tcBorders>
                  <w:vAlign w:val="bottom"/>
                </w:tcPr>
                <w:p>
                  <w:pPr>
                    <w:jc w:val="center"/>
                    <w:rPr>
                      <w:rFonts w:eastAsiaTheme="minorEastAsia"/>
                      <w:szCs w:val="21"/>
                    </w:rPr>
                  </w:pPr>
                  <w:r>
                    <w:rPr>
                      <w:rFonts w:eastAsiaTheme="minorEastAsia"/>
                      <w:szCs w:val="21"/>
                    </w:rPr>
                    <w:t>434.72</w:t>
                  </w:r>
                </w:p>
              </w:tc>
              <w:tc>
                <w:tcPr>
                  <w:tcW w:w="1276" w:type="dxa"/>
                  <w:tcBorders>
                    <w:left w:val="single" w:color="auto" w:sz="8" w:space="0"/>
                  </w:tcBorders>
                  <w:vAlign w:val="bottom"/>
                </w:tcPr>
                <w:p>
                  <w:pPr>
                    <w:jc w:val="center"/>
                    <w:rPr>
                      <w:rFonts w:eastAsiaTheme="minorEastAsia"/>
                      <w:szCs w:val="21"/>
                    </w:rPr>
                  </w:pPr>
                  <w:r>
                    <w:rPr>
                      <w:rFonts w:eastAsiaTheme="minorEastAsia"/>
                      <w:szCs w:val="21"/>
                    </w:rPr>
                    <w:t>425.86</w:t>
                  </w:r>
                </w:p>
              </w:tc>
              <w:tc>
                <w:tcPr>
                  <w:tcW w:w="1163" w:type="dxa"/>
                  <w:tcBorders>
                    <w:left w:val="single" w:color="auto" w:sz="8" w:space="0"/>
                  </w:tcBorders>
                  <w:vAlign w:val="bottom"/>
                </w:tcPr>
                <w:p>
                  <w:pPr>
                    <w:jc w:val="center"/>
                    <w:rPr>
                      <w:rFonts w:eastAsiaTheme="minorEastAsia"/>
                      <w:szCs w:val="21"/>
                    </w:rPr>
                  </w:pPr>
                  <w:r>
                    <w:rPr>
                      <w:rFonts w:eastAsiaTheme="minorEastAsia"/>
                      <w:szCs w:val="21"/>
                    </w:rPr>
                    <w:t>2880</w:t>
                  </w:r>
                  <w:r>
                    <w:rPr>
                      <w:rFonts w:eastAsiaTheme="minorEastAsia"/>
                      <w:kern w:val="0"/>
                      <w:szCs w:val="21"/>
                    </w:rPr>
                    <w:t xml:space="preserve"> m</w:t>
                  </w:r>
                  <w:r>
                    <w:rPr>
                      <w:rFonts w:eastAsiaTheme="minorEastAsia"/>
                      <w:kern w:val="0"/>
                      <w:szCs w:val="21"/>
                      <w:vertAlign w:val="superscript"/>
                    </w:rPr>
                    <w:t>3</w:t>
                  </w:r>
                  <w:r>
                    <w:rPr>
                      <w:rFonts w:eastAsiaTheme="minorEastAsia"/>
                      <w:kern w:val="0"/>
                      <w:szCs w:val="21"/>
                    </w:rPr>
                    <w:t>/a</w:t>
                  </w:r>
                </w:p>
              </w:tc>
            </w:tr>
          </w:tbl>
          <w:p>
            <w:pPr>
              <w:spacing w:line="360" w:lineRule="auto"/>
              <w:ind w:firstLine="480" w:firstLineChars="200"/>
              <w:rPr>
                <w:rFonts w:eastAsiaTheme="minorEastAsia"/>
                <w:kern w:val="0"/>
                <w:sz w:val="24"/>
              </w:rPr>
            </w:pPr>
            <w:r>
              <w:rPr>
                <w:rFonts w:eastAsiaTheme="minorEastAsia"/>
                <w:kern w:val="0"/>
                <w:sz w:val="24"/>
              </w:rPr>
              <w:t>（</w:t>
            </w:r>
            <w:r>
              <w:rPr>
                <w:rFonts w:hint="eastAsia" w:eastAsiaTheme="minorEastAsia"/>
                <w:kern w:val="0"/>
                <w:sz w:val="24"/>
              </w:rPr>
              <w:t>2</w:t>
            </w:r>
            <w:r>
              <w:rPr>
                <w:rFonts w:eastAsiaTheme="minorEastAsia"/>
                <w:kern w:val="0"/>
                <w:sz w:val="24"/>
              </w:rPr>
              <w:t>）焊接烟尘</w:t>
            </w:r>
          </w:p>
          <w:p>
            <w:pPr>
              <w:spacing w:line="360" w:lineRule="auto"/>
              <w:ind w:firstLine="480" w:firstLineChars="200"/>
              <w:rPr>
                <w:rFonts w:eastAsiaTheme="minorEastAsia"/>
                <w:kern w:val="0"/>
                <w:sz w:val="24"/>
              </w:rPr>
            </w:pPr>
            <w:r>
              <w:rPr>
                <w:rFonts w:hint="eastAsia" w:eastAsiaTheme="minorEastAsia"/>
                <w:kern w:val="0"/>
                <w:sz w:val="24"/>
              </w:rPr>
              <w:t>本工程车体车间车辆部件更新改造流程中的车体部件重新焊接工序将产生一定量的焊接烟尘。焊接均在一期已建成的焊接车间内进行。</w:t>
            </w:r>
          </w:p>
          <w:p>
            <w:pPr>
              <w:spacing w:line="360" w:lineRule="auto"/>
              <w:ind w:firstLine="480" w:firstLineChars="200"/>
              <w:rPr>
                <w:rFonts w:eastAsiaTheme="minorEastAsia"/>
                <w:kern w:val="0"/>
                <w:sz w:val="24"/>
              </w:rPr>
            </w:pPr>
            <w:r>
              <w:rPr>
                <w:rFonts w:hint="eastAsia" w:eastAsiaTheme="minorEastAsia"/>
                <w:kern w:val="0"/>
                <w:sz w:val="24"/>
              </w:rPr>
              <w:t>根据项目规划，本项目建成后年架大修地铁数量为2</w:t>
            </w:r>
            <w:r>
              <w:rPr>
                <w:rFonts w:eastAsiaTheme="minorEastAsia"/>
                <w:kern w:val="0"/>
                <w:sz w:val="24"/>
              </w:rPr>
              <w:t>00辆。根据建设单位提供资料，项目焊接用焊丝为ER5087铝焊丝，使用量约为</w:t>
            </w:r>
            <w:r>
              <w:rPr>
                <w:rFonts w:hint="eastAsia" w:eastAsiaTheme="minorEastAsia"/>
                <w:kern w:val="0"/>
                <w:sz w:val="24"/>
              </w:rPr>
              <w:t>2t</w:t>
            </w:r>
            <w:r>
              <w:rPr>
                <w:rFonts w:eastAsiaTheme="minorEastAsia"/>
                <w:kern w:val="0"/>
                <w:sz w:val="24"/>
              </w:rPr>
              <w:t>/a，焊接材料发尘量为5-8g/kg，本项目取</w:t>
            </w:r>
            <w:r>
              <w:rPr>
                <w:rFonts w:hint="eastAsia" w:eastAsiaTheme="minorEastAsia"/>
                <w:kern w:val="0"/>
                <w:sz w:val="24"/>
              </w:rPr>
              <w:t>5g</w:t>
            </w:r>
            <w:r>
              <w:rPr>
                <w:rFonts w:eastAsiaTheme="minorEastAsia"/>
                <w:kern w:val="0"/>
                <w:sz w:val="24"/>
              </w:rPr>
              <w:t>/kg，则本项目焊接烟尘产生量为</w:t>
            </w:r>
            <w:r>
              <w:rPr>
                <w:rFonts w:hint="eastAsia" w:eastAsiaTheme="minorEastAsia"/>
                <w:kern w:val="0"/>
                <w:sz w:val="24"/>
              </w:rPr>
              <w:t>0</w:t>
            </w:r>
            <w:r>
              <w:rPr>
                <w:rFonts w:eastAsiaTheme="minorEastAsia"/>
                <w:kern w:val="0"/>
                <w:sz w:val="24"/>
              </w:rPr>
              <w:t>.005kg/h，</w:t>
            </w:r>
            <w:r>
              <w:rPr>
                <w:rFonts w:hint="eastAsia" w:eastAsiaTheme="minorEastAsia"/>
                <w:kern w:val="0"/>
                <w:sz w:val="24"/>
              </w:rPr>
              <w:t>0</w:t>
            </w:r>
            <w:r>
              <w:rPr>
                <w:rFonts w:eastAsiaTheme="minorEastAsia"/>
                <w:kern w:val="0"/>
                <w:sz w:val="24"/>
              </w:rPr>
              <w:t>.01t/a；焊烟主要成份为直径在0.1～2μm的金属粉尘及氧化铁、氧化镁、氧化锰等金属氧化物等有害微粒及有害气体。项目依托一期项目已建成的焊接车间的</w:t>
            </w:r>
            <w:r>
              <w:rPr>
                <w:rFonts w:hint="eastAsia" w:eastAsiaTheme="minorEastAsia"/>
                <w:kern w:val="0"/>
                <w:sz w:val="24"/>
              </w:rPr>
              <w:t>2套移动式焊接烟尘净化装置进行处理，根据已建移动式焊接烟尘净化装置设计说明，净化效率约为9</w:t>
            </w:r>
            <w:r>
              <w:rPr>
                <w:rFonts w:eastAsiaTheme="minorEastAsia"/>
                <w:kern w:val="0"/>
                <w:sz w:val="24"/>
              </w:rPr>
              <w:t>0%，则项目焊接</w:t>
            </w:r>
            <w:r>
              <w:rPr>
                <w:rFonts w:hint="eastAsia" w:eastAsiaTheme="minorEastAsia"/>
                <w:kern w:val="0"/>
                <w:sz w:val="24"/>
              </w:rPr>
              <w:t>扬尘</w:t>
            </w:r>
            <w:r>
              <w:rPr>
                <w:rFonts w:eastAsiaTheme="minorEastAsia"/>
                <w:kern w:val="0"/>
                <w:sz w:val="24"/>
              </w:rPr>
              <w:t>排放量</w:t>
            </w:r>
            <w:r>
              <w:rPr>
                <w:rFonts w:hint="eastAsia" w:eastAsiaTheme="minorEastAsia"/>
                <w:kern w:val="0"/>
                <w:sz w:val="24"/>
              </w:rPr>
              <w:t>0</w:t>
            </w:r>
            <w:r>
              <w:rPr>
                <w:rFonts w:eastAsiaTheme="minorEastAsia"/>
                <w:kern w:val="0"/>
                <w:sz w:val="24"/>
              </w:rPr>
              <w:t>.001t/a，排放速率</w:t>
            </w:r>
            <w:r>
              <w:rPr>
                <w:rFonts w:hint="eastAsia" w:eastAsiaTheme="minorEastAsia"/>
                <w:kern w:val="0"/>
                <w:sz w:val="24"/>
              </w:rPr>
              <w:t>0</w:t>
            </w:r>
            <w:r>
              <w:rPr>
                <w:rFonts w:eastAsiaTheme="minorEastAsia"/>
                <w:kern w:val="0"/>
                <w:sz w:val="24"/>
              </w:rPr>
              <w:t>.0005kg/h，焊接车间排风量为</w:t>
            </w:r>
            <w:r>
              <w:rPr>
                <w:rFonts w:hint="eastAsia" w:eastAsiaTheme="minorEastAsia"/>
                <w:kern w:val="0"/>
                <w:sz w:val="24"/>
              </w:rPr>
              <w:t>5</w:t>
            </w:r>
            <w:r>
              <w:rPr>
                <w:rFonts w:eastAsiaTheme="minorEastAsia"/>
                <w:kern w:val="0"/>
                <w:sz w:val="24"/>
              </w:rPr>
              <w:t>000m³/h，则排放浓度为</w:t>
            </w:r>
            <w:r>
              <w:rPr>
                <w:rFonts w:hint="eastAsia" w:eastAsiaTheme="minorEastAsia"/>
                <w:kern w:val="0"/>
                <w:sz w:val="24"/>
              </w:rPr>
              <w:t>0</w:t>
            </w:r>
            <w:r>
              <w:rPr>
                <w:rFonts w:eastAsiaTheme="minorEastAsia"/>
                <w:kern w:val="0"/>
                <w:sz w:val="24"/>
              </w:rPr>
              <w:t>.1mg/m³。焊接烟气经过烟尘净化装置处理后再通过车间设置的</w:t>
            </w:r>
            <w:r>
              <w:rPr>
                <w:rFonts w:hint="eastAsia" w:eastAsiaTheme="minorEastAsia"/>
                <w:kern w:val="0"/>
                <w:sz w:val="24"/>
              </w:rPr>
              <w:t>2套除尘除湿系统，处理后通过抽排风系统无组织排放。</w:t>
            </w:r>
          </w:p>
          <w:p>
            <w:pPr>
              <w:spacing w:line="360" w:lineRule="auto"/>
              <w:ind w:firstLine="480" w:firstLineChars="200"/>
              <w:rPr>
                <w:rFonts w:eastAsiaTheme="minorEastAsia"/>
                <w:kern w:val="0"/>
                <w:sz w:val="24"/>
              </w:rPr>
            </w:pPr>
            <w:r>
              <w:rPr>
                <w:rFonts w:eastAsiaTheme="minorEastAsia"/>
                <w:kern w:val="0"/>
                <w:sz w:val="24"/>
              </w:rPr>
              <w:t>（</w:t>
            </w:r>
            <w:r>
              <w:rPr>
                <w:rFonts w:hint="eastAsia" w:eastAsiaTheme="minorEastAsia"/>
                <w:kern w:val="0"/>
                <w:sz w:val="24"/>
              </w:rPr>
              <w:t>3</w:t>
            </w:r>
            <w:r>
              <w:rPr>
                <w:rFonts w:eastAsiaTheme="minorEastAsia"/>
                <w:kern w:val="0"/>
                <w:sz w:val="24"/>
              </w:rPr>
              <w:t>）</w:t>
            </w:r>
            <w:r>
              <w:rPr>
                <w:rFonts w:hint="eastAsia" w:eastAsiaTheme="minorEastAsia"/>
                <w:kern w:val="0"/>
                <w:sz w:val="24"/>
              </w:rPr>
              <w:t>表面处理废气</w:t>
            </w:r>
          </w:p>
          <w:p>
            <w:pPr>
              <w:spacing w:line="360" w:lineRule="auto"/>
              <w:ind w:firstLine="480" w:firstLineChars="200"/>
              <w:rPr>
                <w:rFonts w:eastAsiaTheme="minorEastAsia"/>
                <w:kern w:val="0"/>
                <w:sz w:val="24"/>
              </w:rPr>
            </w:pPr>
            <w:r>
              <w:rPr>
                <w:rFonts w:hint="eastAsia" w:eastAsiaTheme="minorEastAsia"/>
                <w:kern w:val="0"/>
                <w:sz w:val="24"/>
              </w:rPr>
              <w:t>根据项目规划，本项目建成后年架大修地铁数量为2</w:t>
            </w:r>
            <w:r>
              <w:rPr>
                <w:rFonts w:eastAsiaTheme="minorEastAsia"/>
                <w:kern w:val="0"/>
                <w:sz w:val="24"/>
              </w:rPr>
              <w:t>00辆。本项目架大修仅对车辆表面和转向架需要补漆的部分进行打磨修补</w:t>
            </w:r>
            <w:r>
              <w:rPr>
                <w:rFonts w:hint="eastAsia" w:eastAsiaTheme="minorEastAsia"/>
                <w:kern w:val="0"/>
                <w:sz w:val="24"/>
              </w:rPr>
              <w:t>喷漆</w:t>
            </w:r>
            <w:r>
              <w:rPr>
                <w:rFonts w:eastAsiaTheme="minorEastAsia"/>
                <w:kern w:val="0"/>
                <w:sz w:val="24"/>
              </w:rPr>
              <w:t>。均依托一期工程已建成的</w:t>
            </w:r>
            <w:r>
              <w:rPr>
                <w:rFonts w:hint="eastAsia" w:eastAsiaTheme="minorEastAsia"/>
                <w:kern w:val="0"/>
                <w:sz w:val="24"/>
              </w:rPr>
              <w:t>表面处理车间（喷砂房、打磨房和喷漆房）</w:t>
            </w:r>
            <w:r>
              <w:rPr>
                <w:rFonts w:eastAsiaTheme="minorEastAsia"/>
                <w:kern w:val="0"/>
                <w:sz w:val="24"/>
              </w:rPr>
              <w:t>进行。本项目表面处理废气主要来于补漆部位打磨腻子所产生的粉尘、喷砂处理时所产生喷砂废气和喷漆过程有机废气。</w:t>
            </w:r>
          </w:p>
          <w:p>
            <w:pPr>
              <w:spacing w:line="360" w:lineRule="auto"/>
              <w:ind w:firstLine="480" w:firstLineChars="200"/>
              <w:rPr>
                <w:rFonts w:eastAsiaTheme="minorEastAsia"/>
                <w:kern w:val="0"/>
                <w:sz w:val="24"/>
              </w:rPr>
            </w:pPr>
            <w:r>
              <w:rPr>
                <w:rFonts w:hint="eastAsia" w:eastAsiaTheme="minorEastAsia"/>
                <w:kern w:val="0"/>
                <w:sz w:val="24"/>
              </w:rPr>
              <w:t>①喷砂废气</w:t>
            </w:r>
          </w:p>
          <w:p>
            <w:pPr>
              <w:spacing w:line="360" w:lineRule="auto"/>
              <w:ind w:firstLine="480" w:firstLineChars="200"/>
              <w:rPr>
                <w:rFonts w:eastAsiaTheme="minorEastAsia"/>
                <w:kern w:val="0"/>
                <w:sz w:val="24"/>
              </w:rPr>
            </w:pPr>
            <w:r>
              <w:rPr>
                <w:rFonts w:hint="eastAsia" w:eastAsiaTheme="minorEastAsia"/>
                <w:kern w:val="0"/>
                <w:sz w:val="24"/>
              </w:rPr>
              <w:t>根据业主相关经验，架大修中每辆地铁需要喷砂原料使用数量约为</w:t>
            </w:r>
            <w:r>
              <w:rPr>
                <w:rFonts w:eastAsiaTheme="minorEastAsia"/>
                <w:kern w:val="0"/>
                <w:sz w:val="24"/>
              </w:rPr>
              <w:t>0.85kg，喷砂废气产生量按原料的</w:t>
            </w:r>
            <w:r>
              <w:rPr>
                <w:rFonts w:hint="eastAsia" w:eastAsiaTheme="minorEastAsia"/>
                <w:kern w:val="0"/>
                <w:sz w:val="24"/>
              </w:rPr>
              <w:t>3</w:t>
            </w:r>
            <w:r>
              <w:rPr>
                <w:rFonts w:eastAsiaTheme="minorEastAsia"/>
                <w:kern w:val="0"/>
                <w:sz w:val="24"/>
              </w:rPr>
              <w:t>0%计算，则本项目喷砂废气产生量为</w:t>
            </w:r>
            <w:r>
              <w:rPr>
                <w:rFonts w:hint="eastAsia" w:eastAsiaTheme="minorEastAsia"/>
                <w:kern w:val="0"/>
                <w:sz w:val="24"/>
              </w:rPr>
              <w:t>0</w:t>
            </w:r>
            <w:r>
              <w:rPr>
                <w:rFonts w:eastAsiaTheme="minorEastAsia"/>
                <w:kern w:val="0"/>
                <w:sz w:val="24"/>
              </w:rPr>
              <w:t>.051t/a，</w:t>
            </w:r>
            <w:r>
              <w:rPr>
                <w:rFonts w:hint="eastAsia" w:eastAsiaTheme="minorEastAsia"/>
                <w:kern w:val="0"/>
                <w:sz w:val="24"/>
              </w:rPr>
              <w:t>0</w:t>
            </w:r>
            <w:r>
              <w:rPr>
                <w:rFonts w:eastAsiaTheme="minorEastAsia"/>
                <w:kern w:val="0"/>
                <w:sz w:val="24"/>
              </w:rPr>
              <w:t>.0255kg/h；根据</w:t>
            </w:r>
            <w:r>
              <w:rPr>
                <w:rFonts w:hint="eastAsia" w:eastAsiaTheme="minorEastAsia"/>
                <w:kern w:val="0"/>
                <w:sz w:val="24"/>
              </w:rPr>
              <w:t>一期项目</w:t>
            </w:r>
            <w:r>
              <w:rPr>
                <w:rFonts w:eastAsiaTheme="minorEastAsia"/>
                <w:kern w:val="0"/>
                <w:sz w:val="24"/>
              </w:rPr>
              <w:t>监测，喷砂废气产生浓度</w:t>
            </w:r>
            <w:r>
              <w:rPr>
                <w:rFonts w:hint="eastAsia" w:eastAsiaTheme="minorEastAsia"/>
                <w:kern w:val="0"/>
                <w:sz w:val="24"/>
              </w:rPr>
              <w:t>约为7</w:t>
            </w:r>
            <w:r>
              <w:rPr>
                <w:rFonts w:eastAsiaTheme="minorEastAsia"/>
                <w:kern w:val="0"/>
                <w:sz w:val="24"/>
              </w:rPr>
              <w:t>0mg/m³。</w:t>
            </w:r>
          </w:p>
          <w:p>
            <w:pPr>
              <w:spacing w:line="360" w:lineRule="auto"/>
              <w:ind w:firstLine="480" w:firstLineChars="200"/>
              <w:rPr>
                <w:rFonts w:eastAsiaTheme="minorEastAsia"/>
                <w:kern w:val="0"/>
                <w:sz w:val="24"/>
              </w:rPr>
            </w:pPr>
            <w:r>
              <w:rPr>
                <w:rFonts w:eastAsiaTheme="minorEastAsia"/>
                <w:kern w:val="0"/>
                <w:sz w:val="24"/>
              </w:rPr>
              <w:t>项目</w:t>
            </w:r>
            <w:r>
              <w:rPr>
                <w:rFonts w:hint="eastAsia" w:eastAsiaTheme="minorEastAsia"/>
                <w:kern w:val="0"/>
                <w:sz w:val="24"/>
              </w:rPr>
              <w:t>喷砂</w:t>
            </w:r>
            <w:r>
              <w:rPr>
                <w:rFonts w:eastAsiaTheme="minorEastAsia"/>
                <w:kern w:val="0"/>
                <w:sz w:val="24"/>
              </w:rPr>
              <w:t>废气依托一期项目已建成</w:t>
            </w:r>
            <w:r>
              <w:rPr>
                <w:rFonts w:hint="eastAsia" w:eastAsiaTheme="minorEastAsia"/>
                <w:kern w:val="0"/>
                <w:sz w:val="24"/>
              </w:rPr>
              <w:t>2套</w:t>
            </w:r>
            <w:r>
              <w:rPr>
                <w:rFonts w:eastAsiaTheme="minorEastAsia"/>
                <w:kern w:val="0"/>
                <w:sz w:val="24"/>
              </w:rPr>
              <w:t>滤筒干式过滤除尘装置（旋风除尘+滤筒除尘）处理，处理后通过2根</w:t>
            </w:r>
            <w:r>
              <w:rPr>
                <w:rFonts w:hint="eastAsia" w:eastAsiaTheme="minorEastAsia"/>
                <w:kern w:val="0"/>
                <w:sz w:val="24"/>
              </w:rPr>
              <w:t>1</w:t>
            </w:r>
            <w:r>
              <w:rPr>
                <w:rFonts w:eastAsiaTheme="minorEastAsia"/>
                <w:kern w:val="0"/>
                <w:sz w:val="24"/>
              </w:rPr>
              <w:t>6m高排气筒排放。根据一期项目竣工环境保护验收监测，滤筒干式过滤除尘装置（旋风除尘+滤筒除尘）处置效率约为</w:t>
            </w:r>
            <w:r>
              <w:rPr>
                <w:rFonts w:hint="eastAsia" w:eastAsiaTheme="minorEastAsia"/>
                <w:kern w:val="0"/>
                <w:sz w:val="24"/>
              </w:rPr>
              <w:t>9</w:t>
            </w:r>
            <w:r>
              <w:rPr>
                <w:rFonts w:eastAsiaTheme="minorEastAsia"/>
                <w:kern w:val="0"/>
                <w:sz w:val="24"/>
              </w:rPr>
              <w:t>5%，则本项目喷砂废气排放量</w:t>
            </w:r>
            <w:r>
              <w:rPr>
                <w:rFonts w:hint="eastAsia" w:eastAsiaTheme="minorEastAsia"/>
                <w:kern w:val="0"/>
                <w:sz w:val="24"/>
              </w:rPr>
              <w:t>0</w:t>
            </w:r>
            <w:r>
              <w:rPr>
                <w:rFonts w:eastAsiaTheme="minorEastAsia"/>
                <w:kern w:val="0"/>
                <w:sz w:val="24"/>
              </w:rPr>
              <w:t>.0026t/a，排放速率</w:t>
            </w:r>
            <w:r>
              <w:rPr>
                <w:rFonts w:hint="eastAsia" w:eastAsiaTheme="minorEastAsia"/>
                <w:kern w:val="0"/>
                <w:sz w:val="24"/>
              </w:rPr>
              <w:t>0</w:t>
            </w:r>
            <w:r>
              <w:rPr>
                <w:rFonts w:eastAsiaTheme="minorEastAsia"/>
                <w:kern w:val="0"/>
                <w:sz w:val="24"/>
              </w:rPr>
              <w:t>.0013kg/h，排放浓度</w:t>
            </w:r>
            <w:r>
              <w:rPr>
                <w:rFonts w:hint="eastAsia" w:eastAsiaTheme="minorEastAsia"/>
                <w:kern w:val="0"/>
                <w:sz w:val="24"/>
              </w:rPr>
              <w:t>3</w:t>
            </w:r>
            <w:r>
              <w:rPr>
                <w:rFonts w:eastAsiaTheme="minorEastAsia"/>
                <w:kern w:val="0"/>
                <w:sz w:val="24"/>
              </w:rPr>
              <w:t>.5mg/m³。</w:t>
            </w:r>
          </w:p>
          <w:p>
            <w:pPr>
              <w:spacing w:line="360" w:lineRule="auto"/>
              <w:ind w:firstLine="480" w:firstLineChars="200"/>
              <w:rPr>
                <w:rFonts w:eastAsiaTheme="minorEastAsia"/>
                <w:kern w:val="0"/>
                <w:sz w:val="24"/>
              </w:rPr>
            </w:pPr>
            <w:r>
              <w:rPr>
                <w:rFonts w:hint="eastAsia" w:eastAsiaTheme="minorEastAsia"/>
                <w:kern w:val="0"/>
                <w:sz w:val="24"/>
              </w:rPr>
              <w:t>②打磨废气</w:t>
            </w:r>
          </w:p>
          <w:p>
            <w:pPr>
              <w:spacing w:line="360" w:lineRule="auto"/>
              <w:ind w:firstLine="480" w:firstLineChars="200"/>
              <w:rPr>
                <w:rFonts w:eastAsiaTheme="minorEastAsia"/>
                <w:kern w:val="0"/>
                <w:sz w:val="24"/>
              </w:rPr>
            </w:pPr>
            <w:r>
              <w:rPr>
                <w:rFonts w:hint="eastAsia" w:eastAsiaTheme="minorEastAsia"/>
                <w:kern w:val="0"/>
                <w:sz w:val="24"/>
              </w:rPr>
              <w:t>项目架大修腻子打磨依托一期项目已建成打磨房，采用</w:t>
            </w:r>
            <w:r>
              <w:rPr>
                <w:rFonts w:eastAsiaTheme="minorEastAsia"/>
                <w:kern w:val="0"/>
                <w:sz w:val="24"/>
              </w:rPr>
              <w:t>气动打磨机以研磨方式进行打磨。根据业主其余区域已建成地铁架大修经验，每辆架修地铁打磨</w:t>
            </w:r>
            <w:r>
              <w:rPr>
                <w:rFonts w:hint="eastAsia" w:eastAsiaTheme="minorEastAsia"/>
                <w:kern w:val="0"/>
                <w:sz w:val="24"/>
              </w:rPr>
              <w:t>废气</w:t>
            </w:r>
            <w:r>
              <w:rPr>
                <w:rFonts w:eastAsiaTheme="minorEastAsia"/>
                <w:kern w:val="0"/>
                <w:sz w:val="24"/>
              </w:rPr>
              <w:t>产生量约为5kg，则本项目打磨废气产生量为</w:t>
            </w:r>
            <w:r>
              <w:rPr>
                <w:rFonts w:hint="eastAsia" w:eastAsiaTheme="minorEastAsia"/>
                <w:kern w:val="0"/>
                <w:sz w:val="24"/>
              </w:rPr>
              <w:t>0</w:t>
            </w:r>
            <w:r>
              <w:rPr>
                <w:rFonts w:eastAsiaTheme="minorEastAsia"/>
                <w:kern w:val="0"/>
                <w:sz w:val="24"/>
              </w:rPr>
              <w:t>.337t/a，</w:t>
            </w:r>
            <w:r>
              <w:rPr>
                <w:rFonts w:hint="eastAsia" w:eastAsiaTheme="minorEastAsia"/>
                <w:kern w:val="0"/>
                <w:sz w:val="24"/>
              </w:rPr>
              <w:t>0</w:t>
            </w:r>
            <w:r>
              <w:rPr>
                <w:rFonts w:eastAsiaTheme="minorEastAsia"/>
                <w:kern w:val="0"/>
                <w:sz w:val="24"/>
              </w:rPr>
              <w:t>.169kg/h；项目打磨废气依托一期已建成的</w:t>
            </w:r>
            <w:r>
              <w:rPr>
                <w:rFonts w:hint="eastAsia" w:eastAsiaTheme="minorEastAsia"/>
                <w:kern w:val="0"/>
                <w:sz w:val="24"/>
              </w:rPr>
              <w:t>2个打磨房</w:t>
            </w:r>
            <w:r>
              <w:rPr>
                <w:rFonts w:eastAsiaTheme="minorEastAsia"/>
                <w:kern w:val="0"/>
                <w:sz w:val="24"/>
              </w:rPr>
              <w:t>8</w:t>
            </w:r>
            <w:r>
              <w:rPr>
                <w:rFonts w:hint="eastAsia" w:eastAsiaTheme="minorEastAsia"/>
                <w:kern w:val="0"/>
                <w:sz w:val="24"/>
              </w:rPr>
              <w:t>套</w:t>
            </w:r>
            <w:r>
              <w:rPr>
                <w:rFonts w:eastAsiaTheme="minorEastAsia"/>
                <w:kern w:val="0"/>
                <w:sz w:val="24"/>
              </w:rPr>
              <w:t>滤筒干式过滤除尘装置（旋风除尘+滤芯过滤+空气动力过滤）收集打磨过程产生的粉尘，处理后通过</w:t>
            </w:r>
            <w:r>
              <w:rPr>
                <w:rFonts w:hint="eastAsia" w:eastAsiaTheme="minorEastAsia"/>
                <w:kern w:val="0"/>
                <w:sz w:val="24"/>
              </w:rPr>
              <w:t>8根1</w:t>
            </w:r>
            <w:r>
              <w:rPr>
                <w:rFonts w:eastAsiaTheme="minorEastAsia"/>
                <w:kern w:val="0"/>
                <w:sz w:val="24"/>
              </w:rPr>
              <w:t>6m高排气筒对空排放。根据一期项目竣工环境保护验收监测，打磨房设置的滤筒干式过滤除尘装置（旋风除尘+滤芯过滤+空气动力过滤）处置效率约为</w:t>
            </w:r>
            <w:r>
              <w:rPr>
                <w:rFonts w:hint="eastAsia" w:eastAsiaTheme="minorEastAsia"/>
                <w:kern w:val="0"/>
                <w:sz w:val="24"/>
              </w:rPr>
              <w:t>9</w:t>
            </w:r>
            <w:r>
              <w:rPr>
                <w:rFonts w:eastAsiaTheme="minorEastAsia"/>
                <w:kern w:val="0"/>
                <w:sz w:val="24"/>
              </w:rPr>
              <w:t>5%，则本项目打磨废气排放量为</w:t>
            </w:r>
            <w:r>
              <w:rPr>
                <w:rFonts w:hint="eastAsia" w:eastAsiaTheme="minorEastAsia"/>
                <w:kern w:val="0"/>
                <w:sz w:val="24"/>
              </w:rPr>
              <w:t>0</w:t>
            </w:r>
            <w:r>
              <w:rPr>
                <w:rFonts w:eastAsiaTheme="minorEastAsia"/>
                <w:kern w:val="0"/>
                <w:sz w:val="24"/>
              </w:rPr>
              <w:t>.0169t/a，排放速率</w:t>
            </w:r>
            <w:r>
              <w:rPr>
                <w:rFonts w:hint="eastAsia" w:eastAsiaTheme="minorEastAsia"/>
                <w:kern w:val="0"/>
                <w:sz w:val="24"/>
              </w:rPr>
              <w:t>0</w:t>
            </w:r>
            <w:r>
              <w:rPr>
                <w:rFonts w:eastAsiaTheme="minorEastAsia"/>
                <w:kern w:val="0"/>
                <w:sz w:val="24"/>
              </w:rPr>
              <w:t>.00845kg/h，排放浓度</w:t>
            </w:r>
            <w:r>
              <w:rPr>
                <w:rFonts w:hint="eastAsia" w:eastAsiaTheme="minorEastAsia"/>
                <w:kern w:val="0"/>
                <w:sz w:val="24"/>
              </w:rPr>
              <w:t>0</w:t>
            </w:r>
            <w:r>
              <w:rPr>
                <w:rFonts w:eastAsiaTheme="minorEastAsia"/>
                <w:kern w:val="0"/>
                <w:sz w:val="24"/>
              </w:rPr>
              <w:t>.169mg/m³。</w:t>
            </w:r>
          </w:p>
          <w:p>
            <w:pPr>
              <w:spacing w:line="360" w:lineRule="auto"/>
              <w:ind w:firstLine="480" w:firstLineChars="200"/>
              <w:rPr>
                <w:rFonts w:eastAsiaTheme="minorEastAsia"/>
                <w:kern w:val="0"/>
                <w:sz w:val="24"/>
              </w:rPr>
            </w:pPr>
            <w:r>
              <w:rPr>
                <w:rFonts w:hint="eastAsia" w:eastAsiaTheme="minorEastAsia"/>
                <w:kern w:val="0"/>
                <w:sz w:val="24"/>
              </w:rPr>
              <w:t>③喷漆废气</w:t>
            </w:r>
          </w:p>
          <w:p>
            <w:pPr>
              <w:spacing w:line="360" w:lineRule="auto"/>
              <w:ind w:firstLine="480" w:firstLineChars="200"/>
              <w:rPr>
                <w:rFonts w:eastAsiaTheme="minorEastAsia"/>
                <w:kern w:val="0"/>
                <w:sz w:val="24"/>
              </w:rPr>
            </w:pPr>
            <w:r>
              <w:rPr>
                <w:rFonts w:hint="eastAsia" w:eastAsiaTheme="minorEastAsia"/>
                <w:kern w:val="0"/>
                <w:sz w:val="24"/>
              </w:rPr>
              <w:t>据项目规划，本项目建成后年架大修地铁数量为2</w:t>
            </w:r>
            <w:r>
              <w:rPr>
                <w:rFonts w:eastAsiaTheme="minorEastAsia"/>
                <w:kern w:val="0"/>
                <w:sz w:val="24"/>
              </w:rPr>
              <w:t>00辆。本项目架大修仅对车辆表面和转向架需要补漆的部分进行喷漆。根据业主相关经验，每辆架大修地铁所需油漆量约为50kg，则项目每年所使用油漆量为10</w:t>
            </w:r>
            <w:r>
              <w:rPr>
                <w:rFonts w:hint="eastAsia" w:eastAsiaTheme="minorEastAsia"/>
                <w:kern w:val="0"/>
                <w:sz w:val="24"/>
              </w:rPr>
              <w:t>t。根据业主设计，项目架大修底漆、面漆均采用环保水性漆，水性漆是以水为稀释剂，其中的挥发性有机化合物主要是醇类、醇醚类等，不含苯、甲苯、乙苯、二甲苯等有害性挥发物，因此与油性漆相比更加环保、安全。</w:t>
            </w:r>
          </w:p>
          <w:p>
            <w:pPr>
              <w:spacing w:line="360" w:lineRule="auto"/>
              <w:ind w:firstLine="480" w:firstLineChars="200"/>
              <w:rPr>
                <w:rFonts w:eastAsiaTheme="minorEastAsia"/>
                <w:kern w:val="0"/>
                <w:sz w:val="24"/>
              </w:rPr>
            </w:pPr>
            <w:r>
              <w:rPr>
                <w:rFonts w:eastAsiaTheme="minorEastAsia"/>
                <w:kern w:val="0"/>
                <w:sz w:val="24"/>
              </w:rPr>
              <w:t>根据行业相关经验，水性漆挥发分挥发系数约为25%，则本项目油漆VOCs产生量为</w:t>
            </w:r>
            <w:r>
              <w:rPr>
                <w:rFonts w:hint="eastAsia" w:eastAsiaTheme="minorEastAsia"/>
                <w:kern w:val="0"/>
                <w:sz w:val="24"/>
              </w:rPr>
              <w:t>2</w:t>
            </w:r>
            <w:r>
              <w:rPr>
                <w:rFonts w:eastAsiaTheme="minorEastAsia"/>
                <w:kern w:val="0"/>
                <w:sz w:val="24"/>
              </w:rPr>
              <w:t>.5t/a，</w:t>
            </w:r>
            <w:r>
              <w:rPr>
                <w:rFonts w:hint="eastAsia" w:eastAsiaTheme="minorEastAsia"/>
                <w:kern w:val="0"/>
                <w:sz w:val="24"/>
              </w:rPr>
              <w:t>1</w:t>
            </w:r>
            <w:r>
              <w:rPr>
                <w:rFonts w:eastAsiaTheme="minorEastAsia"/>
                <w:kern w:val="0"/>
                <w:sz w:val="24"/>
              </w:rPr>
              <w:t>.25kg/h。项目喷漆依托一期已建成的2</w:t>
            </w:r>
            <w:r>
              <w:rPr>
                <w:rFonts w:hint="eastAsia" w:eastAsiaTheme="minorEastAsia"/>
                <w:kern w:val="0"/>
                <w:sz w:val="24"/>
              </w:rPr>
              <w:t>个底漆喷烘车间和</w:t>
            </w:r>
            <w:r>
              <w:rPr>
                <w:rFonts w:eastAsiaTheme="minorEastAsia"/>
                <w:kern w:val="0"/>
                <w:sz w:val="24"/>
              </w:rPr>
              <w:t>2</w:t>
            </w:r>
            <w:r>
              <w:rPr>
                <w:rFonts w:hint="eastAsia" w:eastAsiaTheme="minorEastAsia"/>
                <w:kern w:val="0"/>
                <w:sz w:val="24"/>
              </w:rPr>
              <w:t>个面漆喷烘车间进行，一期项目每个喷烘车间均</w:t>
            </w:r>
            <w:r>
              <w:rPr>
                <w:rFonts w:eastAsiaTheme="minorEastAsia"/>
                <w:kern w:val="0"/>
                <w:sz w:val="24"/>
              </w:rPr>
              <w:t>分别设置4套处理设备，处理工艺为过滤棉吸附+活性炭箱吸附，处理后分别通过一根排气筒排放，4个喷漆房共设置16套处理设备和16根16m高排气筒，喷漆房处理装置排风机功率设计为50000m³/h。根据一期项目竣工验收监测，喷漆房过滤棉吸附</w:t>
            </w:r>
            <w:r>
              <w:rPr>
                <w:rFonts w:hint="eastAsia" w:eastAsiaTheme="minorEastAsia"/>
                <w:kern w:val="0"/>
                <w:sz w:val="24"/>
              </w:rPr>
              <w:t>+活性炭箱吸附处置效率约为9</w:t>
            </w:r>
            <w:r>
              <w:rPr>
                <w:rFonts w:eastAsiaTheme="minorEastAsia"/>
                <w:kern w:val="0"/>
                <w:sz w:val="24"/>
              </w:rPr>
              <w:t>5%，则本项目喷漆VOCs排放量为</w:t>
            </w:r>
            <w:r>
              <w:rPr>
                <w:rFonts w:hint="eastAsia" w:eastAsiaTheme="minorEastAsia"/>
                <w:kern w:val="0"/>
                <w:sz w:val="24"/>
              </w:rPr>
              <w:t>0</w:t>
            </w:r>
            <w:r>
              <w:rPr>
                <w:rFonts w:eastAsiaTheme="minorEastAsia"/>
                <w:kern w:val="0"/>
                <w:sz w:val="24"/>
              </w:rPr>
              <w:t>.125t/a，排放速率</w:t>
            </w:r>
            <w:r>
              <w:rPr>
                <w:rFonts w:hint="eastAsia" w:eastAsiaTheme="minorEastAsia"/>
                <w:kern w:val="0"/>
                <w:sz w:val="24"/>
              </w:rPr>
              <w:t>0</w:t>
            </w:r>
            <w:r>
              <w:rPr>
                <w:rFonts w:eastAsiaTheme="minorEastAsia"/>
                <w:kern w:val="0"/>
                <w:sz w:val="24"/>
              </w:rPr>
              <w:t>.06kg/h，排放浓度</w:t>
            </w:r>
            <w:r>
              <w:rPr>
                <w:rFonts w:hint="eastAsia" w:eastAsiaTheme="minorEastAsia"/>
                <w:kern w:val="0"/>
                <w:sz w:val="24"/>
              </w:rPr>
              <w:t>1</w:t>
            </w:r>
            <w:r>
              <w:rPr>
                <w:rFonts w:eastAsiaTheme="minorEastAsia"/>
                <w:kern w:val="0"/>
                <w:sz w:val="24"/>
              </w:rPr>
              <w:t>.25mg/m³。</w:t>
            </w:r>
          </w:p>
          <w:p>
            <w:pPr>
              <w:spacing w:line="360" w:lineRule="auto"/>
              <w:ind w:firstLine="480" w:firstLineChars="200"/>
              <w:rPr>
                <w:rFonts w:eastAsiaTheme="minorEastAsia"/>
                <w:kern w:val="0"/>
                <w:sz w:val="24"/>
              </w:rPr>
            </w:pPr>
            <w:r>
              <w:rPr>
                <w:rFonts w:eastAsiaTheme="minorEastAsia"/>
                <w:kern w:val="0"/>
                <w:sz w:val="24"/>
              </w:rPr>
              <w:t>（3）厨房油烟</w:t>
            </w:r>
          </w:p>
          <w:p>
            <w:pPr>
              <w:spacing w:line="360" w:lineRule="auto"/>
              <w:ind w:firstLine="480" w:firstLineChars="200"/>
              <w:rPr>
                <w:rFonts w:eastAsiaTheme="minorEastAsia"/>
                <w:sz w:val="24"/>
              </w:rPr>
            </w:pPr>
            <w:r>
              <w:rPr>
                <w:rFonts w:eastAsiaTheme="minorEastAsia"/>
                <w:sz w:val="24"/>
              </w:rPr>
              <w:t>项目</w:t>
            </w:r>
            <w:r>
              <w:rPr>
                <w:rFonts w:hint="eastAsia" w:eastAsiaTheme="minorEastAsia"/>
                <w:sz w:val="24"/>
              </w:rPr>
              <w:t>依托一期已建成的</w:t>
            </w:r>
            <w:r>
              <w:rPr>
                <w:rFonts w:eastAsiaTheme="minorEastAsia"/>
                <w:sz w:val="24"/>
              </w:rPr>
              <w:t>食堂，</w:t>
            </w:r>
            <w:r>
              <w:rPr>
                <w:rFonts w:hint="eastAsia" w:eastAsiaTheme="minorEastAsia"/>
                <w:sz w:val="24"/>
              </w:rPr>
              <w:t>食堂</w:t>
            </w:r>
            <w:r>
              <w:rPr>
                <w:rFonts w:eastAsiaTheme="minorEastAsia"/>
                <w:sz w:val="24"/>
              </w:rPr>
              <w:t>灶头数为6个。</w:t>
            </w:r>
            <w:r>
              <w:rPr>
                <w:rFonts w:hint="eastAsia" w:eastAsiaTheme="minorEastAsia"/>
                <w:sz w:val="24"/>
              </w:rPr>
              <w:t>项目</w:t>
            </w:r>
            <w:r>
              <w:rPr>
                <w:rFonts w:eastAsiaTheme="minorEastAsia"/>
                <w:sz w:val="24"/>
              </w:rPr>
              <w:t>职工人数</w:t>
            </w:r>
            <w:r>
              <w:rPr>
                <w:rFonts w:hint="eastAsia" w:eastAsiaTheme="minorEastAsia"/>
                <w:sz w:val="24"/>
              </w:rPr>
              <w:t>2</w:t>
            </w:r>
            <w:r>
              <w:rPr>
                <w:rFonts w:eastAsiaTheme="minorEastAsia"/>
                <w:sz w:val="24"/>
              </w:rPr>
              <w:t>00人，分为两班，每日用餐人数约为</w:t>
            </w:r>
            <w:r>
              <w:rPr>
                <w:rFonts w:hint="eastAsia" w:eastAsiaTheme="minorEastAsia"/>
                <w:sz w:val="24"/>
              </w:rPr>
              <w:t>1</w:t>
            </w:r>
            <w:r>
              <w:rPr>
                <w:rFonts w:eastAsiaTheme="minorEastAsia"/>
                <w:sz w:val="24"/>
              </w:rPr>
              <w:t>00人/d，均在厂区内吃三餐。</w:t>
            </w:r>
          </w:p>
          <w:p>
            <w:pPr>
              <w:spacing w:line="360" w:lineRule="auto"/>
              <w:ind w:firstLine="480" w:firstLineChars="200"/>
              <w:rPr>
                <w:rFonts w:eastAsiaTheme="minorEastAsia"/>
                <w:sz w:val="24"/>
              </w:rPr>
            </w:pPr>
            <w:r>
              <w:rPr>
                <w:rFonts w:eastAsiaTheme="minorEastAsia"/>
                <w:sz w:val="24"/>
              </w:rPr>
              <w:t>人均食用油消耗量以2.8kg/100人•天计，则项目食用油消耗量为2.8kg/d；炒菜时油烟挥发一般为用油量的1%~3%，本评价油烟挥发按用油量的3%计算，则油烟产生量为0.084kg/d，项目油烟机引风量为5000m</w:t>
            </w:r>
            <w:r>
              <w:rPr>
                <w:rFonts w:eastAsiaTheme="minorEastAsia"/>
                <w:sz w:val="24"/>
                <w:vertAlign w:val="superscript"/>
              </w:rPr>
              <w:t>3</w:t>
            </w:r>
            <w:r>
              <w:rPr>
                <w:rFonts w:eastAsiaTheme="minorEastAsia"/>
                <w:sz w:val="24"/>
              </w:rPr>
              <w:t>/h，食堂每天运行3小时，且厨房已设置一台去除效率85%的油烟净化器。</w:t>
            </w:r>
            <w:r>
              <w:rPr>
                <w:rFonts w:hint="eastAsia" w:eastAsiaTheme="minorEastAsia"/>
                <w:sz w:val="24"/>
              </w:rPr>
              <w:t>则</w:t>
            </w:r>
            <w:r>
              <w:rPr>
                <w:rFonts w:eastAsiaTheme="minorEastAsia"/>
                <w:sz w:val="24"/>
              </w:rPr>
              <w:t>本项目油烟排放速率为0.0042kg/h，排放浓度为0.84mg/m³。</w:t>
            </w:r>
          </w:p>
          <w:p>
            <w:pPr>
              <w:spacing w:line="360" w:lineRule="auto"/>
              <w:ind w:firstLine="480" w:firstLineChars="200"/>
              <w:rPr>
                <w:rFonts w:eastAsiaTheme="minorEastAsia"/>
                <w:sz w:val="24"/>
              </w:rPr>
            </w:pPr>
            <w:r>
              <w:rPr>
                <w:rFonts w:hint="eastAsia" w:eastAsiaTheme="minorEastAsia"/>
                <w:sz w:val="24"/>
              </w:rPr>
              <w:t>（4）等效排气筒计算</w:t>
            </w:r>
          </w:p>
          <w:p>
            <w:pPr>
              <w:spacing w:line="360" w:lineRule="auto"/>
              <w:ind w:firstLine="480" w:firstLineChars="200"/>
              <w:rPr>
                <w:rFonts w:eastAsiaTheme="minorEastAsia"/>
                <w:sz w:val="24"/>
              </w:rPr>
            </w:pPr>
            <w:r>
              <w:rPr>
                <w:rFonts w:eastAsiaTheme="minorEastAsia"/>
                <w:sz w:val="24"/>
              </w:rPr>
              <w:t>项目依托一期工程排气筒主要为喷砂废气</w:t>
            </w:r>
            <w:r>
              <w:rPr>
                <w:rFonts w:hint="eastAsia" w:eastAsiaTheme="minorEastAsia"/>
                <w:sz w:val="24"/>
              </w:rPr>
              <w:t>2个排气筒、2个打磨房8个排气筒和4个喷漆房1</w:t>
            </w:r>
            <w:r>
              <w:rPr>
                <w:rFonts w:eastAsiaTheme="minorEastAsia"/>
                <w:sz w:val="24"/>
              </w:rPr>
              <w:t>6个排气筒。</w:t>
            </w:r>
          </w:p>
          <w:p>
            <w:pPr>
              <w:spacing w:line="360" w:lineRule="auto"/>
              <w:ind w:firstLine="480" w:firstLineChars="200"/>
              <w:rPr>
                <w:rFonts w:eastAsiaTheme="minorEastAsia"/>
                <w:sz w:val="24"/>
              </w:rPr>
            </w:pPr>
            <w:r>
              <w:rPr>
                <w:rFonts w:hint="eastAsia" w:eastAsiaTheme="minorEastAsia"/>
                <w:sz w:val="24"/>
              </w:rPr>
              <w:t>①喷砂废气等效排气筒</w:t>
            </w:r>
          </w:p>
          <w:p>
            <w:pPr>
              <w:spacing w:line="360" w:lineRule="auto"/>
              <w:ind w:firstLine="480" w:firstLineChars="200"/>
              <w:rPr>
                <w:rFonts w:eastAsiaTheme="minorEastAsia"/>
                <w:sz w:val="24"/>
              </w:rPr>
            </w:pPr>
            <w:r>
              <w:rPr>
                <w:rFonts w:eastAsiaTheme="minorEastAsia"/>
                <w:sz w:val="24"/>
              </w:rPr>
              <w:t>项目一期喷砂车间共设置</w:t>
            </w:r>
            <w:r>
              <w:rPr>
                <w:rFonts w:hint="eastAsia" w:eastAsiaTheme="minorEastAsia"/>
                <w:sz w:val="24"/>
              </w:rPr>
              <w:t>2个1</w:t>
            </w:r>
            <w:r>
              <w:rPr>
                <w:rFonts w:eastAsiaTheme="minorEastAsia"/>
                <w:sz w:val="24"/>
              </w:rPr>
              <w:t>6m高排气筒，排气筒之间距离约为</w:t>
            </w:r>
            <w:r>
              <w:rPr>
                <w:rFonts w:hint="eastAsia" w:eastAsiaTheme="minorEastAsia"/>
                <w:sz w:val="24"/>
              </w:rPr>
              <w:t>6m，小于两个排气筒高度之和，且两个排气筒排放污染物均为颗粒物。本次评价对其进行等效排气筒计算。</w:t>
            </w:r>
          </w:p>
          <w:p>
            <w:pPr>
              <w:spacing w:line="360" w:lineRule="auto"/>
              <w:ind w:firstLine="480" w:firstLineChars="200"/>
              <w:rPr>
                <w:rFonts w:eastAsiaTheme="minorEastAsia"/>
                <w:sz w:val="24"/>
              </w:rPr>
            </w:pPr>
            <w:r>
              <w:rPr>
                <w:rFonts w:hint="eastAsia" w:eastAsiaTheme="minorEastAsia"/>
                <w:sz w:val="24"/>
              </w:rPr>
              <w:t>1）排放速率</w:t>
            </w:r>
          </w:p>
          <w:p>
            <w:pPr>
              <w:spacing w:line="360" w:lineRule="auto"/>
              <w:ind w:firstLine="480" w:firstLineChars="200"/>
              <w:rPr>
                <w:rFonts w:eastAsiaTheme="minorEastAsia"/>
                <w:sz w:val="24"/>
              </w:rPr>
            </w:pPr>
            <w:r>
              <w:rPr>
                <w:rFonts w:eastAsiaTheme="minorEastAsia"/>
                <w:sz w:val="24"/>
              </w:rPr>
              <w:t>排放速率计算公式为：</w:t>
            </w:r>
          </w:p>
          <w:p>
            <w:pPr>
              <w:spacing w:line="360" w:lineRule="auto"/>
              <w:ind w:firstLine="480" w:firstLineChars="200"/>
              <w:rPr>
                <w:rFonts w:eastAsiaTheme="minorEastAsia"/>
                <w:sz w:val="24"/>
              </w:rPr>
            </w:pPr>
            <w:r>
              <w:rPr>
                <w:rFonts w:eastAsiaTheme="minorEastAsia"/>
                <w:sz w:val="24"/>
              </w:rPr>
              <w:t>Q=Q</w:t>
            </w:r>
            <w:r>
              <w:rPr>
                <w:rFonts w:eastAsiaTheme="minorEastAsia"/>
                <w:sz w:val="24"/>
                <w:vertAlign w:val="subscript"/>
              </w:rPr>
              <w:t>1</w:t>
            </w:r>
            <w:r>
              <w:rPr>
                <w:rFonts w:eastAsiaTheme="minorEastAsia"/>
                <w:sz w:val="24"/>
              </w:rPr>
              <w:t>+Q</w:t>
            </w:r>
            <w:r>
              <w:rPr>
                <w:rFonts w:eastAsiaTheme="minorEastAsia"/>
                <w:sz w:val="24"/>
                <w:vertAlign w:val="subscript"/>
              </w:rPr>
              <w:t>2</w:t>
            </w:r>
            <w:r>
              <w:rPr>
                <w:rFonts w:eastAsiaTheme="minorEastAsia"/>
                <w:sz w:val="24"/>
              </w:rPr>
              <w:t xml:space="preserve"> </w:t>
            </w:r>
          </w:p>
          <w:p>
            <w:pPr>
              <w:spacing w:line="360" w:lineRule="auto"/>
              <w:ind w:firstLine="480" w:firstLineChars="200"/>
              <w:rPr>
                <w:rFonts w:eastAsiaTheme="minorEastAsia"/>
                <w:sz w:val="24"/>
              </w:rPr>
            </w:pPr>
            <w:r>
              <w:rPr>
                <w:rFonts w:eastAsiaTheme="minorEastAsia"/>
                <w:sz w:val="24"/>
              </w:rPr>
              <w:t>式中：Q—等效排气筒某污染物排放速率；</w:t>
            </w:r>
          </w:p>
          <w:p>
            <w:pPr>
              <w:spacing w:line="360" w:lineRule="auto"/>
              <w:ind w:firstLine="480" w:firstLineChars="200"/>
              <w:rPr>
                <w:rFonts w:eastAsiaTheme="minorEastAsia"/>
                <w:sz w:val="24"/>
              </w:rPr>
            </w:pPr>
            <w:r>
              <w:rPr>
                <w:rFonts w:eastAsiaTheme="minorEastAsia"/>
                <w:sz w:val="24"/>
              </w:rPr>
              <w:t>Q</w:t>
            </w:r>
            <w:r>
              <w:rPr>
                <w:rFonts w:eastAsiaTheme="minorEastAsia"/>
                <w:sz w:val="24"/>
                <w:vertAlign w:val="subscript"/>
              </w:rPr>
              <w:t>1</w:t>
            </w:r>
            <w:r>
              <w:rPr>
                <w:rFonts w:eastAsiaTheme="minorEastAsia"/>
                <w:sz w:val="24"/>
              </w:rPr>
              <w:t>、Q</w:t>
            </w:r>
            <w:r>
              <w:rPr>
                <w:rFonts w:eastAsiaTheme="minorEastAsia"/>
                <w:sz w:val="24"/>
                <w:vertAlign w:val="subscript"/>
              </w:rPr>
              <w:t>2</w:t>
            </w:r>
            <w:r>
              <w:rPr>
                <w:rFonts w:eastAsiaTheme="minorEastAsia"/>
                <w:sz w:val="24"/>
              </w:rPr>
              <w:t xml:space="preserve">—排气筒1和排气筒2的某污染物排放速率。 </w:t>
            </w:r>
          </w:p>
          <w:p>
            <w:pPr>
              <w:spacing w:line="360" w:lineRule="auto"/>
              <w:ind w:firstLine="480" w:firstLineChars="200"/>
              <w:rPr>
                <w:rFonts w:eastAsiaTheme="minorEastAsia"/>
                <w:sz w:val="24"/>
              </w:rPr>
            </w:pPr>
            <w:r>
              <w:rPr>
                <w:rFonts w:hint="eastAsia" w:eastAsiaTheme="minorEastAsia"/>
                <w:sz w:val="24"/>
              </w:rPr>
              <w:t>计算得知，喷砂废气等效排气筒排放速率为0</w:t>
            </w:r>
            <w:r>
              <w:rPr>
                <w:rFonts w:eastAsiaTheme="minorEastAsia"/>
                <w:sz w:val="24"/>
              </w:rPr>
              <w:t>.0013kg/h。</w:t>
            </w:r>
          </w:p>
          <w:p>
            <w:pPr>
              <w:spacing w:line="360" w:lineRule="auto"/>
              <w:ind w:firstLine="480" w:firstLineChars="200"/>
              <w:rPr>
                <w:rFonts w:eastAsiaTheme="minorEastAsia"/>
                <w:sz w:val="24"/>
              </w:rPr>
            </w:pPr>
            <w:r>
              <w:rPr>
                <w:rFonts w:hint="eastAsia" w:eastAsiaTheme="minorEastAsia"/>
                <w:sz w:val="24"/>
              </w:rPr>
              <w:t>2）排气筒高度</w:t>
            </w:r>
          </w:p>
          <w:p>
            <w:pPr>
              <w:spacing w:line="360" w:lineRule="auto"/>
              <w:ind w:firstLine="480" w:firstLineChars="200"/>
              <w:rPr>
                <w:rFonts w:eastAsiaTheme="minorEastAsia"/>
                <w:sz w:val="24"/>
              </w:rPr>
            </w:pPr>
            <w:r>
              <w:rPr>
                <w:rFonts w:eastAsiaTheme="minorEastAsia"/>
                <w:sz w:val="24"/>
              </w:rPr>
              <w:t>等效排气筒高度按</w:t>
            </w:r>
            <w:r>
              <w:rPr>
                <w:rFonts w:hint="eastAsia" w:eastAsiaTheme="minorEastAsia"/>
                <w:sz w:val="24"/>
              </w:rPr>
              <w:t>下式</w:t>
            </w:r>
            <w:r>
              <w:rPr>
                <w:rFonts w:eastAsiaTheme="minorEastAsia"/>
                <w:sz w:val="24"/>
              </w:rPr>
              <w:t>计算：</w:t>
            </w:r>
          </w:p>
          <w:p>
            <w:pPr>
              <w:widowControl/>
              <w:ind w:firstLine="480" w:firstLineChars="200"/>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"C:\\Users\\KK\\AppData\\Roaming\\Tencent\\Users\\757292072\\QQ\\WinTemp\\RichOle\\21$U~W{8}LUD{9_3E4$(6`U.png"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"C:\\Users\\KK\\AppData\\Roaming\\Tencent\\Users\\757292072\\QQ\\WinTemp\\RichOle\\21$U~W{8}LUD{9_3E4$(6`U.png"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"C:\\Users\\KK\\AppData\\Roaming\\Tencent\\Users\\757292072\\QQ\\WinTemp\\RichOle\\21$U~W{8}LUD{9_3E4$(6`U.png"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"C:\\Users\\KK\\AppData\\Roaming\\Tencent\\Users\\757292072\\QQ\\WinTemp\\RichOle\\21$U~W{8}LUD{9_3E4$(6`U.png" \* MERGEFORMATINET </w:instrText>
            </w:r>
            <w:r>
              <w:rPr>
                <w:rFonts w:ascii="宋体" w:hAnsi="宋体" w:cs="宋体"/>
                <w:kern w:val="0"/>
                <w:sz w:val="24"/>
              </w:rPr>
              <w:fldChar w:fldCharType="separate"/>
            </w:r>
            <w:r>
              <w:rPr>
                <w:rFonts w:ascii="宋体" w:hAnsi="宋体" w:cs="宋体"/>
                <w:kern w:val="0"/>
                <w:sz w:val="24"/>
              </w:rPr>
              <w:pict>
                <v:shape id="_x0000_i1027" o:spt="75" type="#_x0000_t75" style="height:41.25pt;width:102pt;" filled="f" o:preferrelative="t" stroked="f" coordsize="21600,21600">
                  <v:path/>
                  <v:fill on="f" focussize="0,0"/>
                  <v:stroke on="f" joinstyle="miter"/>
                  <v:imagedata r:id="rId13" r:href="rId14" o:title=""/>
                  <o:lock v:ext="edit" aspectratio="t"/>
                  <w10:wrap type="none"/>
                  <w10:anchorlock/>
                </v:shape>
              </w:pict>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p>
          <w:p>
            <w:pPr>
              <w:spacing w:line="360" w:lineRule="auto"/>
              <w:ind w:firstLine="480" w:firstLineChars="200"/>
              <w:rPr>
                <w:rFonts w:eastAsiaTheme="minorEastAsia"/>
                <w:sz w:val="24"/>
              </w:rPr>
            </w:pPr>
            <w:r>
              <w:rPr>
                <w:rFonts w:eastAsiaTheme="minorEastAsia"/>
                <w:sz w:val="24"/>
              </w:rPr>
              <w:t>式中：h—等效排气筒高度；</w:t>
            </w:r>
          </w:p>
          <w:p>
            <w:pPr>
              <w:spacing w:line="360" w:lineRule="auto"/>
              <w:ind w:firstLine="480" w:firstLineChars="200"/>
              <w:rPr>
                <w:rFonts w:eastAsiaTheme="minorEastAsia"/>
                <w:sz w:val="24"/>
              </w:rPr>
            </w:pPr>
            <w:r>
              <w:rPr>
                <w:rFonts w:eastAsiaTheme="minorEastAsia"/>
                <w:sz w:val="24"/>
              </w:rPr>
              <w:t>h</w:t>
            </w:r>
            <w:r>
              <w:rPr>
                <w:rFonts w:eastAsiaTheme="minorEastAsia"/>
                <w:sz w:val="24"/>
                <w:vertAlign w:val="subscript"/>
              </w:rPr>
              <w:t>1</w:t>
            </w:r>
            <w:r>
              <w:rPr>
                <w:rFonts w:eastAsiaTheme="minorEastAsia"/>
                <w:sz w:val="24"/>
              </w:rPr>
              <w:t>、h</w:t>
            </w:r>
            <w:r>
              <w:rPr>
                <w:rFonts w:eastAsiaTheme="minorEastAsia"/>
                <w:sz w:val="24"/>
                <w:vertAlign w:val="subscript"/>
              </w:rPr>
              <w:t>2</w:t>
            </w:r>
            <w:r>
              <w:rPr>
                <w:rFonts w:eastAsiaTheme="minorEastAsia"/>
                <w:sz w:val="24"/>
              </w:rPr>
              <w:t xml:space="preserve">—排气筒1和排气筒2的高度。 </w:t>
            </w:r>
          </w:p>
          <w:p>
            <w:pPr>
              <w:spacing w:line="360" w:lineRule="auto"/>
              <w:ind w:firstLine="480" w:firstLineChars="200"/>
              <w:rPr>
                <w:rFonts w:eastAsiaTheme="minorEastAsia"/>
                <w:sz w:val="24"/>
              </w:rPr>
            </w:pPr>
            <w:r>
              <w:rPr>
                <w:rFonts w:hint="eastAsia" w:eastAsiaTheme="minorEastAsia"/>
                <w:sz w:val="24"/>
              </w:rPr>
              <w:t>计算得知，喷砂废气等效排气筒高度为1</w:t>
            </w:r>
            <w:r>
              <w:rPr>
                <w:rFonts w:eastAsiaTheme="minorEastAsia"/>
                <w:sz w:val="24"/>
              </w:rPr>
              <w:t>6m。</w:t>
            </w:r>
          </w:p>
          <w:p>
            <w:pPr>
              <w:spacing w:line="360" w:lineRule="auto"/>
              <w:ind w:firstLine="480" w:firstLineChars="200"/>
              <w:rPr>
                <w:rFonts w:eastAsiaTheme="minorEastAsia"/>
                <w:sz w:val="24"/>
              </w:rPr>
            </w:pPr>
            <w:r>
              <w:rPr>
                <w:rFonts w:hint="eastAsia" w:eastAsiaTheme="minorEastAsia"/>
                <w:sz w:val="24"/>
              </w:rPr>
              <w:t>3）等效排气筒最高允许排放速率</w:t>
            </w:r>
          </w:p>
          <w:p>
            <w:pPr>
              <w:spacing w:line="360" w:lineRule="auto"/>
              <w:ind w:firstLine="480" w:firstLineChars="200"/>
              <w:rPr>
                <w:rFonts w:eastAsiaTheme="minorEastAsia"/>
                <w:sz w:val="24"/>
              </w:rPr>
            </w:pPr>
            <w:r>
              <w:rPr>
                <w:rFonts w:eastAsiaTheme="minorEastAsia"/>
                <w:sz w:val="24"/>
              </w:rPr>
              <w:t>项目喷砂房排气筒高度均为</w:t>
            </w:r>
            <w:r>
              <w:rPr>
                <w:rFonts w:hint="eastAsia" w:eastAsiaTheme="minorEastAsia"/>
                <w:sz w:val="24"/>
              </w:rPr>
              <w:t>1</w:t>
            </w:r>
            <w:r>
              <w:rPr>
                <w:rFonts w:eastAsiaTheme="minorEastAsia"/>
                <w:sz w:val="24"/>
              </w:rPr>
              <w:t>6m，高于排放标准表列排气筒最低允许高度，低于高度最高值</w:t>
            </w:r>
            <w:r>
              <w:rPr>
                <w:rFonts w:hint="eastAsia" w:eastAsiaTheme="minorEastAsia"/>
                <w:sz w:val="24"/>
              </w:rPr>
              <w:t>，</w:t>
            </w:r>
            <w:r>
              <w:rPr>
                <w:rFonts w:eastAsiaTheme="minorEastAsia"/>
                <w:sz w:val="24"/>
              </w:rPr>
              <w:t xml:space="preserve">因此采用用内插法计算其最高允许排放速率；计算公式如下： </w:t>
            </w:r>
          </w:p>
          <w:p>
            <w:pPr>
              <w:spacing w:line="360" w:lineRule="auto"/>
              <w:ind w:firstLine="480" w:firstLineChars="200"/>
              <w:rPr>
                <w:rFonts w:eastAsiaTheme="minorEastAsia"/>
                <w:sz w:val="24"/>
              </w:rPr>
            </w:pPr>
            <w:r>
              <w:rPr>
                <w:rFonts w:eastAsiaTheme="minorEastAsia"/>
                <w:sz w:val="24"/>
              </w:rPr>
              <w:t>Q=Q</w:t>
            </w:r>
            <w:r>
              <w:rPr>
                <w:rFonts w:eastAsiaTheme="minorEastAsia"/>
                <w:sz w:val="24"/>
                <w:vertAlign w:val="subscript"/>
              </w:rPr>
              <w:t>a</w:t>
            </w:r>
            <w:r>
              <w:rPr>
                <w:rFonts w:eastAsiaTheme="minorEastAsia"/>
                <w:sz w:val="24"/>
              </w:rPr>
              <w:t>+（Q</w:t>
            </w:r>
            <w:r>
              <w:rPr>
                <w:rFonts w:eastAsiaTheme="minorEastAsia"/>
                <w:sz w:val="24"/>
                <w:vertAlign w:val="subscript"/>
              </w:rPr>
              <w:t>a+1</w:t>
            </w:r>
            <w:r>
              <w:rPr>
                <w:rFonts w:eastAsiaTheme="minorEastAsia"/>
                <w:sz w:val="24"/>
              </w:rPr>
              <w:t>-Q</w:t>
            </w:r>
            <w:r>
              <w:rPr>
                <w:rFonts w:eastAsiaTheme="minorEastAsia"/>
                <w:sz w:val="24"/>
                <w:vertAlign w:val="subscript"/>
              </w:rPr>
              <w:t>a</w:t>
            </w:r>
            <w:r>
              <w:rPr>
                <w:rFonts w:eastAsiaTheme="minorEastAsia"/>
                <w:sz w:val="24"/>
              </w:rPr>
              <w:t>）（h-h</w:t>
            </w:r>
            <w:r>
              <w:rPr>
                <w:rFonts w:eastAsiaTheme="minorEastAsia"/>
                <w:sz w:val="24"/>
                <w:vertAlign w:val="subscript"/>
              </w:rPr>
              <w:t>a</w:t>
            </w:r>
            <w:r>
              <w:rPr>
                <w:rFonts w:eastAsiaTheme="minorEastAsia"/>
                <w:sz w:val="24"/>
              </w:rPr>
              <w:t>）/（h</w:t>
            </w:r>
            <w:r>
              <w:rPr>
                <w:rFonts w:eastAsiaTheme="minorEastAsia"/>
                <w:sz w:val="24"/>
                <w:vertAlign w:val="subscript"/>
              </w:rPr>
              <w:t>a+1</w:t>
            </w:r>
            <w:r>
              <w:rPr>
                <w:rFonts w:eastAsiaTheme="minorEastAsia"/>
                <w:sz w:val="24"/>
              </w:rPr>
              <w:t>-h</w:t>
            </w:r>
            <w:r>
              <w:rPr>
                <w:rFonts w:eastAsiaTheme="minorEastAsia"/>
                <w:sz w:val="24"/>
                <w:vertAlign w:val="subscript"/>
              </w:rPr>
              <w:t>a</w:t>
            </w:r>
            <w:r>
              <w:rPr>
                <w:rFonts w:eastAsiaTheme="minorEastAsia"/>
                <w:sz w:val="24"/>
              </w:rPr>
              <w:t>）</w:t>
            </w:r>
          </w:p>
          <w:p>
            <w:pPr>
              <w:spacing w:line="360" w:lineRule="auto"/>
              <w:ind w:firstLine="480" w:firstLineChars="200"/>
              <w:rPr>
                <w:rFonts w:eastAsiaTheme="minorEastAsia"/>
                <w:sz w:val="24"/>
              </w:rPr>
            </w:pPr>
            <w:r>
              <w:rPr>
                <w:rFonts w:eastAsiaTheme="minorEastAsia"/>
                <w:sz w:val="24"/>
              </w:rPr>
              <w:t>式中：Q—某排气筒最高允许排放速率；</w:t>
            </w:r>
          </w:p>
          <w:p>
            <w:pPr>
              <w:spacing w:line="360" w:lineRule="auto"/>
              <w:ind w:firstLine="480" w:firstLineChars="200"/>
              <w:rPr>
                <w:rFonts w:eastAsiaTheme="minorEastAsia"/>
                <w:sz w:val="24"/>
              </w:rPr>
            </w:pPr>
            <w:r>
              <w:rPr>
                <w:rFonts w:eastAsiaTheme="minorEastAsia"/>
                <w:sz w:val="24"/>
              </w:rPr>
              <w:t>Q</w:t>
            </w:r>
            <w:r>
              <w:rPr>
                <w:rFonts w:eastAsiaTheme="minorEastAsia"/>
                <w:sz w:val="24"/>
                <w:vertAlign w:val="subscript"/>
              </w:rPr>
              <w:t>a</w:t>
            </w:r>
            <w:r>
              <w:rPr>
                <w:rFonts w:eastAsiaTheme="minorEastAsia"/>
                <w:sz w:val="24"/>
              </w:rPr>
              <w:t>—比某排气筒低的表列限值中的最大值；</w:t>
            </w:r>
          </w:p>
          <w:p>
            <w:pPr>
              <w:spacing w:line="360" w:lineRule="auto"/>
              <w:ind w:firstLine="480" w:firstLineChars="200"/>
              <w:rPr>
                <w:rFonts w:eastAsiaTheme="minorEastAsia"/>
                <w:sz w:val="24"/>
              </w:rPr>
            </w:pPr>
            <w:r>
              <w:rPr>
                <w:rFonts w:eastAsiaTheme="minorEastAsia"/>
                <w:sz w:val="24"/>
              </w:rPr>
              <w:t>Q</w:t>
            </w:r>
            <w:r>
              <w:rPr>
                <w:rFonts w:eastAsiaTheme="minorEastAsia"/>
                <w:sz w:val="24"/>
                <w:vertAlign w:val="subscript"/>
              </w:rPr>
              <w:t>a+1</w:t>
            </w:r>
            <w:r>
              <w:rPr>
                <w:rFonts w:eastAsiaTheme="minorEastAsia"/>
                <w:sz w:val="24"/>
              </w:rPr>
              <w:t>—比某排气筒高的表列限值中的最小值；</w:t>
            </w:r>
          </w:p>
          <w:p>
            <w:pPr>
              <w:spacing w:line="360" w:lineRule="auto"/>
              <w:ind w:firstLine="480" w:firstLineChars="200"/>
              <w:rPr>
                <w:rFonts w:eastAsiaTheme="minorEastAsia"/>
                <w:sz w:val="24"/>
              </w:rPr>
            </w:pPr>
            <w:r>
              <w:rPr>
                <w:rFonts w:eastAsiaTheme="minorEastAsia"/>
                <w:sz w:val="24"/>
              </w:rPr>
              <w:t>h—某排气筒的几何高度；</w:t>
            </w:r>
          </w:p>
          <w:p>
            <w:pPr>
              <w:spacing w:line="360" w:lineRule="auto"/>
              <w:ind w:firstLine="480" w:firstLineChars="200"/>
              <w:rPr>
                <w:rFonts w:eastAsiaTheme="minorEastAsia"/>
                <w:sz w:val="24"/>
              </w:rPr>
            </w:pPr>
            <w:r>
              <w:rPr>
                <w:rFonts w:eastAsiaTheme="minorEastAsia"/>
                <w:sz w:val="24"/>
              </w:rPr>
              <w:t>h</w:t>
            </w:r>
            <w:r>
              <w:rPr>
                <w:rFonts w:eastAsiaTheme="minorEastAsia"/>
                <w:sz w:val="24"/>
                <w:vertAlign w:val="subscript"/>
              </w:rPr>
              <w:t>a</w:t>
            </w:r>
            <w:r>
              <w:rPr>
                <w:rFonts w:eastAsiaTheme="minorEastAsia"/>
                <w:sz w:val="24"/>
              </w:rPr>
              <w:t>—比某排气筒低的表列高度中的最大值；</w:t>
            </w:r>
          </w:p>
          <w:p>
            <w:pPr>
              <w:spacing w:line="360" w:lineRule="auto"/>
              <w:ind w:firstLine="480" w:firstLineChars="200"/>
              <w:rPr>
                <w:rFonts w:eastAsiaTheme="minorEastAsia"/>
                <w:sz w:val="24"/>
              </w:rPr>
            </w:pPr>
            <w:r>
              <w:rPr>
                <w:rFonts w:eastAsiaTheme="minorEastAsia"/>
                <w:sz w:val="24"/>
              </w:rPr>
              <w:t>h</w:t>
            </w:r>
            <w:r>
              <w:rPr>
                <w:rFonts w:eastAsiaTheme="minorEastAsia"/>
                <w:sz w:val="24"/>
                <w:vertAlign w:val="subscript"/>
              </w:rPr>
              <w:t>a+1</w:t>
            </w:r>
            <w:r>
              <w:rPr>
                <w:rFonts w:eastAsiaTheme="minorEastAsia"/>
                <w:sz w:val="24"/>
              </w:rPr>
              <w:t>—比某排气筒高的表列高度中的最小值。</w:t>
            </w:r>
          </w:p>
          <w:p>
            <w:pPr>
              <w:spacing w:line="360" w:lineRule="auto"/>
              <w:ind w:firstLine="480" w:firstLineChars="200"/>
              <w:rPr>
                <w:rFonts w:eastAsiaTheme="minorEastAsia"/>
                <w:sz w:val="24"/>
              </w:rPr>
            </w:pPr>
            <w:r>
              <w:rPr>
                <w:rFonts w:eastAsiaTheme="minorEastAsia"/>
                <w:sz w:val="24"/>
              </w:rPr>
              <w:t>计算可知，喷砂废气等效排气筒</w:t>
            </w:r>
            <w:r>
              <w:rPr>
                <w:rFonts w:hint="eastAsia" w:eastAsiaTheme="minorEastAsia"/>
                <w:sz w:val="24"/>
              </w:rPr>
              <w:t>最高允许排放速率</w:t>
            </w:r>
            <w:r>
              <w:rPr>
                <w:rFonts w:eastAsiaTheme="minorEastAsia"/>
                <w:sz w:val="24"/>
              </w:rPr>
              <w:t>为</w:t>
            </w:r>
            <w:r>
              <w:rPr>
                <w:rFonts w:hint="eastAsia" w:eastAsiaTheme="minorEastAsia"/>
                <w:sz w:val="24"/>
              </w:rPr>
              <w:t>3</w:t>
            </w:r>
            <w:r>
              <w:rPr>
                <w:rFonts w:eastAsiaTheme="minorEastAsia"/>
                <w:sz w:val="24"/>
              </w:rPr>
              <w:t>.98kg/h；</w:t>
            </w:r>
          </w:p>
          <w:p>
            <w:pPr>
              <w:spacing w:line="360" w:lineRule="auto"/>
              <w:ind w:firstLine="480" w:firstLineChars="200"/>
              <w:rPr>
                <w:rFonts w:eastAsiaTheme="minorEastAsia"/>
                <w:sz w:val="24"/>
              </w:rPr>
            </w:pPr>
            <w:r>
              <w:rPr>
                <w:rFonts w:hint="eastAsia" w:eastAsiaTheme="minorEastAsia"/>
                <w:sz w:val="24"/>
              </w:rPr>
              <w:t>②打磨废气等效排气筒</w:t>
            </w:r>
          </w:p>
          <w:p>
            <w:pPr>
              <w:spacing w:line="360" w:lineRule="auto"/>
              <w:ind w:firstLine="480" w:firstLineChars="200"/>
              <w:rPr>
                <w:rFonts w:eastAsiaTheme="minorEastAsia"/>
                <w:sz w:val="24"/>
              </w:rPr>
            </w:pPr>
            <w:r>
              <w:rPr>
                <w:rFonts w:eastAsiaTheme="minorEastAsia"/>
                <w:sz w:val="24"/>
              </w:rPr>
              <w:t>项目一期</w:t>
            </w:r>
            <w:r>
              <w:rPr>
                <w:rFonts w:hint="eastAsia" w:eastAsiaTheme="minorEastAsia"/>
                <w:sz w:val="24"/>
              </w:rPr>
              <w:t>打磨</w:t>
            </w:r>
            <w:r>
              <w:rPr>
                <w:rFonts w:eastAsiaTheme="minorEastAsia"/>
                <w:sz w:val="24"/>
              </w:rPr>
              <w:t>车间共设置8</w:t>
            </w:r>
            <w:r>
              <w:rPr>
                <w:rFonts w:hint="eastAsia" w:eastAsiaTheme="minorEastAsia"/>
                <w:sz w:val="24"/>
              </w:rPr>
              <w:t>个1</w:t>
            </w:r>
            <w:r>
              <w:rPr>
                <w:rFonts w:eastAsiaTheme="minorEastAsia"/>
                <w:sz w:val="24"/>
              </w:rPr>
              <w:t>6m高排气筒，排气筒之间距离约为5</w:t>
            </w:r>
            <w:r>
              <w:rPr>
                <w:rFonts w:hint="eastAsia" w:eastAsiaTheme="minorEastAsia"/>
                <w:sz w:val="24"/>
              </w:rPr>
              <w:t>m，小于排气筒高度之和，且8排气筒排放污染物均为颗粒物。本次评价对其进行等效排气筒计算。</w:t>
            </w:r>
          </w:p>
          <w:p>
            <w:pPr>
              <w:spacing w:line="360" w:lineRule="auto"/>
              <w:ind w:firstLine="480" w:firstLineChars="200"/>
              <w:rPr>
                <w:rFonts w:eastAsiaTheme="minorEastAsia"/>
                <w:sz w:val="24"/>
              </w:rPr>
            </w:pPr>
            <w:r>
              <w:rPr>
                <w:rFonts w:hint="eastAsia" w:eastAsiaTheme="minorEastAsia"/>
                <w:sz w:val="24"/>
              </w:rPr>
              <w:t>1）排放速率</w:t>
            </w:r>
          </w:p>
          <w:p>
            <w:pPr>
              <w:spacing w:line="360" w:lineRule="auto"/>
              <w:ind w:firstLine="480" w:firstLineChars="200"/>
              <w:rPr>
                <w:rFonts w:eastAsiaTheme="minorEastAsia"/>
                <w:sz w:val="24"/>
              </w:rPr>
            </w:pPr>
            <w:r>
              <w:rPr>
                <w:rFonts w:hint="eastAsia" w:eastAsiaTheme="minorEastAsia"/>
                <w:sz w:val="24"/>
              </w:rPr>
              <w:t>计算得知，打磨废气等效排气筒排放速率为</w:t>
            </w:r>
            <w:r>
              <w:rPr>
                <w:rFonts w:eastAsiaTheme="minorEastAsia"/>
                <w:sz w:val="24"/>
              </w:rPr>
              <w:t>0.0169kg/h。</w:t>
            </w:r>
          </w:p>
          <w:p>
            <w:pPr>
              <w:spacing w:line="360" w:lineRule="auto"/>
              <w:ind w:firstLine="480" w:firstLineChars="200"/>
              <w:rPr>
                <w:rFonts w:eastAsiaTheme="minorEastAsia"/>
                <w:sz w:val="24"/>
              </w:rPr>
            </w:pPr>
            <w:r>
              <w:rPr>
                <w:rFonts w:hint="eastAsia" w:eastAsiaTheme="minorEastAsia"/>
                <w:sz w:val="24"/>
              </w:rPr>
              <w:t>2）排气筒高度</w:t>
            </w:r>
          </w:p>
          <w:p>
            <w:pPr>
              <w:spacing w:line="360" w:lineRule="auto"/>
              <w:ind w:firstLine="480" w:firstLineChars="200"/>
              <w:rPr>
                <w:rFonts w:eastAsiaTheme="minorEastAsia"/>
                <w:sz w:val="24"/>
              </w:rPr>
            </w:pPr>
            <w:r>
              <w:rPr>
                <w:rFonts w:eastAsiaTheme="minorEastAsia"/>
                <w:sz w:val="24"/>
              </w:rPr>
              <w:t>式中：h—等效排气筒高度；</w:t>
            </w:r>
          </w:p>
          <w:p>
            <w:pPr>
              <w:spacing w:line="360" w:lineRule="auto"/>
              <w:ind w:firstLine="480" w:firstLineChars="200"/>
              <w:rPr>
                <w:rFonts w:eastAsiaTheme="minorEastAsia"/>
                <w:sz w:val="24"/>
              </w:rPr>
            </w:pPr>
            <w:r>
              <w:rPr>
                <w:rFonts w:eastAsiaTheme="minorEastAsia"/>
                <w:sz w:val="24"/>
              </w:rPr>
              <w:t>h</w:t>
            </w:r>
            <w:r>
              <w:rPr>
                <w:rFonts w:eastAsiaTheme="minorEastAsia"/>
                <w:sz w:val="24"/>
                <w:vertAlign w:val="subscript"/>
              </w:rPr>
              <w:t>1</w:t>
            </w:r>
            <w:r>
              <w:rPr>
                <w:rFonts w:eastAsiaTheme="minorEastAsia"/>
                <w:sz w:val="24"/>
              </w:rPr>
              <w:t>、h</w:t>
            </w:r>
            <w:r>
              <w:rPr>
                <w:rFonts w:eastAsiaTheme="minorEastAsia"/>
                <w:sz w:val="24"/>
                <w:vertAlign w:val="subscript"/>
              </w:rPr>
              <w:t>2</w:t>
            </w:r>
            <w:r>
              <w:rPr>
                <w:rFonts w:eastAsiaTheme="minorEastAsia"/>
                <w:sz w:val="24"/>
              </w:rPr>
              <w:t xml:space="preserve">—排气筒1和排气筒2的高度。 </w:t>
            </w:r>
          </w:p>
          <w:p>
            <w:pPr>
              <w:spacing w:line="360" w:lineRule="auto"/>
              <w:ind w:firstLine="480" w:firstLineChars="200"/>
              <w:rPr>
                <w:rFonts w:eastAsiaTheme="minorEastAsia"/>
                <w:sz w:val="24"/>
              </w:rPr>
            </w:pPr>
            <w:r>
              <w:rPr>
                <w:rFonts w:hint="eastAsia" w:eastAsiaTheme="minorEastAsia"/>
                <w:sz w:val="24"/>
              </w:rPr>
              <w:t>计算得知，打磨废气等效排气筒高度为1</w:t>
            </w:r>
            <w:r>
              <w:rPr>
                <w:rFonts w:eastAsiaTheme="minorEastAsia"/>
                <w:sz w:val="24"/>
              </w:rPr>
              <w:t>6m。</w:t>
            </w:r>
          </w:p>
          <w:p>
            <w:pPr>
              <w:spacing w:line="360" w:lineRule="auto"/>
              <w:ind w:firstLine="480" w:firstLineChars="200"/>
              <w:rPr>
                <w:rFonts w:eastAsiaTheme="minorEastAsia"/>
                <w:sz w:val="24"/>
              </w:rPr>
            </w:pPr>
            <w:r>
              <w:rPr>
                <w:rFonts w:hint="eastAsia" w:eastAsiaTheme="minorEastAsia"/>
                <w:sz w:val="24"/>
              </w:rPr>
              <w:t>3）等效排气筒最高允许排放速率</w:t>
            </w:r>
          </w:p>
          <w:p>
            <w:pPr>
              <w:spacing w:line="360" w:lineRule="auto"/>
              <w:ind w:firstLine="480" w:firstLineChars="200"/>
              <w:rPr>
                <w:rFonts w:eastAsiaTheme="minorEastAsia"/>
                <w:sz w:val="24"/>
              </w:rPr>
            </w:pPr>
            <w:r>
              <w:rPr>
                <w:rFonts w:eastAsiaTheme="minorEastAsia"/>
                <w:sz w:val="24"/>
              </w:rPr>
              <w:t>项目</w:t>
            </w:r>
            <w:r>
              <w:rPr>
                <w:rFonts w:hint="eastAsia" w:eastAsiaTheme="minorEastAsia"/>
                <w:sz w:val="24"/>
              </w:rPr>
              <w:t>打磨房</w:t>
            </w:r>
            <w:r>
              <w:rPr>
                <w:rFonts w:eastAsiaTheme="minorEastAsia"/>
                <w:sz w:val="24"/>
              </w:rPr>
              <w:t>排气筒高度均为</w:t>
            </w:r>
            <w:r>
              <w:rPr>
                <w:rFonts w:hint="eastAsia" w:eastAsiaTheme="minorEastAsia"/>
                <w:sz w:val="24"/>
              </w:rPr>
              <w:t>1</w:t>
            </w:r>
            <w:r>
              <w:rPr>
                <w:rFonts w:eastAsiaTheme="minorEastAsia"/>
                <w:sz w:val="24"/>
              </w:rPr>
              <w:t>6m，高于排放标准表列排气筒最低允许高度，低于高度最高值</w:t>
            </w:r>
            <w:r>
              <w:rPr>
                <w:rFonts w:hint="eastAsia" w:eastAsiaTheme="minorEastAsia"/>
                <w:sz w:val="24"/>
              </w:rPr>
              <w:t>，</w:t>
            </w:r>
            <w:r>
              <w:rPr>
                <w:rFonts w:eastAsiaTheme="minorEastAsia"/>
                <w:sz w:val="24"/>
              </w:rPr>
              <w:t xml:space="preserve">因此采用用内插法计算其最高允许排放速率；计算公式如下： </w:t>
            </w:r>
          </w:p>
          <w:p>
            <w:pPr>
              <w:spacing w:line="360" w:lineRule="auto"/>
              <w:ind w:firstLine="480" w:firstLineChars="200"/>
              <w:rPr>
                <w:rFonts w:eastAsiaTheme="minorEastAsia"/>
                <w:sz w:val="24"/>
              </w:rPr>
            </w:pPr>
            <w:r>
              <w:rPr>
                <w:rFonts w:eastAsiaTheme="minorEastAsia"/>
                <w:sz w:val="24"/>
              </w:rPr>
              <w:t>Q=Q</w:t>
            </w:r>
            <w:r>
              <w:rPr>
                <w:rFonts w:eastAsiaTheme="minorEastAsia"/>
                <w:sz w:val="24"/>
                <w:vertAlign w:val="subscript"/>
              </w:rPr>
              <w:t>a</w:t>
            </w:r>
            <w:r>
              <w:rPr>
                <w:rFonts w:eastAsiaTheme="minorEastAsia"/>
                <w:sz w:val="24"/>
              </w:rPr>
              <w:t>+（Q</w:t>
            </w:r>
            <w:r>
              <w:rPr>
                <w:rFonts w:eastAsiaTheme="minorEastAsia"/>
                <w:sz w:val="24"/>
                <w:vertAlign w:val="subscript"/>
              </w:rPr>
              <w:t>a+1</w:t>
            </w:r>
            <w:r>
              <w:rPr>
                <w:rFonts w:eastAsiaTheme="minorEastAsia"/>
                <w:sz w:val="24"/>
              </w:rPr>
              <w:t>-Q</w:t>
            </w:r>
            <w:r>
              <w:rPr>
                <w:rFonts w:eastAsiaTheme="minorEastAsia"/>
                <w:sz w:val="24"/>
                <w:vertAlign w:val="subscript"/>
              </w:rPr>
              <w:t>a</w:t>
            </w:r>
            <w:r>
              <w:rPr>
                <w:rFonts w:eastAsiaTheme="minorEastAsia"/>
                <w:sz w:val="24"/>
              </w:rPr>
              <w:t>）（h-h</w:t>
            </w:r>
            <w:r>
              <w:rPr>
                <w:rFonts w:eastAsiaTheme="minorEastAsia"/>
                <w:sz w:val="24"/>
                <w:vertAlign w:val="subscript"/>
              </w:rPr>
              <w:t>a</w:t>
            </w:r>
            <w:r>
              <w:rPr>
                <w:rFonts w:eastAsiaTheme="minorEastAsia"/>
                <w:sz w:val="24"/>
              </w:rPr>
              <w:t>）/（h</w:t>
            </w:r>
            <w:r>
              <w:rPr>
                <w:rFonts w:eastAsiaTheme="minorEastAsia"/>
                <w:sz w:val="24"/>
                <w:vertAlign w:val="subscript"/>
              </w:rPr>
              <w:t>a+1</w:t>
            </w:r>
            <w:r>
              <w:rPr>
                <w:rFonts w:eastAsiaTheme="minorEastAsia"/>
                <w:sz w:val="24"/>
              </w:rPr>
              <w:t>-h</w:t>
            </w:r>
            <w:r>
              <w:rPr>
                <w:rFonts w:eastAsiaTheme="minorEastAsia"/>
                <w:sz w:val="24"/>
                <w:vertAlign w:val="subscript"/>
              </w:rPr>
              <w:t>a</w:t>
            </w:r>
            <w:r>
              <w:rPr>
                <w:rFonts w:eastAsiaTheme="minorEastAsia"/>
                <w:sz w:val="24"/>
              </w:rPr>
              <w:t>）</w:t>
            </w:r>
          </w:p>
          <w:p>
            <w:pPr>
              <w:spacing w:line="360" w:lineRule="auto"/>
              <w:ind w:firstLine="480" w:firstLineChars="200"/>
              <w:rPr>
                <w:rFonts w:eastAsiaTheme="minorEastAsia"/>
                <w:sz w:val="24"/>
              </w:rPr>
            </w:pPr>
            <w:r>
              <w:rPr>
                <w:rFonts w:eastAsiaTheme="minorEastAsia"/>
                <w:sz w:val="24"/>
              </w:rPr>
              <w:t>式中：Q—某排气筒最高允许排放速率；</w:t>
            </w:r>
          </w:p>
          <w:p>
            <w:pPr>
              <w:spacing w:line="360" w:lineRule="auto"/>
              <w:ind w:firstLine="480" w:firstLineChars="200"/>
              <w:rPr>
                <w:rFonts w:eastAsiaTheme="minorEastAsia"/>
                <w:sz w:val="24"/>
              </w:rPr>
            </w:pPr>
            <w:r>
              <w:rPr>
                <w:rFonts w:eastAsiaTheme="minorEastAsia"/>
                <w:sz w:val="24"/>
              </w:rPr>
              <w:t>Q</w:t>
            </w:r>
            <w:r>
              <w:rPr>
                <w:rFonts w:eastAsiaTheme="minorEastAsia"/>
                <w:sz w:val="24"/>
                <w:vertAlign w:val="subscript"/>
              </w:rPr>
              <w:t>a</w:t>
            </w:r>
            <w:r>
              <w:rPr>
                <w:rFonts w:eastAsiaTheme="minorEastAsia"/>
                <w:sz w:val="24"/>
              </w:rPr>
              <w:t>—比某排气筒低的表列限值中的最大值；</w:t>
            </w:r>
          </w:p>
          <w:p>
            <w:pPr>
              <w:spacing w:line="360" w:lineRule="auto"/>
              <w:ind w:firstLine="480" w:firstLineChars="200"/>
              <w:rPr>
                <w:rFonts w:eastAsiaTheme="minorEastAsia"/>
                <w:sz w:val="24"/>
              </w:rPr>
            </w:pPr>
            <w:r>
              <w:rPr>
                <w:rFonts w:eastAsiaTheme="minorEastAsia"/>
                <w:sz w:val="24"/>
              </w:rPr>
              <w:t>Q</w:t>
            </w:r>
            <w:r>
              <w:rPr>
                <w:rFonts w:eastAsiaTheme="minorEastAsia"/>
                <w:sz w:val="24"/>
                <w:vertAlign w:val="subscript"/>
              </w:rPr>
              <w:t>a+1</w:t>
            </w:r>
            <w:r>
              <w:rPr>
                <w:rFonts w:eastAsiaTheme="minorEastAsia"/>
                <w:sz w:val="24"/>
              </w:rPr>
              <w:t>—比某排气筒高的表列限值中的最小值；</w:t>
            </w:r>
          </w:p>
          <w:p>
            <w:pPr>
              <w:spacing w:line="360" w:lineRule="auto"/>
              <w:ind w:firstLine="480" w:firstLineChars="200"/>
              <w:rPr>
                <w:rFonts w:eastAsiaTheme="minorEastAsia"/>
                <w:sz w:val="24"/>
              </w:rPr>
            </w:pPr>
            <w:r>
              <w:rPr>
                <w:rFonts w:eastAsiaTheme="minorEastAsia"/>
                <w:sz w:val="24"/>
              </w:rPr>
              <w:t>h—某排气筒的几何高度；</w:t>
            </w:r>
          </w:p>
          <w:p>
            <w:pPr>
              <w:spacing w:line="360" w:lineRule="auto"/>
              <w:ind w:firstLine="480" w:firstLineChars="200"/>
              <w:rPr>
                <w:rFonts w:eastAsiaTheme="minorEastAsia"/>
                <w:sz w:val="24"/>
              </w:rPr>
            </w:pPr>
            <w:r>
              <w:rPr>
                <w:rFonts w:eastAsiaTheme="minorEastAsia"/>
                <w:sz w:val="24"/>
              </w:rPr>
              <w:t>h</w:t>
            </w:r>
            <w:r>
              <w:rPr>
                <w:rFonts w:eastAsiaTheme="minorEastAsia"/>
                <w:sz w:val="24"/>
                <w:vertAlign w:val="subscript"/>
              </w:rPr>
              <w:t>a</w:t>
            </w:r>
            <w:r>
              <w:rPr>
                <w:rFonts w:eastAsiaTheme="minorEastAsia"/>
                <w:sz w:val="24"/>
              </w:rPr>
              <w:t>—比某排气筒低的表列高度中的最大值；</w:t>
            </w:r>
          </w:p>
          <w:p>
            <w:pPr>
              <w:spacing w:line="360" w:lineRule="auto"/>
              <w:ind w:firstLine="480" w:firstLineChars="200"/>
              <w:rPr>
                <w:rFonts w:eastAsiaTheme="minorEastAsia"/>
                <w:sz w:val="24"/>
              </w:rPr>
            </w:pPr>
            <w:r>
              <w:rPr>
                <w:rFonts w:eastAsiaTheme="minorEastAsia"/>
                <w:sz w:val="24"/>
              </w:rPr>
              <w:t>h</w:t>
            </w:r>
            <w:r>
              <w:rPr>
                <w:rFonts w:eastAsiaTheme="minorEastAsia"/>
                <w:sz w:val="24"/>
                <w:vertAlign w:val="subscript"/>
              </w:rPr>
              <w:t>a+1</w:t>
            </w:r>
            <w:r>
              <w:rPr>
                <w:rFonts w:eastAsiaTheme="minorEastAsia"/>
                <w:sz w:val="24"/>
              </w:rPr>
              <w:t>—比某排气筒高的表列高度中的最小值。</w:t>
            </w:r>
          </w:p>
          <w:p>
            <w:pPr>
              <w:spacing w:line="360" w:lineRule="auto"/>
              <w:ind w:firstLine="480" w:firstLineChars="200"/>
              <w:rPr>
                <w:rFonts w:eastAsiaTheme="minorEastAsia"/>
                <w:sz w:val="24"/>
              </w:rPr>
            </w:pPr>
            <w:r>
              <w:rPr>
                <w:rFonts w:eastAsiaTheme="minorEastAsia"/>
                <w:sz w:val="24"/>
              </w:rPr>
              <w:t>计算可知，</w:t>
            </w:r>
            <w:r>
              <w:rPr>
                <w:rFonts w:hint="eastAsia" w:eastAsiaTheme="minorEastAsia"/>
                <w:sz w:val="24"/>
              </w:rPr>
              <w:t>打磨</w:t>
            </w:r>
            <w:r>
              <w:rPr>
                <w:rFonts w:eastAsiaTheme="minorEastAsia"/>
                <w:sz w:val="24"/>
              </w:rPr>
              <w:t>废气等效排气筒</w:t>
            </w:r>
            <w:r>
              <w:rPr>
                <w:rFonts w:hint="eastAsia" w:eastAsiaTheme="minorEastAsia"/>
                <w:sz w:val="24"/>
              </w:rPr>
              <w:t>最高允许排放速率</w:t>
            </w:r>
            <w:r>
              <w:rPr>
                <w:rFonts w:eastAsiaTheme="minorEastAsia"/>
                <w:sz w:val="24"/>
              </w:rPr>
              <w:t>为</w:t>
            </w:r>
            <w:r>
              <w:rPr>
                <w:rFonts w:hint="eastAsia" w:eastAsiaTheme="minorEastAsia"/>
                <w:sz w:val="24"/>
              </w:rPr>
              <w:t>3</w:t>
            </w:r>
            <w:r>
              <w:rPr>
                <w:rFonts w:eastAsiaTheme="minorEastAsia"/>
                <w:sz w:val="24"/>
              </w:rPr>
              <w:t>.98kg/h；</w:t>
            </w:r>
          </w:p>
          <w:p>
            <w:pPr>
              <w:spacing w:line="360" w:lineRule="auto"/>
              <w:ind w:firstLine="480" w:firstLineChars="200"/>
              <w:rPr>
                <w:rFonts w:eastAsiaTheme="minorEastAsia"/>
                <w:sz w:val="24"/>
              </w:rPr>
            </w:pPr>
            <w:r>
              <w:rPr>
                <w:rFonts w:hint="eastAsia" w:eastAsiaTheme="minorEastAsia"/>
                <w:sz w:val="24"/>
              </w:rPr>
              <w:t>③喷漆废气等效排气筒</w:t>
            </w:r>
          </w:p>
          <w:p>
            <w:pPr>
              <w:spacing w:line="360" w:lineRule="auto"/>
              <w:ind w:firstLine="480" w:firstLineChars="200"/>
              <w:rPr>
                <w:rFonts w:eastAsiaTheme="minorEastAsia"/>
                <w:sz w:val="24"/>
              </w:rPr>
            </w:pPr>
            <w:r>
              <w:rPr>
                <w:rFonts w:eastAsiaTheme="minorEastAsia"/>
                <w:sz w:val="24"/>
              </w:rPr>
              <w:t>项目一期</w:t>
            </w:r>
            <w:r>
              <w:rPr>
                <w:rFonts w:hint="eastAsia" w:eastAsiaTheme="minorEastAsia"/>
                <w:sz w:val="24"/>
              </w:rPr>
              <w:t>喷漆</w:t>
            </w:r>
            <w:r>
              <w:rPr>
                <w:rFonts w:eastAsiaTheme="minorEastAsia"/>
                <w:sz w:val="24"/>
              </w:rPr>
              <w:t>车间共设置16</w:t>
            </w:r>
            <w:r>
              <w:rPr>
                <w:rFonts w:hint="eastAsia" w:eastAsiaTheme="minorEastAsia"/>
                <w:sz w:val="24"/>
              </w:rPr>
              <w:t>个1</w:t>
            </w:r>
            <w:r>
              <w:rPr>
                <w:rFonts w:eastAsiaTheme="minorEastAsia"/>
                <w:sz w:val="24"/>
              </w:rPr>
              <w:t>6m高排气筒，排气筒之间距离约为3</w:t>
            </w:r>
            <w:r>
              <w:rPr>
                <w:rFonts w:hint="eastAsia" w:eastAsiaTheme="minorEastAsia"/>
                <w:sz w:val="24"/>
              </w:rPr>
              <w:t>m，小于排气筒高度之和，且</w:t>
            </w:r>
            <w:r>
              <w:rPr>
                <w:rFonts w:eastAsiaTheme="minorEastAsia"/>
                <w:sz w:val="24"/>
              </w:rPr>
              <w:t>16个</w:t>
            </w:r>
            <w:r>
              <w:rPr>
                <w:rFonts w:hint="eastAsia" w:eastAsiaTheme="minorEastAsia"/>
                <w:sz w:val="24"/>
              </w:rPr>
              <w:t>排气筒排放污染物均为非甲烷总烃。本次评价对其进行等效排气筒计算。</w:t>
            </w:r>
          </w:p>
          <w:p>
            <w:pPr>
              <w:spacing w:line="360" w:lineRule="auto"/>
              <w:ind w:firstLine="480" w:firstLineChars="200"/>
              <w:rPr>
                <w:rFonts w:eastAsiaTheme="minorEastAsia"/>
                <w:sz w:val="24"/>
              </w:rPr>
            </w:pPr>
            <w:r>
              <w:rPr>
                <w:rFonts w:hint="eastAsia" w:eastAsiaTheme="minorEastAsia"/>
                <w:sz w:val="24"/>
              </w:rPr>
              <w:t>1）排放速率</w:t>
            </w:r>
          </w:p>
          <w:p>
            <w:pPr>
              <w:spacing w:line="360" w:lineRule="auto"/>
              <w:ind w:firstLine="480" w:firstLineChars="200"/>
              <w:rPr>
                <w:rFonts w:eastAsiaTheme="minorEastAsia"/>
                <w:sz w:val="24"/>
              </w:rPr>
            </w:pPr>
            <w:r>
              <w:rPr>
                <w:rFonts w:hint="eastAsia" w:eastAsiaTheme="minorEastAsia"/>
                <w:sz w:val="24"/>
              </w:rPr>
              <w:t>计算得知，喷漆废气等效排气筒排放速率为</w:t>
            </w:r>
            <w:r>
              <w:rPr>
                <w:rFonts w:eastAsiaTheme="minorEastAsia"/>
                <w:sz w:val="24"/>
              </w:rPr>
              <w:t>0.06kg/h。</w:t>
            </w:r>
          </w:p>
          <w:p>
            <w:pPr>
              <w:spacing w:line="360" w:lineRule="auto"/>
              <w:ind w:firstLine="480" w:firstLineChars="200"/>
              <w:rPr>
                <w:rFonts w:eastAsiaTheme="minorEastAsia"/>
                <w:sz w:val="24"/>
              </w:rPr>
            </w:pPr>
            <w:r>
              <w:rPr>
                <w:rFonts w:hint="eastAsia" w:eastAsiaTheme="minorEastAsia"/>
                <w:sz w:val="24"/>
              </w:rPr>
              <w:t>2）排气筒高度</w:t>
            </w:r>
          </w:p>
          <w:p>
            <w:pPr>
              <w:spacing w:line="360" w:lineRule="auto"/>
              <w:ind w:firstLine="480" w:firstLineChars="200"/>
              <w:rPr>
                <w:rFonts w:eastAsiaTheme="minorEastAsia"/>
                <w:sz w:val="24"/>
              </w:rPr>
            </w:pPr>
            <w:r>
              <w:rPr>
                <w:rFonts w:hint="eastAsia" w:eastAsiaTheme="minorEastAsia"/>
                <w:sz w:val="24"/>
              </w:rPr>
              <w:t>计算得知，喷漆废气等效排气筒高度为1</w:t>
            </w:r>
            <w:r>
              <w:rPr>
                <w:rFonts w:eastAsiaTheme="minorEastAsia"/>
                <w:sz w:val="24"/>
              </w:rPr>
              <w:t>6m。</w:t>
            </w:r>
          </w:p>
          <w:p>
            <w:pPr>
              <w:spacing w:line="360" w:lineRule="auto"/>
              <w:ind w:firstLine="480" w:firstLineChars="200"/>
              <w:rPr>
                <w:rFonts w:eastAsiaTheme="minorEastAsia"/>
                <w:sz w:val="24"/>
              </w:rPr>
            </w:pPr>
            <w:r>
              <w:rPr>
                <w:rFonts w:hint="eastAsia" w:eastAsiaTheme="minorEastAsia"/>
                <w:sz w:val="24"/>
              </w:rPr>
              <w:t>3）等效排气筒最高允许排放速率</w:t>
            </w:r>
          </w:p>
          <w:p>
            <w:pPr>
              <w:spacing w:line="360" w:lineRule="auto"/>
              <w:ind w:firstLine="480" w:firstLineChars="200"/>
              <w:rPr>
                <w:rFonts w:eastAsiaTheme="minorEastAsia"/>
                <w:sz w:val="24"/>
              </w:rPr>
            </w:pPr>
            <w:r>
              <w:rPr>
                <w:rFonts w:eastAsiaTheme="minorEastAsia"/>
                <w:sz w:val="24"/>
              </w:rPr>
              <w:t>项目</w:t>
            </w:r>
            <w:r>
              <w:rPr>
                <w:rFonts w:hint="eastAsia" w:eastAsiaTheme="minorEastAsia"/>
                <w:sz w:val="24"/>
              </w:rPr>
              <w:t>喷漆房</w:t>
            </w:r>
            <w:r>
              <w:rPr>
                <w:rFonts w:eastAsiaTheme="minorEastAsia"/>
                <w:sz w:val="24"/>
              </w:rPr>
              <w:t>排气筒高度均为</w:t>
            </w:r>
            <w:r>
              <w:rPr>
                <w:rFonts w:hint="eastAsia" w:eastAsiaTheme="minorEastAsia"/>
                <w:sz w:val="24"/>
              </w:rPr>
              <w:t>1</w:t>
            </w:r>
            <w:r>
              <w:rPr>
                <w:rFonts w:eastAsiaTheme="minorEastAsia"/>
                <w:sz w:val="24"/>
              </w:rPr>
              <w:t>6m，高于排放标准表列排气筒最低允许高度，低于高度最高值</w:t>
            </w:r>
            <w:r>
              <w:rPr>
                <w:rFonts w:hint="eastAsia" w:eastAsiaTheme="minorEastAsia"/>
                <w:sz w:val="24"/>
              </w:rPr>
              <w:t>，</w:t>
            </w:r>
            <w:r>
              <w:rPr>
                <w:rFonts w:eastAsiaTheme="minorEastAsia"/>
                <w:sz w:val="24"/>
              </w:rPr>
              <w:t xml:space="preserve">因此采用用内插法计算其最高允许排放速率；计算公式如下： </w:t>
            </w:r>
          </w:p>
          <w:p>
            <w:pPr>
              <w:spacing w:line="360" w:lineRule="auto"/>
              <w:ind w:firstLine="480" w:firstLineChars="200"/>
              <w:rPr>
                <w:rFonts w:eastAsiaTheme="minorEastAsia"/>
                <w:sz w:val="24"/>
              </w:rPr>
            </w:pPr>
            <w:r>
              <w:rPr>
                <w:rFonts w:eastAsiaTheme="minorEastAsia"/>
                <w:sz w:val="24"/>
              </w:rPr>
              <w:t>Q=Q</w:t>
            </w:r>
            <w:r>
              <w:rPr>
                <w:rFonts w:eastAsiaTheme="minorEastAsia"/>
                <w:sz w:val="24"/>
                <w:vertAlign w:val="subscript"/>
              </w:rPr>
              <w:t>a</w:t>
            </w:r>
            <w:r>
              <w:rPr>
                <w:rFonts w:eastAsiaTheme="minorEastAsia"/>
                <w:sz w:val="24"/>
              </w:rPr>
              <w:t>+（Q</w:t>
            </w:r>
            <w:r>
              <w:rPr>
                <w:rFonts w:eastAsiaTheme="minorEastAsia"/>
                <w:sz w:val="24"/>
                <w:vertAlign w:val="subscript"/>
              </w:rPr>
              <w:t>a+1</w:t>
            </w:r>
            <w:r>
              <w:rPr>
                <w:rFonts w:eastAsiaTheme="minorEastAsia"/>
                <w:sz w:val="24"/>
              </w:rPr>
              <w:t>-Q</w:t>
            </w:r>
            <w:r>
              <w:rPr>
                <w:rFonts w:eastAsiaTheme="minorEastAsia"/>
                <w:sz w:val="24"/>
                <w:vertAlign w:val="subscript"/>
              </w:rPr>
              <w:t>a</w:t>
            </w:r>
            <w:r>
              <w:rPr>
                <w:rFonts w:eastAsiaTheme="minorEastAsia"/>
                <w:sz w:val="24"/>
              </w:rPr>
              <w:t>）（h-h</w:t>
            </w:r>
            <w:r>
              <w:rPr>
                <w:rFonts w:eastAsiaTheme="minorEastAsia"/>
                <w:sz w:val="24"/>
                <w:vertAlign w:val="subscript"/>
              </w:rPr>
              <w:t>a</w:t>
            </w:r>
            <w:r>
              <w:rPr>
                <w:rFonts w:eastAsiaTheme="minorEastAsia"/>
                <w:sz w:val="24"/>
              </w:rPr>
              <w:t>）/（h</w:t>
            </w:r>
            <w:r>
              <w:rPr>
                <w:rFonts w:eastAsiaTheme="minorEastAsia"/>
                <w:sz w:val="24"/>
                <w:vertAlign w:val="subscript"/>
              </w:rPr>
              <w:t>a+1</w:t>
            </w:r>
            <w:r>
              <w:rPr>
                <w:rFonts w:eastAsiaTheme="minorEastAsia"/>
                <w:sz w:val="24"/>
              </w:rPr>
              <w:t>-h</w:t>
            </w:r>
            <w:r>
              <w:rPr>
                <w:rFonts w:eastAsiaTheme="minorEastAsia"/>
                <w:sz w:val="24"/>
                <w:vertAlign w:val="subscript"/>
              </w:rPr>
              <w:t>a</w:t>
            </w:r>
            <w:r>
              <w:rPr>
                <w:rFonts w:eastAsiaTheme="minorEastAsia"/>
                <w:sz w:val="24"/>
              </w:rPr>
              <w:t>）</w:t>
            </w:r>
          </w:p>
          <w:p>
            <w:pPr>
              <w:spacing w:line="360" w:lineRule="auto"/>
              <w:ind w:firstLine="480" w:firstLineChars="200"/>
              <w:rPr>
                <w:rFonts w:eastAsiaTheme="minorEastAsia"/>
                <w:sz w:val="24"/>
              </w:rPr>
            </w:pPr>
            <w:r>
              <w:rPr>
                <w:rFonts w:eastAsiaTheme="minorEastAsia"/>
                <w:sz w:val="24"/>
              </w:rPr>
              <w:t>式中：Q—某排气筒最高允许排放速率；</w:t>
            </w:r>
          </w:p>
          <w:p>
            <w:pPr>
              <w:spacing w:line="360" w:lineRule="auto"/>
              <w:ind w:firstLine="480" w:firstLineChars="200"/>
              <w:rPr>
                <w:rFonts w:eastAsiaTheme="minorEastAsia"/>
                <w:sz w:val="24"/>
              </w:rPr>
            </w:pPr>
            <w:r>
              <w:rPr>
                <w:rFonts w:eastAsiaTheme="minorEastAsia"/>
                <w:sz w:val="24"/>
              </w:rPr>
              <w:t>Q</w:t>
            </w:r>
            <w:r>
              <w:rPr>
                <w:rFonts w:eastAsiaTheme="minorEastAsia"/>
                <w:sz w:val="24"/>
                <w:vertAlign w:val="subscript"/>
              </w:rPr>
              <w:t>a</w:t>
            </w:r>
            <w:r>
              <w:rPr>
                <w:rFonts w:eastAsiaTheme="minorEastAsia"/>
                <w:sz w:val="24"/>
              </w:rPr>
              <w:t>—比某排气筒低的表列限值中的最大值；</w:t>
            </w:r>
          </w:p>
          <w:p>
            <w:pPr>
              <w:spacing w:line="360" w:lineRule="auto"/>
              <w:ind w:firstLine="480" w:firstLineChars="200"/>
              <w:rPr>
                <w:rFonts w:eastAsiaTheme="minorEastAsia"/>
                <w:sz w:val="24"/>
              </w:rPr>
            </w:pPr>
            <w:r>
              <w:rPr>
                <w:rFonts w:eastAsiaTheme="minorEastAsia"/>
                <w:sz w:val="24"/>
              </w:rPr>
              <w:t>Q</w:t>
            </w:r>
            <w:r>
              <w:rPr>
                <w:rFonts w:eastAsiaTheme="minorEastAsia"/>
                <w:sz w:val="24"/>
                <w:vertAlign w:val="subscript"/>
              </w:rPr>
              <w:t>a+1</w:t>
            </w:r>
            <w:r>
              <w:rPr>
                <w:rFonts w:eastAsiaTheme="minorEastAsia"/>
                <w:sz w:val="24"/>
              </w:rPr>
              <w:t>—比某排气筒高的表列限值中的最小值；</w:t>
            </w:r>
          </w:p>
          <w:p>
            <w:pPr>
              <w:spacing w:line="360" w:lineRule="auto"/>
              <w:ind w:firstLine="480" w:firstLineChars="200"/>
              <w:rPr>
                <w:rFonts w:eastAsiaTheme="minorEastAsia"/>
                <w:sz w:val="24"/>
              </w:rPr>
            </w:pPr>
            <w:r>
              <w:rPr>
                <w:rFonts w:eastAsiaTheme="minorEastAsia"/>
                <w:sz w:val="24"/>
              </w:rPr>
              <w:t>h—某排气筒的几何高度；</w:t>
            </w:r>
          </w:p>
          <w:p>
            <w:pPr>
              <w:spacing w:line="360" w:lineRule="auto"/>
              <w:ind w:firstLine="480" w:firstLineChars="200"/>
              <w:rPr>
                <w:rFonts w:eastAsiaTheme="minorEastAsia"/>
                <w:sz w:val="24"/>
              </w:rPr>
            </w:pPr>
            <w:r>
              <w:rPr>
                <w:rFonts w:eastAsiaTheme="minorEastAsia"/>
                <w:sz w:val="24"/>
              </w:rPr>
              <w:t>h</w:t>
            </w:r>
            <w:r>
              <w:rPr>
                <w:rFonts w:eastAsiaTheme="minorEastAsia"/>
                <w:sz w:val="24"/>
                <w:vertAlign w:val="subscript"/>
              </w:rPr>
              <w:t>a</w:t>
            </w:r>
            <w:r>
              <w:rPr>
                <w:rFonts w:eastAsiaTheme="minorEastAsia"/>
                <w:sz w:val="24"/>
              </w:rPr>
              <w:t>—比某排气筒低的表列高度中的最大值；</w:t>
            </w:r>
          </w:p>
          <w:p>
            <w:pPr>
              <w:spacing w:line="360" w:lineRule="auto"/>
              <w:ind w:firstLine="480" w:firstLineChars="200"/>
              <w:rPr>
                <w:rFonts w:eastAsiaTheme="minorEastAsia"/>
                <w:sz w:val="24"/>
              </w:rPr>
            </w:pPr>
            <w:r>
              <w:rPr>
                <w:rFonts w:eastAsiaTheme="minorEastAsia"/>
                <w:sz w:val="24"/>
              </w:rPr>
              <w:t>h</w:t>
            </w:r>
            <w:r>
              <w:rPr>
                <w:rFonts w:eastAsiaTheme="minorEastAsia"/>
                <w:sz w:val="24"/>
                <w:vertAlign w:val="subscript"/>
              </w:rPr>
              <w:t>a+1</w:t>
            </w:r>
            <w:r>
              <w:rPr>
                <w:rFonts w:eastAsiaTheme="minorEastAsia"/>
                <w:sz w:val="24"/>
              </w:rPr>
              <w:t>—比某排气筒高的表列高度中的最小值。</w:t>
            </w:r>
          </w:p>
          <w:p>
            <w:pPr>
              <w:spacing w:line="360" w:lineRule="auto"/>
              <w:ind w:firstLine="480" w:firstLineChars="200"/>
              <w:rPr>
                <w:rFonts w:eastAsiaTheme="minorEastAsia"/>
                <w:sz w:val="24"/>
              </w:rPr>
            </w:pPr>
            <w:r>
              <w:rPr>
                <w:rFonts w:eastAsiaTheme="minorEastAsia"/>
                <w:sz w:val="24"/>
              </w:rPr>
              <w:t>计算可知，</w:t>
            </w:r>
            <w:r>
              <w:rPr>
                <w:rFonts w:hint="eastAsia" w:eastAsiaTheme="minorEastAsia"/>
                <w:sz w:val="24"/>
              </w:rPr>
              <w:t>喷漆</w:t>
            </w:r>
            <w:r>
              <w:rPr>
                <w:rFonts w:eastAsiaTheme="minorEastAsia"/>
                <w:sz w:val="24"/>
              </w:rPr>
              <w:t>废气等效排气筒</w:t>
            </w:r>
            <w:r>
              <w:rPr>
                <w:rFonts w:hint="eastAsia" w:eastAsiaTheme="minorEastAsia"/>
                <w:sz w:val="24"/>
              </w:rPr>
              <w:t>最高允许排放速率</w:t>
            </w:r>
            <w:r>
              <w:rPr>
                <w:rFonts w:eastAsiaTheme="minorEastAsia"/>
                <w:sz w:val="24"/>
              </w:rPr>
              <w:t>为11.4kg/h；</w:t>
            </w:r>
          </w:p>
          <w:p>
            <w:pPr>
              <w:spacing w:line="360" w:lineRule="auto"/>
              <w:ind w:firstLine="482" w:firstLineChars="200"/>
              <w:jc w:val="center"/>
              <w:rPr>
                <w:rFonts w:eastAsiaTheme="minorEastAsia"/>
                <w:sz w:val="24"/>
                <w:szCs w:val="21"/>
              </w:rPr>
            </w:pPr>
            <w:r>
              <w:rPr>
                <w:rFonts w:eastAsiaTheme="minorEastAsia"/>
                <w:b/>
                <w:kern w:val="0"/>
                <w:sz w:val="24"/>
              </w:rPr>
              <w:t>表4-4 废气排放汇总表</w:t>
            </w:r>
          </w:p>
          <w:tbl>
            <w:tblPr>
              <w:tblStyle w:val="45"/>
              <w:tblW w:w="7354" w:type="dxa"/>
              <w:tblInd w:w="3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577"/>
              <w:gridCol w:w="1050"/>
              <w:gridCol w:w="1050"/>
              <w:gridCol w:w="1051"/>
              <w:gridCol w:w="1051"/>
              <w:gridCol w:w="1051"/>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trPr>
              <w:tc>
                <w:tcPr>
                  <w:tcW w:w="1050" w:type="dxa"/>
                  <w:gridSpan w:val="2"/>
                </w:tcPr>
                <w:p>
                  <w:pPr>
                    <w:jc w:val="center"/>
                    <w:rPr>
                      <w:rFonts w:eastAsiaTheme="minorEastAsia"/>
                      <w:szCs w:val="21"/>
                    </w:rPr>
                  </w:pPr>
                  <w:r>
                    <w:rPr>
                      <w:rFonts w:eastAsiaTheme="minorEastAsia"/>
                      <w:szCs w:val="21"/>
                    </w:rPr>
                    <w:t>污染物种类</w:t>
                  </w:r>
                </w:p>
              </w:tc>
              <w:tc>
                <w:tcPr>
                  <w:tcW w:w="1050" w:type="dxa"/>
                </w:tcPr>
                <w:p>
                  <w:pPr>
                    <w:jc w:val="center"/>
                    <w:rPr>
                      <w:rFonts w:eastAsiaTheme="minorEastAsia"/>
                      <w:szCs w:val="21"/>
                    </w:rPr>
                  </w:pPr>
                  <w:r>
                    <w:rPr>
                      <w:rFonts w:eastAsiaTheme="minorEastAsia"/>
                      <w:szCs w:val="21"/>
                    </w:rPr>
                    <w:t>排放量（t/a）</w:t>
                  </w:r>
                </w:p>
              </w:tc>
              <w:tc>
                <w:tcPr>
                  <w:tcW w:w="1050" w:type="dxa"/>
                </w:tcPr>
                <w:p>
                  <w:pPr>
                    <w:jc w:val="center"/>
                    <w:rPr>
                      <w:rFonts w:eastAsiaTheme="minorEastAsia"/>
                      <w:szCs w:val="21"/>
                    </w:rPr>
                  </w:pPr>
                  <w:r>
                    <w:rPr>
                      <w:rFonts w:eastAsiaTheme="minorEastAsia"/>
                      <w:szCs w:val="21"/>
                    </w:rPr>
                    <w:t>排放速率（kg/h）</w:t>
                  </w:r>
                </w:p>
              </w:tc>
              <w:tc>
                <w:tcPr>
                  <w:tcW w:w="1051" w:type="dxa"/>
                </w:tcPr>
                <w:p>
                  <w:pPr>
                    <w:jc w:val="center"/>
                    <w:rPr>
                      <w:rFonts w:eastAsiaTheme="minorEastAsia"/>
                      <w:szCs w:val="21"/>
                    </w:rPr>
                  </w:pPr>
                  <w:r>
                    <w:rPr>
                      <w:rFonts w:eastAsiaTheme="minorEastAsia"/>
                      <w:szCs w:val="21"/>
                    </w:rPr>
                    <w:t>排放浓度（mg/m³）</w:t>
                  </w:r>
                </w:p>
              </w:tc>
              <w:tc>
                <w:tcPr>
                  <w:tcW w:w="1051" w:type="dxa"/>
                </w:tcPr>
                <w:p>
                  <w:pPr>
                    <w:jc w:val="center"/>
                    <w:rPr>
                      <w:rFonts w:eastAsiaTheme="minorEastAsia"/>
                      <w:szCs w:val="21"/>
                    </w:rPr>
                  </w:pPr>
                  <w:r>
                    <w:rPr>
                      <w:rFonts w:hint="eastAsia" w:eastAsiaTheme="minorEastAsia"/>
                      <w:szCs w:val="21"/>
                    </w:rPr>
                    <w:t>排放方式</w:t>
                  </w:r>
                </w:p>
              </w:tc>
              <w:tc>
                <w:tcPr>
                  <w:tcW w:w="1051" w:type="dxa"/>
                </w:tcPr>
                <w:p>
                  <w:pPr>
                    <w:jc w:val="center"/>
                    <w:rPr>
                      <w:rFonts w:eastAsiaTheme="minorEastAsia"/>
                      <w:szCs w:val="21"/>
                    </w:rPr>
                  </w:pPr>
                  <w:r>
                    <w:rPr>
                      <w:rFonts w:eastAsiaTheme="minorEastAsia"/>
                      <w:szCs w:val="21"/>
                    </w:rPr>
                    <w:t>执行标准（mg/m³）</w:t>
                  </w:r>
                </w:p>
              </w:tc>
              <w:tc>
                <w:tcPr>
                  <w:tcW w:w="1051" w:type="dxa"/>
                </w:tcPr>
                <w:p>
                  <w:pPr>
                    <w:jc w:val="center"/>
                    <w:rPr>
                      <w:rFonts w:eastAsiaTheme="minorEastAsia"/>
                      <w:szCs w:val="21"/>
                    </w:rPr>
                  </w:pPr>
                  <w:r>
                    <w:rPr>
                      <w:rFonts w:eastAsiaTheme="minorEastAsia"/>
                      <w:szCs w:val="21"/>
                    </w:rPr>
                    <w:t>达标性评价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1050" w:type="dxa"/>
                  <w:gridSpan w:val="2"/>
                </w:tcPr>
                <w:p>
                  <w:pPr>
                    <w:jc w:val="center"/>
                    <w:rPr>
                      <w:rFonts w:eastAsiaTheme="minorEastAsia"/>
                      <w:szCs w:val="21"/>
                    </w:rPr>
                  </w:pPr>
                  <w:r>
                    <w:rPr>
                      <w:rFonts w:hint="eastAsia" w:eastAsiaTheme="minorEastAsia"/>
                      <w:szCs w:val="21"/>
                    </w:rPr>
                    <w:t>SO</w:t>
                  </w:r>
                  <w:r>
                    <w:rPr>
                      <w:rFonts w:eastAsiaTheme="minorEastAsia"/>
                      <w:szCs w:val="21"/>
                      <w:vertAlign w:val="subscript"/>
                    </w:rPr>
                    <w:t>2</w:t>
                  </w:r>
                </w:p>
              </w:tc>
              <w:tc>
                <w:tcPr>
                  <w:tcW w:w="1050" w:type="dxa"/>
                </w:tcPr>
                <w:p>
                  <w:pPr>
                    <w:jc w:val="center"/>
                    <w:rPr>
                      <w:rFonts w:eastAsiaTheme="minorEastAsia"/>
                      <w:szCs w:val="21"/>
                    </w:rPr>
                  </w:pPr>
                  <w:r>
                    <w:rPr>
                      <w:rFonts w:hint="eastAsia" w:eastAsiaTheme="minorEastAsia"/>
                      <w:szCs w:val="21"/>
                    </w:rPr>
                    <w:t>0</w:t>
                  </w:r>
                  <w:r>
                    <w:rPr>
                      <w:rFonts w:eastAsiaTheme="minorEastAsia"/>
                      <w:szCs w:val="21"/>
                    </w:rPr>
                    <w:t>.0000011</w:t>
                  </w:r>
                </w:p>
              </w:tc>
              <w:tc>
                <w:tcPr>
                  <w:tcW w:w="1050" w:type="dxa"/>
                </w:tcPr>
                <w:p>
                  <w:pPr>
                    <w:jc w:val="center"/>
                    <w:rPr>
                      <w:rFonts w:eastAsiaTheme="minorEastAsia"/>
                      <w:szCs w:val="21"/>
                    </w:rPr>
                  </w:pPr>
                  <w:r>
                    <w:rPr>
                      <w:rFonts w:hint="eastAsia" w:eastAsiaTheme="minorEastAsia"/>
                      <w:szCs w:val="21"/>
                    </w:rPr>
                    <w:t>/</w:t>
                  </w:r>
                </w:p>
              </w:tc>
              <w:tc>
                <w:tcPr>
                  <w:tcW w:w="1051" w:type="dxa"/>
                </w:tcPr>
                <w:p>
                  <w:pPr>
                    <w:jc w:val="center"/>
                    <w:rPr>
                      <w:rFonts w:eastAsiaTheme="minorEastAsia"/>
                      <w:szCs w:val="21"/>
                    </w:rPr>
                  </w:pPr>
                  <w:r>
                    <w:rPr>
                      <w:rFonts w:hint="eastAsia" w:eastAsiaTheme="minorEastAsia"/>
                      <w:szCs w:val="21"/>
                    </w:rPr>
                    <w:t>/</w:t>
                  </w:r>
                </w:p>
              </w:tc>
              <w:tc>
                <w:tcPr>
                  <w:tcW w:w="1051" w:type="dxa"/>
                </w:tcPr>
                <w:p>
                  <w:pPr>
                    <w:jc w:val="center"/>
                    <w:rPr>
                      <w:rFonts w:eastAsiaTheme="minorEastAsia"/>
                      <w:szCs w:val="21"/>
                    </w:rPr>
                  </w:pPr>
                  <w:r>
                    <w:rPr>
                      <w:rFonts w:eastAsiaTheme="minorEastAsia"/>
                      <w:szCs w:val="21"/>
                    </w:rPr>
                    <w:t>无组织排放</w:t>
                  </w:r>
                </w:p>
              </w:tc>
              <w:tc>
                <w:tcPr>
                  <w:tcW w:w="1051" w:type="dxa"/>
                </w:tcPr>
                <w:p>
                  <w:pPr>
                    <w:jc w:val="center"/>
                    <w:rPr>
                      <w:rFonts w:eastAsiaTheme="minorEastAsia"/>
                      <w:szCs w:val="21"/>
                    </w:rPr>
                  </w:pPr>
                  <w:r>
                    <w:rPr>
                      <w:rFonts w:hint="eastAsia" w:eastAsiaTheme="minorEastAsia"/>
                      <w:szCs w:val="21"/>
                    </w:rPr>
                    <w:t>/</w:t>
                  </w:r>
                </w:p>
              </w:tc>
              <w:tc>
                <w:tcPr>
                  <w:tcW w:w="1051" w:type="dxa"/>
                </w:tcPr>
                <w:p>
                  <w:pPr>
                    <w:jc w:val="center"/>
                    <w:rPr>
                      <w:rFonts w:eastAsiaTheme="minorEastAsia"/>
                      <w:szCs w:val="21"/>
                    </w:rPr>
                  </w:pPr>
                  <w:r>
                    <w:rPr>
                      <w:rFonts w:hint="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trPr>
              <w:tc>
                <w:tcPr>
                  <w:tcW w:w="1050" w:type="dxa"/>
                  <w:gridSpan w:val="2"/>
                </w:tcPr>
                <w:p>
                  <w:pPr>
                    <w:jc w:val="center"/>
                    <w:rPr>
                      <w:rFonts w:eastAsiaTheme="minorEastAsia"/>
                      <w:szCs w:val="21"/>
                    </w:rPr>
                  </w:pPr>
                  <w:r>
                    <w:rPr>
                      <w:rFonts w:eastAsiaTheme="minorEastAsia"/>
                      <w:szCs w:val="21"/>
                    </w:rPr>
                    <w:t>NOx</w:t>
                  </w:r>
                </w:p>
              </w:tc>
              <w:tc>
                <w:tcPr>
                  <w:tcW w:w="1050" w:type="dxa"/>
                </w:tcPr>
                <w:p>
                  <w:pPr>
                    <w:jc w:val="center"/>
                    <w:rPr>
                      <w:rFonts w:eastAsiaTheme="minorEastAsia"/>
                      <w:szCs w:val="21"/>
                    </w:rPr>
                  </w:pPr>
                  <w:r>
                    <w:rPr>
                      <w:rFonts w:hint="eastAsia" w:eastAsiaTheme="minorEastAsia"/>
                      <w:szCs w:val="21"/>
                    </w:rPr>
                    <w:t>0</w:t>
                  </w:r>
                  <w:r>
                    <w:rPr>
                      <w:rFonts w:eastAsiaTheme="minorEastAsia"/>
                      <w:szCs w:val="21"/>
                    </w:rPr>
                    <w:t>.00000073</w:t>
                  </w:r>
                </w:p>
              </w:tc>
              <w:tc>
                <w:tcPr>
                  <w:tcW w:w="1050" w:type="dxa"/>
                </w:tcPr>
                <w:p>
                  <w:pPr>
                    <w:jc w:val="center"/>
                    <w:rPr>
                      <w:rFonts w:eastAsiaTheme="minorEastAsia"/>
                      <w:szCs w:val="21"/>
                    </w:rPr>
                  </w:pPr>
                  <w:r>
                    <w:rPr>
                      <w:rFonts w:hint="eastAsia" w:eastAsiaTheme="minorEastAsia"/>
                      <w:szCs w:val="21"/>
                    </w:rPr>
                    <w:t>/</w:t>
                  </w:r>
                </w:p>
              </w:tc>
              <w:tc>
                <w:tcPr>
                  <w:tcW w:w="1051" w:type="dxa"/>
                </w:tcPr>
                <w:p>
                  <w:pPr>
                    <w:jc w:val="center"/>
                    <w:rPr>
                      <w:rFonts w:eastAsiaTheme="minorEastAsia"/>
                      <w:szCs w:val="21"/>
                    </w:rPr>
                  </w:pPr>
                  <w:r>
                    <w:rPr>
                      <w:rFonts w:hint="eastAsia" w:eastAsiaTheme="minorEastAsia"/>
                      <w:szCs w:val="21"/>
                    </w:rPr>
                    <w:t>/</w:t>
                  </w:r>
                </w:p>
              </w:tc>
              <w:tc>
                <w:tcPr>
                  <w:tcW w:w="1051" w:type="dxa"/>
                </w:tcPr>
                <w:p>
                  <w:pPr>
                    <w:jc w:val="center"/>
                    <w:rPr>
                      <w:rFonts w:eastAsiaTheme="minorEastAsia"/>
                      <w:szCs w:val="21"/>
                    </w:rPr>
                  </w:pPr>
                  <w:r>
                    <w:rPr>
                      <w:rFonts w:eastAsiaTheme="minorEastAsia"/>
                      <w:szCs w:val="21"/>
                    </w:rPr>
                    <w:t>无组织排放</w:t>
                  </w:r>
                </w:p>
              </w:tc>
              <w:tc>
                <w:tcPr>
                  <w:tcW w:w="1051" w:type="dxa"/>
                </w:tcPr>
                <w:p>
                  <w:pPr>
                    <w:jc w:val="center"/>
                    <w:rPr>
                      <w:rFonts w:eastAsiaTheme="minorEastAsia"/>
                      <w:szCs w:val="21"/>
                    </w:rPr>
                  </w:pPr>
                  <w:r>
                    <w:rPr>
                      <w:rFonts w:hint="eastAsia" w:eastAsiaTheme="minorEastAsia"/>
                      <w:szCs w:val="21"/>
                    </w:rPr>
                    <w:t>/</w:t>
                  </w:r>
                </w:p>
              </w:tc>
              <w:tc>
                <w:tcPr>
                  <w:tcW w:w="1051" w:type="dxa"/>
                </w:tcPr>
                <w:p>
                  <w:pPr>
                    <w:jc w:val="center"/>
                    <w:rPr>
                      <w:rFonts w:eastAsiaTheme="minorEastAsia"/>
                      <w:szCs w:val="21"/>
                    </w:rPr>
                  </w:pPr>
                  <w:r>
                    <w:rPr>
                      <w:rFonts w:hint="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trPr>
              <w:tc>
                <w:tcPr>
                  <w:tcW w:w="1050" w:type="dxa"/>
                  <w:gridSpan w:val="2"/>
                </w:tcPr>
                <w:p>
                  <w:pPr>
                    <w:jc w:val="center"/>
                    <w:rPr>
                      <w:rFonts w:eastAsiaTheme="minorEastAsia"/>
                      <w:szCs w:val="21"/>
                    </w:rPr>
                  </w:pPr>
                  <w:r>
                    <w:rPr>
                      <w:rFonts w:eastAsiaTheme="minorEastAsia"/>
                      <w:szCs w:val="21"/>
                    </w:rPr>
                    <w:t>CO</w:t>
                  </w:r>
                </w:p>
              </w:tc>
              <w:tc>
                <w:tcPr>
                  <w:tcW w:w="1050" w:type="dxa"/>
                </w:tcPr>
                <w:p>
                  <w:pPr>
                    <w:jc w:val="center"/>
                    <w:rPr>
                      <w:rFonts w:eastAsiaTheme="minorEastAsia"/>
                      <w:szCs w:val="21"/>
                    </w:rPr>
                  </w:pPr>
                  <w:r>
                    <w:rPr>
                      <w:rFonts w:hint="eastAsia" w:eastAsiaTheme="minorEastAsia"/>
                      <w:szCs w:val="21"/>
                    </w:rPr>
                    <w:t>0</w:t>
                  </w:r>
                  <w:r>
                    <w:rPr>
                      <w:rFonts w:eastAsiaTheme="minorEastAsia"/>
                      <w:szCs w:val="21"/>
                    </w:rPr>
                    <w:t>.00000043</w:t>
                  </w:r>
                </w:p>
              </w:tc>
              <w:tc>
                <w:tcPr>
                  <w:tcW w:w="1050" w:type="dxa"/>
                </w:tcPr>
                <w:p>
                  <w:pPr>
                    <w:jc w:val="center"/>
                    <w:rPr>
                      <w:rFonts w:eastAsiaTheme="minorEastAsia"/>
                      <w:szCs w:val="21"/>
                    </w:rPr>
                  </w:pPr>
                  <w:r>
                    <w:rPr>
                      <w:rFonts w:hint="eastAsia" w:eastAsiaTheme="minorEastAsia"/>
                      <w:szCs w:val="21"/>
                    </w:rPr>
                    <w:t>/</w:t>
                  </w:r>
                </w:p>
              </w:tc>
              <w:tc>
                <w:tcPr>
                  <w:tcW w:w="1051" w:type="dxa"/>
                </w:tcPr>
                <w:p>
                  <w:pPr>
                    <w:jc w:val="center"/>
                    <w:rPr>
                      <w:rFonts w:eastAsiaTheme="minorEastAsia"/>
                      <w:szCs w:val="21"/>
                    </w:rPr>
                  </w:pPr>
                  <w:r>
                    <w:rPr>
                      <w:rFonts w:hint="eastAsia" w:eastAsiaTheme="minorEastAsia"/>
                      <w:szCs w:val="21"/>
                    </w:rPr>
                    <w:t>/</w:t>
                  </w:r>
                </w:p>
              </w:tc>
              <w:tc>
                <w:tcPr>
                  <w:tcW w:w="1051" w:type="dxa"/>
                </w:tcPr>
                <w:p>
                  <w:pPr>
                    <w:jc w:val="center"/>
                    <w:rPr>
                      <w:rFonts w:eastAsiaTheme="minorEastAsia"/>
                      <w:szCs w:val="21"/>
                    </w:rPr>
                  </w:pPr>
                  <w:r>
                    <w:rPr>
                      <w:rFonts w:eastAsiaTheme="minorEastAsia"/>
                      <w:szCs w:val="21"/>
                    </w:rPr>
                    <w:t>无组织排放</w:t>
                  </w:r>
                </w:p>
              </w:tc>
              <w:tc>
                <w:tcPr>
                  <w:tcW w:w="1051" w:type="dxa"/>
                </w:tcPr>
                <w:p>
                  <w:pPr>
                    <w:jc w:val="center"/>
                    <w:rPr>
                      <w:rFonts w:eastAsiaTheme="minorEastAsia"/>
                      <w:szCs w:val="21"/>
                    </w:rPr>
                  </w:pPr>
                  <w:r>
                    <w:rPr>
                      <w:rFonts w:hint="eastAsia" w:eastAsiaTheme="minorEastAsia"/>
                      <w:szCs w:val="21"/>
                    </w:rPr>
                    <w:t>/</w:t>
                  </w:r>
                </w:p>
              </w:tc>
              <w:tc>
                <w:tcPr>
                  <w:tcW w:w="1051" w:type="dxa"/>
                </w:tcPr>
                <w:p>
                  <w:pPr>
                    <w:jc w:val="center"/>
                    <w:rPr>
                      <w:rFonts w:eastAsiaTheme="minorEastAsia"/>
                      <w:szCs w:val="21"/>
                    </w:rPr>
                  </w:pPr>
                  <w:r>
                    <w:rPr>
                      <w:rFonts w:hint="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trPr>
              <w:tc>
                <w:tcPr>
                  <w:tcW w:w="1050" w:type="dxa"/>
                  <w:gridSpan w:val="2"/>
                </w:tcPr>
                <w:p>
                  <w:pPr>
                    <w:jc w:val="center"/>
                    <w:rPr>
                      <w:rFonts w:eastAsiaTheme="minorEastAsia"/>
                      <w:szCs w:val="21"/>
                    </w:rPr>
                  </w:pPr>
                  <w:r>
                    <w:rPr>
                      <w:rFonts w:eastAsiaTheme="minorEastAsia"/>
                      <w:szCs w:val="21"/>
                    </w:rPr>
                    <w:t>烟尘</w:t>
                  </w:r>
                </w:p>
              </w:tc>
              <w:tc>
                <w:tcPr>
                  <w:tcW w:w="1050" w:type="dxa"/>
                </w:tcPr>
                <w:p>
                  <w:pPr>
                    <w:jc w:val="center"/>
                    <w:rPr>
                      <w:rFonts w:eastAsiaTheme="minorEastAsia"/>
                      <w:szCs w:val="21"/>
                    </w:rPr>
                  </w:pPr>
                  <w:r>
                    <w:rPr>
                      <w:rFonts w:hint="eastAsia" w:eastAsiaTheme="minorEastAsia"/>
                      <w:szCs w:val="21"/>
                    </w:rPr>
                    <w:t>0</w:t>
                  </w:r>
                  <w:r>
                    <w:rPr>
                      <w:rFonts w:eastAsiaTheme="minorEastAsia"/>
                      <w:szCs w:val="21"/>
                    </w:rPr>
                    <w:t>.0000002</w:t>
                  </w:r>
                </w:p>
              </w:tc>
              <w:tc>
                <w:tcPr>
                  <w:tcW w:w="1050" w:type="dxa"/>
                </w:tcPr>
                <w:p>
                  <w:pPr>
                    <w:jc w:val="center"/>
                    <w:rPr>
                      <w:rFonts w:eastAsiaTheme="minorEastAsia"/>
                      <w:szCs w:val="21"/>
                    </w:rPr>
                  </w:pPr>
                  <w:r>
                    <w:rPr>
                      <w:rFonts w:hint="eastAsia" w:eastAsiaTheme="minorEastAsia"/>
                      <w:szCs w:val="21"/>
                    </w:rPr>
                    <w:t>/</w:t>
                  </w:r>
                </w:p>
              </w:tc>
              <w:tc>
                <w:tcPr>
                  <w:tcW w:w="1051" w:type="dxa"/>
                </w:tcPr>
                <w:p>
                  <w:pPr>
                    <w:jc w:val="center"/>
                    <w:rPr>
                      <w:rFonts w:eastAsiaTheme="minorEastAsia"/>
                      <w:szCs w:val="21"/>
                    </w:rPr>
                  </w:pPr>
                  <w:r>
                    <w:rPr>
                      <w:rFonts w:hint="eastAsia" w:eastAsiaTheme="minorEastAsia"/>
                      <w:szCs w:val="21"/>
                    </w:rPr>
                    <w:t>/</w:t>
                  </w:r>
                </w:p>
              </w:tc>
              <w:tc>
                <w:tcPr>
                  <w:tcW w:w="1051" w:type="dxa"/>
                </w:tcPr>
                <w:p>
                  <w:pPr>
                    <w:jc w:val="center"/>
                    <w:rPr>
                      <w:rFonts w:eastAsiaTheme="minorEastAsia"/>
                      <w:szCs w:val="21"/>
                    </w:rPr>
                  </w:pPr>
                  <w:r>
                    <w:rPr>
                      <w:rFonts w:eastAsiaTheme="minorEastAsia"/>
                      <w:szCs w:val="21"/>
                    </w:rPr>
                    <w:t>无组织排放</w:t>
                  </w:r>
                </w:p>
              </w:tc>
              <w:tc>
                <w:tcPr>
                  <w:tcW w:w="1051" w:type="dxa"/>
                </w:tcPr>
                <w:p>
                  <w:pPr>
                    <w:jc w:val="center"/>
                    <w:rPr>
                      <w:rFonts w:eastAsiaTheme="minorEastAsia"/>
                      <w:szCs w:val="21"/>
                    </w:rPr>
                  </w:pPr>
                  <w:r>
                    <w:rPr>
                      <w:rFonts w:hint="eastAsia" w:eastAsiaTheme="minorEastAsia"/>
                      <w:szCs w:val="21"/>
                    </w:rPr>
                    <w:t>/</w:t>
                  </w:r>
                </w:p>
              </w:tc>
              <w:tc>
                <w:tcPr>
                  <w:tcW w:w="1051" w:type="dxa"/>
                </w:tcPr>
                <w:p>
                  <w:pPr>
                    <w:jc w:val="center"/>
                    <w:rPr>
                      <w:rFonts w:eastAsiaTheme="minorEastAsia"/>
                      <w:szCs w:val="21"/>
                    </w:rPr>
                  </w:pPr>
                  <w:r>
                    <w:rPr>
                      <w:rFonts w:hint="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trPr>
              <w:tc>
                <w:tcPr>
                  <w:tcW w:w="1050" w:type="dxa"/>
                  <w:gridSpan w:val="2"/>
                </w:tcPr>
                <w:p>
                  <w:pPr>
                    <w:jc w:val="center"/>
                    <w:rPr>
                      <w:rFonts w:eastAsiaTheme="minorEastAsia"/>
                      <w:szCs w:val="21"/>
                    </w:rPr>
                  </w:pPr>
                  <w:r>
                    <w:rPr>
                      <w:rFonts w:eastAsiaTheme="minorEastAsia"/>
                      <w:szCs w:val="21"/>
                    </w:rPr>
                    <w:t>焊接烟气</w:t>
                  </w:r>
                </w:p>
              </w:tc>
              <w:tc>
                <w:tcPr>
                  <w:tcW w:w="1050" w:type="dxa"/>
                </w:tcPr>
                <w:p>
                  <w:pPr>
                    <w:jc w:val="center"/>
                    <w:rPr>
                      <w:rFonts w:eastAsiaTheme="minorEastAsia"/>
                      <w:szCs w:val="21"/>
                    </w:rPr>
                  </w:pPr>
                  <w:r>
                    <w:rPr>
                      <w:rFonts w:hint="eastAsia" w:eastAsiaTheme="minorEastAsia"/>
                      <w:szCs w:val="21"/>
                    </w:rPr>
                    <w:t>0</w:t>
                  </w:r>
                  <w:r>
                    <w:rPr>
                      <w:rFonts w:eastAsiaTheme="minorEastAsia"/>
                      <w:szCs w:val="21"/>
                    </w:rPr>
                    <w:t>.001</w:t>
                  </w:r>
                </w:p>
              </w:tc>
              <w:tc>
                <w:tcPr>
                  <w:tcW w:w="1050" w:type="dxa"/>
                </w:tcPr>
                <w:p>
                  <w:pPr>
                    <w:jc w:val="center"/>
                    <w:rPr>
                      <w:rFonts w:eastAsiaTheme="minorEastAsia"/>
                      <w:szCs w:val="21"/>
                    </w:rPr>
                  </w:pPr>
                  <w:r>
                    <w:rPr>
                      <w:rFonts w:hint="eastAsia" w:eastAsiaTheme="minorEastAsia"/>
                      <w:szCs w:val="21"/>
                    </w:rPr>
                    <w:t>0</w:t>
                  </w:r>
                  <w:r>
                    <w:rPr>
                      <w:rFonts w:eastAsiaTheme="minorEastAsia"/>
                      <w:szCs w:val="21"/>
                    </w:rPr>
                    <w:t>.0005</w:t>
                  </w:r>
                </w:p>
              </w:tc>
              <w:tc>
                <w:tcPr>
                  <w:tcW w:w="1051" w:type="dxa"/>
                </w:tcPr>
                <w:p>
                  <w:pPr>
                    <w:jc w:val="center"/>
                    <w:rPr>
                      <w:rFonts w:eastAsiaTheme="minorEastAsia"/>
                      <w:szCs w:val="21"/>
                    </w:rPr>
                  </w:pPr>
                  <w:r>
                    <w:rPr>
                      <w:rFonts w:hint="eastAsia" w:eastAsiaTheme="minorEastAsia"/>
                      <w:szCs w:val="21"/>
                    </w:rPr>
                    <w:t>0</w:t>
                  </w:r>
                  <w:r>
                    <w:rPr>
                      <w:rFonts w:eastAsiaTheme="minorEastAsia"/>
                      <w:szCs w:val="21"/>
                    </w:rPr>
                    <w:t>.1</w:t>
                  </w:r>
                </w:p>
              </w:tc>
              <w:tc>
                <w:tcPr>
                  <w:tcW w:w="1051" w:type="dxa"/>
                </w:tcPr>
                <w:p>
                  <w:pPr>
                    <w:jc w:val="center"/>
                    <w:rPr>
                      <w:rFonts w:eastAsiaTheme="minorEastAsia"/>
                      <w:szCs w:val="21"/>
                    </w:rPr>
                  </w:pPr>
                  <w:r>
                    <w:rPr>
                      <w:rFonts w:eastAsiaTheme="minorEastAsia"/>
                      <w:szCs w:val="21"/>
                    </w:rPr>
                    <w:t>无组织排放</w:t>
                  </w:r>
                </w:p>
              </w:tc>
              <w:tc>
                <w:tcPr>
                  <w:tcW w:w="1051" w:type="dxa"/>
                </w:tcPr>
                <w:p>
                  <w:pPr>
                    <w:jc w:val="center"/>
                    <w:rPr>
                      <w:rFonts w:eastAsiaTheme="minorEastAsia"/>
                      <w:szCs w:val="21"/>
                    </w:rPr>
                  </w:pPr>
                  <w:r>
                    <w:rPr>
                      <w:rFonts w:hint="eastAsia" w:eastAsiaTheme="minorEastAsia"/>
                      <w:szCs w:val="21"/>
                    </w:rPr>
                    <w:t>/</w:t>
                  </w:r>
                </w:p>
              </w:tc>
              <w:tc>
                <w:tcPr>
                  <w:tcW w:w="1051" w:type="dxa"/>
                </w:tcPr>
                <w:p>
                  <w:pPr>
                    <w:jc w:val="center"/>
                    <w:rPr>
                      <w:rFonts w:eastAsiaTheme="minorEastAsia"/>
                      <w:szCs w:val="21"/>
                    </w:rPr>
                  </w:pPr>
                  <w:r>
                    <w:rPr>
                      <w:rFonts w:hint="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trPr>
              <w:tc>
                <w:tcPr>
                  <w:tcW w:w="473" w:type="dxa"/>
                  <w:vMerge w:val="restart"/>
                </w:tcPr>
                <w:p>
                  <w:pPr>
                    <w:jc w:val="center"/>
                    <w:rPr>
                      <w:rFonts w:eastAsiaTheme="minorEastAsia"/>
                      <w:szCs w:val="21"/>
                    </w:rPr>
                  </w:pPr>
                  <w:r>
                    <w:rPr>
                      <w:rFonts w:eastAsiaTheme="minorEastAsia"/>
                      <w:szCs w:val="21"/>
                    </w:rPr>
                    <w:t>TSP</w:t>
                  </w:r>
                </w:p>
              </w:tc>
              <w:tc>
                <w:tcPr>
                  <w:tcW w:w="577" w:type="dxa"/>
                </w:tcPr>
                <w:p>
                  <w:pPr>
                    <w:jc w:val="center"/>
                    <w:rPr>
                      <w:rFonts w:eastAsiaTheme="minorEastAsia"/>
                      <w:szCs w:val="21"/>
                    </w:rPr>
                  </w:pPr>
                  <w:r>
                    <w:rPr>
                      <w:rFonts w:eastAsiaTheme="minorEastAsia"/>
                      <w:szCs w:val="21"/>
                    </w:rPr>
                    <w:t>喷砂</w:t>
                  </w:r>
                </w:p>
              </w:tc>
              <w:tc>
                <w:tcPr>
                  <w:tcW w:w="1050" w:type="dxa"/>
                </w:tcPr>
                <w:p>
                  <w:pPr>
                    <w:jc w:val="center"/>
                    <w:rPr>
                      <w:rFonts w:eastAsiaTheme="minorEastAsia"/>
                      <w:szCs w:val="21"/>
                    </w:rPr>
                  </w:pPr>
                  <w:r>
                    <w:rPr>
                      <w:rFonts w:hint="eastAsia" w:eastAsiaTheme="minorEastAsia"/>
                      <w:szCs w:val="21"/>
                    </w:rPr>
                    <w:t>0</w:t>
                  </w:r>
                  <w:r>
                    <w:rPr>
                      <w:rFonts w:eastAsiaTheme="minorEastAsia"/>
                      <w:szCs w:val="21"/>
                    </w:rPr>
                    <w:t>.0026</w:t>
                  </w:r>
                </w:p>
              </w:tc>
              <w:tc>
                <w:tcPr>
                  <w:tcW w:w="1050" w:type="dxa"/>
                </w:tcPr>
                <w:p>
                  <w:pPr>
                    <w:jc w:val="center"/>
                    <w:rPr>
                      <w:rFonts w:eastAsiaTheme="minorEastAsia"/>
                      <w:szCs w:val="21"/>
                    </w:rPr>
                  </w:pPr>
                  <w:r>
                    <w:rPr>
                      <w:rFonts w:hint="eastAsia" w:eastAsiaTheme="minorEastAsia"/>
                      <w:szCs w:val="21"/>
                    </w:rPr>
                    <w:t>0</w:t>
                  </w:r>
                  <w:r>
                    <w:rPr>
                      <w:rFonts w:eastAsiaTheme="minorEastAsia"/>
                      <w:szCs w:val="21"/>
                    </w:rPr>
                    <w:t>.0013</w:t>
                  </w:r>
                </w:p>
              </w:tc>
              <w:tc>
                <w:tcPr>
                  <w:tcW w:w="1051" w:type="dxa"/>
                </w:tcPr>
                <w:p>
                  <w:pPr>
                    <w:jc w:val="center"/>
                    <w:rPr>
                      <w:rFonts w:eastAsiaTheme="minorEastAsia"/>
                      <w:szCs w:val="21"/>
                    </w:rPr>
                  </w:pPr>
                  <w:r>
                    <w:rPr>
                      <w:rFonts w:hint="eastAsia" w:eastAsiaTheme="minorEastAsia"/>
                      <w:szCs w:val="21"/>
                    </w:rPr>
                    <w:t>3</w:t>
                  </w:r>
                  <w:r>
                    <w:rPr>
                      <w:rFonts w:eastAsiaTheme="minorEastAsia"/>
                      <w:szCs w:val="21"/>
                    </w:rPr>
                    <w:t>.5</w:t>
                  </w:r>
                </w:p>
              </w:tc>
              <w:tc>
                <w:tcPr>
                  <w:tcW w:w="1051" w:type="dxa"/>
                </w:tcPr>
                <w:p>
                  <w:pPr>
                    <w:jc w:val="center"/>
                    <w:rPr>
                      <w:rFonts w:eastAsiaTheme="minorEastAsia"/>
                      <w:szCs w:val="21"/>
                    </w:rPr>
                  </w:pPr>
                  <w:r>
                    <w:rPr>
                      <w:rFonts w:eastAsiaTheme="minorEastAsia"/>
                      <w:szCs w:val="21"/>
                    </w:rPr>
                    <w:t>有组织</w:t>
                  </w:r>
                </w:p>
              </w:tc>
              <w:tc>
                <w:tcPr>
                  <w:tcW w:w="1051" w:type="dxa"/>
                  <w:vMerge w:val="restart"/>
                </w:tcPr>
                <w:p>
                  <w:pPr>
                    <w:jc w:val="center"/>
                    <w:rPr>
                      <w:rFonts w:eastAsiaTheme="minorEastAsia"/>
                      <w:szCs w:val="21"/>
                    </w:rPr>
                  </w:pPr>
                  <w:r>
                    <w:rPr>
                      <w:rFonts w:hint="eastAsia" w:eastAsiaTheme="minorEastAsia"/>
                      <w:szCs w:val="21"/>
                    </w:rPr>
                    <w:t>1</w:t>
                  </w:r>
                  <w:r>
                    <w:rPr>
                      <w:rFonts w:eastAsiaTheme="minorEastAsia"/>
                      <w:szCs w:val="21"/>
                    </w:rPr>
                    <w:t>20mg/m³，3.98kg/h（等效排气筒）</w:t>
                  </w:r>
                </w:p>
              </w:tc>
              <w:tc>
                <w:tcPr>
                  <w:tcW w:w="1051" w:type="dxa"/>
                </w:tcPr>
                <w:p>
                  <w:pPr>
                    <w:jc w:val="center"/>
                    <w:rPr>
                      <w:rFonts w:eastAsiaTheme="minorEastAsia"/>
                      <w:szCs w:val="21"/>
                    </w:rPr>
                  </w:pPr>
                  <w:r>
                    <w:rPr>
                      <w:rFonts w:eastAsiaTheme="minor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 w:hRule="atLeast"/>
              </w:trPr>
              <w:tc>
                <w:tcPr>
                  <w:tcW w:w="473" w:type="dxa"/>
                  <w:vMerge w:val="continue"/>
                </w:tcPr>
                <w:p>
                  <w:pPr>
                    <w:jc w:val="center"/>
                    <w:rPr>
                      <w:rFonts w:eastAsiaTheme="minorEastAsia"/>
                      <w:szCs w:val="21"/>
                    </w:rPr>
                  </w:pPr>
                </w:p>
              </w:tc>
              <w:tc>
                <w:tcPr>
                  <w:tcW w:w="577" w:type="dxa"/>
                </w:tcPr>
                <w:p>
                  <w:pPr>
                    <w:jc w:val="center"/>
                    <w:rPr>
                      <w:rFonts w:eastAsiaTheme="minorEastAsia"/>
                      <w:szCs w:val="21"/>
                    </w:rPr>
                  </w:pPr>
                  <w:r>
                    <w:rPr>
                      <w:rFonts w:eastAsiaTheme="minorEastAsia"/>
                      <w:szCs w:val="21"/>
                    </w:rPr>
                    <w:t>打磨</w:t>
                  </w:r>
                </w:p>
              </w:tc>
              <w:tc>
                <w:tcPr>
                  <w:tcW w:w="1050" w:type="dxa"/>
                </w:tcPr>
                <w:p>
                  <w:pPr>
                    <w:jc w:val="center"/>
                    <w:rPr>
                      <w:rFonts w:eastAsiaTheme="minorEastAsia"/>
                      <w:szCs w:val="21"/>
                    </w:rPr>
                  </w:pPr>
                  <w:r>
                    <w:rPr>
                      <w:rFonts w:hint="eastAsia" w:eastAsiaTheme="minorEastAsia"/>
                      <w:szCs w:val="21"/>
                    </w:rPr>
                    <w:t>0</w:t>
                  </w:r>
                  <w:r>
                    <w:rPr>
                      <w:rFonts w:eastAsiaTheme="minorEastAsia"/>
                      <w:szCs w:val="21"/>
                    </w:rPr>
                    <w:t>.0169</w:t>
                  </w:r>
                </w:p>
              </w:tc>
              <w:tc>
                <w:tcPr>
                  <w:tcW w:w="1050" w:type="dxa"/>
                </w:tcPr>
                <w:p>
                  <w:pPr>
                    <w:jc w:val="center"/>
                    <w:rPr>
                      <w:rFonts w:eastAsiaTheme="minorEastAsia"/>
                      <w:szCs w:val="21"/>
                    </w:rPr>
                  </w:pPr>
                  <w:r>
                    <w:rPr>
                      <w:rFonts w:hint="eastAsia" w:eastAsiaTheme="minorEastAsia"/>
                      <w:szCs w:val="21"/>
                    </w:rPr>
                    <w:t>0</w:t>
                  </w:r>
                  <w:r>
                    <w:rPr>
                      <w:rFonts w:eastAsiaTheme="minorEastAsia"/>
                      <w:szCs w:val="21"/>
                    </w:rPr>
                    <w:t>.0169</w:t>
                  </w:r>
                </w:p>
              </w:tc>
              <w:tc>
                <w:tcPr>
                  <w:tcW w:w="1051" w:type="dxa"/>
                </w:tcPr>
                <w:p>
                  <w:pPr>
                    <w:jc w:val="center"/>
                    <w:rPr>
                      <w:rFonts w:eastAsiaTheme="minorEastAsia"/>
                      <w:szCs w:val="21"/>
                    </w:rPr>
                  </w:pPr>
                  <w:r>
                    <w:rPr>
                      <w:rFonts w:hint="eastAsia" w:eastAsiaTheme="minorEastAsia"/>
                      <w:szCs w:val="21"/>
                    </w:rPr>
                    <w:t>0</w:t>
                  </w:r>
                  <w:r>
                    <w:rPr>
                      <w:rFonts w:eastAsiaTheme="minorEastAsia"/>
                      <w:szCs w:val="21"/>
                    </w:rPr>
                    <w:t>.00845</w:t>
                  </w:r>
                </w:p>
              </w:tc>
              <w:tc>
                <w:tcPr>
                  <w:tcW w:w="1051" w:type="dxa"/>
                </w:tcPr>
                <w:p>
                  <w:pPr>
                    <w:jc w:val="center"/>
                    <w:rPr>
                      <w:rFonts w:eastAsiaTheme="minorEastAsia"/>
                      <w:szCs w:val="21"/>
                    </w:rPr>
                  </w:pPr>
                  <w:r>
                    <w:rPr>
                      <w:rFonts w:eastAsiaTheme="minorEastAsia"/>
                      <w:szCs w:val="21"/>
                    </w:rPr>
                    <w:t>有组织</w:t>
                  </w:r>
                </w:p>
              </w:tc>
              <w:tc>
                <w:tcPr>
                  <w:tcW w:w="1051" w:type="dxa"/>
                  <w:vMerge w:val="continue"/>
                </w:tcPr>
                <w:p>
                  <w:pPr>
                    <w:jc w:val="center"/>
                    <w:rPr>
                      <w:rFonts w:eastAsiaTheme="minorEastAsia"/>
                      <w:szCs w:val="21"/>
                    </w:rPr>
                  </w:pPr>
                </w:p>
              </w:tc>
              <w:tc>
                <w:tcPr>
                  <w:tcW w:w="1051" w:type="dxa"/>
                </w:tcPr>
                <w:p>
                  <w:pPr>
                    <w:jc w:val="center"/>
                    <w:rPr>
                      <w:rFonts w:eastAsiaTheme="minorEastAsia"/>
                      <w:szCs w:val="21"/>
                    </w:rPr>
                  </w:pPr>
                  <w:r>
                    <w:rPr>
                      <w:rFonts w:eastAsiaTheme="minor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trPr>
              <w:tc>
                <w:tcPr>
                  <w:tcW w:w="1050" w:type="dxa"/>
                  <w:gridSpan w:val="2"/>
                </w:tcPr>
                <w:p>
                  <w:pPr>
                    <w:jc w:val="center"/>
                    <w:rPr>
                      <w:rFonts w:eastAsiaTheme="minorEastAsia"/>
                      <w:szCs w:val="21"/>
                    </w:rPr>
                  </w:pPr>
                  <w:r>
                    <w:rPr>
                      <w:rFonts w:eastAsiaTheme="minorEastAsia"/>
                      <w:szCs w:val="21"/>
                    </w:rPr>
                    <w:t>非甲烷总烃</w:t>
                  </w:r>
                </w:p>
              </w:tc>
              <w:tc>
                <w:tcPr>
                  <w:tcW w:w="1050" w:type="dxa"/>
                </w:tcPr>
                <w:p>
                  <w:pPr>
                    <w:jc w:val="center"/>
                    <w:rPr>
                      <w:rFonts w:eastAsiaTheme="minorEastAsia"/>
                      <w:szCs w:val="21"/>
                    </w:rPr>
                  </w:pPr>
                  <w:r>
                    <w:rPr>
                      <w:rFonts w:hint="eastAsia" w:eastAsiaTheme="minorEastAsia"/>
                      <w:szCs w:val="21"/>
                    </w:rPr>
                    <w:t>0</w:t>
                  </w:r>
                  <w:r>
                    <w:rPr>
                      <w:rFonts w:eastAsiaTheme="minorEastAsia"/>
                      <w:szCs w:val="21"/>
                    </w:rPr>
                    <w:t>.125</w:t>
                  </w:r>
                </w:p>
              </w:tc>
              <w:tc>
                <w:tcPr>
                  <w:tcW w:w="1050" w:type="dxa"/>
                </w:tcPr>
                <w:p>
                  <w:pPr>
                    <w:jc w:val="center"/>
                    <w:rPr>
                      <w:rFonts w:eastAsiaTheme="minorEastAsia"/>
                      <w:szCs w:val="21"/>
                    </w:rPr>
                  </w:pPr>
                  <w:r>
                    <w:rPr>
                      <w:rFonts w:hint="eastAsia" w:eastAsiaTheme="minorEastAsia"/>
                      <w:szCs w:val="21"/>
                    </w:rPr>
                    <w:t>0</w:t>
                  </w:r>
                  <w:r>
                    <w:rPr>
                      <w:rFonts w:eastAsiaTheme="minorEastAsia"/>
                      <w:szCs w:val="21"/>
                    </w:rPr>
                    <w:t>.06</w:t>
                  </w:r>
                </w:p>
              </w:tc>
              <w:tc>
                <w:tcPr>
                  <w:tcW w:w="1051" w:type="dxa"/>
                </w:tcPr>
                <w:p>
                  <w:pPr>
                    <w:jc w:val="center"/>
                    <w:rPr>
                      <w:rFonts w:eastAsiaTheme="minorEastAsia"/>
                      <w:szCs w:val="21"/>
                    </w:rPr>
                  </w:pPr>
                  <w:r>
                    <w:rPr>
                      <w:rFonts w:hint="eastAsia" w:eastAsiaTheme="minorEastAsia"/>
                      <w:szCs w:val="21"/>
                    </w:rPr>
                    <w:t>1</w:t>
                  </w:r>
                  <w:r>
                    <w:rPr>
                      <w:rFonts w:eastAsiaTheme="minorEastAsia"/>
                      <w:szCs w:val="21"/>
                    </w:rPr>
                    <w:t>.25</w:t>
                  </w:r>
                </w:p>
              </w:tc>
              <w:tc>
                <w:tcPr>
                  <w:tcW w:w="1051" w:type="dxa"/>
                </w:tcPr>
                <w:p>
                  <w:pPr>
                    <w:jc w:val="center"/>
                    <w:rPr>
                      <w:rFonts w:eastAsiaTheme="minorEastAsia"/>
                      <w:szCs w:val="21"/>
                    </w:rPr>
                  </w:pPr>
                  <w:r>
                    <w:rPr>
                      <w:rFonts w:eastAsiaTheme="minorEastAsia"/>
                      <w:szCs w:val="21"/>
                    </w:rPr>
                    <w:t>有组织</w:t>
                  </w:r>
                </w:p>
              </w:tc>
              <w:tc>
                <w:tcPr>
                  <w:tcW w:w="1051" w:type="dxa"/>
                </w:tcPr>
                <w:p>
                  <w:pPr>
                    <w:jc w:val="center"/>
                    <w:rPr>
                      <w:rFonts w:eastAsiaTheme="minorEastAsia"/>
                      <w:szCs w:val="21"/>
                    </w:rPr>
                  </w:pPr>
                  <w:r>
                    <w:rPr>
                      <w:rFonts w:hint="eastAsia"/>
                      <w:szCs w:val="21"/>
                    </w:rPr>
                    <w:t>1</w:t>
                  </w:r>
                  <w:r>
                    <w:rPr>
                      <w:szCs w:val="21"/>
                    </w:rPr>
                    <w:t>20mg/m³，11.4kg/h（等效排气筒）</w:t>
                  </w:r>
                </w:p>
              </w:tc>
              <w:tc>
                <w:tcPr>
                  <w:tcW w:w="1051" w:type="dxa"/>
                </w:tcPr>
                <w:p>
                  <w:pPr>
                    <w:jc w:val="center"/>
                    <w:rPr>
                      <w:rFonts w:eastAsiaTheme="minorEastAsia"/>
                      <w:szCs w:val="21"/>
                    </w:rPr>
                  </w:pPr>
                  <w:r>
                    <w:rPr>
                      <w:rFonts w:eastAsiaTheme="minor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trPr>
              <w:tc>
                <w:tcPr>
                  <w:tcW w:w="1050" w:type="dxa"/>
                  <w:gridSpan w:val="2"/>
                </w:tcPr>
                <w:p>
                  <w:pPr>
                    <w:jc w:val="center"/>
                    <w:rPr>
                      <w:rFonts w:eastAsiaTheme="minorEastAsia"/>
                      <w:szCs w:val="21"/>
                    </w:rPr>
                  </w:pPr>
                  <w:r>
                    <w:rPr>
                      <w:rFonts w:eastAsiaTheme="minorEastAsia"/>
                      <w:szCs w:val="21"/>
                    </w:rPr>
                    <w:t>厨房油烟</w:t>
                  </w:r>
                </w:p>
              </w:tc>
              <w:tc>
                <w:tcPr>
                  <w:tcW w:w="1050" w:type="dxa"/>
                </w:tcPr>
                <w:p>
                  <w:pPr>
                    <w:jc w:val="center"/>
                    <w:rPr>
                      <w:rFonts w:eastAsiaTheme="minorEastAsia"/>
                      <w:szCs w:val="21"/>
                    </w:rPr>
                  </w:pPr>
                  <w:r>
                    <w:rPr>
                      <w:rFonts w:hint="eastAsia" w:eastAsiaTheme="minorEastAsia"/>
                      <w:szCs w:val="21"/>
                    </w:rPr>
                    <w:t>0</w:t>
                  </w:r>
                  <w:r>
                    <w:rPr>
                      <w:rFonts w:eastAsiaTheme="minorEastAsia"/>
                      <w:szCs w:val="21"/>
                    </w:rPr>
                    <w:t>.003</w:t>
                  </w:r>
                </w:p>
              </w:tc>
              <w:tc>
                <w:tcPr>
                  <w:tcW w:w="1050" w:type="dxa"/>
                </w:tcPr>
                <w:p>
                  <w:pPr>
                    <w:jc w:val="center"/>
                    <w:rPr>
                      <w:rFonts w:eastAsiaTheme="minorEastAsia"/>
                      <w:szCs w:val="21"/>
                    </w:rPr>
                  </w:pPr>
                  <w:r>
                    <w:rPr>
                      <w:rFonts w:hint="eastAsia" w:eastAsiaTheme="minorEastAsia"/>
                      <w:szCs w:val="21"/>
                    </w:rPr>
                    <w:t>0</w:t>
                  </w:r>
                  <w:r>
                    <w:rPr>
                      <w:rFonts w:eastAsiaTheme="minorEastAsia"/>
                      <w:szCs w:val="21"/>
                    </w:rPr>
                    <w:t>.0042</w:t>
                  </w:r>
                </w:p>
              </w:tc>
              <w:tc>
                <w:tcPr>
                  <w:tcW w:w="1051" w:type="dxa"/>
                </w:tcPr>
                <w:p>
                  <w:pPr>
                    <w:jc w:val="center"/>
                    <w:rPr>
                      <w:rFonts w:eastAsiaTheme="minorEastAsia"/>
                      <w:szCs w:val="21"/>
                    </w:rPr>
                  </w:pPr>
                  <w:r>
                    <w:rPr>
                      <w:rFonts w:hint="eastAsia" w:eastAsiaTheme="minorEastAsia"/>
                      <w:szCs w:val="21"/>
                    </w:rPr>
                    <w:t>0</w:t>
                  </w:r>
                  <w:r>
                    <w:rPr>
                      <w:rFonts w:eastAsiaTheme="minorEastAsia"/>
                      <w:szCs w:val="21"/>
                    </w:rPr>
                    <w:t>.84</w:t>
                  </w:r>
                </w:p>
              </w:tc>
              <w:tc>
                <w:tcPr>
                  <w:tcW w:w="1051" w:type="dxa"/>
                </w:tcPr>
                <w:p>
                  <w:pPr>
                    <w:jc w:val="center"/>
                    <w:rPr>
                      <w:rFonts w:eastAsiaTheme="minorEastAsia"/>
                      <w:szCs w:val="21"/>
                    </w:rPr>
                  </w:pPr>
                  <w:r>
                    <w:rPr>
                      <w:rFonts w:eastAsiaTheme="minorEastAsia"/>
                      <w:szCs w:val="21"/>
                    </w:rPr>
                    <w:t>有组织</w:t>
                  </w:r>
                </w:p>
              </w:tc>
              <w:tc>
                <w:tcPr>
                  <w:tcW w:w="1051" w:type="dxa"/>
                </w:tcPr>
                <w:p>
                  <w:pPr>
                    <w:jc w:val="center"/>
                    <w:rPr>
                      <w:szCs w:val="21"/>
                    </w:rPr>
                  </w:pPr>
                  <w:r>
                    <w:rPr>
                      <w:rFonts w:hint="eastAsia"/>
                      <w:szCs w:val="21"/>
                    </w:rPr>
                    <w:t>2</w:t>
                  </w:r>
                  <w:r>
                    <w:rPr>
                      <w:szCs w:val="21"/>
                    </w:rPr>
                    <w:t>.0（等效排气筒）</w:t>
                  </w:r>
                </w:p>
              </w:tc>
              <w:tc>
                <w:tcPr>
                  <w:tcW w:w="1051" w:type="dxa"/>
                </w:tcPr>
                <w:p>
                  <w:pPr>
                    <w:jc w:val="center"/>
                    <w:rPr>
                      <w:rFonts w:eastAsiaTheme="minorEastAsia"/>
                      <w:szCs w:val="21"/>
                    </w:rPr>
                  </w:pPr>
                  <w:r>
                    <w:rPr>
                      <w:rFonts w:eastAsiaTheme="minorEastAsia"/>
                      <w:szCs w:val="21"/>
                    </w:rPr>
                    <w:t>达标</w:t>
                  </w:r>
                </w:p>
              </w:tc>
            </w:tr>
          </w:tbl>
          <w:p>
            <w:pPr>
              <w:spacing w:line="360" w:lineRule="auto"/>
              <w:ind w:firstLine="480" w:firstLineChars="200"/>
              <w:rPr>
                <w:rFonts w:eastAsiaTheme="minorEastAsia"/>
                <w:sz w:val="24"/>
                <w:szCs w:val="21"/>
              </w:rPr>
            </w:pPr>
            <w:r>
              <w:rPr>
                <w:rFonts w:eastAsiaTheme="minorEastAsia"/>
                <w:sz w:val="24"/>
                <w:szCs w:val="21"/>
              </w:rPr>
              <w:t>2、废气环境保护措施</w:t>
            </w:r>
          </w:p>
          <w:p>
            <w:pPr>
              <w:spacing w:line="360" w:lineRule="auto"/>
              <w:ind w:firstLine="480" w:firstLineChars="200"/>
              <w:rPr>
                <w:rFonts w:eastAsiaTheme="minorEastAsia"/>
                <w:sz w:val="24"/>
              </w:rPr>
            </w:pPr>
            <w:r>
              <w:rPr>
                <w:rFonts w:eastAsiaTheme="minorEastAsia"/>
                <w:sz w:val="24"/>
              </w:rPr>
              <w:t>项目</w:t>
            </w:r>
            <w:r>
              <w:rPr>
                <w:rFonts w:hint="eastAsia" w:eastAsiaTheme="minorEastAsia"/>
                <w:sz w:val="24"/>
              </w:rPr>
              <w:t>废气治理措施</w:t>
            </w:r>
            <w:r>
              <w:rPr>
                <w:rFonts w:eastAsiaTheme="minorEastAsia"/>
                <w:sz w:val="24"/>
              </w:rPr>
              <w:t>均</w:t>
            </w:r>
            <w:r>
              <w:rPr>
                <w:rFonts w:hint="eastAsia" w:eastAsiaTheme="minorEastAsia"/>
                <w:sz w:val="24"/>
              </w:rPr>
              <w:t>依托</w:t>
            </w:r>
            <w:r>
              <w:rPr>
                <w:rFonts w:eastAsiaTheme="minorEastAsia"/>
                <w:sz w:val="24"/>
              </w:rPr>
              <w:t>一期项目。其中</w:t>
            </w:r>
            <w:r>
              <w:rPr>
                <w:rFonts w:hint="eastAsia" w:eastAsiaTheme="minorEastAsia"/>
                <w:sz w:val="24"/>
              </w:rPr>
              <w:t>焊接烟尘依托</w:t>
            </w:r>
            <w:r>
              <w:rPr>
                <w:rFonts w:eastAsiaTheme="minorEastAsia"/>
                <w:sz w:val="24"/>
              </w:rPr>
              <w:t>一期项目烟尘净化装置处理后再通过车间设置的</w:t>
            </w:r>
            <w:r>
              <w:rPr>
                <w:rFonts w:hint="eastAsia" w:eastAsiaTheme="minorEastAsia"/>
                <w:sz w:val="24"/>
              </w:rPr>
              <w:t>2套除尘除湿系统，处理后通过抽排风系统无组织排放；喷砂废气通过一期</w:t>
            </w:r>
            <w:r>
              <w:rPr>
                <w:rFonts w:eastAsiaTheme="minorEastAsia"/>
                <w:sz w:val="24"/>
              </w:rPr>
              <w:t>已建成</w:t>
            </w:r>
            <w:r>
              <w:rPr>
                <w:rFonts w:hint="eastAsia" w:eastAsiaTheme="minorEastAsia"/>
                <w:sz w:val="24"/>
              </w:rPr>
              <w:t>2套</w:t>
            </w:r>
            <w:r>
              <w:rPr>
                <w:rFonts w:eastAsiaTheme="minorEastAsia"/>
                <w:sz w:val="24"/>
              </w:rPr>
              <w:t>滤筒干式过滤除尘装置（旋风除尘+滤筒除尘）处理，处理后通过2根</w:t>
            </w:r>
            <w:r>
              <w:rPr>
                <w:rFonts w:hint="eastAsia" w:eastAsiaTheme="minorEastAsia"/>
                <w:sz w:val="24"/>
              </w:rPr>
              <w:t>1</w:t>
            </w:r>
            <w:r>
              <w:rPr>
                <w:rFonts w:eastAsiaTheme="minorEastAsia"/>
                <w:sz w:val="24"/>
              </w:rPr>
              <w:t>6m高排气筒排放；打磨废气依托一期已建成的</w:t>
            </w:r>
            <w:r>
              <w:rPr>
                <w:rFonts w:hint="eastAsia" w:eastAsiaTheme="minorEastAsia"/>
                <w:sz w:val="24"/>
              </w:rPr>
              <w:t>2个打磨房</w:t>
            </w:r>
            <w:r>
              <w:rPr>
                <w:rFonts w:eastAsiaTheme="minorEastAsia"/>
                <w:sz w:val="24"/>
              </w:rPr>
              <w:t>8</w:t>
            </w:r>
            <w:r>
              <w:rPr>
                <w:rFonts w:hint="eastAsia" w:eastAsiaTheme="minorEastAsia"/>
                <w:sz w:val="24"/>
              </w:rPr>
              <w:t>套</w:t>
            </w:r>
            <w:r>
              <w:rPr>
                <w:rFonts w:eastAsiaTheme="minorEastAsia"/>
                <w:sz w:val="24"/>
              </w:rPr>
              <w:t>滤筒干式过滤除尘装置（旋风除尘+滤芯过滤+空气动力过滤）收集打磨过程产生的粉尘，处理后通过</w:t>
            </w:r>
            <w:r>
              <w:rPr>
                <w:rFonts w:hint="eastAsia" w:eastAsiaTheme="minorEastAsia"/>
                <w:sz w:val="24"/>
              </w:rPr>
              <w:t>8根1</w:t>
            </w:r>
            <w:r>
              <w:rPr>
                <w:rFonts w:eastAsiaTheme="minorEastAsia"/>
                <w:sz w:val="24"/>
              </w:rPr>
              <w:t>6m高排气筒对空排放；喷漆废气依托一期已建成的2</w:t>
            </w:r>
            <w:r>
              <w:rPr>
                <w:rFonts w:hint="eastAsia" w:eastAsiaTheme="minorEastAsia"/>
                <w:sz w:val="24"/>
              </w:rPr>
              <w:t>个底漆喷烘车间和</w:t>
            </w:r>
            <w:r>
              <w:rPr>
                <w:rFonts w:eastAsiaTheme="minorEastAsia"/>
                <w:sz w:val="24"/>
              </w:rPr>
              <w:t>2</w:t>
            </w:r>
            <w:r>
              <w:rPr>
                <w:rFonts w:hint="eastAsia" w:eastAsiaTheme="minorEastAsia"/>
                <w:sz w:val="24"/>
              </w:rPr>
              <w:t>个面漆喷烘车间进行，一期项目每个喷烘车间均</w:t>
            </w:r>
            <w:r>
              <w:rPr>
                <w:rFonts w:eastAsiaTheme="minorEastAsia"/>
                <w:sz w:val="24"/>
              </w:rPr>
              <w:t>分别设置4套处理设备，处理工艺为过滤棉吸附+活性炭箱吸附，处理后分别通过一根排气筒排放，4个喷漆房共设置16套处理设备和16根16m高排气筒。</w:t>
            </w:r>
          </w:p>
          <w:p>
            <w:pPr>
              <w:spacing w:line="360" w:lineRule="auto"/>
              <w:ind w:firstLine="480" w:firstLineChars="200"/>
              <w:rPr>
                <w:rFonts w:eastAsiaTheme="minorEastAsia"/>
                <w:bCs/>
                <w:sz w:val="24"/>
              </w:rPr>
            </w:pPr>
            <w:r>
              <w:rPr>
                <w:rFonts w:eastAsiaTheme="minorEastAsia"/>
                <w:sz w:val="24"/>
              </w:rPr>
              <w:t>3、</w:t>
            </w:r>
            <w:r>
              <w:rPr>
                <w:rFonts w:eastAsiaTheme="minorEastAsia"/>
                <w:bCs/>
                <w:sz w:val="24"/>
              </w:rPr>
              <w:t>废气环保措施可行性和排放达标性分析</w:t>
            </w:r>
          </w:p>
          <w:p>
            <w:pPr>
              <w:spacing w:line="360" w:lineRule="auto"/>
              <w:ind w:firstLine="480" w:firstLineChars="200"/>
              <w:rPr>
                <w:rFonts w:eastAsiaTheme="minorEastAsia"/>
                <w:sz w:val="24"/>
              </w:rPr>
            </w:pPr>
            <w:r>
              <w:rPr>
                <w:rFonts w:hint="eastAsia" w:ascii="宋体" w:hAnsi="宋体" w:cs="宋体"/>
                <w:sz w:val="24"/>
              </w:rPr>
              <w:t>①</w:t>
            </w:r>
            <w:r>
              <w:rPr>
                <w:rFonts w:hint="eastAsia" w:eastAsiaTheme="minorEastAsia"/>
                <w:sz w:val="24"/>
              </w:rPr>
              <w:t>备用发电机</w:t>
            </w:r>
            <w:r>
              <w:rPr>
                <w:rFonts w:eastAsiaTheme="minorEastAsia"/>
                <w:sz w:val="24"/>
              </w:rPr>
              <w:t>废气</w:t>
            </w:r>
          </w:p>
          <w:p>
            <w:pPr>
              <w:widowControl/>
              <w:spacing w:line="360" w:lineRule="auto"/>
              <w:ind w:firstLine="480" w:firstLineChars="200"/>
              <w:jc w:val="left"/>
              <w:rPr>
                <w:color w:val="000000"/>
                <w:kern w:val="0"/>
                <w:sz w:val="24"/>
              </w:rPr>
            </w:pPr>
            <w:r>
              <w:rPr>
                <w:color w:val="000000"/>
                <w:kern w:val="0"/>
                <w:sz w:val="24"/>
              </w:rPr>
              <w:t>本项</w:t>
            </w:r>
            <w:r>
              <w:rPr>
                <w:snapToGrid w:val="0"/>
                <w:color w:val="000000"/>
                <w:kern w:val="0"/>
                <w:sz w:val="24"/>
              </w:rPr>
              <w:t>目拟设1台柴油发电机，功率为250kw。发电机设置在专用发电机房内，</w:t>
            </w:r>
            <w:r>
              <w:rPr>
                <w:color w:val="000000"/>
                <w:kern w:val="0"/>
                <w:sz w:val="24"/>
              </w:rPr>
              <w:t>以满足突发性停电情况下用电需求。对照《非道路移动机械用柴油机排气污染物排放限值及测量方法（中国Ⅰ、Ⅱ阶段）》（GB20891-2007）表2中标准，本项目所使用的应急柴油发电机排放的燃油烟气达到标准要求。根据</w:t>
            </w:r>
            <w:r>
              <w:rPr>
                <w:rFonts w:hint="eastAsia"/>
                <w:color w:val="000000"/>
                <w:kern w:val="0"/>
                <w:sz w:val="24"/>
              </w:rPr>
              <w:t>项目区周边</w:t>
            </w:r>
            <w:r>
              <w:rPr>
                <w:color w:val="000000"/>
                <w:kern w:val="0"/>
                <w:sz w:val="24"/>
              </w:rPr>
              <w:t xml:space="preserve">用电情况，备用发电机组的使用概率极低，且发电机房内设置有机械送风、排风系统，备用发电机排放的污染物通过机械送风系统排出室外，对周边环境影响很小。 </w:t>
            </w:r>
          </w:p>
          <w:p>
            <w:pPr>
              <w:widowControl/>
              <w:spacing w:line="360" w:lineRule="auto"/>
              <w:ind w:firstLine="480" w:firstLineChars="200"/>
              <w:jc w:val="left"/>
              <w:rPr>
                <w:color w:val="000000"/>
                <w:kern w:val="0"/>
                <w:sz w:val="24"/>
              </w:rPr>
            </w:pPr>
            <w:r>
              <w:rPr>
                <w:rFonts w:hint="eastAsia" w:ascii="宋体" w:hAnsi="宋体" w:cs="宋体"/>
                <w:color w:val="000000"/>
                <w:kern w:val="0"/>
                <w:sz w:val="24"/>
              </w:rPr>
              <w:t>②焊接烟尘</w:t>
            </w:r>
          </w:p>
          <w:p>
            <w:pPr>
              <w:widowControl/>
              <w:adjustRightInd w:val="0"/>
              <w:snapToGrid w:val="0"/>
              <w:spacing w:line="360" w:lineRule="auto"/>
              <w:ind w:firstLine="480" w:firstLineChars="200"/>
              <w:rPr>
                <w:color w:val="000000"/>
                <w:kern w:val="0"/>
                <w:sz w:val="24"/>
              </w:rPr>
            </w:pPr>
            <w:r>
              <w:rPr>
                <w:color w:val="000000"/>
                <w:kern w:val="0"/>
                <w:sz w:val="24"/>
              </w:rPr>
              <w:t>项目依托一期项目已建成的焊接车间的</w:t>
            </w:r>
            <w:r>
              <w:rPr>
                <w:rFonts w:hint="eastAsia"/>
                <w:color w:val="000000"/>
                <w:kern w:val="0"/>
                <w:sz w:val="24"/>
              </w:rPr>
              <w:t>2套移动式焊接烟尘净化装置进行处理，根据已建移动式焊接烟尘净化装置设计说明，净化效率约为9</w:t>
            </w:r>
            <w:r>
              <w:rPr>
                <w:color w:val="000000"/>
                <w:kern w:val="0"/>
                <w:sz w:val="24"/>
              </w:rPr>
              <w:t>0%，则项目焊接扬尘排放量</w:t>
            </w:r>
            <w:r>
              <w:rPr>
                <w:rFonts w:hint="eastAsia"/>
                <w:color w:val="000000"/>
                <w:kern w:val="0"/>
                <w:sz w:val="24"/>
              </w:rPr>
              <w:t>0</w:t>
            </w:r>
            <w:r>
              <w:rPr>
                <w:color w:val="000000"/>
                <w:kern w:val="0"/>
                <w:sz w:val="24"/>
              </w:rPr>
              <w:t>.001t/a，排放速率</w:t>
            </w:r>
            <w:r>
              <w:rPr>
                <w:rFonts w:hint="eastAsia"/>
                <w:color w:val="000000"/>
                <w:kern w:val="0"/>
                <w:sz w:val="24"/>
              </w:rPr>
              <w:t>0</w:t>
            </w:r>
            <w:r>
              <w:rPr>
                <w:color w:val="000000"/>
                <w:kern w:val="0"/>
                <w:sz w:val="24"/>
              </w:rPr>
              <w:t>.0005kg/h，焊接车间排风量为</w:t>
            </w:r>
            <w:r>
              <w:rPr>
                <w:rFonts w:hint="eastAsia"/>
                <w:color w:val="000000"/>
                <w:kern w:val="0"/>
                <w:sz w:val="24"/>
              </w:rPr>
              <w:t>5</w:t>
            </w:r>
            <w:r>
              <w:rPr>
                <w:color w:val="000000"/>
                <w:kern w:val="0"/>
                <w:sz w:val="24"/>
              </w:rPr>
              <w:t>000m³/h，则排放浓度为</w:t>
            </w:r>
            <w:r>
              <w:rPr>
                <w:rFonts w:hint="eastAsia"/>
                <w:color w:val="000000"/>
                <w:kern w:val="0"/>
                <w:sz w:val="24"/>
              </w:rPr>
              <w:t>0</w:t>
            </w:r>
            <w:r>
              <w:rPr>
                <w:color w:val="000000"/>
                <w:kern w:val="0"/>
                <w:sz w:val="24"/>
              </w:rPr>
              <w:t>.1mg/m³。焊接烟气经过烟尘净化装置处理后再通过车间设置的</w:t>
            </w:r>
            <w:r>
              <w:rPr>
                <w:rFonts w:hint="eastAsia"/>
                <w:color w:val="000000"/>
                <w:kern w:val="0"/>
                <w:sz w:val="24"/>
              </w:rPr>
              <w:t>2套除尘除湿系统，处理后通过抽排风系统无组织排放。</w:t>
            </w:r>
          </w:p>
          <w:p>
            <w:pPr>
              <w:widowControl/>
              <w:adjustRightInd w:val="0"/>
              <w:snapToGrid w:val="0"/>
              <w:spacing w:line="360" w:lineRule="auto"/>
              <w:ind w:firstLine="480" w:firstLineChars="200"/>
              <w:rPr>
                <w:color w:val="000000"/>
                <w:kern w:val="0"/>
                <w:sz w:val="24"/>
              </w:rPr>
            </w:pPr>
            <w:r>
              <w:rPr>
                <w:color w:val="000000"/>
                <w:kern w:val="0"/>
                <w:sz w:val="24"/>
              </w:rPr>
              <w:t>根据一期项目竣工环境保护验收监测，焊接车间</w:t>
            </w:r>
            <w:r>
              <w:rPr>
                <w:rFonts w:hint="eastAsia"/>
                <w:color w:val="000000"/>
                <w:kern w:val="0"/>
                <w:sz w:val="24"/>
              </w:rPr>
              <w:t>移动式焊接烟尘净化装置为达标产品，根据设计说明，净化效率在9</w:t>
            </w:r>
            <w:r>
              <w:rPr>
                <w:color w:val="000000"/>
                <w:kern w:val="0"/>
                <w:sz w:val="24"/>
              </w:rPr>
              <w:t>0%以上，本项目所需焊接工程均在一期项目已建成焊接车间内进行，具备依托该净化装置的条件，因焊接烟尘处理后影响很小。</w:t>
            </w:r>
          </w:p>
          <w:p>
            <w:pPr>
              <w:widowControl/>
              <w:adjustRightInd w:val="0"/>
              <w:snapToGrid w:val="0"/>
              <w:spacing w:line="360" w:lineRule="auto"/>
              <w:ind w:firstLine="480" w:firstLineChars="200"/>
              <w:rPr>
                <w:color w:val="000000"/>
                <w:kern w:val="0"/>
                <w:sz w:val="24"/>
              </w:rPr>
            </w:pPr>
            <w:r>
              <w:rPr>
                <w:rFonts w:hint="eastAsia"/>
                <w:color w:val="000000"/>
                <w:kern w:val="0"/>
                <w:sz w:val="24"/>
              </w:rPr>
              <w:t>③打磨废气</w:t>
            </w:r>
          </w:p>
          <w:p>
            <w:pPr>
              <w:widowControl/>
              <w:adjustRightInd w:val="0"/>
              <w:snapToGrid w:val="0"/>
              <w:spacing w:line="360" w:lineRule="auto"/>
              <w:ind w:firstLine="480" w:firstLineChars="200"/>
              <w:rPr>
                <w:rFonts w:eastAsiaTheme="minorEastAsia"/>
                <w:kern w:val="0"/>
                <w:sz w:val="24"/>
              </w:rPr>
            </w:pPr>
            <w:r>
              <w:rPr>
                <w:rFonts w:eastAsiaTheme="minorEastAsia"/>
                <w:kern w:val="0"/>
                <w:sz w:val="24"/>
              </w:rPr>
              <w:t>项目打磨废气依托一期已建成的</w:t>
            </w:r>
            <w:r>
              <w:rPr>
                <w:rFonts w:hint="eastAsia" w:eastAsiaTheme="minorEastAsia"/>
                <w:kern w:val="0"/>
                <w:sz w:val="24"/>
              </w:rPr>
              <w:t>2个打磨房</w:t>
            </w:r>
            <w:r>
              <w:rPr>
                <w:rFonts w:eastAsiaTheme="minorEastAsia"/>
                <w:kern w:val="0"/>
                <w:sz w:val="24"/>
              </w:rPr>
              <w:t>8</w:t>
            </w:r>
            <w:r>
              <w:rPr>
                <w:rFonts w:hint="eastAsia" w:eastAsiaTheme="minorEastAsia"/>
                <w:kern w:val="0"/>
                <w:sz w:val="24"/>
              </w:rPr>
              <w:t>套</w:t>
            </w:r>
            <w:r>
              <w:rPr>
                <w:rFonts w:eastAsiaTheme="minorEastAsia"/>
                <w:kern w:val="0"/>
                <w:sz w:val="24"/>
              </w:rPr>
              <w:t>滤筒干式过滤除尘装置（旋风除尘+滤芯过滤+空气动力过滤）收集打磨过程产生的粉尘，处理后通过</w:t>
            </w:r>
            <w:r>
              <w:rPr>
                <w:rFonts w:hint="eastAsia" w:eastAsiaTheme="minorEastAsia"/>
                <w:kern w:val="0"/>
                <w:sz w:val="24"/>
              </w:rPr>
              <w:t>8根1</w:t>
            </w:r>
            <w:r>
              <w:rPr>
                <w:rFonts w:eastAsiaTheme="minorEastAsia"/>
                <w:kern w:val="0"/>
                <w:sz w:val="24"/>
              </w:rPr>
              <w:t>6m高排气筒对空排放。本项目打磨依托一期项目打磨房，根据一期项目竣工环境保护验收监测和排污许可自行监测，打磨房所设置的</w:t>
            </w:r>
            <w:r>
              <w:rPr>
                <w:rFonts w:hint="eastAsia" w:eastAsiaTheme="minorEastAsia"/>
                <w:kern w:val="0"/>
                <w:sz w:val="24"/>
              </w:rPr>
              <w:t>8套</w:t>
            </w:r>
            <w:r>
              <w:rPr>
                <w:rFonts w:eastAsiaTheme="minorEastAsia"/>
                <w:kern w:val="0"/>
                <w:sz w:val="24"/>
              </w:rPr>
              <w:t>滤筒干式过滤除尘装置（旋风除尘+滤芯过滤+空气动力过滤）处置效率在</w:t>
            </w:r>
            <w:r>
              <w:rPr>
                <w:rFonts w:hint="eastAsia" w:eastAsiaTheme="minorEastAsia"/>
                <w:kern w:val="0"/>
                <w:sz w:val="24"/>
              </w:rPr>
              <w:t>9</w:t>
            </w:r>
            <w:r>
              <w:rPr>
                <w:rFonts w:eastAsiaTheme="minorEastAsia"/>
                <w:kern w:val="0"/>
                <w:sz w:val="24"/>
              </w:rPr>
              <w:t>5%以上，且处置后排放口监测结果均可以</w:t>
            </w:r>
            <w:r>
              <w:rPr>
                <w:rFonts w:hint="eastAsia" w:eastAsiaTheme="minorEastAsia"/>
                <w:kern w:val="0"/>
                <w:sz w:val="24"/>
              </w:rPr>
              <w:t>达标</w:t>
            </w:r>
            <w:r>
              <w:rPr>
                <w:rFonts w:eastAsiaTheme="minorEastAsia"/>
                <w:kern w:val="0"/>
                <w:sz w:val="24"/>
              </w:rPr>
              <w:t>，因此项目依托可行，一期项目打磨房处置措施可以满足要求。</w:t>
            </w:r>
          </w:p>
          <w:p>
            <w:pPr>
              <w:widowControl/>
              <w:adjustRightInd w:val="0"/>
              <w:snapToGrid w:val="0"/>
              <w:spacing w:line="360" w:lineRule="auto"/>
              <w:ind w:firstLine="480" w:firstLineChars="200"/>
              <w:rPr>
                <w:rFonts w:ascii="宋体" w:hAnsi="宋体" w:cs="宋体"/>
                <w:kern w:val="0"/>
                <w:sz w:val="24"/>
              </w:rPr>
            </w:pPr>
            <w:r>
              <w:rPr>
                <w:rFonts w:eastAsiaTheme="minorEastAsia"/>
                <w:kern w:val="0"/>
                <w:sz w:val="24"/>
              </w:rPr>
              <w:t>项目打磨废气产生量很小，处理后可以做到达标排放，影响很小。</w:t>
            </w:r>
            <w:r>
              <w:rPr>
                <w:rFonts w:eastAsiaTheme="minorEastAsia"/>
                <w:kern w:val="0"/>
                <w:sz w:val="24"/>
              </w:rPr>
              <w:br w:type="textWrapping"/>
            </w:r>
            <w:r>
              <w:rPr>
                <w:rFonts w:hint="eastAsia" w:eastAsiaTheme="minorEastAsia"/>
                <w:kern w:val="0"/>
                <w:sz w:val="24"/>
              </w:rPr>
              <w:t xml:space="preserve"> </w:t>
            </w:r>
            <w:r>
              <w:rPr>
                <w:rFonts w:eastAsiaTheme="minorEastAsia"/>
                <w:kern w:val="0"/>
                <w:sz w:val="24"/>
              </w:rPr>
              <w:t xml:space="preserve">   </w:t>
            </w:r>
            <w:r>
              <w:rPr>
                <w:rFonts w:hint="eastAsia" w:ascii="宋体" w:hAnsi="宋体" w:cs="宋体"/>
                <w:kern w:val="0"/>
                <w:sz w:val="24"/>
              </w:rPr>
              <w:t>④喷砂废气</w:t>
            </w:r>
          </w:p>
          <w:p>
            <w:pPr>
              <w:widowControl/>
              <w:adjustRightInd w:val="0"/>
              <w:snapToGrid w:val="0"/>
              <w:spacing w:line="360" w:lineRule="auto"/>
              <w:ind w:firstLine="480" w:firstLineChars="200"/>
              <w:rPr>
                <w:rFonts w:eastAsiaTheme="minorEastAsia"/>
                <w:kern w:val="0"/>
                <w:sz w:val="24"/>
              </w:rPr>
            </w:pPr>
            <w:r>
              <w:rPr>
                <w:rFonts w:eastAsiaTheme="minorEastAsia"/>
                <w:kern w:val="0"/>
                <w:sz w:val="24"/>
              </w:rPr>
              <w:t>项目</w:t>
            </w:r>
            <w:r>
              <w:rPr>
                <w:rFonts w:hint="eastAsia" w:eastAsiaTheme="minorEastAsia"/>
                <w:kern w:val="0"/>
                <w:sz w:val="24"/>
              </w:rPr>
              <w:t>喷砂</w:t>
            </w:r>
            <w:r>
              <w:rPr>
                <w:rFonts w:eastAsiaTheme="minorEastAsia"/>
                <w:kern w:val="0"/>
                <w:sz w:val="24"/>
              </w:rPr>
              <w:t>废气依托一期项目已建成</w:t>
            </w:r>
            <w:r>
              <w:rPr>
                <w:rFonts w:hint="eastAsia" w:eastAsiaTheme="minorEastAsia"/>
                <w:kern w:val="0"/>
                <w:sz w:val="24"/>
              </w:rPr>
              <w:t>2套</w:t>
            </w:r>
            <w:r>
              <w:rPr>
                <w:rFonts w:eastAsiaTheme="minorEastAsia"/>
                <w:kern w:val="0"/>
                <w:sz w:val="24"/>
              </w:rPr>
              <w:t>滤筒干式过滤除尘装置（旋风除尘+滤筒除尘）处理，处理后通过2根</w:t>
            </w:r>
            <w:r>
              <w:rPr>
                <w:rFonts w:hint="eastAsia" w:eastAsiaTheme="minorEastAsia"/>
                <w:kern w:val="0"/>
                <w:sz w:val="24"/>
              </w:rPr>
              <w:t>1</w:t>
            </w:r>
            <w:r>
              <w:rPr>
                <w:rFonts w:eastAsiaTheme="minorEastAsia"/>
                <w:kern w:val="0"/>
                <w:sz w:val="24"/>
              </w:rPr>
              <w:t>6m高排气筒排放。根据一期项目竣工环境保护验收监测，喷砂车间所设置的</w:t>
            </w:r>
            <w:r>
              <w:rPr>
                <w:rFonts w:hint="eastAsia" w:eastAsiaTheme="minorEastAsia"/>
                <w:kern w:val="0"/>
                <w:sz w:val="24"/>
              </w:rPr>
              <w:t>2套</w:t>
            </w:r>
            <w:r>
              <w:rPr>
                <w:rFonts w:eastAsiaTheme="minorEastAsia"/>
                <w:kern w:val="0"/>
                <w:sz w:val="24"/>
              </w:rPr>
              <w:t>滤筒干式过滤除尘装置（旋风除尘+滤筒除尘）处置效率可以达到</w:t>
            </w:r>
            <w:r>
              <w:rPr>
                <w:rFonts w:hint="eastAsia" w:eastAsiaTheme="minorEastAsia"/>
                <w:kern w:val="0"/>
                <w:sz w:val="24"/>
              </w:rPr>
              <w:t>9</w:t>
            </w:r>
            <w:r>
              <w:rPr>
                <w:rFonts w:eastAsiaTheme="minorEastAsia"/>
                <w:kern w:val="0"/>
                <w:sz w:val="24"/>
              </w:rPr>
              <w:t>5%，根据排污许可自行监测，喷砂废气</w:t>
            </w:r>
            <w:r>
              <w:rPr>
                <w:rFonts w:hint="eastAsia" w:eastAsiaTheme="minorEastAsia"/>
                <w:kern w:val="0"/>
                <w:sz w:val="24"/>
              </w:rPr>
              <w:t>2个排放口排放浓度可达标。</w:t>
            </w:r>
            <w:r>
              <w:rPr>
                <w:rFonts w:eastAsiaTheme="minorEastAsia"/>
                <w:kern w:val="0"/>
                <w:sz w:val="24"/>
              </w:rPr>
              <w:t>因此项目依托可行，一期项目</w:t>
            </w:r>
            <w:r>
              <w:rPr>
                <w:rFonts w:hint="eastAsia" w:eastAsiaTheme="minorEastAsia"/>
                <w:kern w:val="0"/>
                <w:sz w:val="24"/>
              </w:rPr>
              <w:t>喷砂</w:t>
            </w:r>
            <w:r>
              <w:rPr>
                <w:rFonts w:eastAsiaTheme="minorEastAsia"/>
                <w:kern w:val="0"/>
                <w:sz w:val="24"/>
              </w:rPr>
              <w:t>处置措施可以满足要求。</w:t>
            </w:r>
          </w:p>
          <w:p>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⑤喷漆废气</w:t>
            </w:r>
          </w:p>
          <w:p>
            <w:pPr>
              <w:widowControl/>
              <w:adjustRightInd w:val="0"/>
              <w:snapToGrid w:val="0"/>
              <w:spacing w:line="360" w:lineRule="auto"/>
              <w:ind w:firstLine="480" w:firstLineChars="200"/>
              <w:rPr>
                <w:rFonts w:eastAsiaTheme="minorEastAsia"/>
                <w:kern w:val="0"/>
                <w:sz w:val="24"/>
              </w:rPr>
            </w:pPr>
            <w:r>
              <w:rPr>
                <w:rFonts w:hint="eastAsia" w:eastAsiaTheme="minorEastAsia"/>
                <w:kern w:val="0"/>
                <w:sz w:val="24"/>
              </w:rPr>
              <w:t>根据业主设计，项目架大修底漆、面漆均采用环保水性漆，水性漆是以水为稀释剂，其中的挥发性有机化合物主要是醇类、醇醚类等，不含苯、甲苯、乙苯、二甲苯等有害性挥发物，因此与油性漆相比更加环保、安全。</w:t>
            </w:r>
            <w:r>
              <w:rPr>
                <w:rFonts w:eastAsiaTheme="minorEastAsia"/>
                <w:kern w:val="0"/>
                <w:sz w:val="24"/>
              </w:rPr>
              <w:t>项目喷漆依托一期已建成的2</w:t>
            </w:r>
            <w:r>
              <w:rPr>
                <w:rFonts w:hint="eastAsia" w:eastAsiaTheme="minorEastAsia"/>
                <w:kern w:val="0"/>
                <w:sz w:val="24"/>
              </w:rPr>
              <w:t>个底漆喷烘车间和</w:t>
            </w:r>
            <w:r>
              <w:rPr>
                <w:rFonts w:eastAsiaTheme="minorEastAsia"/>
                <w:kern w:val="0"/>
                <w:sz w:val="24"/>
              </w:rPr>
              <w:t>2</w:t>
            </w:r>
            <w:r>
              <w:rPr>
                <w:rFonts w:hint="eastAsia" w:eastAsiaTheme="minorEastAsia"/>
                <w:kern w:val="0"/>
                <w:sz w:val="24"/>
              </w:rPr>
              <w:t>个面漆喷烘车间进行，一期项目每个喷烘车间均</w:t>
            </w:r>
            <w:r>
              <w:rPr>
                <w:rFonts w:eastAsiaTheme="minorEastAsia"/>
                <w:kern w:val="0"/>
                <w:sz w:val="24"/>
              </w:rPr>
              <w:t>分别设置4套处理设备，处理工艺为过滤棉吸附+活性炭箱吸附，处理后分别通过一根排气筒排放，4个喷漆房共设置16套处理设备和16根16m高排气筒。</w:t>
            </w:r>
          </w:p>
          <w:p>
            <w:pPr>
              <w:widowControl/>
              <w:adjustRightInd w:val="0"/>
              <w:snapToGrid w:val="0"/>
              <w:spacing w:line="360" w:lineRule="auto"/>
              <w:ind w:firstLine="480" w:firstLineChars="200"/>
              <w:rPr>
                <w:rFonts w:eastAsiaTheme="minorEastAsia"/>
                <w:kern w:val="0"/>
                <w:sz w:val="24"/>
              </w:rPr>
            </w:pPr>
            <w:r>
              <w:rPr>
                <w:rFonts w:eastAsiaTheme="minorEastAsia"/>
                <w:kern w:val="0"/>
                <w:sz w:val="24"/>
              </w:rPr>
              <w:t>根据一期项目竣工环境保护验收监测，喷砂车间所设置的</w:t>
            </w:r>
            <w:r>
              <w:rPr>
                <w:rFonts w:hint="eastAsia" w:eastAsiaTheme="minorEastAsia"/>
                <w:kern w:val="0"/>
                <w:sz w:val="24"/>
              </w:rPr>
              <w:t>2套</w:t>
            </w:r>
            <w:r>
              <w:rPr>
                <w:rFonts w:eastAsiaTheme="minorEastAsia"/>
                <w:kern w:val="0"/>
                <w:sz w:val="24"/>
              </w:rPr>
              <w:t>滤筒干式过滤除尘装置（旋风除尘+滤筒除尘）处置效率可以达到</w:t>
            </w:r>
            <w:r>
              <w:rPr>
                <w:rFonts w:hint="eastAsia" w:eastAsiaTheme="minorEastAsia"/>
                <w:kern w:val="0"/>
                <w:sz w:val="24"/>
              </w:rPr>
              <w:t>9</w:t>
            </w:r>
            <w:r>
              <w:rPr>
                <w:rFonts w:eastAsiaTheme="minorEastAsia"/>
                <w:kern w:val="0"/>
                <w:sz w:val="24"/>
              </w:rPr>
              <w:t>5%，根据排污许可自行监测，</w:t>
            </w:r>
            <w:r>
              <w:rPr>
                <w:rFonts w:hint="eastAsia" w:eastAsiaTheme="minorEastAsia"/>
                <w:kern w:val="0"/>
                <w:sz w:val="24"/>
              </w:rPr>
              <w:t>喷漆房1</w:t>
            </w:r>
            <w:r>
              <w:rPr>
                <w:rFonts w:eastAsiaTheme="minorEastAsia"/>
                <w:kern w:val="0"/>
                <w:sz w:val="24"/>
              </w:rPr>
              <w:t>6</w:t>
            </w:r>
            <w:r>
              <w:rPr>
                <w:rFonts w:hint="eastAsia" w:eastAsiaTheme="minorEastAsia"/>
                <w:kern w:val="0"/>
                <w:sz w:val="24"/>
              </w:rPr>
              <w:t>个排放口排放浓度可达标。本项目不再使用传统溶剂型油漆，而是使用水性漆，因此不再产生甲苯、二甲苯、苯、乙苯等挥发性有机物，所产生的有机废气主要为醇类、醇醚类等，一期项目所采用的</w:t>
            </w:r>
            <w:r>
              <w:rPr>
                <w:rFonts w:eastAsiaTheme="minorEastAsia"/>
                <w:kern w:val="0"/>
                <w:sz w:val="24"/>
              </w:rPr>
              <w:t>过滤棉吸附+活性炭箱对醇类、醇醚类具有良好的吸附作用，因此项目依托可行，一期项目</w:t>
            </w:r>
            <w:r>
              <w:rPr>
                <w:rFonts w:hint="eastAsia" w:eastAsiaTheme="minorEastAsia"/>
                <w:kern w:val="0"/>
                <w:sz w:val="24"/>
              </w:rPr>
              <w:t>喷漆</w:t>
            </w:r>
            <w:r>
              <w:rPr>
                <w:rFonts w:eastAsiaTheme="minorEastAsia"/>
                <w:kern w:val="0"/>
                <w:sz w:val="24"/>
              </w:rPr>
              <w:t>处置措施可以满足要求。项目一拖一起处置措施后，排放的喷漆废气可以做到达标排放，影响很小。</w:t>
            </w:r>
          </w:p>
          <w:p>
            <w:pPr>
              <w:spacing w:line="360" w:lineRule="auto"/>
              <w:ind w:firstLine="480" w:firstLineChars="200"/>
              <w:rPr>
                <w:rFonts w:eastAsiaTheme="minorEastAsia"/>
                <w:bCs/>
                <w:sz w:val="24"/>
              </w:rPr>
            </w:pPr>
            <w:r>
              <w:rPr>
                <w:rFonts w:hint="eastAsia" w:ascii="宋体" w:hAnsi="宋体" w:cs="宋体"/>
                <w:sz w:val="24"/>
              </w:rPr>
              <w:t>⑥</w:t>
            </w:r>
            <w:r>
              <w:rPr>
                <w:rFonts w:eastAsiaTheme="minorEastAsia"/>
                <w:bCs/>
                <w:sz w:val="24"/>
              </w:rPr>
              <w:t>油烟废气处置措施达标性分析</w:t>
            </w:r>
          </w:p>
          <w:p>
            <w:pPr>
              <w:spacing w:line="360" w:lineRule="auto"/>
              <w:ind w:firstLine="480" w:firstLineChars="200"/>
              <w:rPr>
                <w:rFonts w:eastAsiaTheme="minorEastAsia"/>
                <w:bCs/>
                <w:sz w:val="24"/>
              </w:rPr>
            </w:pPr>
            <w:r>
              <w:rPr>
                <w:rFonts w:eastAsiaTheme="minorEastAsia"/>
                <w:bCs/>
                <w:sz w:val="24"/>
              </w:rPr>
              <w:t>项目</w:t>
            </w:r>
            <w:r>
              <w:rPr>
                <w:rFonts w:hint="eastAsia" w:eastAsiaTheme="minorEastAsia"/>
                <w:bCs/>
                <w:sz w:val="24"/>
              </w:rPr>
              <w:t>新增员工三餐依托一期已建成食堂</w:t>
            </w:r>
            <w:r>
              <w:rPr>
                <w:rFonts w:eastAsiaTheme="minorEastAsia"/>
                <w:bCs/>
                <w:sz w:val="24"/>
              </w:rPr>
              <w:t>，食堂已安装一套</w:t>
            </w:r>
            <w:r>
              <w:rPr>
                <w:rFonts w:hint="eastAsia" w:eastAsiaTheme="minorEastAsia"/>
                <w:bCs/>
                <w:sz w:val="24"/>
              </w:rPr>
              <w:t>85%的</w:t>
            </w:r>
            <w:r>
              <w:rPr>
                <w:rFonts w:eastAsiaTheme="minorEastAsia"/>
                <w:bCs/>
                <w:sz w:val="24"/>
              </w:rPr>
              <w:t>油烟净化器，该油烟净化器为合格产品，为经中国环保产业协会认可的高效电子油烟净化器，满足《饮食业油烟排放标准（试行）》（GB18483-2001）的规定。</w:t>
            </w:r>
          </w:p>
          <w:p>
            <w:pPr>
              <w:spacing w:line="360" w:lineRule="auto"/>
              <w:ind w:firstLine="480" w:firstLineChars="200"/>
              <w:rPr>
                <w:rFonts w:eastAsiaTheme="minorEastAsia"/>
                <w:bCs/>
                <w:sz w:val="24"/>
              </w:rPr>
            </w:pPr>
            <w:r>
              <w:rPr>
                <w:rFonts w:hint="eastAsia" w:eastAsiaTheme="minorEastAsia"/>
                <w:bCs/>
                <w:sz w:val="24"/>
              </w:rPr>
              <w:t>根据前述分析，本项目</w:t>
            </w:r>
            <w:r>
              <w:rPr>
                <w:rFonts w:eastAsiaTheme="minorEastAsia"/>
                <w:bCs/>
                <w:sz w:val="24"/>
              </w:rPr>
              <w:t>油烟可以做到达标排放。</w:t>
            </w:r>
          </w:p>
          <w:p>
            <w:pPr>
              <w:spacing w:line="360" w:lineRule="auto"/>
              <w:ind w:firstLine="480" w:firstLineChars="200"/>
              <w:rPr>
                <w:rFonts w:eastAsiaTheme="minorEastAsia"/>
                <w:bCs/>
                <w:sz w:val="24"/>
              </w:rPr>
            </w:pPr>
            <w:r>
              <w:rPr>
                <w:rFonts w:eastAsiaTheme="minorEastAsia"/>
                <w:bCs/>
                <w:sz w:val="24"/>
              </w:rPr>
              <w:t>油烟经过油烟净化器处理后，通过专用烟道向高空排放，油烟排气筒高于</w:t>
            </w:r>
            <w:r>
              <w:rPr>
                <w:rFonts w:hint="eastAsia" w:eastAsiaTheme="minorEastAsia"/>
                <w:bCs/>
                <w:sz w:val="24"/>
              </w:rPr>
              <w:t>倒班宿舍</w:t>
            </w:r>
            <w:r>
              <w:rPr>
                <w:rFonts w:eastAsiaTheme="minorEastAsia"/>
                <w:bCs/>
                <w:sz w:val="24"/>
              </w:rPr>
              <w:t>顶1.5m，符合足《饮食业油烟排放标准（试行）》（GB18483-2001）关于排气筒高度设置要求。</w:t>
            </w:r>
          </w:p>
          <w:p>
            <w:pPr>
              <w:spacing w:line="360" w:lineRule="auto"/>
              <w:ind w:firstLine="480" w:firstLineChars="200"/>
              <w:rPr>
                <w:rFonts w:eastAsiaTheme="minorEastAsia"/>
                <w:sz w:val="24"/>
              </w:rPr>
            </w:pPr>
            <w:r>
              <w:rPr>
                <w:rFonts w:eastAsiaTheme="minorEastAsia"/>
                <w:sz w:val="24"/>
              </w:rPr>
              <w:t>4、排放口设置</w:t>
            </w:r>
          </w:p>
          <w:p>
            <w:pPr>
              <w:spacing w:line="360" w:lineRule="auto"/>
              <w:ind w:firstLine="480" w:firstLineChars="200"/>
              <w:rPr>
                <w:rFonts w:eastAsiaTheme="minorEastAsia"/>
                <w:bCs/>
                <w:sz w:val="24"/>
              </w:rPr>
            </w:pPr>
            <w:r>
              <w:rPr>
                <w:rFonts w:hint="eastAsia" w:eastAsiaTheme="minorEastAsia"/>
                <w:bCs/>
                <w:sz w:val="24"/>
              </w:rPr>
              <w:t>项目不新增废气排污口，依托一期已建成的2</w:t>
            </w:r>
            <w:r>
              <w:rPr>
                <w:rFonts w:eastAsiaTheme="minorEastAsia"/>
                <w:bCs/>
                <w:sz w:val="24"/>
              </w:rPr>
              <w:t>6个有组织排放口排放本项目废气，排污口所排放的污染物未发生变化。</w:t>
            </w:r>
          </w:p>
          <w:p>
            <w:pPr>
              <w:spacing w:line="360" w:lineRule="auto"/>
              <w:ind w:firstLine="480" w:firstLineChars="200"/>
              <w:rPr>
                <w:rFonts w:eastAsiaTheme="minorEastAsia"/>
                <w:bCs/>
                <w:sz w:val="24"/>
              </w:rPr>
            </w:pPr>
            <w:r>
              <w:rPr>
                <w:rFonts w:eastAsiaTheme="minorEastAsia"/>
                <w:bCs/>
                <w:sz w:val="24"/>
              </w:rPr>
              <w:t>5、废气排放监测</w:t>
            </w:r>
          </w:p>
          <w:p>
            <w:pPr>
              <w:spacing w:line="360" w:lineRule="auto"/>
              <w:ind w:firstLine="480" w:firstLineChars="200"/>
              <w:rPr>
                <w:rFonts w:eastAsiaTheme="minorEastAsia"/>
                <w:bCs/>
                <w:sz w:val="24"/>
              </w:rPr>
            </w:pPr>
            <w:r>
              <w:rPr>
                <w:rFonts w:eastAsiaTheme="minorEastAsia"/>
                <w:bCs/>
                <w:sz w:val="24"/>
              </w:rPr>
              <w:t>项目根据《固定污染源排污许可证分类管理名录》（2019），本项目为</w:t>
            </w:r>
            <w:r>
              <w:rPr>
                <w:rFonts w:hint="eastAsia" w:eastAsiaTheme="minorEastAsia"/>
                <w:bCs/>
                <w:sz w:val="24"/>
              </w:rPr>
              <w:t>金属制品、机械和设备修理业</w:t>
            </w:r>
            <w:r>
              <w:rPr>
                <w:rFonts w:eastAsiaTheme="minorEastAsia"/>
                <w:bCs/>
                <w:sz w:val="24"/>
              </w:rPr>
              <w:t>，本项目</w:t>
            </w:r>
            <w:r>
              <w:rPr>
                <w:rFonts w:hint="eastAsia" w:eastAsiaTheme="minorEastAsia"/>
                <w:bCs/>
                <w:sz w:val="24"/>
              </w:rPr>
              <w:t>不涉及</w:t>
            </w:r>
            <w:r>
              <w:rPr>
                <w:rFonts w:eastAsiaTheme="minorEastAsia"/>
                <w:bCs/>
                <w:sz w:val="24"/>
              </w:rPr>
              <w:t>通用工序中重点管理的工序，属于</w:t>
            </w:r>
            <w:r>
              <w:rPr>
                <w:rFonts w:hint="eastAsia" w:eastAsiaTheme="minorEastAsia"/>
                <w:bCs/>
                <w:sz w:val="24"/>
              </w:rPr>
              <w:t>简化</w:t>
            </w:r>
            <w:r>
              <w:rPr>
                <w:rFonts w:eastAsiaTheme="minorEastAsia"/>
                <w:bCs/>
                <w:sz w:val="24"/>
              </w:rPr>
              <w:t>管理类别；根据《排污许可证申请与核发技术规范总则》，本项目排放口均不属于主要排放口。本项目建成后，建设方应对原有排污许可证进行变更。</w:t>
            </w:r>
          </w:p>
          <w:p>
            <w:pPr>
              <w:spacing w:line="360" w:lineRule="auto"/>
              <w:ind w:firstLine="480" w:firstLineChars="200"/>
              <w:rPr>
                <w:rFonts w:eastAsiaTheme="minorEastAsia"/>
                <w:bCs/>
                <w:sz w:val="24"/>
              </w:rPr>
            </w:pPr>
            <w:r>
              <w:rPr>
                <w:rFonts w:eastAsiaTheme="minorEastAsia"/>
                <w:bCs/>
                <w:sz w:val="24"/>
              </w:rPr>
              <w:t>根据《排污许可证自行监测技术指南 总则》（HJ819-2017），项目建成后，喷砂</w:t>
            </w:r>
            <w:r>
              <w:rPr>
                <w:rFonts w:hint="eastAsia" w:eastAsiaTheme="minorEastAsia"/>
                <w:bCs/>
                <w:sz w:val="24"/>
              </w:rPr>
              <w:t>废气</w:t>
            </w:r>
            <w:r>
              <w:rPr>
                <w:rFonts w:eastAsiaTheme="minorEastAsia"/>
                <w:bCs/>
                <w:sz w:val="24"/>
              </w:rPr>
              <w:t>排气筒</w:t>
            </w:r>
            <w:r>
              <w:rPr>
                <w:rFonts w:hint="eastAsia" w:eastAsiaTheme="minorEastAsia"/>
                <w:bCs/>
                <w:sz w:val="24"/>
              </w:rPr>
              <w:t>（1#，2#）</w:t>
            </w:r>
            <w:r>
              <w:rPr>
                <w:rFonts w:eastAsiaTheme="minorEastAsia"/>
                <w:bCs/>
                <w:sz w:val="24"/>
              </w:rPr>
              <w:t>自行监测指标为：</w:t>
            </w:r>
            <w:r>
              <w:rPr>
                <w:rFonts w:hint="eastAsia" w:eastAsiaTheme="minorEastAsia"/>
                <w:bCs/>
                <w:sz w:val="24"/>
              </w:rPr>
              <w:t>TSP</w:t>
            </w:r>
            <w:r>
              <w:rPr>
                <w:rFonts w:eastAsiaTheme="minorEastAsia"/>
                <w:bCs/>
                <w:sz w:val="24"/>
              </w:rPr>
              <w:t>；监测频次为：每年进行一次监测；打磨系统排气筒（</w:t>
            </w:r>
            <w:r>
              <w:rPr>
                <w:rFonts w:hint="eastAsia" w:eastAsiaTheme="minorEastAsia"/>
                <w:bCs/>
                <w:sz w:val="24"/>
              </w:rPr>
              <w:t>3</w:t>
            </w:r>
            <w:r>
              <w:rPr>
                <w:rFonts w:eastAsiaTheme="minorEastAsia"/>
                <w:bCs/>
                <w:sz w:val="24"/>
              </w:rPr>
              <w:t>-10#排气筒）自行监测指标为：TSP；监测频次为：每年进行一次监测；喷漆废气排气筒（</w:t>
            </w:r>
            <w:r>
              <w:rPr>
                <w:rFonts w:hint="eastAsia" w:eastAsiaTheme="minorEastAsia"/>
                <w:bCs/>
                <w:sz w:val="24"/>
              </w:rPr>
              <w:t>1</w:t>
            </w:r>
            <w:r>
              <w:rPr>
                <w:rFonts w:eastAsiaTheme="minorEastAsia"/>
                <w:bCs/>
                <w:sz w:val="24"/>
              </w:rPr>
              <w:t>0-26#排气筒）自行监测指标为：</w:t>
            </w:r>
            <w:r>
              <w:rPr>
                <w:rFonts w:hint="eastAsia" w:eastAsiaTheme="minorEastAsia"/>
                <w:bCs/>
                <w:sz w:val="24"/>
              </w:rPr>
              <w:t>非甲烷总烃</w:t>
            </w:r>
            <w:r>
              <w:rPr>
                <w:rFonts w:eastAsiaTheme="minorEastAsia"/>
                <w:bCs/>
                <w:sz w:val="24"/>
              </w:rPr>
              <w:t>；监测频次为：每年进行一次监测。</w:t>
            </w:r>
          </w:p>
          <w:p>
            <w:pPr>
              <w:spacing w:line="360" w:lineRule="auto"/>
              <w:rPr>
                <w:rFonts w:eastAsiaTheme="minorEastAsia"/>
                <w:b/>
                <w:sz w:val="24"/>
              </w:rPr>
            </w:pPr>
            <w:r>
              <w:rPr>
                <w:rFonts w:eastAsiaTheme="minorEastAsia"/>
                <w:b/>
                <w:sz w:val="24"/>
              </w:rPr>
              <w:t>（二）、水环境影响分析</w:t>
            </w:r>
          </w:p>
          <w:p>
            <w:pPr>
              <w:spacing w:line="360" w:lineRule="auto"/>
              <w:ind w:firstLine="480" w:firstLineChars="200"/>
              <w:rPr>
                <w:rFonts w:eastAsiaTheme="minorEastAsia"/>
                <w:sz w:val="24"/>
              </w:rPr>
            </w:pPr>
            <w:r>
              <w:rPr>
                <w:rFonts w:eastAsiaTheme="minorEastAsia"/>
                <w:sz w:val="24"/>
              </w:rPr>
              <w:t>1、废水源强核算</w:t>
            </w:r>
          </w:p>
          <w:p>
            <w:pPr>
              <w:spacing w:line="360" w:lineRule="auto"/>
              <w:ind w:firstLine="480" w:firstLineChars="200"/>
              <w:rPr>
                <w:rFonts w:eastAsiaTheme="minorEastAsia"/>
                <w:sz w:val="24"/>
                <w:szCs w:val="22"/>
              </w:rPr>
            </w:pPr>
            <w:r>
              <w:rPr>
                <w:rFonts w:hint="eastAsia" w:eastAsiaTheme="minorEastAsia"/>
                <w:sz w:val="24"/>
                <w:szCs w:val="22"/>
              </w:rPr>
              <w:t>本项目</w:t>
            </w:r>
            <w:r>
              <w:rPr>
                <w:rFonts w:eastAsiaTheme="minorEastAsia"/>
                <w:sz w:val="24"/>
                <w:szCs w:val="22"/>
              </w:rPr>
              <w:t>废水主要分为生产废水和生活废水。</w:t>
            </w:r>
          </w:p>
          <w:p>
            <w:pPr>
              <w:spacing w:line="360" w:lineRule="auto"/>
              <w:ind w:firstLine="480" w:firstLineChars="200"/>
              <w:rPr>
                <w:rFonts w:eastAsiaTheme="minorEastAsia"/>
                <w:sz w:val="24"/>
                <w:szCs w:val="22"/>
              </w:rPr>
            </w:pPr>
            <w:bookmarkStart w:id="112" w:name="_Toc421520583"/>
            <w:bookmarkStart w:id="113" w:name="_Toc419792172"/>
            <w:r>
              <w:rPr>
                <w:rFonts w:eastAsiaTheme="minorEastAsia"/>
                <w:sz w:val="24"/>
                <w:szCs w:val="22"/>
              </w:rPr>
              <w:t>（1）</w:t>
            </w:r>
            <w:bookmarkEnd w:id="112"/>
            <w:bookmarkEnd w:id="113"/>
            <w:r>
              <w:rPr>
                <w:rFonts w:hint="eastAsia" w:eastAsiaTheme="minorEastAsia"/>
                <w:sz w:val="24"/>
                <w:szCs w:val="22"/>
              </w:rPr>
              <w:t>生产废水</w:t>
            </w:r>
          </w:p>
          <w:p>
            <w:pPr>
              <w:spacing w:line="360" w:lineRule="auto"/>
              <w:ind w:firstLine="480" w:firstLineChars="200"/>
              <w:rPr>
                <w:rFonts w:eastAsiaTheme="minorEastAsia"/>
                <w:sz w:val="24"/>
                <w:szCs w:val="22"/>
              </w:rPr>
            </w:pPr>
            <w:r>
              <w:rPr>
                <w:rFonts w:hint="eastAsia" w:ascii="宋体" w:hAnsi="宋体" w:cs="宋体"/>
                <w:sz w:val="24"/>
                <w:szCs w:val="22"/>
              </w:rPr>
              <w:t>①</w:t>
            </w:r>
            <w:r>
              <w:rPr>
                <w:rFonts w:hint="eastAsia" w:eastAsiaTheme="minorEastAsia"/>
                <w:sz w:val="24"/>
                <w:szCs w:val="22"/>
              </w:rPr>
              <w:t>地坪清洗</w:t>
            </w:r>
            <w:r>
              <w:rPr>
                <w:rFonts w:eastAsiaTheme="minorEastAsia"/>
                <w:sz w:val="24"/>
                <w:szCs w:val="22"/>
              </w:rPr>
              <w:t>：根据业主设计，车间地坪约为每年进行</w:t>
            </w:r>
            <w:r>
              <w:rPr>
                <w:rFonts w:hint="eastAsia" w:eastAsiaTheme="minorEastAsia"/>
                <w:sz w:val="24"/>
                <w:szCs w:val="22"/>
              </w:rPr>
              <w:t>2次冲洗，项目新建生产车间（部件修车间和蓄电池间）面积为8</w:t>
            </w:r>
            <w:r>
              <w:rPr>
                <w:rFonts w:eastAsiaTheme="minorEastAsia"/>
                <w:sz w:val="24"/>
                <w:szCs w:val="22"/>
              </w:rPr>
              <w:t>199㎡，改造解体车间面积为</w:t>
            </w:r>
            <w:r>
              <w:rPr>
                <w:rFonts w:hint="eastAsia" w:eastAsiaTheme="minorEastAsia"/>
                <w:sz w:val="24"/>
                <w:szCs w:val="22"/>
              </w:rPr>
              <w:t>3</w:t>
            </w:r>
            <w:r>
              <w:rPr>
                <w:rFonts w:eastAsiaTheme="minorEastAsia"/>
                <w:sz w:val="24"/>
                <w:szCs w:val="22"/>
              </w:rPr>
              <w:t>264㎡。</w:t>
            </w:r>
          </w:p>
          <w:p>
            <w:pPr>
              <w:spacing w:line="360" w:lineRule="auto"/>
              <w:ind w:firstLine="480" w:firstLineChars="200"/>
              <w:rPr>
                <w:rFonts w:eastAsiaTheme="minorEastAsia"/>
                <w:bCs/>
                <w:sz w:val="24"/>
                <w:szCs w:val="22"/>
              </w:rPr>
            </w:pPr>
            <w:r>
              <w:rPr>
                <w:rFonts w:eastAsiaTheme="minorEastAsia"/>
                <w:bCs/>
                <w:sz w:val="24"/>
                <w:szCs w:val="22"/>
              </w:rPr>
              <w:t>根据《云南省地方标准 用水定额》（DB53/T168-2019），地面清洁用水量按2L/(m</w:t>
            </w:r>
            <w:r>
              <w:rPr>
                <w:rFonts w:eastAsiaTheme="minorEastAsia"/>
                <w:bCs/>
                <w:sz w:val="24"/>
                <w:szCs w:val="22"/>
                <w:vertAlign w:val="superscript"/>
              </w:rPr>
              <w:t>2</w:t>
            </w:r>
            <w:r>
              <w:rPr>
                <w:rFonts w:eastAsiaTheme="minorEastAsia"/>
                <w:bCs/>
                <w:sz w:val="24"/>
                <w:szCs w:val="22"/>
              </w:rPr>
              <w:t>·d)计，则</w:t>
            </w:r>
            <w:r>
              <w:rPr>
                <w:rFonts w:hint="eastAsia" w:eastAsiaTheme="minorEastAsia"/>
                <w:bCs/>
                <w:sz w:val="24"/>
                <w:szCs w:val="22"/>
              </w:rPr>
              <w:t>车间</w:t>
            </w:r>
            <w:r>
              <w:rPr>
                <w:rFonts w:eastAsiaTheme="minorEastAsia"/>
                <w:bCs/>
                <w:sz w:val="24"/>
                <w:szCs w:val="22"/>
              </w:rPr>
              <w:t>清洁用水量为45.852m</w:t>
            </w:r>
            <w:r>
              <w:rPr>
                <w:rFonts w:eastAsiaTheme="minorEastAsia"/>
                <w:bCs/>
                <w:sz w:val="24"/>
                <w:szCs w:val="22"/>
                <w:vertAlign w:val="superscript"/>
              </w:rPr>
              <w:t>3</w:t>
            </w:r>
            <w:r>
              <w:rPr>
                <w:rFonts w:eastAsiaTheme="minorEastAsia"/>
                <w:bCs/>
                <w:sz w:val="24"/>
                <w:szCs w:val="22"/>
              </w:rPr>
              <w:t>/a、约合</w:t>
            </w:r>
            <w:r>
              <w:rPr>
                <w:rFonts w:hint="eastAsia" w:eastAsiaTheme="minorEastAsia"/>
                <w:bCs/>
                <w:sz w:val="24"/>
                <w:szCs w:val="22"/>
              </w:rPr>
              <w:t>0</w:t>
            </w:r>
            <w:r>
              <w:rPr>
                <w:rFonts w:eastAsiaTheme="minorEastAsia"/>
                <w:bCs/>
                <w:sz w:val="24"/>
                <w:szCs w:val="22"/>
              </w:rPr>
              <w:t>.183m³/d；产污系数按0.8计，地面清洁废水产生量</w:t>
            </w:r>
            <w:r>
              <w:rPr>
                <w:rFonts w:hint="eastAsia" w:eastAsiaTheme="minorEastAsia"/>
                <w:bCs/>
                <w:sz w:val="24"/>
                <w:szCs w:val="22"/>
              </w:rPr>
              <w:t>3</w:t>
            </w:r>
            <w:r>
              <w:rPr>
                <w:rFonts w:eastAsiaTheme="minorEastAsia"/>
                <w:bCs/>
                <w:sz w:val="24"/>
                <w:szCs w:val="22"/>
              </w:rPr>
              <w:t>6.682m</w:t>
            </w:r>
            <w:r>
              <w:rPr>
                <w:rFonts w:eastAsiaTheme="minorEastAsia"/>
                <w:bCs/>
                <w:sz w:val="24"/>
                <w:szCs w:val="22"/>
                <w:vertAlign w:val="superscript"/>
              </w:rPr>
              <w:t>3</w:t>
            </w:r>
            <w:r>
              <w:rPr>
                <w:rFonts w:eastAsiaTheme="minorEastAsia"/>
                <w:bCs/>
                <w:sz w:val="24"/>
                <w:szCs w:val="22"/>
              </w:rPr>
              <w:t>/a，约合</w:t>
            </w:r>
            <w:r>
              <w:rPr>
                <w:rFonts w:hint="eastAsia" w:eastAsiaTheme="minorEastAsia"/>
                <w:bCs/>
                <w:sz w:val="24"/>
                <w:szCs w:val="22"/>
              </w:rPr>
              <w:t>0</w:t>
            </w:r>
            <w:r>
              <w:rPr>
                <w:rFonts w:eastAsiaTheme="minorEastAsia"/>
                <w:bCs/>
                <w:sz w:val="24"/>
                <w:szCs w:val="22"/>
              </w:rPr>
              <w:t>.146m³/d。</w:t>
            </w:r>
          </w:p>
          <w:p>
            <w:pPr>
              <w:spacing w:line="360" w:lineRule="auto"/>
              <w:ind w:firstLine="480" w:firstLineChars="200"/>
              <w:rPr>
                <w:rFonts w:eastAsiaTheme="minorEastAsia"/>
                <w:bCs/>
                <w:sz w:val="24"/>
                <w:szCs w:val="22"/>
              </w:rPr>
            </w:pPr>
            <w:r>
              <w:rPr>
                <w:rFonts w:hint="eastAsia" w:ascii="宋体" w:hAnsi="宋体" w:cs="宋体"/>
                <w:bCs/>
                <w:sz w:val="24"/>
                <w:szCs w:val="22"/>
              </w:rPr>
              <w:t>②车辆清洁：项目检修车辆入厂后进行清洗，</w:t>
            </w:r>
            <w:r>
              <w:rPr>
                <w:rFonts w:hint="eastAsia" w:eastAsiaTheme="minorEastAsia"/>
                <w:bCs/>
                <w:sz w:val="24"/>
                <w:szCs w:val="22"/>
              </w:rPr>
              <w:t>根据</w:t>
            </w:r>
            <w:r>
              <w:rPr>
                <w:rFonts w:eastAsiaTheme="minorEastAsia"/>
                <w:bCs/>
                <w:sz w:val="24"/>
                <w:szCs w:val="22"/>
              </w:rPr>
              <w:t>建设单位提供资料，一辆地铁车辆清洗约需要</w:t>
            </w:r>
            <w:r>
              <w:rPr>
                <w:rFonts w:hint="eastAsia" w:eastAsiaTheme="minorEastAsia"/>
                <w:bCs/>
                <w:sz w:val="24"/>
                <w:szCs w:val="22"/>
              </w:rPr>
              <w:t>2</w:t>
            </w:r>
            <w:r>
              <w:rPr>
                <w:rFonts w:eastAsiaTheme="minorEastAsia"/>
                <w:bCs/>
                <w:sz w:val="24"/>
                <w:szCs w:val="22"/>
              </w:rPr>
              <w:t>000L水，则</w:t>
            </w:r>
            <w:r>
              <w:rPr>
                <w:rFonts w:hint="eastAsia" w:eastAsiaTheme="minorEastAsia"/>
                <w:bCs/>
                <w:sz w:val="24"/>
                <w:szCs w:val="22"/>
              </w:rPr>
              <w:t>项目</w:t>
            </w:r>
            <w:r>
              <w:rPr>
                <w:rFonts w:eastAsiaTheme="minorEastAsia"/>
                <w:bCs/>
                <w:sz w:val="24"/>
                <w:szCs w:val="22"/>
              </w:rPr>
              <w:t>车辆清洗用水量为1.6m³/d，</w:t>
            </w:r>
            <w:r>
              <w:rPr>
                <w:rFonts w:hint="eastAsia" w:eastAsiaTheme="minorEastAsia"/>
                <w:bCs/>
                <w:sz w:val="24"/>
                <w:szCs w:val="22"/>
              </w:rPr>
              <w:t>4</w:t>
            </w:r>
            <w:r>
              <w:rPr>
                <w:rFonts w:eastAsiaTheme="minorEastAsia"/>
                <w:bCs/>
                <w:sz w:val="24"/>
                <w:szCs w:val="22"/>
              </w:rPr>
              <w:t>00t/a；排污系数按80%计算，则</w:t>
            </w:r>
            <w:r>
              <w:rPr>
                <w:rFonts w:hint="eastAsia" w:eastAsiaTheme="minorEastAsia"/>
                <w:bCs/>
                <w:sz w:val="24"/>
                <w:szCs w:val="22"/>
              </w:rPr>
              <w:t>车辆清洁废水</w:t>
            </w:r>
            <w:r>
              <w:rPr>
                <w:rFonts w:eastAsiaTheme="minorEastAsia"/>
                <w:bCs/>
                <w:sz w:val="24"/>
                <w:szCs w:val="22"/>
              </w:rPr>
              <w:t>产生量为1.28m³/d，</w:t>
            </w:r>
            <w:r>
              <w:rPr>
                <w:rFonts w:hint="eastAsia" w:eastAsiaTheme="minorEastAsia"/>
                <w:bCs/>
                <w:sz w:val="24"/>
                <w:szCs w:val="22"/>
              </w:rPr>
              <w:t>3</w:t>
            </w:r>
            <w:r>
              <w:rPr>
                <w:rFonts w:eastAsiaTheme="minorEastAsia"/>
                <w:bCs/>
                <w:sz w:val="24"/>
                <w:szCs w:val="22"/>
              </w:rPr>
              <w:t>20t/a。</w:t>
            </w:r>
          </w:p>
          <w:p>
            <w:pPr>
              <w:spacing w:line="360" w:lineRule="auto"/>
              <w:ind w:firstLine="480" w:firstLineChars="200"/>
              <w:rPr>
                <w:rFonts w:eastAsiaTheme="minorEastAsia"/>
                <w:bCs/>
                <w:sz w:val="24"/>
                <w:szCs w:val="22"/>
              </w:rPr>
            </w:pPr>
            <w:r>
              <w:rPr>
                <w:rFonts w:eastAsiaTheme="minorEastAsia"/>
                <w:bCs/>
                <w:sz w:val="24"/>
                <w:szCs w:val="22"/>
              </w:rPr>
              <w:t>地坪清洗和车辆清洗废水均排入隔油池隔油处理后排入污水处理站。</w:t>
            </w:r>
          </w:p>
          <w:p>
            <w:pPr>
              <w:spacing w:line="360" w:lineRule="auto"/>
              <w:ind w:firstLine="480" w:firstLineChars="200"/>
              <w:rPr>
                <w:rFonts w:eastAsiaTheme="minorEastAsia"/>
                <w:bCs/>
                <w:sz w:val="24"/>
                <w:szCs w:val="22"/>
              </w:rPr>
            </w:pPr>
            <w:r>
              <w:rPr>
                <w:rFonts w:eastAsiaTheme="minorEastAsia"/>
                <w:bCs/>
                <w:sz w:val="24"/>
                <w:szCs w:val="22"/>
              </w:rPr>
              <w:t>（2）生活废水</w:t>
            </w:r>
          </w:p>
          <w:p>
            <w:pPr>
              <w:spacing w:line="360" w:lineRule="auto"/>
              <w:ind w:firstLine="480" w:firstLineChars="200"/>
              <w:rPr>
                <w:rFonts w:eastAsiaTheme="minorEastAsia"/>
                <w:bCs/>
                <w:sz w:val="24"/>
                <w:szCs w:val="22"/>
              </w:rPr>
            </w:pPr>
            <w:r>
              <w:rPr>
                <w:rFonts w:eastAsiaTheme="minorEastAsia"/>
                <w:bCs/>
                <w:sz w:val="24"/>
                <w:szCs w:val="22"/>
              </w:rPr>
              <w:t>本次工程新增工作人员200人，</w:t>
            </w:r>
            <w:r>
              <w:rPr>
                <w:rFonts w:hint="eastAsia" w:eastAsiaTheme="minorEastAsia"/>
                <w:bCs/>
                <w:sz w:val="24"/>
                <w:szCs w:val="22"/>
              </w:rPr>
              <w:t>其中</w:t>
            </w:r>
            <w:r>
              <w:rPr>
                <w:rFonts w:eastAsiaTheme="minorEastAsia"/>
                <w:bCs/>
                <w:sz w:val="24"/>
                <w:szCs w:val="22"/>
              </w:rPr>
              <w:t>每日在厂区办公室办公的人员约</w:t>
            </w:r>
            <w:r>
              <w:rPr>
                <w:rFonts w:hint="eastAsia" w:eastAsiaTheme="minorEastAsia"/>
                <w:bCs/>
                <w:sz w:val="24"/>
                <w:szCs w:val="22"/>
              </w:rPr>
              <w:t>1</w:t>
            </w:r>
            <w:r>
              <w:rPr>
                <w:rFonts w:eastAsiaTheme="minorEastAsia"/>
                <w:bCs/>
                <w:sz w:val="24"/>
                <w:szCs w:val="22"/>
              </w:rPr>
              <w:t>0人，</w:t>
            </w:r>
            <w:r>
              <w:rPr>
                <w:rFonts w:hint="eastAsia" w:eastAsiaTheme="minorEastAsia"/>
                <w:bCs/>
                <w:sz w:val="24"/>
                <w:szCs w:val="22"/>
              </w:rPr>
              <w:t>场内住宿倒班员工约1</w:t>
            </w:r>
            <w:r>
              <w:rPr>
                <w:rFonts w:eastAsiaTheme="minorEastAsia"/>
                <w:bCs/>
                <w:sz w:val="24"/>
                <w:szCs w:val="22"/>
              </w:rPr>
              <w:t>00人</w:t>
            </w:r>
            <w:r>
              <w:rPr>
                <w:rFonts w:hint="eastAsia" w:eastAsiaTheme="minorEastAsia"/>
                <w:bCs/>
                <w:sz w:val="24"/>
                <w:szCs w:val="22"/>
              </w:rPr>
              <w:t>/d</w:t>
            </w:r>
            <w:r>
              <w:rPr>
                <w:rFonts w:eastAsiaTheme="minorEastAsia"/>
                <w:bCs/>
                <w:sz w:val="24"/>
                <w:szCs w:val="22"/>
              </w:rPr>
              <w:t>，根据《云南省地方标准用水定额》（DB53/T168-2019），办公写字楼用水定额按40L/（人·d）计算，住宿员工用水量按</w:t>
            </w:r>
            <w:r>
              <w:rPr>
                <w:rFonts w:hint="eastAsia" w:eastAsiaTheme="minorEastAsia"/>
                <w:bCs/>
                <w:sz w:val="24"/>
                <w:szCs w:val="22"/>
              </w:rPr>
              <w:t>1</w:t>
            </w:r>
            <w:r>
              <w:rPr>
                <w:rFonts w:eastAsiaTheme="minorEastAsia"/>
                <w:bCs/>
                <w:sz w:val="24"/>
                <w:szCs w:val="22"/>
              </w:rPr>
              <w:t>00L/（人·d）计算，则项目</w:t>
            </w:r>
            <w:r>
              <w:rPr>
                <w:rFonts w:hint="eastAsia" w:eastAsiaTheme="minorEastAsia"/>
                <w:bCs/>
                <w:sz w:val="24"/>
                <w:szCs w:val="22"/>
              </w:rPr>
              <w:t>工作人员</w:t>
            </w:r>
            <w:r>
              <w:rPr>
                <w:rFonts w:eastAsiaTheme="minorEastAsia"/>
                <w:bCs/>
                <w:sz w:val="24"/>
                <w:szCs w:val="22"/>
              </w:rPr>
              <w:t>用水量为10.4m³/d，排污系数按照80%计算，则一般生活废水产生量为8.32m³/d。</w:t>
            </w:r>
          </w:p>
          <w:p>
            <w:pPr>
              <w:spacing w:line="360" w:lineRule="auto"/>
              <w:ind w:firstLine="480" w:firstLineChars="200"/>
              <w:rPr>
                <w:rFonts w:eastAsiaTheme="minorEastAsia"/>
                <w:sz w:val="24"/>
              </w:rPr>
            </w:pPr>
            <w:r>
              <w:rPr>
                <w:rFonts w:eastAsiaTheme="minorEastAsia"/>
                <w:sz w:val="24"/>
              </w:rPr>
              <w:t>（4）餐饮废水</w:t>
            </w:r>
          </w:p>
          <w:p>
            <w:pPr>
              <w:spacing w:line="360" w:lineRule="auto"/>
              <w:ind w:firstLine="480" w:firstLineChars="200"/>
              <w:rPr>
                <w:rFonts w:eastAsiaTheme="minorEastAsia"/>
                <w:sz w:val="24"/>
              </w:rPr>
            </w:pPr>
            <w:r>
              <w:rPr>
                <w:rFonts w:eastAsiaTheme="minorEastAsia"/>
                <w:sz w:val="24"/>
              </w:rPr>
              <w:t>项目</w:t>
            </w:r>
            <w:r>
              <w:rPr>
                <w:rFonts w:hint="eastAsia" w:eastAsiaTheme="minorEastAsia"/>
                <w:sz w:val="24"/>
              </w:rPr>
              <w:t>依托一期食堂，新增就餐人数1</w:t>
            </w:r>
            <w:r>
              <w:rPr>
                <w:rFonts w:eastAsiaTheme="minorEastAsia"/>
                <w:sz w:val="24"/>
              </w:rPr>
              <w:t>00人</w:t>
            </w:r>
            <w:r>
              <w:rPr>
                <w:rFonts w:hint="eastAsia" w:eastAsiaTheme="minorEastAsia"/>
                <w:sz w:val="24"/>
              </w:rPr>
              <w:t>/d，根据一期食堂实际运行数据，每人就餐用水量约为0</w:t>
            </w:r>
            <w:r>
              <w:rPr>
                <w:rFonts w:eastAsiaTheme="minorEastAsia"/>
                <w:sz w:val="24"/>
              </w:rPr>
              <w:t>.02m³，则本项目新增就餐人员餐饮用水量</w:t>
            </w:r>
            <w:r>
              <w:rPr>
                <w:rFonts w:hint="eastAsia" w:eastAsiaTheme="minorEastAsia"/>
                <w:sz w:val="24"/>
              </w:rPr>
              <w:t>2m³，排污系数按8</w:t>
            </w:r>
            <w:r>
              <w:rPr>
                <w:rFonts w:eastAsiaTheme="minorEastAsia"/>
                <w:sz w:val="24"/>
              </w:rPr>
              <w:t>0%计算，则餐饮废水量为</w:t>
            </w:r>
            <w:r>
              <w:rPr>
                <w:rFonts w:hint="eastAsia" w:eastAsiaTheme="minorEastAsia"/>
                <w:sz w:val="24"/>
              </w:rPr>
              <w:t>1</w:t>
            </w:r>
            <w:r>
              <w:rPr>
                <w:rFonts w:eastAsiaTheme="minorEastAsia"/>
                <w:sz w:val="24"/>
              </w:rPr>
              <w:t>.6m³/d。</w:t>
            </w:r>
          </w:p>
          <w:p>
            <w:pPr>
              <w:spacing w:line="360" w:lineRule="auto"/>
              <w:ind w:firstLine="480" w:firstLineChars="200"/>
              <w:rPr>
                <w:rFonts w:eastAsiaTheme="minorEastAsia"/>
                <w:sz w:val="24"/>
              </w:rPr>
            </w:pPr>
            <w:r>
              <w:rPr>
                <w:rFonts w:eastAsiaTheme="minorEastAsia"/>
                <w:sz w:val="24"/>
              </w:rPr>
              <w:t>（5）本项目用水量及排水量总结</w:t>
            </w:r>
          </w:p>
          <w:p>
            <w:pPr>
              <w:spacing w:line="360" w:lineRule="auto"/>
              <w:ind w:firstLine="480" w:firstLineChars="200"/>
              <w:rPr>
                <w:rFonts w:eastAsiaTheme="minorEastAsia"/>
                <w:sz w:val="24"/>
                <w:szCs w:val="22"/>
              </w:rPr>
            </w:pPr>
            <w:r>
              <w:rPr>
                <w:rFonts w:eastAsiaTheme="minorEastAsia"/>
                <w:bCs/>
                <w:sz w:val="24"/>
                <w:szCs w:val="22"/>
              </w:rPr>
              <w:t>因此，本项目总用水量为</w:t>
            </w:r>
            <w:r>
              <w:rPr>
                <w:rFonts w:eastAsiaTheme="minorEastAsia"/>
                <w:sz w:val="24"/>
                <w:szCs w:val="22"/>
              </w:rPr>
              <w:t>14.183m</w:t>
            </w:r>
            <w:r>
              <w:rPr>
                <w:rFonts w:eastAsiaTheme="minorEastAsia"/>
                <w:sz w:val="24"/>
                <w:szCs w:val="22"/>
                <w:vertAlign w:val="superscript"/>
              </w:rPr>
              <w:t>3</w:t>
            </w:r>
            <w:r>
              <w:rPr>
                <w:rFonts w:eastAsiaTheme="minorEastAsia"/>
                <w:sz w:val="24"/>
                <w:szCs w:val="22"/>
              </w:rPr>
              <w:t>/d，</w:t>
            </w:r>
            <w:r>
              <w:rPr>
                <w:rFonts w:eastAsiaTheme="minorEastAsia"/>
                <w:bCs/>
                <w:sz w:val="24"/>
                <w:szCs w:val="22"/>
              </w:rPr>
              <w:t>总废水产生量为</w:t>
            </w:r>
            <w:r>
              <w:rPr>
                <w:rFonts w:eastAsiaTheme="minorEastAsia"/>
                <w:sz w:val="24"/>
                <w:szCs w:val="22"/>
              </w:rPr>
              <w:t>11.346m</w:t>
            </w:r>
            <w:r>
              <w:rPr>
                <w:rFonts w:eastAsiaTheme="minorEastAsia"/>
                <w:sz w:val="24"/>
                <w:szCs w:val="22"/>
                <w:vertAlign w:val="superscript"/>
              </w:rPr>
              <w:t>3</w:t>
            </w:r>
            <w:r>
              <w:rPr>
                <w:rFonts w:eastAsiaTheme="minorEastAsia"/>
                <w:sz w:val="24"/>
                <w:szCs w:val="22"/>
              </w:rPr>
              <w:t>/d,2836.682m³/a。</w:t>
            </w:r>
          </w:p>
          <w:p>
            <w:pPr>
              <w:spacing w:line="360" w:lineRule="auto"/>
              <w:ind w:firstLine="480" w:firstLineChars="200"/>
              <w:rPr>
                <w:rFonts w:eastAsiaTheme="minorEastAsia"/>
                <w:sz w:val="24"/>
                <w:szCs w:val="22"/>
              </w:rPr>
            </w:pPr>
            <w:r>
              <w:rPr>
                <w:rFonts w:eastAsiaTheme="minorEastAsia"/>
                <w:sz w:val="24"/>
                <w:szCs w:val="22"/>
              </w:rPr>
              <w:t>拟建</w:t>
            </w:r>
            <w:r>
              <w:rPr>
                <w:rFonts w:eastAsiaTheme="minorEastAsia"/>
                <w:kern w:val="0"/>
                <w:sz w:val="24"/>
              </w:rPr>
              <w:t>项目用水量和废水排放量及水平衡图详见表4-5及图4-2。</w:t>
            </w:r>
          </w:p>
          <w:p>
            <w:pPr>
              <w:tabs>
                <w:tab w:val="left" w:pos="6740"/>
              </w:tabs>
              <w:spacing w:line="360" w:lineRule="auto"/>
              <w:ind w:firstLine="482"/>
              <w:jc w:val="center"/>
              <w:rPr>
                <w:rFonts w:eastAsiaTheme="minorEastAsia"/>
                <w:b/>
                <w:sz w:val="24"/>
              </w:rPr>
            </w:pPr>
            <w:r>
              <w:rPr>
                <w:rFonts w:eastAsiaTheme="minorEastAsia"/>
                <w:b/>
                <w:sz w:val="24"/>
              </w:rPr>
              <w:t>表4-5工程用水量和排水量情况表</w:t>
            </w:r>
          </w:p>
          <w:tbl>
            <w:tblPr>
              <w:tblStyle w:val="44"/>
              <w:tblW w:w="78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493"/>
              <w:gridCol w:w="1062"/>
              <w:gridCol w:w="1040"/>
              <w:gridCol w:w="851"/>
              <w:gridCol w:w="1084"/>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7" w:hRule="atLeast"/>
              </w:trPr>
              <w:tc>
                <w:tcPr>
                  <w:tcW w:w="1300" w:type="dxa"/>
                  <w:vAlign w:val="center"/>
                </w:tcPr>
                <w:p>
                  <w:pPr>
                    <w:jc w:val="center"/>
                    <w:rPr>
                      <w:rFonts w:eastAsiaTheme="minorEastAsia"/>
                      <w:szCs w:val="21"/>
                    </w:rPr>
                  </w:pPr>
                  <w:r>
                    <w:rPr>
                      <w:rFonts w:eastAsiaTheme="minorEastAsia"/>
                      <w:szCs w:val="21"/>
                    </w:rPr>
                    <w:t>类别</w:t>
                  </w:r>
                </w:p>
              </w:tc>
              <w:tc>
                <w:tcPr>
                  <w:tcW w:w="1493" w:type="dxa"/>
                  <w:vAlign w:val="center"/>
                </w:tcPr>
                <w:p>
                  <w:pPr>
                    <w:jc w:val="center"/>
                    <w:rPr>
                      <w:rFonts w:eastAsiaTheme="minorEastAsia"/>
                      <w:szCs w:val="21"/>
                    </w:rPr>
                  </w:pPr>
                  <w:r>
                    <w:rPr>
                      <w:rFonts w:eastAsiaTheme="minorEastAsia"/>
                      <w:szCs w:val="21"/>
                    </w:rPr>
                    <w:t>用水定额</w:t>
                  </w:r>
                </w:p>
              </w:tc>
              <w:tc>
                <w:tcPr>
                  <w:tcW w:w="1062" w:type="dxa"/>
                  <w:vAlign w:val="center"/>
                </w:tcPr>
                <w:p>
                  <w:pPr>
                    <w:jc w:val="center"/>
                    <w:rPr>
                      <w:rFonts w:eastAsiaTheme="minorEastAsia"/>
                      <w:szCs w:val="21"/>
                    </w:rPr>
                  </w:pPr>
                  <w:r>
                    <w:rPr>
                      <w:rFonts w:eastAsiaTheme="minorEastAsia"/>
                      <w:szCs w:val="21"/>
                    </w:rPr>
                    <w:t>数量</w:t>
                  </w:r>
                </w:p>
              </w:tc>
              <w:tc>
                <w:tcPr>
                  <w:tcW w:w="1040" w:type="dxa"/>
                  <w:vAlign w:val="center"/>
                </w:tcPr>
                <w:p>
                  <w:pPr>
                    <w:ind w:left="-97" w:leftChars="-46" w:right="-105" w:rightChars="-50"/>
                    <w:jc w:val="center"/>
                    <w:rPr>
                      <w:rFonts w:eastAsiaTheme="minorEastAsia"/>
                      <w:szCs w:val="21"/>
                    </w:rPr>
                  </w:pPr>
                  <w:r>
                    <w:rPr>
                      <w:rFonts w:eastAsiaTheme="minorEastAsia"/>
                      <w:szCs w:val="21"/>
                    </w:rPr>
                    <w:t>用水量(</w:t>
                  </w:r>
                  <w:r>
                    <w:rPr>
                      <w:rFonts w:eastAsiaTheme="minorEastAsia"/>
                      <w:bCs/>
                      <w:szCs w:val="21"/>
                    </w:rPr>
                    <w:t>m</w:t>
                  </w:r>
                  <w:r>
                    <w:rPr>
                      <w:rFonts w:eastAsiaTheme="minorEastAsia"/>
                      <w:bCs/>
                      <w:szCs w:val="21"/>
                      <w:vertAlign w:val="superscript"/>
                    </w:rPr>
                    <w:t>3</w:t>
                  </w:r>
                  <w:r>
                    <w:rPr>
                      <w:rFonts w:eastAsiaTheme="minorEastAsia"/>
                      <w:szCs w:val="21"/>
                    </w:rPr>
                    <w:t>/d)</w:t>
                  </w:r>
                </w:p>
              </w:tc>
              <w:tc>
                <w:tcPr>
                  <w:tcW w:w="851" w:type="dxa"/>
                  <w:vAlign w:val="center"/>
                </w:tcPr>
                <w:p>
                  <w:pPr>
                    <w:ind w:left="-97" w:leftChars="-46" w:right="-105" w:rightChars="-50"/>
                    <w:jc w:val="center"/>
                    <w:rPr>
                      <w:rFonts w:eastAsiaTheme="minorEastAsia"/>
                      <w:szCs w:val="21"/>
                    </w:rPr>
                  </w:pPr>
                  <w:r>
                    <w:rPr>
                      <w:rFonts w:eastAsiaTheme="minorEastAsia"/>
                      <w:szCs w:val="21"/>
                    </w:rPr>
                    <w:t>排污系数</w:t>
                  </w:r>
                </w:p>
              </w:tc>
              <w:tc>
                <w:tcPr>
                  <w:tcW w:w="1084" w:type="dxa"/>
                  <w:vAlign w:val="center"/>
                </w:tcPr>
                <w:p>
                  <w:pPr>
                    <w:ind w:left="-97" w:leftChars="-46" w:right="-105" w:rightChars="-50"/>
                    <w:jc w:val="center"/>
                    <w:rPr>
                      <w:rFonts w:eastAsiaTheme="minorEastAsia"/>
                      <w:b/>
                      <w:szCs w:val="21"/>
                    </w:rPr>
                  </w:pPr>
                  <w:r>
                    <w:rPr>
                      <w:rFonts w:eastAsiaTheme="minorEastAsia"/>
                      <w:szCs w:val="21"/>
                    </w:rPr>
                    <w:t>污水排放量(</w:t>
                  </w:r>
                  <w:r>
                    <w:rPr>
                      <w:rFonts w:eastAsiaTheme="minorEastAsia"/>
                      <w:bCs/>
                      <w:szCs w:val="21"/>
                    </w:rPr>
                    <w:t>m</w:t>
                  </w:r>
                  <w:r>
                    <w:rPr>
                      <w:rFonts w:eastAsiaTheme="minorEastAsia"/>
                      <w:bCs/>
                      <w:szCs w:val="21"/>
                      <w:vertAlign w:val="superscript"/>
                    </w:rPr>
                    <w:t>3</w:t>
                  </w:r>
                  <w:r>
                    <w:rPr>
                      <w:rFonts w:eastAsiaTheme="minorEastAsia"/>
                      <w:szCs w:val="21"/>
                    </w:rPr>
                    <w:t>/d)</w:t>
                  </w:r>
                </w:p>
              </w:tc>
              <w:tc>
                <w:tcPr>
                  <w:tcW w:w="977" w:type="dxa"/>
                  <w:vAlign w:val="center"/>
                </w:tcPr>
                <w:p>
                  <w:pPr>
                    <w:ind w:left="-97" w:leftChars="-46" w:right="-105" w:rightChars="-50"/>
                    <w:jc w:val="center"/>
                    <w:rPr>
                      <w:rFonts w:eastAsiaTheme="minorEastAsia"/>
                      <w:szCs w:val="21"/>
                    </w:rPr>
                  </w:pPr>
                  <w:r>
                    <w:rPr>
                      <w:rFonts w:eastAsiaTheme="minorEastAsia"/>
                      <w:szCs w:val="21"/>
                    </w:rPr>
                    <w:t>年排放量</w:t>
                  </w:r>
                </w:p>
                <w:p>
                  <w:pPr>
                    <w:ind w:left="-97" w:leftChars="-46" w:right="-105" w:rightChars="-50"/>
                    <w:jc w:val="center"/>
                    <w:rPr>
                      <w:rFonts w:eastAsiaTheme="minorEastAsia"/>
                      <w:szCs w:val="21"/>
                    </w:rPr>
                  </w:pPr>
                  <w:r>
                    <w:rPr>
                      <w:rFonts w:eastAsiaTheme="minor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7807" w:type="dxa"/>
                  <w:gridSpan w:val="7"/>
                  <w:vAlign w:val="center"/>
                </w:tcPr>
                <w:p>
                  <w:pPr>
                    <w:ind w:left="-97" w:leftChars="-46" w:right="-105" w:rightChars="-50"/>
                    <w:jc w:val="center"/>
                    <w:rPr>
                      <w:rFonts w:eastAsiaTheme="minorEastAsia"/>
                      <w:szCs w:val="21"/>
                    </w:rPr>
                  </w:pPr>
                  <w:r>
                    <w:rPr>
                      <w:rFonts w:eastAsiaTheme="minorEastAsia"/>
                      <w:b/>
                      <w:szCs w:val="21"/>
                    </w:rPr>
                    <w:t>1、</w:t>
                  </w:r>
                  <w:r>
                    <w:rPr>
                      <w:rFonts w:hint="eastAsia" w:eastAsiaTheme="minorEastAsia"/>
                      <w:b/>
                      <w:szCs w:val="21"/>
                    </w:rPr>
                    <w:t>生产废水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300" w:type="dxa"/>
                  <w:vAlign w:val="center"/>
                </w:tcPr>
                <w:p>
                  <w:pPr>
                    <w:jc w:val="center"/>
                    <w:rPr>
                      <w:rFonts w:eastAsiaTheme="minorEastAsia"/>
                      <w:szCs w:val="21"/>
                    </w:rPr>
                  </w:pPr>
                  <w:r>
                    <w:rPr>
                      <w:rFonts w:hint="eastAsia" w:eastAsiaTheme="minorEastAsia"/>
                      <w:szCs w:val="21"/>
                    </w:rPr>
                    <w:t>地坪清洗</w:t>
                  </w:r>
                </w:p>
              </w:tc>
              <w:tc>
                <w:tcPr>
                  <w:tcW w:w="1493" w:type="dxa"/>
                  <w:vAlign w:val="center"/>
                </w:tcPr>
                <w:p>
                  <w:pPr>
                    <w:jc w:val="center"/>
                    <w:rPr>
                      <w:rFonts w:eastAsiaTheme="minorEastAsia"/>
                      <w:szCs w:val="21"/>
                    </w:rPr>
                  </w:pPr>
                  <w:r>
                    <w:rPr>
                      <w:rFonts w:eastAsiaTheme="minorEastAsia"/>
                      <w:szCs w:val="21"/>
                    </w:rPr>
                    <w:t>2L/(m</w:t>
                  </w:r>
                  <w:r>
                    <w:rPr>
                      <w:rFonts w:eastAsiaTheme="minorEastAsia"/>
                      <w:szCs w:val="21"/>
                      <w:vertAlign w:val="superscript"/>
                    </w:rPr>
                    <w:t>2</w:t>
                  </w:r>
                  <w:r>
                    <w:rPr>
                      <w:rFonts w:eastAsiaTheme="minorEastAsia"/>
                      <w:szCs w:val="21"/>
                    </w:rPr>
                    <w:t>·d)</w:t>
                  </w:r>
                </w:p>
              </w:tc>
              <w:tc>
                <w:tcPr>
                  <w:tcW w:w="1062" w:type="dxa"/>
                  <w:vAlign w:val="center"/>
                </w:tcPr>
                <w:p>
                  <w:pPr>
                    <w:jc w:val="center"/>
                    <w:rPr>
                      <w:rFonts w:eastAsiaTheme="minorEastAsia"/>
                      <w:szCs w:val="21"/>
                    </w:rPr>
                  </w:pPr>
                  <w:r>
                    <w:rPr>
                      <w:rFonts w:eastAsiaTheme="minorEastAsia"/>
                      <w:szCs w:val="21"/>
                    </w:rPr>
                    <w:t>11463</w:t>
                  </w:r>
                </w:p>
              </w:tc>
              <w:tc>
                <w:tcPr>
                  <w:tcW w:w="1040" w:type="dxa"/>
                  <w:vAlign w:val="center"/>
                </w:tcPr>
                <w:p>
                  <w:pPr>
                    <w:ind w:left="-97" w:leftChars="-46" w:right="-105" w:rightChars="-50"/>
                    <w:jc w:val="center"/>
                    <w:rPr>
                      <w:rFonts w:eastAsiaTheme="minorEastAsia"/>
                      <w:szCs w:val="21"/>
                    </w:rPr>
                  </w:pPr>
                  <w:r>
                    <w:rPr>
                      <w:rFonts w:eastAsiaTheme="minorEastAsia"/>
                      <w:szCs w:val="21"/>
                    </w:rPr>
                    <w:t>0.183</w:t>
                  </w:r>
                </w:p>
              </w:tc>
              <w:tc>
                <w:tcPr>
                  <w:tcW w:w="851" w:type="dxa"/>
                  <w:vAlign w:val="center"/>
                </w:tcPr>
                <w:p>
                  <w:pPr>
                    <w:ind w:left="-97" w:leftChars="-46" w:right="-105" w:rightChars="-50"/>
                    <w:jc w:val="center"/>
                    <w:rPr>
                      <w:rFonts w:eastAsiaTheme="minorEastAsia"/>
                      <w:szCs w:val="21"/>
                    </w:rPr>
                  </w:pPr>
                  <w:r>
                    <w:rPr>
                      <w:rFonts w:hint="eastAsia" w:eastAsiaTheme="minorEastAsia"/>
                      <w:szCs w:val="21"/>
                    </w:rPr>
                    <w:t>0</w:t>
                  </w:r>
                  <w:r>
                    <w:rPr>
                      <w:rFonts w:eastAsiaTheme="minorEastAsia"/>
                      <w:szCs w:val="21"/>
                    </w:rPr>
                    <w:t>.8</w:t>
                  </w:r>
                </w:p>
              </w:tc>
              <w:tc>
                <w:tcPr>
                  <w:tcW w:w="1084" w:type="dxa"/>
                  <w:vAlign w:val="center"/>
                </w:tcPr>
                <w:p>
                  <w:pPr>
                    <w:ind w:left="-97" w:leftChars="-46" w:right="-105" w:rightChars="-50"/>
                    <w:jc w:val="center"/>
                    <w:rPr>
                      <w:rFonts w:eastAsiaTheme="minorEastAsia"/>
                      <w:szCs w:val="21"/>
                    </w:rPr>
                  </w:pPr>
                  <w:r>
                    <w:rPr>
                      <w:rFonts w:eastAsiaTheme="minorEastAsia"/>
                      <w:szCs w:val="21"/>
                    </w:rPr>
                    <w:t>0.146</w:t>
                  </w:r>
                </w:p>
              </w:tc>
              <w:tc>
                <w:tcPr>
                  <w:tcW w:w="977" w:type="dxa"/>
                  <w:vAlign w:val="center"/>
                </w:tcPr>
                <w:p>
                  <w:pPr>
                    <w:ind w:left="-97" w:leftChars="-46" w:right="-105" w:rightChars="-50"/>
                    <w:jc w:val="center"/>
                    <w:rPr>
                      <w:rFonts w:eastAsiaTheme="minorEastAsia"/>
                      <w:szCs w:val="21"/>
                    </w:rPr>
                  </w:pPr>
                  <w:r>
                    <w:rPr>
                      <w:rFonts w:eastAsiaTheme="minorEastAsia"/>
                      <w:szCs w:val="21"/>
                    </w:rPr>
                    <w:t>36.682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300" w:type="dxa"/>
                  <w:vAlign w:val="center"/>
                </w:tcPr>
                <w:p>
                  <w:pPr>
                    <w:jc w:val="center"/>
                    <w:rPr>
                      <w:rFonts w:eastAsiaTheme="minorEastAsia"/>
                      <w:szCs w:val="21"/>
                    </w:rPr>
                  </w:pPr>
                  <w:r>
                    <w:rPr>
                      <w:rFonts w:hint="eastAsia" w:eastAsiaTheme="minorEastAsia"/>
                      <w:szCs w:val="21"/>
                    </w:rPr>
                    <w:t>车辆清洗</w:t>
                  </w:r>
                </w:p>
              </w:tc>
              <w:tc>
                <w:tcPr>
                  <w:tcW w:w="1493" w:type="dxa"/>
                  <w:vAlign w:val="center"/>
                </w:tcPr>
                <w:p>
                  <w:pPr>
                    <w:jc w:val="center"/>
                    <w:rPr>
                      <w:rFonts w:eastAsiaTheme="minorEastAsia"/>
                      <w:szCs w:val="21"/>
                    </w:rPr>
                  </w:pPr>
                  <w:r>
                    <w:rPr>
                      <w:rFonts w:eastAsiaTheme="minorEastAsia"/>
                      <w:szCs w:val="21"/>
                    </w:rPr>
                    <w:t>2m³/辆</w:t>
                  </w:r>
                </w:p>
              </w:tc>
              <w:tc>
                <w:tcPr>
                  <w:tcW w:w="1062" w:type="dxa"/>
                  <w:vAlign w:val="center"/>
                </w:tcPr>
                <w:p>
                  <w:pPr>
                    <w:jc w:val="center"/>
                    <w:rPr>
                      <w:rFonts w:eastAsiaTheme="minorEastAsia"/>
                      <w:szCs w:val="21"/>
                    </w:rPr>
                  </w:pPr>
                  <w:r>
                    <w:rPr>
                      <w:rFonts w:eastAsiaTheme="minorEastAsia"/>
                      <w:szCs w:val="21"/>
                    </w:rPr>
                    <w:t>200/年</w:t>
                  </w:r>
                </w:p>
              </w:tc>
              <w:tc>
                <w:tcPr>
                  <w:tcW w:w="1040" w:type="dxa"/>
                  <w:vAlign w:val="center"/>
                </w:tcPr>
                <w:p>
                  <w:pPr>
                    <w:jc w:val="center"/>
                    <w:rPr>
                      <w:rFonts w:eastAsiaTheme="minorEastAsia"/>
                      <w:szCs w:val="21"/>
                    </w:rPr>
                  </w:pPr>
                  <w:r>
                    <w:rPr>
                      <w:rFonts w:eastAsiaTheme="minorEastAsia"/>
                      <w:szCs w:val="21"/>
                    </w:rPr>
                    <w:t>1.6</w:t>
                  </w:r>
                </w:p>
              </w:tc>
              <w:tc>
                <w:tcPr>
                  <w:tcW w:w="851" w:type="dxa"/>
                  <w:vAlign w:val="center"/>
                </w:tcPr>
                <w:p>
                  <w:pPr>
                    <w:jc w:val="center"/>
                    <w:rPr>
                      <w:rFonts w:eastAsiaTheme="minorEastAsia"/>
                      <w:szCs w:val="21"/>
                    </w:rPr>
                  </w:pPr>
                  <w:r>
                    <w:rPr>
                      <w:rFonts w:eastAsiaTheme="minorEastAsia"/>
                      <w:szCs w:val="21"/>
                    </w:rPr>
                    <w:t>0.8</w:t>
                  </w:r>
                </w:p>
              </w:tc>
              <w:tc>
                <w:tcPr>
                  <w:tcW w:w="1084" w:type="dxa"/>
                  <w:vAlign w:val="center"/>
                </w:tcPr>
                <w:p>
                  <w:pPr>
                    <w:jc w:val="center"/>
                    <w:rPr>
                      <w:rFonts w:eastAsiaTheme="minorEastAsia"/>
                      <w:szCs w:val="21"/>
                    </w:rPr>
                  </w:pPr>
                  <w:r>
                    <w:rPr>
                      <w:rFonts w:eastAsiaTheme="minorEastAsia"/>
                      <w:szCs w:val="21"/>
                    </w:rPr>
                    <w:t>1.28</w:t>
                  </w:r>
                </w:p>
              </w:tc>
              <w:tc>
                <w:tcPr>
                  <w:tcW w:w="977" w:type="dxa"/>
                  <w:vAlign w:val="center"/>
                </w:tcPr>
                <w:p>
                  <w:pPr>
                    <w:jc w:val="center"/>
                    <w:rPr>
                      <w:rFonts w:eastAsiaTheme="minorEastAsia"/>
                      <w:szCs w:val="21"/>
                    </w:rPr>
                  </w:pPr>
                  <w:r>
                    <w:rPr>
                      <w:rFonts w:eastAsiaTheme="minorEastAsia"/>
                      <w:szCs w:val="21"/>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1300" w:type="dxa"/>
                  <w:vAlign w:val="center"/>
                </w:tcPr>
                <w:p>
                  <w:pPr>
                    <w:jc w:val="center"/>
                    <w:rPr>
                      <w:rFonts w:eastAsiaTheme="minorEastAsia"/>
                      <w:szCs w:val="21"/>
                    </w:rPr>
                  </w:pPr>
                  <w:bookmarkStart w:id="114" w:name="OLE_LINK4" w:colFirst="3" w:colLast="3"/>
                  <w:bookmarkStart w:id="115" w:name="OLE_LINK5" w:colFirst="3" w:colLast="3"/>
                  <w:bookmarkStart w:id="116" w:name="_Hlk407207151"/>
                  <w:r>
                    <w:rPr>
                      <w:rFonts w:eastAsiaTheme="minorEastAsia"/>
                      <w:szCs w:val="21"/>
                    </w:rPr>
                    <w:t>小计</w:t>
                  </w:r>
                </w:p>
              </w:tc>
              <w:tc>
                <w:tcPr>
                  <w:tcW w:w="1493" w:type="dxa"/>
                  <w:vAlign w:val="center"/>
                </w:tcPr>
                <w:p>
                  <w:pPr>
                    <w:jc w:val="center"/>
                    <w:rPr>
                      <w:rFonts w:eastAsiaTheme="minorEastAsia"/>
                      <w:bCs/>
                      <w:szCs w:val="21"/>
                    </w:rPr>
                  </w:pPr>
                  <w:r>
                    <w:rPr>
                      <w:rFonts w:eastAsiaTheme="minorEastAsia"/>
                      <w:bCs/>
                      <w:szCs w:val="21"/>
                    </w:rPr>
                    <w:t>-</w:t>
                  </w:r>
                </w:p>
              </w:tc>
              <w:tc>
                <w:tcPr>
                  <w:tcW w:w="1062" w:type="dxa"/>
                  <w:vAlign w:val="center"/>
                </w:tcPr>
                <w:p>
                  <w:pPr>
                    <w:jc w:val="center"/>
                    <w:rPr>
                      <w:rFonts w:eastAsiaTheme="minorEastAsia"/>
                      <w:szCs w:val="21"/>
                    </w:rPr>
                  </w:pPr>
                  <w:r>
                    <w:rPr>
                      <w:rFonts w:eastAsiaTheme="minorEastAsia"/>
                      <w:szCs w:val="21"/>
                    </w:rPr>
                    <w:t>-</w:t>
                  </w:r>
                </w:p>
              </w:tc>
              <w:tc>
                <w:tcPr>
                  <w:tcW w:w="1040" w:type="dxa"/>
                  <w:vAlign w:val="center"/>
                </w:tcPr>
                <w:p>
                  <w:pPr>
                    <w:jc w:val="center"/>
                    <w:rPr>
                      <w:rFonts w:eastAsiaTheme="minorEastAsia"/>
                      <w:szCs w:val="21"/>
                    </w:rPr>
                  </w:pPr>
                  <w:r>
                    <w:rPr>
                      <w:rFonts w:eastAsiaTheme="minorEastAsia"/>
                      <w:szCs w:val="21"/>
                    </w:rPr>
                    <w:t>1.783</w:t>
                  </w:r>
                </w:p>
              </w:tc>
              <w:tc>
                <w:tcPr>
                  <w:tcW w:w="851" w:type="dxa"/>
                  <w:vAlign w:val="center"/>
                </w:tcPr>
                <w:p>
                  <w:pPr>
                    <w:jc w:val="center"/>
                    <w:rPr>
                      <w:rFonts w:eastAsiaTheme="minorEastAsia"/>
                      <w:szCs w:val="21"/>
                    </w:rPr>
                  </w:pPr>
                  <w:r>
                    <w:rPr>
                      <w:rFonts w:eastAsiaTheme="minorEastAsia"/>
                      <w:szCs w:val="21"/>
                    </w:rPr>
                    <w:t>—</w:t>
                  </w:r>
                </w:p>
              </w:tc>
              <w:tc>
                <w:tcPr>
                  <w:tcW w:w="1084" w:type="dxa"/>
                  <w:vAlign w:val="center"/>
                </w:tcPr>
                <w:p>
                  <w:pPr>
                    <w:jc w:val="center"/>
                    <w:rPr>
                      <w:rFonts w:eastAsiaTheme="minorEastAsia"/>
                      <w:szCs w:val="21"/>
                    </w:rPr>
                  </w:pPr>
                  <w:r>
                    <w:rPr>
                      <w:rFonts w:eastAsiaTheme="minorEastAsia"/>
                      <w:szCs w:val="21"/>
                    </w:rPr>
                    <w:t>1.426</w:t>
                  </w:r>
                </w:p>
              </w:tc>
              <w:tc>
                <w:tcPr>
                  <w:tcW w:w="977" w:type="dxa"/>
                  <w:vAlign w:val="center"/>
                </w:tcPr>
                <w:p>
                  <w:pPr>
                    <w:jc w:val="center"/>
                    <w:rPr>
                      <w:rFonts w:eastAsiaTheme="minorEastAsia"/>
                      <w:szCs w:val="21"/>
                    </w:rPr>
                  </w:pPr>
                  <w:r>
                    <w:rPr>
                      <w:rFonts w:eastAsiaTheme="minorEastAsia"/>
                      <w:szCs w:val="21"/>
                    </w:rPr>
                    <w:t>356.682</w:t>
                  </w:r>
                </w:p>
              </w:tc>
            </w:tr>
            <w:bookmarkEnd w:id="114"/>
            <w:bookmarkEnd w:id="115"/>
            <w:bookmarkEnd w:id="11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7807" w:type="dxa"/>
                  <w:gridSpan w:val="7"/>
                  <w:vAlign w:val="center"/>
                </w:tcPr>
                <w:p>
                  <w:pPr>
                    <w:jc w:val="center"/>
                    <w:rPr>
                      <w:rFonts w:eastAsiaTheme="minorEastAsia"/>
                      <w:szCs w:val="21"/>
                    </w:rPr>
                  </w:pPr>
                  <w:r>
                    <w:rPr>
                      <w:rFonts w:eastAsiaTheme="minorEastAsia"/>
                      <w:b/>
                      <w:szCs w:val="21"/>
                    </w:rPr>
                    <w:t>4、生活污水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7807" w:type="dxa"/>
                  <w:gridSpan w:val="7"/>
                  <w:vAlign w:val="center"/>
                </w:tcPr>
                <w:p>
                  <w:pPr>
                    <w:jc w:val="center"/>
                    <w:rPr>
                      <w:rFonts w:eastAsiaTheme="minorEastAsia"/>
                      <w:b/>
                      <w:szCs w:val="21"/>
                    </w:rPr>
                  </w:pPr>
                  <w:r>
                    <w:rPr>
                      <w:rFonts w:hint="eastAsia" w:ascii="宋体" w:hAnsi="宋体" w:cs="宋体"/>
                      <w:b/>
                      <w:szCs w:val="21"/>
                    </w:rPr>
                    <w:t>①</w:t>
                  </w:r>
                  <w:r>
                    <w:rPr>
                      <w:rFonts w:hint="eastAsia" w:eastAsiaTheme="minorEastAsia"/>
                      <w:b/>
                      <w:szCs w:val="21"/>
                    </w:rPr>
                    <w:t>办公</w:t>
                  </w:r>
                  <w:r>
                    <w:rPr>
                      <w:rFonts w:eastAsiaTheme="minorEastAsia"/>
                      <w:b/>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1300" w:type="dxa"/>
                  <w:vAlign w:val="center"/>
                </w:tcPr>
                <w:p>
                  <w:pPr>
                    <w:jc w:val="center"/>
                    <w:rPr>
                      <w:rFonts w:eastAsiaTheme="minorEastAsia"/>
                      <w:bCs/>
                      <w:szCs w:val="21"/>
                    </w:rPr>
                  </w:pPr>
                  <w:r>
                    <w:rPr>
                      <w:rFonts w:hint="eastAsia" w:eastAsiaTheme="minorEastAsia"/>
                      <w:bCs/>
                      <w:szCs w:val="21"/>
                    </w:rPr>
                    <w:t>生活废水</w:t>
                  </w:r>
                </w:p>
              </w:tc>
              <w:tc>
                <w:tcPr>
                  <w:tcW w:w="1493" w:type="dxa"/>
                  <w:vAlign w:val="center"/>
                </w:tcPr>
                <w:p>
                  <w:pPr>
                    <w:jc w:val="center"/>
                    <w:rPr>
                      <w:rFonts w:eastAsiaTheme="minorEastAsia"/>
                      <w:szCs w:val="21"/>
                    </w:rPr>
                  </w:pPr>
                  <w:r>
                    <w:rPr>
                      <w:rFonts w:hint="eastAsia" w:eastAsiaTheme="minorEastAsia"/>
                      <w:szCs w:val="21"/>
                    </w:rPr>
                    <w:t>/</w:t>
                  </w:r>
                </w:p>
              </w:tc>
              <w:tc>
                <w:tcPr>
                  <w:tcW w:w="1062" w:type="dxa"/>
                  <w:vAlign w:val="center"/>
                </w:tcPr>
                <w:p>
                  <w:pPr>
                    <w:jc w:val="center"/>
                    <w:rPr>
                      <w:rFonts w:eastAsiaTheme="minorEastAsia"/>
                      <w:szCs w:val="21"/>
                    </w:rPr>
                  </w:pPr>
                  <w:r>
                    <w:rPr>
                      <w:rFonts w:hint="eastAsia" w:eastAsiaTheme="minorEastAsia"/>
                      <w:szCs w:val="21"/>
                    </w:rPr>
                    <w:t>/</w:t>
                  </w:r>
                </w:p>
              </w:tc>
              <w:tc>
                <w:tcPr>
                  <w:tcW w:w="1040" w:type="dxa"/>
                  <w:vAlign w:val="center"/>
                </w:tcPr>
                <w:p>
                  <w:pPr>
                    <w:jc w:val="center"/>
                    <w:rPr>
                      <w:rFonts w:eastAsiaTheme="minorEastAsia"/>
                      <w:szCs w:val="21"/>
                    </w:rPr>
                  </w:pPr>
                  <w:r>
                    <w:rPr>
                      <w:rFonts w:hint="eastAsia" w:eastAsiaTheme="minorEastAsia"/>
                      <w:szCs w:val="21"/>
                    </w:rPr>
                    <w:t>1</w:t>
                  </w:r>
                  <w:r>
                    <w:rPr>
                      <w:rFonts w:eastAsiaTheme="minorEastAsia"/>
                      <w:szCs w:val="21"/>
                    </w:rPr>
                    <w:t>0.4</w:t>
                  </w:r>
                </w:p>
              </w:tc>
              <w:tc>
                <w:tcPr>
                  <w:tcW w:w="851" w:type="dxa"/>
                  <w:vAlign w:val="center"/>
                </w:tcPr>
                <w:p>
                  <w:pPr>
                    <w:jc w:val="center"/>
                    <w:rPr>
                      <w:rFonts w:eastAsiaTheme="minorEastAsia"/>
                      <w:szCs w:val="21"/>
                    </w:rPr>
                  </w:pPr>
                  <w:r>
                    <w:rPr>
                      <w:rFonts w:hint="eastAsia" w:eastAsiaTheme="minorEastAsia"/>
                      <w:szCs w:val="21"/>
                    </w:rPr>
                    <w:t>0</w:t>
                  </w:r>
                  <w:r>
                    <w:rPr>
                      <w:rFonts w:eastAsiaTheme="minorEastAsia"/>
                      <w:szCs w:val="21"/>
                    </w:rPr>
                    <w:t>.8</w:t>
                  </w:r>
                </w:p>
              </w:tc>
              <w:tc>
                <w:tcPr>
                  <w:tcW w:w="1084" w:type="dxa"/>
                  <w:vAlign w:val="center"/>
                </w:tcPr>
                <w:p>
                  <w:pPr>
                    <w:jc w:val="center"/>
                    <w:rPr>
                      <w:rFonts w:eastAsiaTheme="minorEastAsia"/>
                      <w:szCs w:val="21"/>
                    </w:rPr>
                  </w:pPr>
                  <w:r>
                    <w:rPr>
                      <w:rFonts w:hint="eastAsia" w:eastAsiaTheme="minorEastAsia"/>
                      <w:szCs w:val="21"/>
                    </w:rPr>
                    <w:t>8</w:t>
                  </w:r>
                  <w:r>
                    <w:rPr>
                      <w:rFonts w:eastAsiaTheme="minorEastAsia"/>
                      <w:szCs w:val="21"/>
                    </w:rPr>
                    <w:t>.32</w:t>
                  </w:r>
                </w:p>
              </w:tc>
              <w:tc>
                <w:tcPr>
                  <w:tcW w:w="977" w:type="dxa"/>
                  <w:vAlign w:val="center"/>
                </w:tcPr>
                <w:p>
                  <w:pPr>
                    <w:jc w:val="center"/>
                    <w:rPr>
                      <w:rFonts w:eastAsiaTheme="minorEastAsia"/>
                      <w:szCs w:val="21"/>
                    </w:rPr>
                  </w:pPr>
                  <w:r>
                    <w:rPr>
                      <w:rFonts w:hint="eastAsia" w:eastAsiaTheme="minorEastAsia"/>
                      <w:szCs w:val="21"/>
                    </w:rPr>
                    <w:t>2</w:t>
                  </w:r>
                  <w:r>
                    <w:rPr>
                      <w:rFonts w:eastAsiaTheme="minorEastAsia"/>
                      <w:szCs w:val="21"/>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7807" w:type="dxa"/>
                  <w:gridSpan w:val="7"/>
                  <w:vAlign w:val="center"/>
                </w:tcPr>
                <w:p>
                  <w:pPr>
                    <w:jc w:val="center"/>
                    <w:rPr>
                      <w:rFonts w:eastAsiaTheme="minorEastAsia"/>
                      <w:b/>
                      <w:szCs w:val="21"/>
                    </w:rPr>
                  </w:pPr>
                  <w:r>
                    <w:rPr>
                      <w:rFonts w:hint="eastAsia" w:ascii="宋体" w:hAnsi="宋体" w:cs="宋体"/>
                      <w:b/>
                      <w:szCs w:val="21"/>
                    </w:rPr>
                    <w:t>②</w:t>
                  </w:r>
                  <w:r>
                    <w:rPr>
                      <w:rFonts w:eastAsiaTheme="minorEastAsia"/>
                      <w:b/>
                      <w:szCs w:val="21"/>
                    </w:rPr>
                    <w:t>餐饮废水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1300" w:type="dxa"/>
                  <w:vAlign w:val="center"/>
                </w:tcPr>
                <w:p>
                  <w:pPr>
                    <w:jc w:val="center"/>
                    <w:rPr>
                      <w:rFonts w:eastAsiaTheme="minorEastAsia"/>
                      <w:bCs/>
                      <w:szCs w:val="21"/>
                    </w:rPr>
                  </w:pPr>
                  <w:r>
                    <w:rPr>
                      <w:rFonts w:hint="eastAsia" w:eastAsiaTheme="minorEastAsia"/>
                      <w:bCs/>
                      <w:szCs w:val="21"/>
                    </w:rPr>
                    <w:t>食堂餐饮废水</w:t>
                  </w:r>
                </w:p>
              </w:tc>
              <w:tc>
                <w:tcPr>
                  <w:tcW w:w="1493" w:type="dxa"/>
                  <w:vAlign w:val="center"/>
                </w:tcPr>
                <w:p>
                  <w:pPr>
                    <w:jc w:val="center"/>
                    <w:rPr>
                      <w:rFonts w:eastAsiaTheme="minorEastAsia"/>
                      <w:szCs w:val="21"/>
                    </w:rPr>
                  </w:pPr>
                  <w:r>
                    <w:rPr>
                      <w:rFonts w:eastAsiaTheme="minorEastAsia"/>
                      <w:szCs w:val="21"/>
                    </w:rPr>
                    <w:t>/</w:t>
                  </w:r>
                </w:p>
              </w:tc>
              <w:tc>
                <w:tcPr>
                  <w:tcW w:w="1062" w:type="dxa"/>
                  <w:vAlign w:val="center"/>
                </w:tcPr>
                <w:p>
                  <w:pPr>
                    <w:jc w:val="center"/>
                    <w:rPr>
                      <w:rFonts w:eastAsiaTheme="minorEastAsia"/>
                      <w:szCs w:val="21"/>
                    </w:rPr>
                  </w:pPr>
                  <w:r>
                    <w:rPr>
                      <w:rFonts w:eastAsiaTheme="minorEastAsia"/>
                      <w:szCs w:val="21"/>
                    </w:rPr>
                    <w:t>/</w:t>
                  </w:r>
                </w:p>
              </w:tc>
              <w:tc>
                <w:tcPr>
                  <w:tcW w:w="1040" w:type="dxa"/>
                  <w:vAlign w:val="center"/>
                </w:tcPr>
                <w:p>
                  <w:pPr>
                    <w:jc w:val="center"/>
                    <w:rPr>
                      <w:rFonts w:eastAsiaTheme="minorEastAsia"/>
                      <w:szCs w:val="21"/>
                    </w:rPr>
                  </w:pPr>
                  <w:r>
                    <w:rPr>
                      <w:rFonts w:eastAsiaTheme="minorEastAsia"/>
                      <w:szCs w:val="21"/>
                    </w:rPr>
                    <w:t>2</w:t>
                  </w:r>
                </w:p>
              </w:tc>
              <w:tc>
                <w:tcPr>
                  <w:tcW w:w="851" w:type="dxa"/>
                  <w:vAlign w:val="center"/>
                </w:tcPr>
                <w:p>
                  <w:pPr>
                    <w:jc w:val="center"/>
                    <w:rPr>
                      <w:rFonts w:eastAsiaTheme="minorEastAsia"/>
                      <w:szCs w:val="21"/>
                    </w:rPr>
                  </w:pPr>
                  <w:r>
                    <w:rPr>
                      <w:rFonts w:eastAsiaTheme="minorEastAsia"/>
                      <w:szCs w:val="21"/>
                    </w:rPr>
                    <w:t>0.8</w:t>
                  </w:r>
                </w:p>
              </w:tc>
              <w:tc>
                <w:tcPr>
                  <w:tcW w:w="1084" w:type="dxa"/>
                  <w:vAlign w:val="center"/>
                </w:tcPr>
                <w:p>
                  <w:pPr>
                    <w:jc w:val="center"/>
                    <w:rPr>
                      <w:rFonts w:eastAsiaTheme="minorEastAsia"/>
                      <w:szCs w:val="21"/>
                    </w:rPr>
                  </w:pPr>
                  <w:r>
                    <w:rPr>
                      <w:rFonts w:eastAsiaTheme="minorEastAsia"/>
                      <w:szCs w:val="21"/>
                    </w:rPr>
                    <w:t>1.6</w:t>
                  </w:r>
                </w:p>
              </w:tc>
              <w:tc>
                <w:tcPr>
                  <w:tcW w:w="977" w:type="dxa"/>
                  <w:vAlign w:val="center"/>
                </w:tcPr>
                <w:p>
                  <w:pPr>
                    <w:jc w:val="center"/>
                    <w:rPr>
                      <w:rFonts w:eastAsiaTheme="minorEastAsia"/>
                      <w:szCs w:val="21"/>
                    </w:rPr>
                  </w:pPr>
                  <w:r>
                    <w:rPr>
                      <w:rFonts w:eastAsiaTheme="minorEastAsia"/>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1300" w:type="dxa"/>
                  <w:vAlign w:val="center"/>
                </w:tcPr>
                <w:p>
                  <w:pPr>
                    <w:jc w:val="center"/>
                    <w:rPr>
                      <w:rFonts w:eastAsiaTheme="minorEastAsia"/>
                      <w:bCs/>
                      <w:szCs w:val="21"/>
                    </w:rPr>
                  </w:pPr>
                  <w:r>
                    <w:rPr>
                      <w:rFonts w:eastAsiaTheme="minorEastAsia"/>
                      <w:bCs/>
                      <w:szCs w:val="21"/>
                    </w:rPr>
                    <w:t>小计</w:t>
                  </w:r>
                </w:p>
              </w:tc>
              <w:tc>
                <w:tcPr>
                  <w:tcW w:w="1493" w:type="dxa"/>
                  <w:vAlign w:val="center"/>
                </w:tcPr>
                <w:p>
                  <w:pPr>
                    <w:jc w:val="center"/>
                    <w:rPr>
                      <w:rFonts w:eastAsiaTheme="minorEastAsia"/>
                      <w:szCs w:val="21"/>
                    </w:rPr>
                  </w:pPr>
                </w:p>
              </w:tc>
              <w:tc>
                <w:tcPr>
                  <w:tcW w:w="1062" w:type="dxa"/>
                  <w:vAlign w:val="center"/>
                </w:tcPr>
                <w:p>
                  <w:pPr>
                    <w:jc w:val="center"/>
                    <w:rPr>
                      <w:rFonts w:eastAsiaTheme="minorEastAsia"/>
                      <w:szCs w:val="21"/>
                    </w:rPr>
                  </w:pPr>
                </w:p>
              </w:tc>
              <w:tc>
                <w:tcPr>
                  <w:tcW w:w="1040" w:type="dxa"/>
                  <w:vAlign w:val="center"/>
                </w:tcPr>
                <w:p>
                  <w:pPr>
                    <w:jc w:val="center"/>
                    <w:rPr>
                      <w:rFonts w:eastAsiaTheme="minorEastAsia"/>
                      <w:szCs w:val="21"/>
                    </w:rPr>
                  </w:pPr>
                  <w:r>
                    <w:rPr>
                      <w:rFonts w:hint="eastAsia" w:eastAsiaTheme="minorEastAsia"/>
                      <w:szCs w:val="21"/>
                    </w:rPr>
                    <w:t>1</w:t>
                  </w:r>
                  <w:r>
                    <w:rPr>
                      <w:rFonts w:eastAsiaTheme="minorEastAsia"/>
                      <w:szCs w:val="21"/>
                    </w:rPr>
                    <w:t>2.4</w:t>
                  </w:r>
                </w:p>
              </w:tc>
              <w:tc>
                <w:tcPr>
                  <w:tcW w:w="851" w:type="dxa"/>
                  <w:vAlign w:val="center"/>
                </w:tcPr>
                <w:p>
                  <w:pPr>
                    <w:jc w:val="center"/>
                    <w:rPr>
                      <w:rFonts w:eastAsiaTheme="minorEastAsia"/>
                      <w:szCs w:val="21"/>
                    </w:rPr>
                  </w:pPr>
                  <w:r>
                    <w:rPr>
                      <w:rFonts w:eastAsiaTheme="minorEastAsia"/>
                      <w:szCs w:val="21"/>
                    </w:rPr>
                    <w:t>-</w:t>
                  </w:r>
                </w:p>
              </w:tc>
              <w:tc>
                <w:tcPr>
                  <w:tcW w:w="1084" w:type="dxa"/>
                  <w:vAlign w:val="center"/>
                </w:tcPr>
                <w:p>
                  <w:pPr>
                    <w:jc w:val="center"/>
                    <w:rPr>
                      <w:rFonts w:eastAsiaTheme="minorEastAsia"/>
                      <w:szCs w:val="21"/>
                    </w:rPr>
                  </w:pPr>
                  <w:r>
                    <w:rPr>
                      <w:rFonts w:eastAsiaTheme="minorEastAsia"/>
                      <w:szCs w:val="21"/>
                    </w:rPr>
                    <w:t>9.92</w:t>
                  </w:r>
                </w:p>
              </w:tc>
              <w:tc>
                <w:tcPr>
                  <w:tcW w:w="977" w:type="dxa"/>
                  <w:vAlign w:val="center"/>
                </w:tcPr>
                <w:p>
                  <w:pPr>
                    <w:jc w:val="center"/>
                    <w:rPr>
                      <w:rFonts w:eastAsiaTheme="minorEastAsia"/>
                      <w:szCs w:val="21"/>
                    </w:rPr>
                  </w:pPr>
                  <w:r>
                    <w:rPr>
                      <w:rFonts w:eastAsiaTheme="minorEastAsia"/>
                      <w:szCs w:val="21"/>
                    </w:rPr>
                    <w:t>2480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0" w:type="dxa"/>
                  <w:vAlign w:val="center"/>
                </w:tcPr>
                <w:p>
                  <w:pPr>
                    <w:jc w:val="center"/>
                    <w:rPr>
                      <w:rFonts w:eastAsiaTheme="minorEastAsia"/>
                      <w:b/>
                      <w:szCs w:val="21"/>
                    </w:rPr>
                  </w:pPr>
                  <w:r>
                    <w:rPr>
                      <w:rFonts w:eastAsiaTheme="minorEastAsia"/>
                      <w:b/>
                      <w:szCs w:val="21"/>
                    </w:rPr>
                    <w:t>总计</w:t>
                  </w:r>
                </w:p>
              </w:tc>
              <w:tc>
                <w:tcPr>
                  <w:tcW w:w="1493" w:type="dxa"/>
                  <w:vAlign w:val="center"/>
                </w:tcPr>
                <w:p>
                  <w:pPr>
                    <w:jc w:val="center"/>
                    <w:rPr>
                      <w:rFonts w:eastAsiaTheme="minorEastAsia"/>
                      <w:b/>
                      <w:szCs w:val="21"/>
                    </w:rPr>
                  </w:pPr>
                </w:p>
              </w:tc>
              <w:tc>
                <w:tcPr>
                  <w:tcW w:w="1062" w:type="dxa"/>
                  <w:vAlign w:val="center"/>
                </w:tcPr>
                <w:p>
                  <w:pPr>
                    <w:jc w:val="center"/>
                    <w:rPr>
                      <w:rFonts w:eastAsiaTheme="minorEastAsia"/>
                      <w:b/>
                      <w:szCs w:val="21"/>
                    </w:rPr>
                  </w:pPr>
                  <w:r>
                    <w:rPr>
                      <w:rFonts w:eastAsiaTheme="minorEastAsia"/>
                      <w:b/>
                      <w:szCs w:val="21"/>
                    </w:rPr>
                    <w:t>—</w:t>
                  </w:r>
                </w:p>
              </w:tc>
              <w:tc>
                <w:tcPr>
                  <w:tcW w:w="1040" w:type="dxa"/>
                  <w:vAlign w:val="center"/>
                </w:tcPr>
                <w:p>
                  <w:pPr>
                    <w:jc w:val="center"/>
                    <w:rPr>
                      <w:rFonts w:eastAsiaTheme="minorEastAsia"/>
                      <w:b/>
                      <w:szCs w:val="21"/>
                    </w:rPr>
                  </w:pPr>
                  <w:r>
                    <w:rPr>
                      <w:rFonts w:eastAsiaTheme="minorEastAsia"/>
                      <w:b/>
                      <w:szCs w:val="21"/>
                    </w:rPr>
                    <w:t>14.183</w:t>
                  </w:r>
                </w:p>
              </w:tc>
              <w:tc>
                <w:tcPr>
                  <w:tcW w:w="851" w:type="dxa"/>
                  <w:vAlign w:val="center"/>
                </w:tcPr>
                <w:p>
                  <w:pPr>
                    <w:jc w:val="center"/>
                    <w:rPr>
                      <w:rFonts w:eastAsiaTheme="minorEastAsia"/>
                      <w:b/>
                      <w:szCs w:val="21"/>
                    </w:rPr>
                  </w:pPr>
                  <w:r>
                    <w:rPr>
                      <w:rFonts w:eastAsiaTheme="minorEastAsia"/>
                      <w:b/>
                      <w:szCs w:val="21"/>
                    </w:rPr>
                    <w:t>—</w:t>
                  </w:r>
                </w:p>
              </w:tc>
              <w:tc>
                <w:tcPr>
                  <w:tcW w:w="1084" w:type="dxa"/>
                  <w:vAlign w:val="bottom"/>
                </w:tcPr>
                <w:p>
                  <w:pPr>
                    <w:jc w:val="center"/>
                    <w:rPr>
                      <w:rFonts w:eastAsiaTheme="minorEastAsia"/>
                      <w:b/>
                      <w:szCs w:val="21"/>
                    </w:rPr>
                  </w:pPr>
                  <w:r>
                    <w:rPr>
                      <w:rFonts w:eastAsiaTheme="minorEastAsia"/>
                      <w:b/>
                      <w:szCs w:val="21"/>
                    </w:rPr>
                    <w:t>11.346</w:t>
                  </w:r>
                </w:p>
              </w:tc>
              <w:tc>
                <w:tcPr>
                  <w:tcW w:w="977" w:type="dxa"/>
                  <w:vAlign w:val="bottom"/>
                </w:tcPr>
                <w:p>
                  <w:pPr>
                    <w:jc w:val="center"/>
                    <w:rPr>
                      <w:rFonts w:eastAsiaTheme="minorEastAsia"/>
                      <w:b/>
                      <w:szCs w:val="21"/>
                    </w:rPr>
                  </w:pPr>
                  <w:r>
                    <w:rPr>
                      <w:rFonts w:eastAsiaTheme="minorEastAsia"/>
                      <w:b/>
                      <w:szCs w:val="21"/>
                    </w:rPr>
                    <w:t>2836.682</w:t>
                  </w:r>
                </w:p>
              </w:tc>
            </w:tr>
          </w:tbl>
          <w:p>
            <w:pPr>
              <w:spacing w:line="360" w:lineRule="auto"/>
              <w:ind w:firstLine="480" w:firstLineChars="200"/>
              <w:rPr>
                <w:rFonts w:eastAsiaTheme="minorEastAsia"/>
                <w:sz w:val="24"/>
                <w:szCs w:val="22"/>
              </w:rPr>
            </w:pPr>
            <w:r>
              <w:rPr>
                <w:rFonts w:eastAsiaTheme="minorEastAsia"/>
                <w:sz w:val="24"/>
                <w:szCs w:val="22"/>
              </w:rPr>
              <w:t>2、项目区水平衡</w:t>
            </w:r>
          </w:p>
          <w:p>
            <w:pPr>
              <w:spacing w:line="360" w:lineRule="auto"/>
              <w:ind w:firstLine="480" w:firstLineChars="200"/>
              <w:rPr>
                <w:rFonts w:eastAsiaTheme="minorEastAsia"/>
                <w:sz w:val="24"/>
                <w:szCs w:val="22"/>
              </w:rPr>
            </w:pPr>
            <w:r>
              <w:rPr>
                <w:rFonts w:eastAsiaTheme="minorEastAsia"/>
                <w:sz w:val="24"/>
                <w:szCs w:val="22"/>
              </w:rPr>
              <w:t>项目近期由于滇池南岸截污管网还未铺通至项目区，生产废水通过隔油池处理后同生活废水一同进入污水处理站，处理后回用于厂区绿化。</w:t>
            </w:r>
          </w:p>
          <w:p>
            <w:pPr>
              <w:spacing w:line="360" w:lineRule="auto"/>
              <w:ind w:firstLine="480" w:firstLineChars="200"/>
              <w:rPr>
                <w:rFonts w:eastAsiaTheme="minorEastAsia"/>
                <w:sz w:val="24"/>
                <w:szCs w:val="22"/>
              </w:rPr>
            </w:pPr>
            <w:r>
              <w:rPr>
                <w:rFonts w:eastAsiaTheme="minorEastAsia"/>
                <w:sz w:val="24"/>
                <w:szCs w:val="22"/>
              </w:rPr>
              <w:t>远期生产废水通过隔油池处理后同生活废水一同进入污水处理站，非雨天回用于厂区绿化，雨天排入滇池南岸截污管网最终排入淤泥河水质净化厂。</w:t>
            </w:r>
          </w:p>
          <w:p>
            <w:pPr>
              <w:spacing w:line="360" w:lineRule="auto"/>
              <w:ind w:firstLine="480" w:firstLineChars="200"/>
              <w:rPr>
                <w:rFonts w:eastAsiaTheme="minorEastAsia"/>
                <w:sz w:val="24"/>
                <w:szCs w:val="22"/>
              </w:rPr>
            </w:pPr>
            <w:r>
              <w:rPr>
                <w:rFonts w:hint="eastAsia" w:eastAsiaTheme="minorEastAsia"/>
                <w:sz w:val="24"/>
                <w:szCs w:val="22"/>
              </w:rPr>
              <w:t>1）近期水平衡</w:t>
            </w:r>
          </w:p>
          <w:p>
            <w:pPr>
              <w:spacing w:line="360" w:lineRule="auto"/>
              <w:jc w:val="center"/>
              <w:rPr>
                <w:rFonts w:eastAsiaTheme="minorEastAsia"/>
                <w:b/>
                <w:sz w:val="24"/>
              </w:rPr>
            </w:pPr>
            <w:r>
              <w:rPr>
                <w:rFonts w:eastAsiaTheme="minorEastAsia"/>
              </w:rPr>
              <w:object>
                <v:shape id="_x0000_i1028" o:spt="75" type="#_x0000_t75" style="height:204pt;width:391.5pt;" o:ole="t" filled="f" o:preferrelative="t" stroked="f" coordsize="21600,21600">
                  <v:path/>
                  <v:fill on="f" focussize="0,0"/>
                  <v:stroke on="f" joinstyle="miter"/>
                  <v:imagedata r:id="rId16" o:title=""/>
                  <o:lock v:ext="edit" aspectratio="t"/>
                  <w10:wrap type="none"/>
                  <w10:anchorlock/>
                </v:shape>
                <o:OLEObject Type="Embed" ProgID="Visio.Drawing.15" ShapeID="_x0000_i1028" DrawAspect="Content" ObjectID="_1468075726" r:id="rId15">
                  <o:LockedField>false</o:LockedField>
                </o:OLEObject>
              </w:object>
            </w:r>
            <w:r>
              <w:rPr>
                <w:rFonts w:eastAsiaTheme="minorEastAsia"/>
                <w:b/>
                <w:sz w:val="24"/>
              </w:rPr>
              <w:t>图4-2  项目区近期非雨天水平衡图  单位：m</w:t>
            </w:r>
            <w:r>
              <w:rPr>
                <w:rFonts w:eastAsiaTheme="minorEastAsia"/>
                <w:b/>
                <w:sz w:val="24"/>
                <w:vertAlign w:val="superscript"/>
              </w:rPr>
              <w:t>3</w:t>
            </w:r>
            <w:r>
              <w:rPr>
                <w:rFonts w:eastAsiaTheme="minorEastAsia"/>
                <w:b/>
                <w:sz w:val="24"/>
              </w:rPr>
              <w:t>/d</w:t>
            </w:r>
          </w:p>
          <w:p>
            <w:pPr>
              <w:spacing w:line="360" w:lineRule="auto"/>
              <w:jc w:val="center"/>
              <w:rPr>
                <w:rFonts w:eastAsiaTheme="minorEastAsia"/>
                <w:b/>
                <w:sz w:val="24"/>
              </w:rPr>
            </w:pPr>
            <w:r>
              <w:rPr>
                <w:rFonts w:eastAsiaTheme="minorEastAsia"/>
              </w:rPr>
              <w:object>
                <v:shape id="_x0000_i1029" o:spt="75" type="#_x0000_t75" style="height:251.25pt;width:388.5pt;" o:ole="t" filled="f" o:preferrelative="t" stroked="f" coordsize="21600,21600">
                  <v:path/>
                  <v:fill on="f" focussize="0,0"/>
                  <v:stroke on="f" joinstyle="miter"/>
                  <v:imagedata r:id="rId18" o:title=""/>
                  <o:lock v:ext="edit" aspectratio="t"/>
                  <w10:wrap type="none"/>
                  <w10:anchorlock/>
                </v:shape>
                <o:OLEObject Type="Embed" ProgID="Visio.Drawing.15" ShapeID="_x0000_i1029" DrawAspect="Content" ObjectID="_1468075727" r:id="rId17">
                  <o:LockedField>false</o:LockedField>
                </o:OLEObject>
              </w:object>
            </w:r>
            <w:r>
              <w:rPr>
                <w:rFonts w:eastAsiaTheme="minorEastAsia"/>
                <w:b/>
                <w:sz w:val="24"/>
              </w:rPr>
              <w:t>图4-3  项目区近期雨天水平衡图  单位：m</w:t>
            </w:r>
            <w:r>
              <w:rPr>
                <w:rFonts w:eastAsiaTheme="minorEastAsia"/>
                <w:b/>
                <w:sz w:val="24"/>
                <w:vertAlign w:val="superscript"/>
              </w:rPr>
              <w:t>3</w:t>
            </w:r>
            <w:r>
              <w:rPr>
                <w:rFonts w:eastAsiaTheme="minorEastAsia"/>
                <w:b/>
                <w:sz w:val="24"/>
              </w:rPr>
              <w:t>/d</w:t>
            </w:r>
          </w:p>
          <w:p>
            <w:pPr>
              <w:spacing w:line="360" w:lineRule="auto"/>
              <w:rPr>
                <w:rFonts w:eastAsiaTheme="minorEastAsia"/>
                <w:sz w:val="24"/>
                <w:szCs w:val="22"/>
              </w:rPr>
            </w:pPr>
            <w:r>
              <w:rPr>
                <w:rFonts w:eastAsiaTheme="minorEastAsia"/>
              </w:rPr>
              <w:object>
                <v:shape id="_x0000_i1030" o:spt="75" type="#_x0000_t75" style="height:251.25pt;width:388.5pt;" o:ole="t" filled="f" o:preferrelative="t" stroked="f" coordsize="21600,21600">
                  <v:path/>
                  <v:fill on="f" focussize="0,0"/>
                  <v:stroke on="f" joinstyle="miter"/>
                  <v:imagedata r:id="rId20" o:title=""/>
                  <o:lock v:ext="edit" aspectratio="t"/>
                  <w10:wrap type="none"/>
                  <w10:anchorlock/>
                </v:shape>
                <o:OLEObject Type="Embed" ProgID="Visio.Drawing.15" ShapeID="_x0000_i1030" DrawAspect="Content" ObjectID="_1468075728" r:id="rId19">
                  <o:LockedField>false</o:LockedField>
                </o:OLEObject>
              </w:object>
            </w:r>
          </w:p>
          <w:p>
            <w:pPr>
              <w:spacing w:line="360" w:lineRule="auto"/>
              <w:jc w:val="center"/>
              <w:rPr>
                <w:rFonts w:eastAsiaTheme="minorEastAsia"/>
                <w:b/>
                <w:sz w:val="24"/>
              </w:rPr>
            </w:pPr>
            <w:r>
              <w:rPr>
                <w:rFonts w:eastAsiaTheme="minorEastAsia"/>
                <w:b/>
                <w:sz w:val="24"/>
              </w:rPr>
              <w:t>图4-4  项目区远期雨天水平衡图  单位：m</w:t>
            </w:r>
            <w:r>
              <w:rPr>
                <w:rFonts w:eastAsiaTheme="minorEastAsia"/>
                <w:b/>
                <w:sz w:val="24"/>
                <w:vertAlign w:val="superscript"/>
              </w:rPr>
              <w:t>3</w:t>
            </w:r>
            <w:r>
              <w:rPr>
                <w:rFonts w:eastAsiaTheme="minorEastAsia"/>
                <w:b/>
                <w:sz w:val="24"/>
              </w:rPr>
              <w:t>/d</w:t>
            </w:r>
          </w:p>
          <w:p>
            <w:pPr>
              <w:spacing w:line="360" w:lineRule="auto"/>
              <w:jc w:val="center"/>
              <w:rPr>
                <w:rFonts w:eastAsiaTheme="minorEastAsia"/>
                <w:sz w:val="24"/>
              </w:rPr>
            </w:pPr>
            <w:r>
              <w:rPr>
                <w:rFonts w:eastAsiaTheme="minorEastAsia"/>
              </w:rPr>
              <w:object>
                <v:shape id="_x0000_i1031" o:spt="75" type="#_x0000_t75" style="height:251.25pt;width:388.5pt;" o:ole="t" filled="f" o:preferrelative="t" stroked="f" coordsize="21600,21600">
                  <v:path/>
                  <v:fill on="f" focussize="0,0"/>
                  <v:stroke on="f" joinstyle="miter"/>
                  <v:imagedata r:id="rId20" o:title=""/>
                  <o:lock v:ext="edit" aspectratio="t"/>
                  <w10:wrap type="none"/>
                  <w10:anchorlock/>
                </v:shape>
                <o:OLEObject Type="Embed" ProgID="Visio.Drawing.15" ShapeID="_x0000_i1031" DrawAspect="Content" ObjectID="_1468075729" r:id="rId21">
                  <o:LockedField>false</o:LockedField>
                </o:OLEObject>
              </w:object>
            </w:r>
          </w:p>
          <w:p>
            <w:pPr>
              <w:spacing w:line="360" w:lineRule="auto"/>
              <w:jc w:val="center"/>
              <w:rPr>
                <w:rFonts w:eastAsiaTheme="minorEastAsia"/>
                <w:b/>
                <w:sz w:val="24"/>
              </w:rPr>
            </w:pPr>
            <w:r>
              <w:rPr>
                <w:rFonts w:eastAsiaTheme="minorEastAsia"/>
                <w:b/>
                <w:sz w:val="24"/>
              </w:rPr>
              <w:t>图4-5 项目区远期非雨天水平衡图  单位：m</w:t>
            </w:r>
            <w:r>
              <w:rPr>
                <w:rFonts w:eastAsiaTheme="minorEastAsia"/>
                <w:b/>
                <w:sz w:val="24"/>
                <w:vertAlign w:val="superscript"/>
              </w:rPr>
              <w:t>3</w:t>
            </w:r>
            <w:r>
              <w:rPr>
                <w:rFonts w:eastAsiaTheme="minorEastAsia"/>
                <w:b/>
                <w:sz w:val="24"/>
              </w:rPr>
              <w:t>/d</w:t>
            </w:r>
          </w:p>
          <w:p>
            <w:pPr>
              <w:spacing w:line="360" w:lineRule="auto"/>
              <w:ind w:firstLine="480" w:firstLineChars="200"/>
              <w:rPr>
                <w:rFonts w:eastAsiaTheme="minorEastAsia"/>
                <w:kern w:val="0"/>
                <w:sz w:val="24"/>
              </w:rPr>
            </w:pPr>
            <w:r>
              <w:rPr>
                <w:rFonts w:eastAsiaTheme="minorEastAsia"/>
                <w:kern w:val="0"/>
                <w:sz w:val="24"/>
              </w:rPr>
              <w:t>3、污染物排放源强核算</w:t>
            </w:r>
          </w:p>
          <w:p>
            <w:pPr>
              <w:spacing w:line="360" w:lineRule="auto"/>
              <w:ind w:firstLine="480" w:firstLineChars="200"/>
              <w:rPr>
                <w:rFonts w:eastAsiaTheme="minorEastAsia"/>
                <w:sz w:val="24"/>
                <w:szCs w:val="22"/>
              </w:rPr>
            </w:pPr>
            <w:r>
              <w:rPr>
                <w:rFonts w:hint="eastAsia" w:eastAsiaTheme="minorEastAsia"/>
                <w:sz w:val="24"/>
                <w:szCs w:val="22"/>
              </w:rPr>
              <w:t>类比</w:t>
            </w:r>
            <w:r>
              <w:rPr>
                <w:rFonts w:eastAsiaTheme="minorEastAsia"/>
                <w:sz w:val="24"/>
                <w:szCs w:val="22"/>
              </w:rPr>
              <w:t>同类型项目，生活污水化粪池进水水质浓度约为CODcr 390mg/L、BOD</w:t>
            </w:r>
            <w:r>
              <w:rPr>
                <w:rFonts w:eastAsiaTheme="minorEastAsia"/>
                <w:sz w:val="24"/>
                <w:szCs w:val="22"/>
                <w:vertAlign w:val="subscript"/>
              </w:rPr>
              <w:t>5</w:t>
            </w:r>
            <w:r>
              <w:rPr>
                <w:rFonts w:eastAsiaTheme="minorEastAsia"/>
                <w:sz w:val="24"/>
                <w:szCs w:val="22"/>
              </w:rPr>
              <w:t>220mg/L、氨氮34mg/L、动植物油40mg/L、SS 195mg/L，磷酸盐8mg/L。类比同类型化粪池竣工验收监测数据，化粪池的出水水质浓度约为CODcr 312mg/L、BOD</w:t>
            </w:r>
            <w:r>
              <w:rPr>
                <w:rFonts w:eastAsiaTheme="minorEastAsia"/>
                <w:sz w:val="24"/>
                <w:szCs w:val="22"/>
                <w:vertAlign w:val="subscript"/>
              </w:rPr>
              <w:t>5</w:t>
            </w:r>
            <w:r>
              <w:rPr>
                <w:rFonts w:eastAsiaTheme="minorEastAsia"/>
                <w:sz w:val="24"/>
                <w:szCs w:val="22"/>
              </w:rPr>
              <w:t>195mg/L、氨氮28mg/L、动植物油20mg/L、SS136.5mg/L，磷酸盐7mg/L。</w:t>
            </w:r>
          </w:p>
          <w:p>
            <w:pPr>
              <w:spacing w:line="360" w:lineRule="auto"/>
              <w:ind w:firstLine="480" w:firstLineChars="200"/>
              <w:rPr>
                <w:rFonts w:eastAsiaTheme="minorEastAsia"/>
                <w:sz w:val="24"/>
                <w:szCs w:val="22"/>
              </w:rPr>
            </w:pPr>
            <w:r>
              <w:rPr>
                <w:rFonts w:hint="eastAsia" w:eastAsiaTheme="minorEastAsia"/>
                <w:sz w:val="24"/>
                <w:szCs w:val="22"/>
              </w:rPr>
              <w:t>类比同类型项目，本项目地坪清洗及车辆清洗水污染物产生浓度主要为：</w:t>
            </w:r>
            <w:r>
              <w:rPr>
                <w:rFonts w:eastAsiaTheme="minorEastAsia"/>
                <w:sz w:val="24"/>
                <w:szCs w:val="22"/>
              </w:rPr>
              <w:t>COD</w:t>
            </w:r>
            <w:r>
              <w:rPr>
                <w:rFonts w:eastAsiaTheme="minorEastAsia"/>
                <w:sz w:val="24"/>
                <w:szCs w:val="22"/>
                <w:vertAlign w:val="subscript"/>
              </w:rPr>
              <w:t>Cr</w:t>
            </w:r>
            <w:r>
              <w:rPr>
                <w:rFonts w:eastAsiaTheme="minorEastAsia"/>
                <w:sz w:val="24"/>
                <w:szCs w:val="22"/>
              </w:rPr>
              <w:t>800mg/L，BOD220，SS400mg/L，石油类100 mg/L，动植物油</w:t>
            </w:r>
            <w:r>
              <w:rPr>
                <w:rFonts w:hint="eastAsia" w:eastAsiaTheme="minorEastAsia"/>
                <w:sz w:val="24"/>
                <w:szCs w:val="22"/>
              </w:rPr>
              <w:t>2</w:t>
            </w:r>
            <w:r>
              <w:rPr>
                <w:rFonts w:eastAsiaTheme="minorEastAsia"/>
                <w:sz w:val="24"/>
                <w:szCs w:val="22"/>
              </w:rPr>
              <w:t>5mg/L，氨氮</w:t>
            </w:r>
            <w:r>
              <w:rPr>
                <w:rFonts w:hint="eastAsia" w:eastAsiaTheme="minorEastAsia"/>
                <w:sz w:val="24"/>
                <w:szCs w:val="22"/>
              </w:rPr>
              <w:t>2</w:t>
            </w:r>
            <w:r>
              <w:rPr>
                <w:rFonts w:eastAsiaTheme="minorEastAsia"/>
                <w:sz w:val="24"/>
                <w:szCs w:val="22"/>
              </w:rPr>
              <w:t>9mg/L，磷酸盐</w:t>
            </w:r>
            <w:r>
              <w:rPr>
                <w:rFonts w:hint="eastAsia" w:eastAsiaTheme="minorEastAsia"/>
                <w:sz w:val="24"/>
                <w:szCs w:val="22"/>
              </w:rPr>
              <w:t>8mg</w:t>
            </w:r>
            <w:r>
              <w:rPr>
                <w:rFonts w:eastAsiaTheme="minorEastAsia"/>
                <w:sz w:val="24"/>
                <w:szCs w:val="22"/>
              </w:rPr>
              <w:t>/L。</w:t>
            </w:r>
          </w:p>
          <w:p>
            <w:pPr>
              <w:spacing w:line="360" w:lineRule="auto"/>
              <w:ind w:firstLine="480" w:firstLineChars="200"/>
              <w:rPr>
                <w:rFonts w:eastAsiaTheme="minorEastAsia"/>
                <w:sz w:val="24"/>
                <w:szCs w:val="22"/>
              </w:rPr>
            </w:pPr>
            <w:r>
              <w:rPr>
                <w:rFonts w:eastAsiaTheme="minorEastAsia"/>
                <w:sz w:val="24"/>
                <w:szCs w:val="22"/>
              </w:rPr>
              <w:t>本项目地坪清洗及车辆清洗水先排入一期已建的</w:t>
            </w:r>
            <w:r>
              <w:rPr>
                <w:rFonts w:hint="eastAsia" w:eastAsiaTheme="minorEastAsia"/>
                <w:sz w:val="24"/>
                <w:szCs w:val="22"/>
              </w:rPr>
              <w:t>5</w:t>
            </w:r>
            <w:r>
              <w:rPr>
                <w:rFonts w:eastAsiaTheme="minorEastAsia"/>
                <w:sz w:val="24"/>
                <w:szCs w:val="22"/>
              </w:rPr>
              <w:t>0m³隔油池进行隔油处理，该隔油池为平流池，处理效率约为</w:t>
            </w:r>
            <w:r>
              <w:rPr>
                <w:rFonts w:hint="eastAsia" w:eastAsiaTheme="minorEastAsia"/>
                <w:sz w:val="24"/>
                <w:szCs w:val="22"/>
              </w:rPr>
              <w:t>7</w:t>
            </w:r>
            <w:r>
              <w:rPr>
                <w:rFonts w:eastAsiaTheme="minorEastAsia"/>
                <w:sz w:val="24"/>
                <w:szCs w:val="22"/>
              </w:rPr>
              <w:t>5%，则隔油池处理后生产废水浓度约为COD</w:t>
            </w:r>
            <w:r>
              <w:rPr>
                <w:rFonts w:eastAsiaTheme="minorEastAsia"/>
                <w:sz w:val="24"/>
                <w:szCs w:val="22"/>
                <w:vertAlign w:val="subscript"/>
              </w:rPr>
              <w:t>Cr</w:t>
            </w:r>
            <w:r>
              <w:rPr>
                <w:rFonts w:eastAsiaTheme="minorEastAsia"/>
                <w:sz w:val="24"/>
                <w:szCs w:val="22"/>
              </w:rPr>
              <w:t>800mg/L，BOD220mg/L，SS400mg/L，石油类25mg/L，动植物油6mg/L，氨氮</w:t>
            </w:r>
            <w:r>
              <w:rPr>
                <w:rFonts w:hint="eastAsia" w:eastAsiaTheme="minorEastAsia"/>
                <w:sz w:val="24"/>
                <w:szCs w:val="22"/>
              </w:rPr>
              <w:t>2</w:t>
            </w:r>
            <w:r>
              <w:rPr>
                <w:rFonts w:eastAsiaTheme="minorEastAsia"/>
                <w:sz w:val="24"/>
                <w:szCs w:val="22"/>
              </w:rPr>
              <w:t>9mg/L，磷酸盐</w:t>
            </w:r>
            <w:r>
              <w:rPr>
                <w:rFonts w:hint="eastAsia" w:eastAsiaTheme="minorEastAsia"/>
                <w:sz w:val="24"/>
                <w:szCs w:val="22"/>
              </w:rPr>
              <w:t>8mg</w:t>
            </w:r>
            <w:r>
              <w:rPr>
                <w:rFonts w:eastAsiaTheme="minorEastAsia"/>
                <w:sz w:val="24"/>
                <w:szCs w:val="22"/>
              </w:rPr>
              <w:t>/L。根据一期项目竣工环境保护验收监测，项目污水处理站采用ICEAS工艺，处置效率约为COD</w:t>
            </w:r>
            <w:r>
              <w:rPr>
                <w:rFonts w:eastAsiaTheme="minorEastAsia"/>
                <w:sz w:val="24"/>
                <w:szCs w:val="22"/>
                <w:vertAlign w:val="subscript"/>
              </w:rPr>
              <w:t>Cr</w:t>
            </w:r>
            <w:r>
              <w:rPr>
                <w:rFonts w:eastAsiaTheme="minorEastAsia"/>
                <w:sz w:val="24"/>
                <w:szCs w:val="22"/>
              </w:rPr>
              <w:t>82.8%，BOD91.5%，SS92%，氨氮75%，磷酸盐30%。</w:t>
            </w:r>
          </w:p>
          <w:p>
            <w:pPr>
              <w:spacing w:line="360" w:lineRule="auto"/>
              <w:ind w:firstLine="480" w:firstLineChars="200"/>
              <w:rPr>
                <w:rFonts w:eastAsiaTheme="minorEastAsia"/>
                <w:sz w:val="24"/>
                <w:szCs w:val="22"/>
              </w:rPr>
            </w:pPr>
            <w:r>
              <w:rPr>
                <w:rFonts w:eastAsiaTheme="minorEastAsia"/>
                <w:sz w:val="24"/>
                <w:szCs w:val="22"/>
              </w:rPr>
              <w:t>废水处理后的污染物排放量如下表所示：</w:t>
            </w:r>
          </w:p>
          <w:p>
            <w:pPr>
              <w:tabs>
                <w:tab w:val="left" w:pos="6740"/>
              </w:tabs>
              <w:spacing w:line="360" w:lineRule="auto"/>
              <w:ind w:firstLine="482"/>
              <w:jc w:val="center"/>
              <w:rPr>
                <w:rFonts w:eastAsiaTheme="minorEastAsia"/>
                <w:b/>
                <w:sz w:val="24"/>
              </w:rPr>
            </w:pPr>
            <w:r>
              <w:rPr>
                <w:rFonts w:eastAsiaTheme="minorEastAsia"/>
                <w:b/>
                <w:sz w:val="24"/>
              </w:rPr>
              <w:t>表4-6  项目近期水污染物排放情况汇总表</w:t>
            </w:r>
          </w:p>
          <w:tbl>
            <w:tblPr>
              <w:tblStyle w:val="44"/>
              <w:tblW w:w="7764" w:type="dxa"/>
              <w:tblInd w:w="0" w:type="dxa"/>
              <w:tblLayout w:type="fixed"/>
              <w:tblCellMar>
                <w:top w:w="0" w:type="dxa"/>
                <w:left w:w="108" w:type="dxa"/>
                <w:bottom w:w="0" w:type="dxa"/>
                <w:right w:w="108" w:type="dxa"/>
              </w:tblCellMar>
            </w:tblPr>
            <w:tblGrid>
              <w:gridCol w:w="402"/>
              <w:gridCol w:w="709"/>
              <w:gridCol w:w="1241"/>
              <w:gridCol w:w="943"/>
              <w:gridCol w:w="943"/>
              <w:gridCol w:w="784"/>
              <w:gridCol w:w="943"/>
              <w:gridCol w:w="943"/>
              <w:gridCol w:w="856"/>
            </w:tblGrid>
            <w:tr>
              <w:tblPrEx>
                <w:tblLayout w:type="fixed"/>
                <w:tblCellMar>
                  <w:top w:w="0" w:type="dxa"/>
                  <w:left w:w="108" w:type="dxa"/>
                  <w:bottom w:w="0" w:type="dxa"/>
                  <w:right w:w="108" w:type="dxa"/>
                </w:tblCellMar>
              </w:tblPrEx>
              <w:trPr>
                <w:trHeight w:val="228" w:hRule="atLeast"/>
              </w:trPr>
              <w:tc>
                <w:tcPr>
                  <w:tcW w:w="1111" w:type="dxa"/>
                  <w:gridSpan w:val="2"/>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center"/>
                    <w:rPr>
                      <w:rFonts w:eastAsiaTheme="minorEastAsia"/>
                      <w:kern w:val="0"/>
                      <w:szCs w:val="21"/>
                    </w:rPr>
                  </w:pPr>
                  <w:r>
                    <w:rPr>
                      <w:rFonts w:eastAsiaTheme="minorEastAsia"/>
                      <w:kern w:val="0"/>
                      <w:szCs w:val="21"/>
                    </w:rPr>
                    <w:t>项目</w:t>
                  </w:r>
                </w:p>
              </w:tc>
              <w:tc>
                <w:tcPr>
                  <w:tcW w:w="1241"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水量</w:t>
                  </w:r>
                </w:p>
              </w:tc>
              <w:tc>
                <w:tcPr>
                  <w:tcW w:w="943"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COD</w:t>
                  </w:r>
                </w:p>
              </w:tc>
              <w:tc>
                <w:tcPr>
                  <w:tcW w:w="943"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BOD</w:t>
                  </w:r>
                  <w:r>
                    <w:rPr>
                      <w:rFonts w:eastAsiaTheme="minorEastAsia"/>
                      <w:kern w:val="0"/>
                      <w:szCs w:val="21"/>
                      <w:vertAlign w:val="subscript"/>
                    </w:rPr>
                    <w:t>5</w:t>
                  </w:r>
                </w:p>
              </w:tc>
              <w:tc>
                <w:tcPr>
                  <w:tcW w:w="784"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SS</w:t>
                  </w:r>
                </w:p>
              </w:tc>
              <w:tc>
                <w:tcPr>
                  <w:tcW w:w="943"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氨氮</w:t>
                  </w:r>
                </w:p>
              </w:tc>
              <w:tc>
                <w:tcPr>
                  <w:tcW w:w="943"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动植物油</w:t>
                  </w:r>
                </w:p>
              </w:tc>
              <w:tc>
                <w:tcPr>
                  <w:tcW w:w="85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磷酸盐</w:t>
                  </w:r>
                </w:p>
              </w:tc>
            </w:tr>
            <w:tr>
              <w:tblPrEx>
                <w:tblLayout w:type="fixed"/>
                <w:tblCellMar>
                  <w:top w:w="0" w:type="dxa"/>
                  <w:left w:w="108" w:type="dxa"/>
                  <w:bottom w:w="0" w:type="dxa"/>
                  <w:right w:w="108" w:type="dxa"/>
                </w:tblCellMar>
              </w:tblPrEx>
              <w:trPr>
                <w:trHeight w:val="392" w:hRule="atLeast"/>
              </w:trPr>
              <w:tc>
                <w:tcPr>
                  <w:tcW w:w="402"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化粪池进口</w:t>
                  </w: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产生浓度（mg/l）</w:t>
                  </w:r>
                </w:p>
              </w:tc>
              <w:tc>
                <w:tcPr>
                  <w:tcW w:w="1241"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w:t>
                  </w:r>
                </w:p>
              </w:tc>
              <w:tc>
                <w:tcPr>
                  <w:tcW w:w="943"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szCs w:val="21"/>
                    </w:rPr>
                    <w:t>390</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220</w:t>
                  </w:r>
                </w:p>
              </w:tc>
              <w:tc>
                <w:tcPr>
                  <w:tcW w:w="784"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195</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34</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40</w:t>
                  </w:r>
                </w:p>
              </w:tc>
              <w:tc>
                <w:tcPr>
                  <w:tcW w:w="856"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8</w:t>
                  </w:r>
                </w:p>
              </w:tc>
            </w:tr>
            <w:tr>
              <w:tblPrEx>
                <w:tblLayout w:type="fixed"/>
                <w:tblCellMar>
                  <w:top w:w="0" w:type="dxa"/>
                  <w:left w:w="108" w:type="dxa"/>
                  <w:bottom w:w="0" w:type="dxa"/>
                  <w:right w:w="108" w:type="dxa"/>
                </w:tblCellMar>
              </w:tblPrEx>
              <w:trPr>
                <w:trHeight w:val="392" w:hRule="atLeast"/>
              </w:trPr>
              <w:tc>
                <w:tcPr>
                  <w:tcW w:w="402" w:type="dxa"/>
                  <w:vMerge w:val="continue"/>
                  <w:tcBorders>
                    <w:top w:val="nil"/>
                    <w:left w:val="single" w:color="auto" w:sz="8" w:space="0"/>
                    <w:bottom w:val="single" w:color="000000" w:sz="8" w:space="0"/>
                    <w:right w:val="single" w:color="auto" w:sz="8" w:space="0"/>
                  </w:tcBorders>
                  <w:vAlign w:val="center"/>
                </w:tcPr>
                <w:p>
                  <w:pPr>
                    <w:widowControl/>
                    <w:jc w:val="left"/>
                    <w:rPr>
                      <w:rFonts w:eastAsiaTheme="minorEastAsia"/>
                      <w:kern w:val="0"/>
                      <w:szCs w:val="21"/>
                    </w:rPr>
                  </w:pP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产生量（t/a）</w:t>
                  </w:r>
                </w:p>
              </w:tc>
              <w:tc>
                <w:tcPr>
                  <w:tcW w:w="1241"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2480</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0.967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0.546 </w:t>
                  </w:r>
                </w:p>
              </w:tc>
              <w:tc>
                <w:tcPr>
                  <w:tcW w:w="784"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0.484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0.084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0.099 </w:t>
                  </w:r>
                </w:p>
              </w:tc>
              <w:tc>
                <w:tcPr>
                  <w:tcW w:w="856"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0.020 </w:t>
                  </w:r>
                </w:p>
              </w:tc>
            </w:tr>
            <w:tr>
              <w:tblPrEx>
                <w:tblLayout w:type="fixed"/>
                <w:tblCellMar>
                  <w:top w:w="0" w:type="dxa"/>
                  <w:left w:w="108" w:type="dxa"/>
                  <w:bottom w:w="0" w:type="dxa"/>
                  <w:right w:w="108" w:type="dxa"/>
                </w:tblCellMar>
              </w:tblPrEx>
              <w:trPr>
                <w:trHeight w:val="392" w:hRule="atLeast"/>
              </w:trPr>
              <w:tc>
                <w:tcPr>
                  <w:tcW w:w="402"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化粪池出口</w:t>
                  </w: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产生浓度（mg/l）</w:t>
                  </w:r>
                </w:p>
              </w:tc>
              <w:tc>
                <w:tcPr>
                  <w:tcW w:w="1241"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312</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195</w:t>
                  </w:r>
                </w:p>
              </w:tc>
              <w:tc>
                <w:tcPr>
                  <w:tcW w:w="784"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136.5</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28</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20</w:t>
                  </w:r>
                </w:p>
              </w:tc>
              <w:tc>
                <w:tcPr>
                  <w:tcW w:w="856"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7</w:t>
                  </w:r>
                </w:p>
              </w:tc>
            </w:tr>
            <w:tr>
              <w:tblPrEx>
                <w:tblLayout w:type="fixed"/>
                <w:tblCellMar>
                  <w:top w:w="0" w:type="dxa"/>
                  <w:left w:w="108" w:type="dxa"/>
                  <w:bottom w:w="0" w:type="dxa"/>
                  <w:right w:w="108" w:type="dxa"/>
                </w:tblCellMar>
              </w:tblPrEx>
              <w:trPr>
                <w:trHeight w:val="392" w:hRule="atLeast"/>
              </w:trPr>
              <w:tc>
                <w:tcPr>
                  <w:tcW w:w="402" w:type="dxa"/>
                  <w:vMerge w:val="continue"/>
                  <w:tcBorders>
                    <w:top w:val="nil"/>
                    <w:left w:val="single" w:color="auto" w:sz="8" w:space="0"/>
                    <w:bottom w:val="single" w:color="000000" w:sz="8" w:space="0"/>
                    <w:right w:val="single" w:color="auto" w:sz="8" w:space="0"/>
                  </w:tcBorders>
                  <w:vAlign w:val="center"/>
                </w:tcPr>
                <w:p>
                  <w:pPr>
                    <w:widowControl/>
                    <w:jc w:val="left"/>
                    <w:rPr>
                      <w:rFonts w:eastAsiaTheme="minorEastAsia"/>
                      <w:kern w:val="0"/>
                      <w:szCs w:val="21"/>
                    </w:rPr>
                  </w:pP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产生量（t/a）</w:t>
                  </w:r>
                </w:p>
              </w:tc>
              <w:tc>
                <w:tcPr>
                  <w:tcW w:w="1241"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2480</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0.774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0.484 </w:t>
                  </w:r>
                </w:p>
              </w:tc>
              <w:tc>
                <w:tcPr>
                  <w:tcW w:w="784"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0.339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0.069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0.050 </w:t>
                  </w:r>
                </w:p>
              </w:tc>
              <w:tc>
                <w:tcPr>
                  <w:tcW w:w="856"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0.017 </w:t>
                  </w:r>
                </w:p>
              </w:tc>
            </w:tr>
            <w:tr>
              <w:tblPrEx>
                <w:tblLayout w:type="fixed"/>
                <w:tblCellMar>
                  <w:top w:w="0" w:type="dxa"/>
                  <w:left w:w="108" w:type="dxa"/>
                  <w:bottom w:w="0" w:type="dxa"/>
                  <w:right w:w="108" w:type="dxa"/>
                </w:tblCellMar>
              </w:tblPrEx>
              <w:trPr>
                <w:trHeight w:val="392" w:hRule="atLeast"/>
              </w:trPr>
              <w:tc>
                <w:tcPr>
                  <w:tcW w:w="402"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eastAsiaTheme="minorEastAsia"/>
                      <w:kern w:val="0"/>
                      <w:szCs w:val="21"/>
                    </w:rPr>
                  </w:pPr>
                  <w:r>
                    <w:rPr>
                      <w:rFonts w:hint="eastAsia" w:eastAsiaTheme="minorEastAsia"/>
                      <w:kern w:val="0"/>
                      <w:szCs w:val="21"/>
                    </w:rPr>
                    <w:t>隔油池出水生产废水</w:t>
                  </w: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产生浓度（mg/l）</w:t>
                  </w:r>
                </w:p>
              </w:tc>
              <w:tc>
                <w:tcPr>
                  <w:tcW w:w="1241"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800</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220</w:t>
                  </w:r>
                </w:p>
              </w:tc>
              <w:tc>
                <w:tcPr>
                  <w:tcW w:w="784"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400</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29</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6</w:t>
                  </w:r>
                </w:p>
              </w:tc>
              <w:tc>
                <w:tcPr>
                  <w:tcW w:w="856"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8</w:t>
                  </w:r>
                </w:p>
              </w:tc>
            </w:tr>
            <w:tr>
              <w:tblPrEx>
                <w:tblLayout w:type="fixed"/>
                <w:tblCellMar>
                  <w:top w:w="0" w:type="dxa"/>
                  <w:left w:w="108" w:type="dxa"/>
                  <w:bottom w:w="0" w:type="dxa"/>
                  <w:right w:w="108" w:type="dxa"/>
                </w:tblCellMar>
              </w:tblPrEx>
              <w:trPr>
                <w:trHeight w:val="392" w:hRule="atLeast"/>
              </w:trPr>
              <w:tc>
                <w:tcPr>
                  <w:tcW w:w="402" w:type="dxa"/>
                  <w:vMerge w:val="continue"/>
                  <w:tcBorders>
                    <w:top w:val="nil"/>
                    <w:left w:val="single" w:color="auto" w:sz="8" w:space="0"/>
                    <w:bottom w:val="single" w:color="000000" w:sz="8" w:space="0"/>
                    <w:right w:val="single" w:color="auto" w:sz="8" w:space="0"/>
                  </w:tcBorders>
                  <w:vAlign w:val="center"/>
                </w:tcPr>
                <w:p>
                  <w:pPr>
                    <w:widowControl/>
                    <w:jc w:val="left"/>
                    <w:rPr>
                      <w:rFonts w:eastAsiaTheme="minorEastAsia"/>
                      <w:kern w:val="0"/>
                      <w:szCs w:val="21"/>
                    </w:rPr>
                  </w:pP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产生量（t/a）</w:t>
                  </w:r>
                </w:p>
              </w:tc>
              <w:tc>
                <w:tcPr>
                  <w:tcW w:w="1241"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356.682</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0.285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0.078 </w:t>
                  </w:r>
                </w:p>
              </w:tc>
              <w:tc>
                <w:tcPr>
                  <w:tcW w:w="784"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0.143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0.010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0.002 </w:t>
                  </w:r>
                </w:p>
              </w:tc>
              <w:tc>
                <w:tcPr>
                  <w:tcW w:w="856"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0.003 </w:t>
                  </w:r>
                </w:p>
              </w:tc>
            </w:tr>
            <w:tr>
              <w:tblPrEx>
                <w:tblLayout w:type="fixed"/>
                <w:tblCellMar>
                  <w:top w:w="0" w:type="dxa"/>
                  <w:left w:w="108" w:type="dxa"/>
                  <w:bottom w:w="0" w:type="dxa"/>
                  <w:right w:w="108" w:type="dxa"/>
                </w:tblCellMar>
              </w:tblPrEx>
              <w:trPr>
                <w:trHeight w:val="392" w:hRule="atLeast"/>
              </w:trPr>
              <w:tc>
                <w:tcPr>
                  <w:tcW w:w="402"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污水处理站进口浓度</w:t>
                  </w: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产生浓度（mg/l）</w:t>
                  </w:r>
                </w:p>
              </w:tc>
              <w:tc>
                <w:tcPr>
                  <w:tcW w:w="1241"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373.361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198.143 </w:t>
                  </w:r>
                </w:p>
              </w:tc>
              <w:tc>
                <w:tcPr>
                  <w:tcW w:w="784"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169.632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28.126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18.240 </w:t>
                  </w:r>
                </w:p>
              </w:tc>
              <w:tc>
                <w:tcPr>
                  <w:tcW w:w="856"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7.126 </w:t>
                  </w:r>
                </w:p>
              </w:tc>
            </w:tr>
            <w:tr>
              <w:tblPrEx>
                <w:tblLayout w:type="fixed"/>
                <w:tblCellMar>
                  <w:top w:w="0" w:type="dxa"/>
                  <w:left w:w="108" w:type="dxa"/>
                  <w:bottom w:w="0" w:type="dxa"/>
                  <w:right w:w="108" w:type="dxa"/>
                </w:tblCellMar>
              </w:tblPrEx>
              <w:trPr>
                <w:trHeight w:val="392" w:hRule="atLeast"/>
              </w:trPr>
              <w:tc>
                <w:tcPr>
                  <w:tcW w:w="402" w:type="dxa"/>
                  <w:vMerge w:val="continue"/>
                  <w:tcBorders>
                    <w:top w:val="nil"/>
                    <w:left w:val="single" w:color="auto" w:sz="8" w:space="0"/>
                    <w:bottom w:val="single" w:color="000000" w:sz="8" w:space="0"/>
                    <w:right w:val="single" w:color="auto" w:sz="8" w:space="0"/>
                  </w:tcBorders>
                  <w:vAlign w:val="center"/>
                </w:tcPr>
                <w:p>
                  <w:pPr>
                    <w:widowControl/>
                    <w:jc w:val="left"/>
                    <w:rPr>
                      <w:rFonts w:eastAsiaTheme="minorEastAsia"/>
                      <w:kern w:val="0"/>
                      <w:szCs w:val="21"/>
                    </w:rPr>
                  </w:pP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产生量（t/a）</w:t>
                  </w:r>
                </w:p>
              </w:tc>
              <w:tc>
                <w:tcPr>
                  <w:tcW w:w="1241"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2836.682</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1.059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0.562 </w:t>
                  </w:r>
                </w:p>
              </w:tc>
              <w:tc>
                <w:tcPr>
                  <w:tcW w:w="784"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0.481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0.080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0.052 </w:t>
                  </w:r>
                </w:p>
              </w:tc>
              <w:tc>
                <w:tcPr>
                  <w:tcW w:w="856"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0.020 </w:t>
                  </w:r>
                </w:p>
              </w:tc>
            </w:tr>
            <w:tr>
              <w:tblPrEx>
                <w:tblLayout w:type="fixed"/>
                <w:tblCellMar>
                  <w:top w:w="0" w:type="dxa"/>
                  <w:left w:w="108" w:type="dxa"/>
                  <w:bottom w:w="0" w:type="dxa"/>
                  <w:right w:w="108" w:type="dxa"/>
                </w:tblCellMar>
              </w:tblPrEx>
              <w:trPr>
                <w:trHeight w:val="392" w:hRule="atLeast"/>
              </w:trPr>
              <w:tc>
                <w:tcPr>
                  <w:tcW w:w="402"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eastAsiaTheme="minorEastAsia"/>
                      <w:kern w:val="0"/>
                      <w:szCs w:val="21"/>
                    </w:rPr>
                  </w:pPr>
                  <w:r>
                    <w:rPr>
                      <w:rFonts w:hint="eastAsia" w:eastAsiaTheme="minorEastAsia"/>
                      <w:kern w:val="0"/>
                      <w:szCs w:val="21"/>
                    </w:rPr>
                    <w:t>污水处理站</w:t>
                  </w:r>
                  <w:r>
                    <w:rPr>
                      <w:rFonts w:eastAsiaTheme="minorEastAsia"/>
                      <w:kern w:val="0"/>
                      <w:szCs w:val="21"/>
                    </w:rPr>
                    <w:t>出口</w:t>
                  </w: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hint="eastAsia" w:eastAsiaTheme="minorEastAsia"/>
                      <w:kern w:val="0"/>
                      <w:szCs w:val="21"/>
                    </w:rPr>
                    <w:t>处理后</w:t>
                  </w:r>
                  <w:r>
                    <w:rPr>
                      <w:rFonts w:eastAsiaTheme="minorEastAsia"/>
                      <w:kern w:val="0"/>
                      <w:szCs w:val="21"/>
                    </w:rPr>
                    <w:t>浓度（mg/l）</w:t>
                  </w:r>
                </w:p>
              </w:tc>
              <w:tc>
                <w:tcPr>
                  <w:tcW w:w="1241"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64.218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16.842 </w:t>
                  </w:r>
                </w:p>
              </w:tc>
              <w:tc>
                <w:tcPr>
                  <w:tcW w:w="784"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13.571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7.031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11.856 </w:t>
                  </w:r>
                </w:p>
              </w:tc>
              <w:tc>
                <w:tcPr>
                  <w:tcW w:w="856"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4.988 </w:t>
                  </w:r>
                </w:p>
              </w:tc>
            </w:tr>
            <w:tr>
              <w:tblPrEx>
                <w:tblLayout w:type="fixed"/>
                <w:tblCellMar>
                  <w:top w:w="0" w:type="dxa"/>
                  <w:left w:w="108" w:type="dxa"/>
                  <w:bottom w:w="0" w:type="dxa"/>
                  <w:right w:w="108" w:type="dxa"/>
                </w:tblCellMar>
              </w:tblPrEx>
              <w:trPr>
                <w:trHeight w:val="889" w:hRule="atLeast"/>
              </w:trPr>
              <w:tc>
                <w:tcPr>
                  <w:tcW w:w="402" w:type="dxa"/>
                  <w:vMerge w:val="continue"/>
                  <w:tcBorders>
                    <w:top w:val="nil"/>
                    <w:left w:val="single" w:color="auto" w:sz="8" w:space="0"/>
                    <w:bottom w:val="single" w:color="auto" w:sz="4" w:space="0"/>
                    <w:right w:val="single" w:color="auto" w:sz="8" w:space="0"/>
                  </w:tcBorders>
                  <w:vAlign w:val="center"/>
                </w:tcPr>
                <w:p>
                  <w:pPr>
                    <w:widowControl/>
                    <w:jc w:val="left"/>
                    <w:rPr>
                      <w:rFonts w:eastAsiaTheme="minorEastAsia"/>
                      <w:kern w:val="0"/>
                      <w:szCs w:val="21"/>
                    </w:rPr>
                  </w:pPr>
                </w:p>
              </w:tc>
              <w:tc>
                <w:tcPr>
                  <w:tcW w:w="709" w:type="dxa"/>
                  <w:tcBorders>
                    <w:top w:val="nil"/>
                    <w:left w:val="nil"/>
                    <w:bottom w:val="single" w:color="auto" w:sz="4" w:space="0"/>
                    <w:right w:val="single" w:color="auto" w:sz="8" w:space="0"/>
                  </w:tcBorders>
                  <w:shd w:val="clear" w:color="auto" w:fill="auto"/>
                  <w:vAlign w:val="center"/>
                </w:tcPr>
                <w:p>
                  <w:pPr>
                    <w:widowControl/>
                    <w:jc w:val="center"/>
                    <w:rPr>
                      <w:rFonts w:eastAsiaTheme="minorEastAsia"/>
                      <w:kern w:val="0"/>
                      <w:szCs w:val="21"/>
                    </w:rPr>
                  </w:pPr>
                  <w:r>
                    <w:rPr>
                      <w:rFonts w:hint="eastAsia" w:eastAsiaTheme="minorEastAsia"/>
                      <w:kern w:val="0"/>
                      <w:szCs w:val="21"/>
                    </w:rPr>
                    <w:t>污染物</w:t>
                  </w:r>
                  <w:r>
                    <w:rPr>
                      <w:rFonts w:eastAsiaTheme="minorEastAsia"/>
                      <w:kern w:val="0"/>
                      <w:szCs w:val="21"/>
                    </w:rPr>
                    <w:t>量（t/a）</w:t>
                  </w:r>
                </w:p>
              </w:tc>
              <w:tc>
                <w:tcPr>
                  <w:tcW w:w="1241" w:type="dxa"/>
                  <w:tcBorders>
                    <w:top w:val="nil"/>
                    <w:left w:val="nil"/>
                    <w:bottom w:val="single" w:color="auto" w:sz="4"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2836.682</w:t>
                  </w:r>
                </w:p>
              </w:tc>
              <w:tc>
                <w:tcPr>
                  <w:tcW w:w="943" w:type="dxa"/>
                  <w:tcBorders>
                    <w:top w:val="nil"/>
                    <w:left w:val="nil"/>
                    <w:bottom w:val="single" w:color="auto" w:sz="4" w:space="0"/>
                    <w:right w:val="single" w:color="auto" w:sz="8" w:space="0"/>
                  </w:tcBorders>
                  <w:shd w:val="clear" w:color="auto" w:fill="auto"/>
                  <w:vAlign w:val="center"/>
                </w:tcPr>
                <w:p>
                  <w:pPr>
                    <w:jc w:val="center"/>
                    <w:rPr>
                      <w:color w:val="000000"/>
                      <w:szCs w:val="21"/>
                    </w:rPr>
                  </w:pPr>
                  <w:r>
                    <w:rPr>
                      <w:color w:val="000000"/>
                      <w:szCs w:val="21"/>
                    </w:rPr>
                    <w:t xml:space="preserve">0.182 </w:t>
                  </w:r>
                </w:p>
              </w:tc>
              <w:tc>
                <w:tcPr>
                  <w:tcW w:w="943" w:type="dxa"/>
                  <w:tcBorders>
                    <w:top w:val="nil"/>
                    <w:left w:val="nil"/>
                    <w:bottom w:val="single" w:color="auto" w:sz="4" w:space="0"/>
                    <w:right w:val="single" w:color="auto" w:sz="8" w:space="0"/>
                  </w:tcBorders>
                  <w:shd w:val="clear" w:color="auto" w:fill="auto"/>
                  <w:vAlign w:val="center"/>
                </w:tcPr>
                <w:p>
                  <w:pPr>
                    <w:jc w:val="center"/>
                    <w:rPr>
                      <w:color w:val="000000"/>
                      <w:szCs w:val="21"/>
                    </w:rPr>
                  </w:pPr>
                  <w:r>
                    <w:rPr>
                      <w:color w:val="000000"/>
                      <w:szCs w:val="21"/>
                    </w:rPr>
                    <w:t xml:space="preserve">0.048 </w:t>
                  </w:r>
                </w:p>
              </w:tc>
              <w:tc>
                <w:tcPr>
                  <w:tcW w:w="784" w:type="dxa"/>
                  <w:tcBorders>
                    <w:top w:val="nil"/>
                    <w:left w:val="nil"/>
                    <w:bottom w:val="single" w:color="auto" w:sz="4" w:space="0"/>
                    <w:right w:val="single" w:color="auto" w:sz="8" w:space="0"/>
                  </w:tcBorders>
                  <w:shd w:val="clear" w:color="auto" w:fill="auto"/>
                  <w:vAlign w:val="center"/>
                </w:tcPr>
                <w:p>
                  <w:pPr>
                    <w:jc w:val="center"/>
                    <w:rPr>
                      <w:color w:val="000000"/>
                      <w:szCs w:val="21"/>
                    </w:rPr>
                  </w:pPr>
                  <w:r>
                    <w:rPr>
                      <w:color w:val="000000"/>
                      <w:szCs w:val="21"/>
                    </w:rPr>
                    <w:t xml:space="preserve">0.038 </w:t>
                  </w:r>
                </w:p>
              </w:tc>
              <w:tc>
                <w:tcPr>
                  <w:tcW w:w="943" w:type="dxa"/>
                  <w:tcBorders>
                    <w:top w:val="nil"/>
                    <w:left w:val="nil"/>
                    <w:bottom w:val="single" w:color="auto" w:sz="4" w:space="0"/>
                    <w:right w:val="single" w:color="auto" w:sz="8" w:space="0"/>
                  </w:tcBorders>
                  <w:shd w:val="clear" w:color="auto" w:fill="auto"/>
                  <w:vAlign w:val="center"/>
                </w:tcPr>
                <w:p>
                  <w:pPr>
                    <w:jc w:val="center"/>
                    <w:rPr>
                      <w:color w:val="000000"/>
                      <w:szCs w:val="21"/>
                    </w:rPr>
                  </w:pPr>
                  <w:r>
                    <w:rPr>
                      <w:color w:val="000000"/>
                      <w:szCs w:val="21"/>
                    </w:rPr>
                    <w:t xml:space="preserve">0.020 </w:t>
                  </w:r>
                </w:p>
              </w:tc>
              <w:tc>
                <w:tcPr>
                  <w:tcW w:w="943" w:type="dxa"/>
                  <w:tcBorders>
                    <w:top w:val="nil"/>
                    <w:left w:val="nil"/>
                    <w:bottom w:val="single" w:color="auto" w:sz="4" w:space="0"/>
                    <w:right w:val="single" w:color="auto" w:sz="8" w:space="0"/>
                  </w:tcBorders>
                  <w:shd w:val="clear" w:color="auto" w:fill="auto"/>
                  <w:vAlign w:val="center"/>
                </w:tcPr>
                <w:p>
                  <w:pPr>
                    <w:jc w:val="center"/>
                    <w:rPr>
                      <w:color w:val="000000"/>
                      <w:szCs w:val="21"/>
                    </w:rPr>
                  </w:pPr>
                  <w:r>
                    <w:rPr>
                      <w:color w:val="000000"/>
                      <w:szCs w:val="21"/>
                    </w:rPr>
                    <w:t xml:space="preserve">0.034 </w:t>
                  </w:r>
                </w:p>
              </w:tc>
              <w:tc>
                <w:tcPr>
                  <w:tcW w:w="856" w:type="dxa"/>
                  <w:tcBorders>
                    <w:top w:val="nil"/>
                    <w:left w:val="nil"/>
                    <w:bottom w:val="single" w:color="auto" w:sz="4" w:space="0"/>
                    <w:right w:val="single" w:color="auto" w:sz="8" w:space="0"/>
                  </w:tcBorders>
                  <w:shd w:val="clear" w:color="auto" w:fill="auto"/>
                  <w:vAlign w:val="center"/>
                </w:tcPr>
                <w:p>
                  <w:pPr>
                    <w:jc w:val="center"/>
                    <w:rPr>
                      <w:color w:val="000000"/>
                      <w:szCs w:val="21"/>
                    </w:rPr>
                  </w:pPr>
                  <w:r>
                    <w:rPr>
                      <w:color w:val="000000"/>
                      <w:szCs w:val="21"/>
                    </w:rPr>
                    <w:t xml:space="preserve">0.014 </w:t>
                  </w:r>
                </w:p>
              </w:tc>
            </w:tr>
            <w:tr>
              <w:tblPrEx>
                <w:tblLayout w:type="fixed"/>
                <w:tblCellMar>
                  <w:top w:w="0" w:type="dxa"/>
                  <w:left w:w="108" w:type="dxa"/>
                  <w:bottom w:w="0" w:type="dxa"/>
                  <w:right w:w="108" w:type="dxa"/>
                </w:tblCellMar>
              </w:tblPrEx>
              <w:trPr>
                <w:trHeight w:val="77" w:hRule="atLeast"/>
              </w:trPr>
              <w:tc>
                <w:tcPr>
                  <w:tcW w:w="1111" w:type="dxa"/>
                  <w:gridSpan w:val="2"/>
                  <w:tcBorders>
                    <w:top w:val="single" w:color="auto" w:sz="4" w:space="0"/>
                    <w:left w:val="single" w:color="auto" w:sz="8" w:space="0"/>
                    <w:bottom w:val="single" w:color="auto" w:sz="4" w:space="0"/>
                    <w:right w:val="single" w:color="auto" w:sz="8" w:space="0"/>
                  </w:tcBorders>
                  <w:vAlign w:val="center"/>
                </w:tcPr>
                <w:p>
                  <w:pPr>
                    <w:widowControl/>
                    <w:jc w:val="center"/>
                    <w:rPr>
                      <w:rFonts w:eastAsiaTheme="minorEastAsia"/>
                      <w:kern w:val="0"/>
                      <w:szCs w:val="21"/>
                    </w:rPr>
                  </w:pPr>
                  <w:r>
                    <w:rPr>
                      <w:rFonts w:hint="eastAsia" w:eastAsiaTheme="minorEastAsia"/>
                      <w:kern w:val="0"/>
                      <w:szCs w:val="21"/>
                    </w:rPr>
                    <w:t>执行标准</w:t>
                  </w:r>
                </w:p>
              </w:tc>
              <w:tc>
                <w:tcPr>
                  <w:tcW w:w="1241" w:type="dxa"/>
                  <w:tcBorders>
                    <w:top w:val="single" w:color="auto" w:sz="4" w:space="0"/>
                    <w:left w:val="nil"/>
                    <w:bottom w:val="single" w:color="auto" w:sz="4" w:space="0"/>
                    <w:right w:val="single" w:color="auto" w:sz="8" w:space="0"/>
                  </w:tcBorders>
                  <w:shd w:val="clear" w:color="auto" w:fill="auto"/>
                  <w:vAlign w:val="center"/>
                </w:tcPr>
                <w:p>
                  <w:pPr>
                    <w:widowControl/>
                    <w:jc w:val="center"/>
                    <w:rPr>
                      <w:rFonts w:eastAsiaTheme="minorEastAsia"/>
                      <w:kern w:val="0"/>
                      <w:szCs w:val="21"/>
                    </w:rPr>
                  </w:pPr>
                </w:p>
              </w:tc>
              <w:tc>
                <w:tcPr>
                  <w:tcW w:w="943" w:type="dxa"/>
                  <w:tcBorders>
                    <w:top w:val="single" w:color="auto" w:sz="4" w:space="0"/>
                    <w:left w:val="nil"/>
                    <w:bottom w:val="single" w:color="auto" w:sz="4" w:space="0"/>
                    <w:right w:val="single" w:color="auto" w:sz="8" w:space="0"/>
                  </w:tcBorders>
                  <w:shd w:val="clear" w:color="auto" w:fill="auto"/>
                  <w:vAlign w:val="center"/>
                </w:tcPr>
                <w:p>
                  <w:pPr>
                    <w:jc w:val="center"/>
                    <w:rPr>
                      <w:color w:val="000000"/>
                      <w:szCs w:val="21"/>
                    </w:rPr>
                  </w:pPr>
                  <w:r>
                    <w:rPr>
                      <w:rFonts w:hint="eastAsia"/>
                      <w:color w:val="000000"/>
                      <w:szCs w:val="21"/>
                    </w:rPr>
                    <w:t>/</w:t>
                  </w:r>
                </w:p>
              </w:tc>
              <w:tc>
                <w:tcPr>
                  <w:tcW w:w="943" w:type="dxa"/>
                  <w:tcBorders>
                    <w:top w:val="single" w:color="auto" w:sz="4" w:space="0"/>
                    <w:left w:val="nil"/>
                    <w:bottom w:val="single" w:color="auto" w:sz="4" w:space="0"/>
                    <w:right w:val="single" w:color="auto" w:sz="8" w:space="0"/>
                  </w:tcBorders>
                  <w:shd w:val="clear" w:color="auto" w:fill="auto"/>
                  <w:vAlign w:val="center"/>
                </w:tcPr>
                <w:p>
                  <w:pPr>
                    <w:jc w:val="center"/>
                    <w:rPr>
                      <w:color w:val="000000"/>
                      <w:szCs w:val="21"/>
                    </w:rPr>
                  </w:pPr>
                  <w:r>
                    <w:rPr>
                      <w:rFonts w:hint="eastAsia"/>
                      <w:color w:val="000000"/>
                      <w:szCs w:val="21"/>
                    </w:rPr>
                    <w:t>2</w:t>
                  </w:r>
                  <w:r>
                    <w:rPr>
                      <w:color w:val="000000"/>
                      <w:szCs w:val="21"/>
                    </w:rPr>
                    <w:t>0</w:t>
                  </w:r>
                </w:p>
              </w:tc>
              <w:tc>
                <w:tcPr>
                  <w:tcW w:w="784" w:type="dxa"/>
                  <w:tcBorders>
                    <w:top w:val="single" w:color="auto" w:sz="4" w:space="0"/>
                    <w:left w:val="nil"/>
                    <w:bottom w:val="single" w:color="auto" w:sz="4" w:space="0"/>
                    <w:right w:val="single" w:color="auto" w:sz="8" w:space="0"/>
                  </w:tcBorders>
                  <w:shd w:val="clear" w:color="auto" w:fill="auto"/>
                  <w:vAlign w:val="center"/>
                </w:tcPr>
                <w:p>
                  <w:pPr>
                    <w:jc w:val="center"/>
                    <w:rPr>
                      <w:color w:val="000000"/>
                      <w:szCs w:val="21"/>
                    </w:rPr>
                  </w:pPr>
                  <w:r>
                    <w:rPr>
                      <w:rFonts w:hint="eastAsia"/>
                      <w:color w:val="000000"/>
                      <w:szCs w:val="21"/>
                    </w:rPr>
                    <w:t>/</w:t>
                  </w:r>
                </w:p>
              </w:tc>
              <w:tc>
                <w:tcPr>
                  <w:tcW w:w="943" w:type="dxa"/>
                  <w:tcBorders>
                    <w:top w:val="single" w:color="auto" w:sz="4" w:space="0"/>
                    <w:left w:val="nil"/>
                    <w:bottom w:val="single" w:color="auto" w:sz="4" w:space="0"/>
                    <w:right w:val="single" w:color="auto" w:sz="8" w:space="0"/>
                  </w:tcBorders>
                  <w:shd w:val="clear" w:color="auto" w:fill="auto"/>
                  <w:vAlign w:val="center"/>
                </w:tcPr>
                <w:p>
                  <w:pPr>
                    <w:jc w:val="center"/>
                    <w:rPr>
                      <w:color w:val="000000"/>
                      <w:szCs w:val="21"/>
                    </w:rPr>
                  </w:pPr>
                  <w:r>
                    <w:rPr>
                      <w:rFonts w:hint="eastAsia"/>
                      <w:color w:val="000000"/>
                      <w:szCs w:val="21"/>
                    </w:rPr>
                    <w:t>2</w:t>
                  </w:r>
                  <w:r>
                    <w:rPr>
                      <w:color w:val="000000"/>
                      <w:szCs w:val="21"/>
                    </w:rPr>
                    <w:t>0</w:t>
                  </w:r>
                </w:p>
              </w:tc>
              <w:tc>
                <w:tcPr>
                  <w:tcW w:w="943" w:type="dxa"/>
                  <w:tcBorders>
                    <w:top w:val="single" w:color="auto" w:sz="4" w:space="0"/>
                    <w:left w:val="nil"/>
                    <w:bottom w:val="single" w:color="auto" w:sz="4" w:space="0"/>
                    <w:right w:val="single" w:color="auto" w:sz="8" w:space="0"/>
                  </w:tcBorders>
                  <w:shd w:val="clear" w:color="auto" w:fill="auto"/>
                  <w:vAlign w:val="center"/>
                </w:tcPr>
                <w:p>
                  <w:pPr>
                    <w:jc w:val="center"/>
                    <w:rPr>
                      <w:color w:val="000000"/>
                      <w:szCs w:val="21"/>
                    </w:rPr>
                  </w:pPr>
                  <w:r>
                    <w:rPr>
                      <w:rFonts w:hint="eastAsia"/>
                      <w:color w:val="000000"/>
                      <w:szCs w:val="21"/>
                    </w:rPr>
                    <w:t>/</w:t>
                  </w:r>
                </w:p>
              </w:tc>
              <w:tc>
                <w:tcPr>
                  <w:tcW w:w="856" w:type="dxa"/>
                  <w:tcBorders>
                    <w:top w:val="single" w:color="auto" w:sz="4" w:space="0"/>
                    <w:left w:val="nil"/>
                    <w:bottom w:val="single" w:color="auto" w:sz="4" w:space="0"/>
                    <w:right w:val="single" w:color="auto" w:sz="8" w:space="0"/>
                  </w:tcBorders>
                  <w:shd w:val="clear" w:color="auto" w:fill="auto"/>
                  <w:vAlign w:val="center"/>
                </w:tcPr>
                <w:p>
                  <w:pPr>
                    <w:jc w:val="center"/>
                    <w:rPr>
                      <w:color w:val="000000"/>
                      <w:szCs w:val="21"/>
                    </w:rPr>
                  </w:pPr>
                  <w:r>
                    <w:rPr>
                      <w:rFonts w:hint="eastAsia"/>
                      <w:color w:val="000000"/>
                      <w:szCs w:val="21"/>
                    </w:rPr>
                    <w:t>/</w:t>
                  </w:r>
                </w:p>
              </w:tc>
            </w:tr>
            <w:tr>
              <w:tblPrEx>
                <w:tblLayout w:type="fixed"/>
                <w:tblCellMar>
                  <w:top w:w="0" w:type="dxa"/>
                  <w:left w:w="108" w:type="dxa"/>
                  <w:bottom w:w="0" w:type="dxa"/>
                  <w:right w:w="108" w:type="dxa"/>
                </w:tblCellMar>
              </w:tblPrEx>
              <w:trPr>
                <w:trHeight w:val="153" w:hRule="atLeast"/>
              </w:trPr>
              <w:tc>
                <w:tcPr>
                  <w:tcW w:w="1111" w:type="dxa"/>
                  <w:gridSpan w:val="2"/>
                  <w:tcBorders>
                    <w:top w:val="single" w:color="auto" w:sz="4" w:space="0"/>
                    <w:left w:val="single" w:color="auto" w:sz="8" w:space="0"/>
                    <w:bottom w:val="single" w:color="000000" w:sz="8" w:space="0"/>
                    <w:right w:val="single" w:color="auto" w:sz="8" w:space="0"/>
                  </w:tcBorders>
                  <w:vAlign w:val="center"/>
                </w:tcPr>
                <w:p>
                  <w:pPr>
                    <w:widowControl/>
                    <w:jc w:val="center"/>
                    <w:rPr>
                      <w:rFonts w:eastAsiaTheme="minorEastAsia"/>
                      <w:kern w:val="0"/>
                      <w:szCs w:val="21"/>
                    </w:rPr>
                  </w:pPr>
                  <w:r>
                    <w:rPr>
                      <w:rFonts w:hint="eastAsia" w:eastAsiaTheme="minorEastAsia"/>
                      <w:kern w:val="0"/>
                      <w:szCs w:val="21"/>
                    </w:rPr>
                    <w:t>达标性评价</w:t>
                  </w:r>
                </w:p>
              </w:tc>
              <w:tc>
                <w:tcPr>
                  <w:tcW w:w="1241" w:type="dxa"/>
                  <w:tcBorders>
                    <w:top w:val="single" w:color="auto" w:sz="4" w:space="0"/>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p>
              </w:tc>
              <w:tc>
                <w:tcPr>
                  <w:tcW w:w="943" w:type="dxa"/>
                  <w:tcBorders>
                    <w:top w:val="single" w:color="auto" w:sz="4" w:space="0"/>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达标</w:t>
                  </w:r>
                </w:p>
              </w:tc>
              <w:tc>
                <w:tcPr>
                  <w:tcW w:w="943" w:type="dxa"/>
                  <w:tcBorders>
                    <w:top w:val="single" w:color="auto" w:sz="4" w:space="0"/>
                    <w:left w:val="nil"/>
                    <w:bottom w:val="single" w:color="auto" w:sz="8" w:space="0"/>
                    <w:right w:val="single" w:color="auto" w:sz="8" w:space="0"/>
                  </w:tcBorders>
                  <w:shd w:val="clear" w:color="auto" w:fill="auto"/>
                </w:tcPr>
                <w:p>
                  <w:r>
                    <w:rPr>
                      <w:color w:val="000000"/>
                      <w:szCs w:val="21"/>
                    </w:rPr>
                    <w:t>达标</w:t>
                  </w:r>
                </w:p>
              </w:tc>
              <w:tc>
                <w:tcPr>
                  <w:tcW w:w="784" w:type="dxa"/>
                  <w:tcBorders>
                    <w:top w:val="single" w:color="auto" w:sz="4" w:space="0"/>
                    <w:left w:val="nil"/>
                    <w:bottom w:val="single" w:color="auto" w:sz="8" w:space="0"/>
                    <w:right w:val="single" w:color="auto" w:sz="8" w:space="0"/>
                  </w:tcBorders>
                  <w:shd w:val="clear" w:color="auto" w:fill="auto"/>
                </w:tcPr>
                <w:p>
                  <w:r>
                    <w:rPr>
                      <w:color w:val="000000"/>
                      <w:szCs w:val="21"/>
                    </w:rPr>
                    <w:t>达标</w:t>
                  </w:r>
                </w:p>
              </w:tc>
              <w:tc>
                <w:tcPr>
                  <w:tcW w:w="943" w:type="dxa"/>
                  <w:tcBorders>
                    <w:top w:val="single" w:color="auto" w:sz="4" w:space="0"/>
                    <w:left w:val="nil"/>
                    <w:bottom w:val="single" w:color="auto" w:sz="8" w:space="0"/>
                    <w:right w:val="single" w:color="auto" w:sz="8" w:space="0"/>
                  </w:tcBorders>
                  <w:shd w:val="clear" w:color="auto" w:fill="auto"/>
                </w:tcPr>
                <w:p>
                  <w:r>
                    <w:rPr>
                      <w:color w:val="000000"/>
                      <w:szCs w:val="21"/>
                    </w:rPr>
                    <w:t>达标</w:t>
                  </w:r>
                </w:p>
              </w:tc>
              <w:tc>
                <w:tcPr>
                  <w:tcW w:w="943" w:type="dxa"/>
                  <w:tcBorders>
                    <w:top w:val="single" w:color="auto" w:sz="4" w:space="0"/>
                    <w:left w:val="nil"/>
                    <w:bottom w:val="single" w:color="auto" w:sz="8" w:space="0"/>
                    <w:right w:val="single" w:color="auto" w:sz="8" w:space="0"/>
                  </w:tcBorders>
                  <w:shd w:val="clear" w:color="auto" w:fill="auto"/>
                </w:tcPr>
                <w:p>
                  <w:r>
                    <w:rPr>
                      <w:color w:val="000000"/>
                      <w:szCs w:val="21"/>
                    </w:rPr>
                    <w:t>达标</w:t>
                  </w:r>
                </w:p>
              </w:tc>
              <w:tc>
                <w:tcPr>
                  <w:tcW w:w="856" w:type="dxa"/>
                  <w:tcBorders>
                    <w:top w:val="single" w:color="auto" w:sz="4" w:space="0"/>
                    <w:left w:val="nil"/>
                    <w:bottom w:val="single" w:color="auto" w:sz="8" w:space="0"/>
                    <w:right w:val="single" w:color="auto" w:sz="8" w:space="0"/>
                  </w:tcBorders>
                  <w:shd w:val="clear" w:color="auto" w:fill="auto"/>
                </w:tcPr>
                <w:p>
                  <w:r>
                    <w:rPr>
                      <w:color w:val="000000"/>
                      <w:szCs w:val="21"/>
                    </w:rPr>
                    <w:t>达标</w:t>
                  </w:r>
                </w:p>
              </w:tc>
            </w:tr>
          </w:tbl>
          <w:p>
            <w:pPr>
              <w:tabs>
                <w:tab w:val="left" w:pos="6740"/>
              </w:tabs>
              <w:spacing w:line="360" w:lineRule="auto"/>
              <w:ind w:firstLine="482"/>
              <w:jc w:val="center"/>
              <w:rPr>
                <w:rFonts w:eastAsiaTheme="minorEastAsia"/>
                <w:b/>
                <w:sz w:val="24"/>
              </w:rPr>
            </w:pPr>
            <w:r>
              <w:rPr>
                <w:rFonts w:eastAsiaTheme="minorEastAsia"/>
                <w:b/>
                <w:sz w:val="24"/>
              </w:rPr>
              <w:t>表4-6  项目</w:t>
            </w:r>
            <w:r>
              <w:rPr>
                <w:rFonts w:hint="eastAsia" w:eastAsiaTheme="minorEastAsia"/>
                <w:b/>
                <w:sz w:val="24"/>
              </w:rPr>
              <w:t>远期</w:t>
            </w:r>
            <w:r>
              <w:rPr>
                <w:rFonts w:eastAsiaTheme="minorEastAsia"/>
                <w:b/>
                <w:sz w:val="24"/>
              </w:rPr>
              <w:t>水污染物排放情况汇总表</w:t>
            </w:r>
          </w:p>
          <w:tbl>
            <w:tblPr>
              <w:tblStyle w:val="44"/>
              <w:tblW w:w="7764" w:type="dxa"/>
              <w:tblInd w:w="0" w:type="dxa"/>
              <w:tblLayout w:type="fixed"/>
              <w:tblCellMar>
                <w:top w:w="0" w:type="dxa"/>
                <w:left w:w="108" w:type="dxa"/>
                <w:bottom w:w="0" w:type="dxa"/>
                <w:right w:w="108" w:type="dxa"/>
              </w:tblCellMar>
            </w:tblPr>
            <w:tblGrid>
              <w:gridCol w:w="402"/>
              <w:gridCol w:w="709"/>
              <w:gridCol w:w="1241"/>
              <w:gridCol w:w="943"/>
              <w:gridCol w:w="943"/>
              <w:gridCol w:w="784"/>
              <w:gridCol w:w="943"/>
              <w:gridCol w:w="943"/>
              <w:gridCol w:w="856"/>
            </w:tblGrid>
            <w:tr>
              <w:tblPrEx>
                <w:tblLayout w:type="fixed"/>
                <w:tblCellMar>
                  <w:top w:w="0" w:type="dxa"/>
                  <w:left w:w="108" w:type="dxa"/>
                  <w:bottom w:w="0" w:type="dxa"/>
                  <w:right w:w="108" w:type="dxa"/>
                </w:tblCellMar>
              </w:tblPrEx>
              <w:trPr>
                <w:trHeight w:val="228" w:hRule="atLeast"/>
              </w:trPr>
              <w:tc>
                <w:tcPr>
                  <w:tcW w:w="1111" w:type="dxa"/>
                  <w:gridSpan w:val="2"/>
                  <w:tcBorders>
                    <w:top w:val="single" w:color="auto" w:sz="8" w:space="0"/>
                    <w:left w:val="single" w:color="auto" w:sz="8" w:space="0"/>
                    <w:bottom w:val="single" w:color="auto" w:sz="8" w:space="0"/>
                    <w:right w:val="single" w:color="000000" w:sz="8" w:space="0"/>
                  </w:tcBorders>
                  <w:shd w:val="clear" w:color="auto" w:fill="auto"/>
                  <w:vAlign w:val="center"/>
                </w:tcPr>
                <w:p>
                  <w:pPr>
                    <w:widowControl/>
                    <w:jc w:val="center"/>
                    <w:rPr>
                      <w:rFonts w:eastAsiaTheme="minorEastAsia"/>
                      <w:kern w:val="0"/>
                      <w:szCs w:val="21"/>
                    </w:rPr>
                  </w:pPr>
                  <w:r>
                    <w:rPr>
                      <w:rFonts w:eastAsiaTheme="minorEastAsia"/>
                      <w:kern w:val="0"/>
                      <w:szCs w:val="21"/>
                    </w:rPr>
                    <w:t>项目</w:t>
                  </w:r>
                </w:p>
              </w:tc>
              <w:tc>
                <w:tcPr>
                  <w:tcW w:w="1241"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水量</w:t>
                  </w:r>
                </w:p>
              </w:tc>
              <w:tc>
                <w:tcPr>
                  <w:tcW w:w="943"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COD</w:t>
                  </w:r>
                </w:p>
              </w:tc>
              <w:tc>
                <w:tcPr>
                  <w:tcW w:w="943"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BOD</w:t>
                  </w:r>
                  <w:r>
                    <w:rPr>
                      <w:rFonts w:eastAsiaTheme="minorEastAsia"/>
                      <w:kern w:val="0"/>
                      <w:szCs w:val="21"/>
                      <w:vertAlign w:val="subscript"/>
                    </w:rPr>
                    <w:t>5</w:t>
                  </w:r>
                </w:p>
              </w:tc>
              <w:tc>
                <w:tcPr>
                  <w:tcW w:w="784"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SS</w:t>
                  </w:r>
                </w:p>
              </w:tc>
              <w:tc>
                <w:tcPr>
                  <w:tcW w:w="943"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氨氮</w:t>
                  </w:r>
                </w:p>
              </w:tc>
              <w:tc>
                <w:tcPr>
                  <w:tcW w:w="943"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动植物油</w:t>
                  </w:r>
                </w:p>
              </w:tc>
              <w:tc>
                <w:tcPr>
                  <w:tcW w:w="85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磷酸盐</w:t>
                  </w:r>
                </w:p>
              </w:tc>
            </w:tr>
            <w:tr>
              <w:tblPrEx>
                <w:tblLayout w:type="fixed"/>
                <w:tblCellMar>
                  <w:top w:w="0" w:type="dxa"/>
                  <w:left w:w="108" w:type="dxa"/>
                  <w:bottom w:w="0" w:type="dxa"/>
                  <w:right w:w="108" w:type="dxa"/>
                </w:tblCellMar>
              </w:tblPrEx>
              <w:trPr>
                <w:trHeight w:val="392" w:hRule="atLeast"/>
              </w:trPr>
              <w:tc>
                <w:tcPr>
                  <w:tcW w:w="402"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化粪池进口</w:t>
                  </w: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产生浓度（mg/l）</w:t>
                  </w:r>
                </w:p>
              </w:tc>
              <w:tc>
                <w:tcPr>
                  <w:tcW w:w="1241"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w:t>
                  </w:r>
                </w:p>
              </w:tc>
              <w:tc>
                <w:tcPr>
                  <w:tcW w:w="943" w:type="dxa"/>
                  <w:tcBorders>
                    <w:top w:val="nil"/>
                    <w:left w:val="nil"/>
                    <w:bottom w:val="single" w:color="auto" w:sz="8" w:space="0"/>
                    <w:right w:val="single" w:color="auto" w:sz="8" w:space="0"/>
                  </w:tcBorders>
                  <w:shd w:val="clear" w:color="auto" w:fill="auto"/>
                  <w:vAlign w:val="center"/>
                </w:tcPr>
                <w:p>
                  <w:pPr>
                    <w:widowControl/>
                    <w:jc w:val="center"/>
                    <w:rPr>
                      <w:color w:val="000000"/>
                      <w:kern w:val="0"/>
                      <w:szCs w:val="21"/>
                    </w:rPr>
                  </w:pPr>
                  <w:r>
                    <w:rPr>
                      <w:color w:val="000000"/>
                      <w:szCs w:val="21"/>
                    </w:rPr>
                    <w:t>390</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220</w:t>
                  </w:r>
                </w:p>
              </w:tc>
              <w:tc>
                <w:tcPr>
                  <w:tcW w:w="784"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195</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34</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40</w:t>
                  </w:r>
                </w:p>
              </w:tc>
              <w:tc>
                <w:tcPr>
                  <w:tcW w:w="856"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8</w:t>
                  </w:r>
                </w:p>
              </w:tc>
            </w:tr>
            <w:tr>
              <w:tblPrEx>
                <w:tblLayout w:type="fixed"/>
                <w:tblCellMar>
                  <w:top w:w="0" w:type="dxa"/>
                  <w:left w:w="108" w:type="dxa"/>
                  <w:bottom w:w="0" w:type="dxa"/>
                  <w:right w:w="108" w:type="dxa"/>
                </w:tblCellMar>
              </w:tblPrEx>
              <w:trPr>
                <w:trHeight w:val="392" w:hRule="atLeast"/>
              </w:trPr>
              <w:tc>
                <w:tcPr>
                  <w:tcW w:w="402" w:type="dxa"/>
                  <w:vMerge w:val="continue"/>
                  <w:tcBorders>
                    <w:top w:val="nil"/>
                    <w:left w:val="single" w:color="auto" w:sz="8" w:space="0"/>
                    <w:bottom w:val="single" w:color="000000" w:sz="8" w:space="0"/>
                    <w:right w:val="single" w:color="auto" w:sz="8" w:space="0"/>
                  </w:tcBorders>
                  <w:vAlign w:val="center"/>
                </w:tcPr>
                <w:p>
                  <w:pPr>
                    <w:widowControl/>
                    <w:jc w:val="left"/>
                    <w:rPr>
                      <w:rFonts w:eastAsiaTheme="minorEastAsia"/>
                      <w:kern w:val="0"/>
                      <w:szCs w:val="21"/>
                    </w:rPr>
                  </w:pP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产生量（t/a）</w:t>
                  </w:r>
                </w:p>
              </w:tc>
              <w:tc>
                <w:tcPr>
                  <w:tcW w:w="1241"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2480</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0.967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0.546 </w:t>
                  </w:r>
                </w:p>
              </w:tc>
              <w:tc>
                <w:tcPr>
                  <w:tcW w:w="784"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0.484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0.084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0.099 </w:t>
                  </w:r>
                </w:p>
              </w:tc>
              <w:tc>
                <w:tcPr>
                  <w:tcW w:w="856"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0.020 </w:t>
                  </w:r>
                </w:p>
              </w:tc>
            </w:tr>
            <w:tr>
              <w:tblPrEx>
                <w:tblLayout w:type="fixed"/>
                <w:tblCellMar>
                  <w:top w:w="0" w:type="dxa"/>
                  <w:left w:w="108" w:type="dxa"/>
                  <w:bottom w:w="0" w:type="dxa"/>
                  <w:right w:w="108" w:type="dxa"/>
                </w:tblCellMar>
              </w:tblPrEx>
              <w:trPr>
                <w:trHeight w:val="392" w:hRule="atLeast"/>
              </w:trPr>
              <w:tc>
                <w:tcPr>
                  <w:tcW w:w="402"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化粪池出口</w:t>
                  </w: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产生浓度（mg/l）</w:t>
                  </w:r>
                </w:p>
              </w:tc>
              <w:tc>
                <w:tcPr>
                  <w:tcW w:w="1241"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312</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195</w:t>
                  </w:r>
                </w:p>
              </w:tc>
              <w:tc>
                <w:tcPr>
                  <w:tcW w:w="784"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136.5</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28</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20</w:t>
                  </w:r>
                </w:p>
              </w:tc>
              <w:tc>
                <w:tcPr>
                  <w:tcW w:w="856"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7</w:t>
                  </w:r>
                </w:p>
              </w:tc>
            </w:tr>
            <w:tr>
              <w:tblPrEx>
                <w:tblLayout w:type="fixed"/>
                <w:tblCellMar>
                  <w:top w:w="0" w:type="dxa"/>
                  <w:left w:w="108" w:type="dxa"/>
                  <w:bottom w:w="0" w:type="dxa"/>
                  <w:right w:w="108" w:type="dxa"/>
                </w:tblCellMar>
              </w:tblPrEx>
              <w:trPr>
                <w:trHeight w:val="392" w:hRule="atLeast"/>
              </w:trPr>
              <w:tc>
                <w:tcPr>
                  <w:tcW w:w="402" w:type="dxa"/>
                  <w:vMerge w:val="continue"/>
                  <w:tcBorders>
                    <w:top w:val="nil"/>
                    <w:left w:val="single" w:color="auto" w:sz="8" w:space="0"/>
                    <w:bottom w:val="single" w:color="000000" w:sz="8" w:space="0"/>
                    <w:right w:val="single" w:color="auto" w:sz="8" w:space="0"/>
                  </w:tcBorders>
                  <w:vAlign w:val="center"/>
                </w:tcPr>
                <w:p>
                  <w:pPr>
                    <w:widowControl/>
                    <w:jc w:val="left"/>
                    <w:rPr>
                      <w:rFonts w:eastAsiaTheme="minorEastAsia"/>
                      <w:kern w:val="0"/>
                      <w:szCs w:val="21"/>
                    </w:rPr>
                  </w:pP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产生量（t/a）</w:t>
                  </w:r>
                </w:p>
              </w:tc>
              <w:tc>
                <w:tcPr>
                  <w:tcW w:w="1241"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2480</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0.774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0.484 </w:t>
                  </w:r>
                </w:p>
              </w:tc>
              <w:tc>
                <w:tcPr>
                  <w:tcW w:w="784"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0.339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0.069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0.050 </w:t>
                  </w:r>
                </w:p>
              </w:tc>
              <w:tc>
                <w:tcPr>
                  <w:tcW w:w="856"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0.017 </w:t>
                  </w:r>
                </w:p>
              </w:tc>
            </w:tr>
            <w:tr>
              <w:tblPrEx>
                <w:tblLayout w:type="fixed"/>
                <w:tblCellMar>
                  <w:top w:w="0" w:type="dxa"/>
                  <w:left w:w="108" w:type="dxa"/>
                  <w:bottom w:w="0" w:type="dxa"/>
                  <w:right w:w="108" w:type="dxa"/>
                </w:tblCellMar>
              </w:tblPrEx>
              <w:trPr>
                <w:trHeight w:val="392" w:hRule="atLeast"/>
              </w:trPr>
              <w:tc>
                <w:tcPr>
                  <w:tcW w:w="402"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eastAsiaTheme="minorEastAsia"/>
                      <w:kern w:val="0"/>
                      <w:szCs w:val="21"/>
                    </w:rPr>
                  </w:pPr>
                  <w:r>
                    <w:rPr>
                      <w:rFonts w:hint="eastAsia" w:eastAsiaTheme="minorEastAsia"/>
                      <w:kern w:val="0"/>
                      <w:szCs w:val="21"/>
                    </w:rPr>
                    <w:t>隔油池出水生产废水</w:t>
                  </w: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产生浓度（mg/l）</w:t>
                  </w:r>
                </w:p>
              </w:tc>
              <w:tc>
                <w:tcPr>
                  <w:tcW w:w="1241"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800</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220</w:t>
                  </w:r>
                </w:p>
              </w:tc>
              <w:tc>
                <w:tcPr>
                  <w:tcW w:w="784"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400</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29</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6</w:t>
                  </w:r>
                </w:p>
              </w:tc>
              <w:tc>
                <w:tcPr>
                  <w:tcW w:w="856"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8</w:t>
                  </w:r>
                </w:p>
              </w:tc>
            </w:tr>
            <w:tr>
              <w:tblPrEx>
                <w:tblLayout w:type="fixed"/>
                <w:tblCellMar>
                  <w:top w:w="0" w:type="dxa"/>
                  <w:left w:w="108" w:type="dxa"/>
                  <w:bottom w:w="0" w:type="dxa"/>
                  <w:right w:w="108" w:type="dxa"/>
                </w:tblCellMar>
              </w:tblPrEx>
              <w:trPr>
                <w:trHeight w:val="392" w:hRule="atLeast"/>
              </w:trPr>
              <w:tc>
                <w:tcPr>
                  <w:tcW w:w="402" w:type="dxa"/>
                  <w:vMerge w:val="continue"/>
                  <w:tcBorders>
                    <w:top w:val="nil"/>
                    <w:left w:val="single" w:color="auto" w:sz="8" w:space="0"/>
                    <w:bottom w:val="single" w:color="000000" w:sz="8" w:space="0"/>
                    <w:right w:val="single" w:color="auto" w:sz="8" w:space="0"/>
                  </w:tcBorders>
                  <w:vAlign w:val="center"/>
                </w:tcPr>
                <w:p>
                  <w:pPr>
                    <w:widowControl/>
                    <w:jc w:val="left"/>
                    <w:rPr>
                      <w:rFonts w:eastAsiaTheme="minorEastAsia"/>
                      <w:kern w:val="0"/>
                      <w:szCs w:val="21"/>
                    </w:rPr>
                  </w:pP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产生量（t/a）</w:t>
                  </w:r>
                </w:p>
              </w:tc>
              <w:tc>
                <w:tcPr>
                  <w:tcW w:w="1241"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356.682</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0.285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0.078 </w:t>
                  </w:r>
                </w:p>
              </w:tc>
              <w:tc>
                <w:tcPr>
                  <w:tcW w:w="784"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0.143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0.010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0.002 </w:t>
                  </w:r>
                </w:p>
              </w:tc>
              <w:tc>
                <w:tcPr>
                  <w:tcW w:w="856"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0.003 </w:t>
                  </w:r>
                </w:p>
              </w:tc>
            </w:tr>
            <w:tr>
              <w:tblPrEx>
                <w:tblLayout w:type="fixed"/>
                <w:tblCellMar>
                  <w:top w:w="0" w:type="dxa"/>
                  <w:left w:w="108" w:type="dxa"/>
                  <w:bottom w:w="0" w:type="dxa"/>
                  <w:right w:w="108" w:type="dxa"/>
                </w:tblCellMar>
              </w:tblPrEx>
              <w:trPr>
                <w:trHeight w:val="392" w:hRule="atLeast"/>
              </w:trPr>
              <w:tc>
                <w:tcPr>
                  <w:tcW w:w="402"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污水处理站进口浓度</w:t>
                  </w: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产生浓度（mg/l）</w:t>
                  </w:r>
                </w:p>
              </w:tc>
              <w:tc>
                <w:tcPr>
                  <w:tcW w:w="1241"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373.361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198.143 </w:t>
                  </w:r>
                </w:p>
              </w:tc>
              <w:tc>
                <w:tcPr>
                  <w:tcW w:w="784"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169.632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28.126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18.240 </w:t>
                  </w:r>
                </w:p>
              </w:tc>
              <w:tc>
                <w:tcPr>
                  <w:tcW w:w="856"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7.126 </w:t>
                  </w:r>
                </w:p>
              </w:tc>
            </w:tr>
            <w:tr>
              <w:tblPrEx>
                <w:tblLayout w:type="fixed"/>
                <w:tblCellMar>
                  <w:top w:w="0" w:type="dxa"/>
                  <w:left w:w="108" w:type="dxa"/>
                  <w:bottom w:w="0" w:type="dxa"/>
                  <w:right w:w="108" w:type="dxa"/>
                </w:tblCellMar>
              </w:tblPrEx>
              <w:trPr>
                <w:trHeight w:val="392" w:hRule="atLeast"/>
              </w:trPr>
              <w:tc>
                <w:tcPr>
                  <w:tcW w:w="402" w:type="dxa"/>
                  <w:vMerge w:val="continue"/>
                  <w:tcBorders>
                    <w:top w:val="nil"/>
                    <w:left w:val="single" w:color="auto" w:sz="8" w:space="0"/>
                    <w:bottom w:val="single" w:color="000000" w:sz="8" w:space="0"/>
                    <w:right w:val="single" w:color="auto" w:sz="8" w:space="0"/>
                  </w:tcBorders>
                  <w:vAlign w:val="center"/>
                </w:tcPr>
                <w:p>
                  <w:pPr>
                    <w:widowControl/>
                    <w:jc w:val="left"/>
                    <w:rPr>
                      <w:rFonts w:eastAsiaTheme="minorEastAsia"/>
                      <w:kern w:val="0"/>
                      <w:szCs w:val="21"/>
                    </w:rPr>
                  </w:pP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产生量（t/a）</w:t>
                  </w:r>
                </w:p>
              </w:tc>
              <w:tc>
                <w:tcPr>
                  <w:tcW w:w="1241"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2836.682</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1.059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0.562 </w:t>
                  </w:r>
                </w:p>
              </w:tc>
              <w:tc>
                <w:tcPr>
                  <w:tcW w:w="784"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0.481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0.080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0.052 </w:t>
                  </w:r>
                </w:p>
              </w:tc>
              <w:tc>
                <w:tcPr>
                  <w:tcW w:w="856"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0.020 </w:t>
                  </w:r>
                </w:p>
              </w:tc>
            </w:tr>
            <w:tr>
              <w:tblPrEx>
                <w:tblLayout w:type="fixed"/>
                <w:tblCellMar>
                  <w:top w:w="0" w:type="dxa"/>
                  <w:left w:w="108" w:type="dxa"/>
                  <w:bottom w:w="0" w:type="dxa"/>
                  <w:right w:w="108" w:type="dxa"/>
                </w:tblCellMar>
              </w:tblPrEx>
              <w:trPr>
                <w:trHeight w:val="392" w:hRule="atLeast"/>
              </w:trPr>
              <w:tc>
                <w:tcPr>
                  <w:tcW w:w="402"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总排口</w:t>
                  </w:r>
                </w:p>
              </w:tc>
              <w:tc>
                <w:tcPr>
                  <w:tcW w:w="709"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排放浓度（mg/l）</w:t>
                  </w:r>
                </w:p>
              </w:tc>
              <w:tc>
                <w:tcPr>
                  <w:tcW w:w="1241" w:type="dxa"/>
                  <w:tcBorders>
                    <w:top w:val="nil"/>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64.218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16.842 </w:t>
                  </w:r>
                </w:p>
              </w:tc>
              <w:tc>
                <w:tcPr>
                  <w:tcW w:w="784"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13.571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7.031 </w:t>
                  </w:r>
                </w:p>
              </w:tc>
              <w:tc>
                <w:tcPr>
                  <w:tcW w:w="943"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11.856 </w:t>
                  </w:r>
                </w:p>
              </w:tc>
              <w:tc>
                <w:tcPr>
                  <w:tcW w:w="856" w:type="dxa"/>
                  <w:tcBorders>
                    <w:top w:val="nil"/>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 xml:space="preserve">4.988 </w:t>
                  </w:r>
                </w:p>
              </w:tc>
            </w:tr>
            <w:tr>
              <w:tblPrEx>
                <w:tblLayout w:type="fixed"/>
                <w:tblCellMar>
                  <w:top w:w="0" w:type="dxa"/>
                  <w:left w:w="108" w:type="dxa"/>
                  <w:bottom w:w="0" w:type="dxa"/>
                  <w:right w:w="108" w:type="dxa"/>
                </w:tblCellMar>
              </w:tblPrEx>
              <w:trPr>
                <w:trHeight w:val="904" w:hRule="atLeast"/>
              </w:trPr>
              <w:tc>
                <w:tcPr>
                  <w:tcW w:w="402" w:type="dxa"/>
                  <w:vMerge w:val="continue"/>
                  <w:tcBorders>
                    <w:top w:val="nil"/>
                    <w:left w:val="single" w:color="auto" w:sz="8" w:space="0"/>
                    <w:bottom w:val="single" w:color="auto" w:sz="4" w:space="0"/>
                    <w:right w:val="single" w:color="auto" w:sz="8" w:space="0"/>
                  </w:tcBorders>
                  <w:vAlign w:val="center"/>
                </w:tcPr>
                <w:p>
                  <w:pPr>
                    <w:widowControl/>
                    <w:jc w:val="left"/>
                    <w:rPr>
                      <w:rFonts w:eastAsiaTheme="minorEastAsia"/>
                      <w:kern w:val="0"/>
                      <w:szCs w:val="21"/>
                    </w:rPr>
                  </w:pPr>
                </w:p>
              </w:tc>
              <w:tc>
                <w:tcPr>
                  <w:tcW w:w="709" w:type="dxa"/>
                  <w:tcBorders>
                    <w:top w:val="nil"/>
                    <w:left w:val="nil"/>
                    <w:bottom w:val="single" w:color="auto" w:sz="4"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排放量（t/a）</w:t>
                  </w:r>
                </w:p>
              </w:tc>
              <w:tc>
                <w:tcPr>
                  <w:tcW w:w="1241" w:type="dxa"/>
                  <w:tcBorders>
                    <w:top w:val="nil"/>
                    <w:left w:val="nil"/>
                    <w:bottom w:val="single" w:color="auto" w:sz="4" w:space="0"/>
                    <w:right w:val="single" w:color="auto" w:sz="8" w:space="0"/>
                  </w:tcBorders>
                  <w:shd w:val="clear" w:color="auto" w:fill="auto"/>
                  <w:vAlign w:val="center"/>
                </w:tcPr>
                <w:p>
                  <w:pPr>
                    <w:widowControl/>
                    <w:jc w:val="center"/>
                    <w:rPr>
                      <w:rFonts w:eastAsiaTheme="minorEastAsia"/>
                      <w:kern w:val="0"/>
                      <w:szCs w:val="21"/>
                    </w:rPr>
                  </w:pPr>
                  <w:r>
                    <w:rPr>
                      <w:rFonts w:eastAsiaTheme="minorEastAsia"/>
                      <w:kern w:val="0"/>
                      <w:szCs w:val="21"/>
                    </w:rPr>
                    <w:t>2836.682</w:t>
                  </w:r>
                </w:p>
              </w:tc>
              <w:tc>
                <w:tcPr>
                  <w:tcW w:w="943" w:type="dxa"/>
                  <w:tcBorders>
                    <w:top w:val="nil"/>
                    <w:left w:val="nil"/>
                    <w:bottom w:val="single" w:color="auto" w:sz="4" w:space="0"/>
                    <w:right w:val="single" w:color="auto" w:sz="8" w:space="0"/>
                  </w:tcBorders>
                  <w:shd w:val="clear" w:color="auto" w:fill="auto"/>
                  <w:vAlign w:val="center"/>
                </w:tcPr>
                <w:p>
                  <w:pPr>
                    <w:jc w:val="center"/>
                    <w:rPr>
                      <w:color w:val="000000"/>
                      <w:szCs w:val="21"/>
                    </w:rPr>
                  </w:pPr>
                  <w:r>
                    <w:rPr>
                      <w:color w:val="000000"/>
                      <w:szCs w:val="21"/>
                    </w:rPr>
                    <w:t xml:space="preserve">0.182 </w:t>
                  </w:r>
                </w:p>
              </w:tc>
              <w:tc>
                <w:tcPr>
                  <w:tcW w:w="943" w:type="dxa"/>
                  <w:tcBorders>
                    <w:top w:val="nil"/>
                    <w:left w:val="nil"/>
                    <w:bottom w:val="single" w:color="auto" w:sz="4" w:space="0"/>
                    <w:right w:val="single" w:color="auto" w:sz="8" w:space="0"/>
                  </w:tcBorders>
                  <w:shd w:val="clear" w:color="auto" w:fill="auto"/>
                  <w:vAlign w:val="center"/>
                </w:tcPr>
                <w:p>
                  <w:pPr>
                    <w:jc w:val="center"/>
                    <w:rPr>
                      <w:color w:val="000000"/>
                      <w:szCs w:val="21"/>
                    </w:rPr>
                  </w:pPr>
                  <w:r>
                    <w:rPr>
                      <w:color w:val="000000"/>
                      <w:szCs w:val="21"/>
                    </w:rPr>
                    <w:t xml:space="preserve">0.048 </w:t>
                  </w:r>
                </w:p>
              </w:tc>
              <w:tc>
                <w:tcPr>
                  <w:tcW w:w="784" w:type="dxa"/>
                  <w:tcBorders>
                    <w:top w:val="nil"/>
                    <w:left w:val="nil"/>
                    <w:bottom w:val="single" w:color="auto" w:sz="4" w:space="0"/>
                    <w:right w:val="single" w:color="auto" w:sz="8" w:space="0"/>
                  </w:tcBorders>
                  <w:shd w:val="clear" w:color="auto" w:fill="auto"/>
                  <w:vAlign w:val="center"/>
                </w:tcPr>
                <w:p>
                  <w:pPr>
                    <w:jc w:val="center"/>
                    <w:rPr>
                      <w:color w:val="000000"/>
                      <w:szCs w:val="21"/>
                    </w:rPr>
                  </w:pPr>
                  <w:r>
                    <w:rPr>
                      <w:color w:val="000000"/>
                      <w:szCs w:val="21"/>
                    </w:rPr>
                    <w:t xml:space="preserve">0.038 </w:t>
                  </w:r>
                </w:p>
              </w:tc>
              <w:tc>
                <w:tcPr>
                  <w:tcW w:w="943" w:type="dxa"/>
                  <w:tcBorders>
                    <w:top w:val="nil"/>
                    <w:left w:val="nil"/>
                    <w:bottom w:val="single" w:color="auto" w:sz="4" w:space="0"/>
                    <w:right w:val="single" w:color="auto" w:sz="8" w:space="0"/>
                  </w:tcBorders>
                  <w:shd w:val="clear" w:color="auto" w:fill="auto"/>
                  <w:vAlign w:val="center"/>
                </w:tcPr>
                <w:p>
                  <w:pPr>
                    <w:jc w:val="center"/>
                    <w:rPr>
                      <w:color w:val="000000"/>
                      <w:szCs w:val="21"/>
                    </w:rPr>
                  </w:pPr>
                  <w:r>
                    <w:rPr>
                      <w:color w:val="000000"/>
                      <w:szCs w:val="21"/>
                    </w:rPr>
                    <w:t xml:space="preserve">0.020 </w:t>
                  </w:r>
                </w:p>
              </w:tc>
              <w:tc>
                <w:tcPr>
                  <w:tcW w:w="943" w:type="dxa"/>
                  <w:tcBorders>
                    <w:top w:val="nil"/>
                    <w:left w:val="nil"/>
                    <w:bottom w:val="single" w:color="auto" w:sz="4" w:space="0"/>
                    <w:right w:val="single" w:color="auto" w:sz="8" w:space="0"/>
                  </w:tcBorders>
                  <w:shd w:val="clear" w:color="auto" w:fill="auto"/>
                  <w:vAlign w:val="center"/>
                </w:tcPr>
                <w:p>
                  <w:pPr>
                    <w:jc w:val="center"/>
                    <w:rPr>
                      <w:color w:val="000000"/>
                      <w:szCs w:val="21"/>
                    </w:rPr>
                  </w:pPr>
                  <w:r>
                    <w:rPr>
                      <w:color w:val="000000"/>
                      <w:szCs w:val="21"/>
                    </w:rPr>
                    <w:t xml:space="preserve">0.034 </w:t>
                  </w:r>
                </w:p>
              </w:tc>
              <w:tc>
                <w:tcPr>
                  <w:tcW w:w="856" w:type="dxa"/>
                  <w:tcBorders>
                    <w:top w:val="nil"/>
                    <w:left w:val="nil"/>
                    <w:bottom w:val="single" w:color="auto" w:sz="4" w:space="0"/>
                    <w:right w:val="single" w:color="auto" w:sz="8" w:space="0"/>
                  </w:tcBorders>
                  <w:shd w:val="clear" w:color="auto" w:fill="auto"/>
                  <w:vAlign w:val="center"/>
                </w:tcPr>
                <w:p>
                  <w:pPr>
                    <w:jc w:val="center"/>
                    <w:rPr>
                      <w:color w:val="000000"/>
                      <w:szCs w:val="21"/>
                    </w:rPr>
                  </w:pPr>
                  <w:r>
                    <w:rPr>
                      <w:color w:val="000000"/>
                      <w:szCs w:val="21"/>
                    </w:rPr>
                    <w:t xml:space="preserve">0.014 </w:t>
                  </w:r>
                </w:p>
              </w:tc>
            </w:tr>
            <w:tr>
              <w:tblPrEx>
                <w:tblLayout w:type="fixed"/>
                <w:tblCellMar>
                  <w:top w:w="0" w:type="dxa"/>
                  <w:left w:w="108" w:type="dxa"/>
                  <w:bottom w:w="0" w:type="dxa"/>
                  <w:right w:w="108" w:type="dxa"/>
                </w:tblCellMar>
              </w:tblPrEx>
              <w:trPr>
                <w:trHeight w:val="92" w:hRule="atLeast"/>
              </w:trPr>
              <w:tc>
                <w:tcPr>
                  <w:tcW w:w="1111" w:type="dxa"/>
                  <w:gridSpan w:val="2"/>
                  <w:tcBorders>
                    <w:top w:val="single" w:color="auto" w:sz="4" w:space="0"/>
                    <w:left w:val="single" w:color="auto" w:sz="8" w:space="0"/>
                    <w:bottom w:val="single" w:color="auto" w:sz="4" w:space="0"/>
                    <w:right w:val="single" w:color="auto" w:sz="8" w:space="0"/>
                  </w:tcBorders>
                  <w:vAlign w:val="center"/>
                </w:tcPr>
                <w:p>
                  <w:pPr>
                    <w:widowControl/>
                    <w:jc w:val="center"/>
                    <w:rPr>
                      <w:rFonts w:eastAsiaTheme="minorEastAsia"/>
                      <w:kern w:val="0"/>
                      <w:szCs w:val="21"/>
                    </w:rPr>
                  </w:pPr>
                  <w:r>
                    <w:rPr>
                      <w:rFonts w:eastAsiaTheme="minorEastAsia"/>
                      <w:kern w:val="0"/>
                      <w:szCs w:val="21"/>
                    </w:rPr>
                    <w:t>执行标准</w:t>
                  </w:r>
                </w:p>
              </w:tc>
              <w:tc>
                <w:tcPr>
                  <w:tcW w:w="1241" w:type="dxa"/>
                  <w:tcBorders>
                    <w:top w:val="single" w:color="auto" w:sz="4" w:space="0"/>
                    <w:left w:val="nil"/>
                    <w:bottom w:val="single" w:color="auto" w:sz="4" w:space="0"/>
                    <w:right w:val="single" w:color="auto" w:sz="8" w:space="0"/>
                  </w:tcBorders>
                  <w:shd w:val="clear" w:color="auto" w:fill="auto"/>
                  <w:vAlign w:val="center"/>
                </w:tcPr>
                <w:p>
                  <w:pPr>
                    <w:widowControl/>
                    <w:jc w:val="center"/>
                    <w:rPr>
                      <w:rFonts w:eastAsiaTheme="minorEastAsia"/>
                      <w:kern w:val="0"/>
                      <w:szCs w:val="21"/>
                    </w:rPr>
                  </w:pPr>
                </w:p>
              </w:tc>
              <w:tc>
                <w:tcPr>
                  <w:tcW w:w="943" w:type="dxa"/>
                  <w:tcBorders>
                    <w:top w:val="single" w:color="auto" w:sz="4" w:space="0"/>
                    <w:left w:val="nil"/>
                    <w:bottom w:val="single" w:color="auto" w:sz="4" w:space="0"/>
                    <w:right w:val="single" w:color="auto" w:sz="8" w:space="0"/>
                  </w:tcBorders>
                  <w:shd w:val="clear" w:color="auto" w:fill="auto"/>
                  <w:vAlign w:val="center"/>
                </w:tcPr>
                <w:p>
                  <w:pPr>
                    <w:jc w:val="center"/>
                    <w:rPr>
                      <w:color w:val="000000"/>
                      <w:szCs w:val="21"/>
                    </w:rPr>
                  </w:pPr>
                  <w:r>
                    <w:rPr>
                      <w:rFonts w:hint="eastAsia"/>
                      <w:color w:val="000000"/>
                      <w:szCs w:val="21"/>
                    </w:rPr>
                    <w:t>5</w:t>
                  </w:r>
                  <w:r>
                    <w:rPr>
                      <w:color w:val="000000"/>
                      <w:szCs w:val="21"/>
                    </w:rPr>
                    <w:t>00</w:t>
                  </w:r>
                </w:p>
              </w:tc>
              <w:tc>
                <w:tcPr>
                  <w:tcW w:w="943" w:type="dxa"/>
                  <w:tcBorders>
                    <w:top w:val="single" w:color="auto" w:sz="4" w:space="0"/>
                    <w:left w:val="nil"/>
                    <w:bottom w:val="single" w:color="auto" w:sz="4" w:space="0"/>
                    <w:right w:val="single" w:color="auto" w:sz="8" w:space="0"/>
                  </w:tcBorders>
                  <w:shd w:val="clear" w:color="auto" w:fill="auto"/>
                  <w:vAlign w:val="center"/>
                </w:tcPr>
                <w:p>
                  <w:pPr>
                    <w:jc w:val="center"/>
                    <w:rPr>
                      <w:color w:val="000000"/>
                      <w:szCs w:val="21"/>
                    </w:rPr>
                  </w:pPr>
                  <w:r>
                    <w:rPr>
                      <w:rFonts w:hint="eastAsia"/>
                      <w:color w:val="000000"/>
                      <w:szCs w:val="21"/>
                    </w:rPr>
                    <w:t>3</w:t>
                  </w:r>
                  <w:r>
                    <w:rPr>
                      <w:color w:val="000000"/>
                      <w:szCs w:val="21"/>
                    </w:rPr>
                    <w:t>00</w:t>
                  </w:r>
                </w:p>
              </w:tc>
              <w:tc>
                <w:tcPr>
                  <w:tcW w:w="784" w:type="dxa"/>
                  <w:tcBorders>
                    <w:top w:val="single" w:color="auto" w:sz="4" w:space="0"/>
                    <w:left w:val="nil"/>
                    <w:bottom w:val="single" w:color="auto" w:sz="4" w:space="0"/>
                    <w:right w:val="single" w:color="auto" w:sz="8" w:space="0"/>
                  </w:tcBorders>
                  <w:shd w:val="clear" w:color="auto" w:fill="auto"/>
                  <w:vAlign w:val="center"/>
                </w:tcPr>
                <w:p>
                  <w:pPr>
                    <w:jc w:val="center"/>
                    <w:rPr>
                      <w:color w:val="000000"/>
                      <w:szCs w:val="21"/>
                    </w:rPr>
                  </w:pPr>
                  <w:r>
                    <w:rPr>
                      <w:rFonts w:hint="eastAsia"/>
                      <w:color w:val="000000"/>
                      <w:szCs w:val="21"/>
                    </w:rPr>
                    <w:t>4</w:t>
                  </w:r>
                  <w:r>
                    <w:rPr>
                      <w:color w:val="000000"/>
                      <w:szCs w:val="21"/>
                    </w:rPr>
                    <w:t>00</w:t>
                  </w:r>
                </w:p>
              </w:tc>
              <w:tc>
                <w:tcPr>
                  <w:tcW w:w="943" w:type="dxa"/>
                  <w:tcBorders>
                    <w:top w:val="single" w:color="auto" w:sz="4" w:space="0"/>
                    <w:left w:val="nil"/>
                    <w:bottom w:val="single" w:color="auto" w:sz="4" w:space="0"/>
                    <w:right w:val="single" w:color="auto" w:sz="8" w:space="0"/>
                  </w:tcBorders>
                  <w:shd w:val="clear" w:color="auto" w:fill="auto"/>
                  <w:vAlign w:val="center"/>
                </w:tcPr>
                <w:p>
                  <w:pPr>
                    <w:jc w:val="center"/>
                    <w:rPr>
                      <w:color w:val="000000"/>
                      <w:szCs w:val="21"/>
                    </w:rPr>
                  </w:pPr>
                  <w:r>
                    <w:rPr>
                      <w:rFonts w:hint="eastAsia"/>
                      <w:color w:val="000000"/>
                      <w:szCs w:val="21"/>
                    </w:rPr>
                    <w:t>4</w:t>
                  </w:r>
                  <w:r>
                    <w:rPr>
                      <w:color w:val="000000"/>
                      <w:szCs w:val="21"/>
                    </w:rPr>
                    <w:t>5</w:t>
                  </w:r>
                </w:p>
              </w:tc>
              <w:tc>
                <w:tcPr>
                  <w:tcW w:w="943" w:type="dxa"/>
                  <w:tcBorders>
                    <w:top w:val="single" w:color="auto" w:sz="4" w:space="0"/>
                    <w:left w:val="nil"/>
                    <w:bottom w:val="single" w:color="auto" w:sz="4" w:space="0"/>
                    <w:right w:val="single" w:color="auto" w:sz="8" w:space="0"/>
                  </w:tcBorders>
                  <w:shd w:val="clear" w:color="auto" w:fill="auto"/>
                  <w:vAlign w:val="center"/>
                </w:tcPr>
                <w:p>
                  <w:pPr>
                    <w:jc w:val="center"/>
                    <w:rPr>
                      <w:color w:val="000000"/>
                      <w:szCs w:val="21"/>
                    </w:rPr>
                  </w:pPr>
                  <w:r>
                    <w:rPr>
                      <w:rFonts w:hint="eastAsia"/>
                      <w:color w:val="000000"/>
                      <w:szCs w:val="21"/>
                    </w:rPr>
                    <w:t>1</w:t>
                  </w:r>
                  <w:r>
                    <w:rPr>
                      <w:color w:val="000000"/>
                      <w:szCs w:val="21"/>
                    </w:rPr>
                    <w:t>00</w:t>
                  </w:r>
                </w:p>
              </w:tc>
              <w:tc>
                <w:tcPr>
                  <w:tcW w:w="856" w:type="dxa"/>
                  <w:tcBorders>
                    <w:top w:val="single" w:color="auto" w:sz="4" w:space="0"/>
                    <w:left w:val="nil"/>
                    <w:bottom w:val="single" w:color="auto" w:sz="4" w:space="0"/>
                    <w:right w:val="single" w:color="auto" w:sz="8" w:space="0"/>
                  </w:tcBorders>
                  <w:shd w:val="clear" w:color="auto" w:fill="auto"/>
                  <w:vAlign w:val="center"/>
                </w:tcPr>
                <w:p>
                  <w:pPr>
                    <w:jc w:val="center"/>
                    <w:rPr>
                      <w:color w:val="000000"/>
                      <w:szCs w:val="21"/>
                    </w:rPr>
                  </w:pPr>
                  <w:r>
                    <w:rPr>
                      <w:rFonts w:hint="eastAsia"/>
                      <w:color w:val="000000"/>
                      <w:szCs w:val="21"/>
                    </w:rPr>
                    <w:t>8</w:t>
                  </w:r>
                </w:p>
              </w:tc>
            </w:tr>
            <w:tr>
              <w:tblPrEx>
                <w:tblLayout w:type="fixed"/>
                <w:tblCellMar>
                  <w:top w:w="0" w:type="dxa"/>
                  <w:left w:w="108" w:type="dxa"/>
                  <w:bottom w:w="0" w:type="dxa"/>
                  <w:right w:w="108" w:type="dxa"/>
                </w:tblCellMar>
              </w:tblPrEx>
              <w:trPr>
                <w:trHeight w:val="138" w:hRule="atLeast"/>
              </w:trPr>
              <w:tc>
                <w:tcPr>
                  <w:tcW w:w="1111" w:type="dxa"/>
                  <w:gridSpan w:val="2"/>
                  <w:tcBorders>
                    <w:top w:val="single" w:color="auto" w:sz="4" w:space="0"/>
                    <w:left w:val="single" w:color="auto" w:sz="8" w:space="0"/>
                    <w:bottom w:val="single" w:color="000000" w:sz="8" w:space="0"/>
                    <w:right w:val="single" w:color="auto" w:sz="8" w:space="0"/>
                  </w:tcBorders>
                  <w:vAlign w:val="center"/>
                </w:tcPr>
                <w:p>
                  <w:pPr>
                    <w:widowControl/>
                    <w:jc w:val="center"/>
                    <w:rPr>
                      <w:rFonts w:eastAsiaTheme="minorEastAsia"/>
                      <w:kern w:val="0"/>
                      <w:szCs w:val="21"/>
                    </w:rPr>
                  </w:pPr>
                  <w:r>
                    <w:rPr>
                      <w:rFonts w:eastAsiaTheme="minorEastAsia"/>
                      <w:kern w:val="0"/>
                      <w:szCs w:val="21"/>
                    </w:rPr>
                    <w:t>达标性评价</w:t>
                  </w:r>
                </w:p>
              </w:tc>
              <w:tc>
                <w:tcPr>
                  <w:tcW w:w="1241" w:type="dxa"/>
                  <w:tcBorders>
                    <w:top w:val="single" w:color="auto" w:sz="4" w:space="0"/>
                    <w:left w:val="nil"/>
                    <w:bottom w:val="single" w:color="auto" w:sz="8" w:space="0"/>
                    <w:right w:val="single" w:color="auto" w:sz="8" w:space="0"/>
                  </w:tcBorders>
                  <w:shd w:val="clear" w:color="auto" w:fill="auto"/>
                  <w:vAlign w:val="center"/>
                </w:tcPr>
                <w:p>
                  <w:pPr>
                    <w:widowControl/>
                    <w:jc w:val="center"/>
                    <w:rPr>
                      <w:rFonts w:eastAsiaTheme="minorEastAsia"/>
                      <w:kern w:val="0"/>
                      <w:szCs w:val="21"/>
                    </w:rPr>
                  </w:pPr>
                </w:p>
              </w:tc>
              <w:tc>
                <w:tcPr>
                  <w:tcW w:w="943" w:type="dxa"/>
                  <w:tcBorders>
                    <w:top w:val="single" w:color="auto" w:sz="4" w:space="0"/>
                    <w:left w:val="nil"/>
                    <w:bottom w:val="single" w:color="auto" w:sz="8" w:space="0"/>
                    <w:right w:val="single" w:color="auto" w:sz="8" w:space="0"/>
                  </w:tcBorders>
                  <w:shd w:val="clear" w:color="auto" w:fill="auto"/>
                  <w:vAlign w:val="center"/>
                </w:tcPr>
                <w:p>
                  <w:pPr>
                    <w:jc w:val="center"/>
                    <w:rPr>
                      <w:color w:val="000000"/>
                      <w:szCs w:val="21"/>
                    </w:rPr>
                  </w:pPr>
                  <w:r>
                    <w:rPr>
                      <w:color w:val="000000"/>
                      <w:szCs w:val="21"/>
                    </w:rPr>
                    <w:t>达标</w:t>
                  </w:r>
                </w:p>
              </w:tc>
              <w:tc>
                <w:tcPr>
                  <w:tcW w:w="943" w:type="dxa"/>
                  <w:tcBorders>
                    <w:top w:val="single" w:color="auto" w:sz="4" w:space="0"/>
                    <w:left w:val="nil"/>
                    <w:bottom w:val="single" w:color="auto" w:sz="8" w:space="0"/>
                    <w:right w:val="single" w:color="auto" w:sz="8" w:space="0"/>
                  </w:tcBorders>
                  <w:shd w:val="clear" w:color="auto" w:fill="auto"/>
                </w:tcPr>
                <w:p>
                  <w:r>
                    <w:rPr>
                      <w:color w:val="000000"/>
                      <w:szCs w:val="21"/>
                    </w:rPr>
                    <w:t>达标</w:t>
                  </w:r>
                </w:p>
              </w:tc>
              <w:tc>
                <w:tcPr>
                  <w:tcW w:w="784" w:type="dxa"/>
                  <w:tcBorders>
                    <w:top w:val="single" w:color="auto" w:sz="4" w:space="0"/>
                    <w:left w:val="nil"/>
                    <w:bottom w:val="single" w:color="auto" w:sz="8" w:space="0"/>
                    <w:right w:val="single" w:color="auto" w:sz="8" w:space="0"/>
                  </w:tcBorders>
                  <w:shd w:val="clear" w:color="auto" w:fill="auto"/>
                </w:tcPr>
                <w:p>
                  <w:r>
                    <w:rPr>
                      <w:color w:val="000000"/>
                      <w:szCs w:val="21"/>
                    </w:rPr>
                    <w:t>达标</w:t>
                  </w:r>
                </w:p>
              </w:tc>
              <w:tc>
                <w:tcPr>
                  <w:tcW w:w="943" w:type="dxa"/>
                  <w:tcBorders>
                    <w:top w:val="single" w:color="auto" w:sz="4" w:space="0"/>
                    <w:left w:val="nil"/>
                    <w:bottom w:val="single" w:color="auto" w:sz="8" w:space="0"/>
                    <w:right w:val="single" w:color="auto" w:sz="8" w:space="0"/>
                  </w:tcBorders>
                  <w:shd w:val="clear" w:color="auto" w:fill="auto"/>
                </w:tcPr>
                <w:p>
                  <w:r>
                    <w:rPr>
                      <w:color w:val="000000"/>
                      <w:szCs w:val="21"/>
                    </w:rPr>
                    <w:t>达标</w:t>
                  </w:r>
                </w:p>
              </w:tc>
              <w:tc>
                <w:tcPr>
                  <w:tcW w:w="943" w:type="dxa"/>
                  <w:tcBorders>
                    <w:top w:val="single" w:color="auto" w:sz="4" w:space="0"/>
                    <w:left w:val="nil"/>
                    <w:bottom w:val="single" w:color="auto" w:sz="8" w:space="0"/>
                    <w:right w:val="single" w:color="auto" w:sz="8" w:space="0"/>
                  </w:tcBorders>
                  <w:shd w:val="clear" w:color="auto" w:fill="auto"/>
                </w:tcPr>
                <w:p>
                  <w:r>
                    <w:rPr>
                      <w:color w:val="000000"/>
                      <w:szCs w:val="21"/>
                    </w:rPr>
                    <w:t>达标</w:t>
                  </w:r>
                </w:p>
              </w:tc>
              <w:tc>
                <w:tcPr>
                  <w:tcW w:w="856" w:type="dxa"/>
                  <w:tcBorders>
                    <w:top w:val="single" w:color="auto" w:sz="4" w:space="0"/>
                    <w:left w:val="nil"/>
                    <w:bottom w:val="single" w:color="auto" w:sz="8" w:space="0"/>
                    <w:right w:val="single" w:color="auto" w:sz="8" w:space="0"/>
                  </w:tcBorders>
                  <w:shd w:val="clear" w:color="auto" w:fill="auto"/>
                </w:tcPr>
                <w:p>
                  <w:r>
                    <w:rPr>
                      <w:color w:val="000000"/>
                      <w:szCs w:val="21"/>
                    </w:rPr>
                    <w:t>达标</w:t>
                  </w:r>
                </w:p>
              </w:tc>
            </w:tr>
          </w:tbl>
          <w:p>
            <w:pPr>
              <w:spacing w:line="360" w:lineRule="auto"/>
              <w:ind w:firstLine="480" w:firstLineChars="200"/>
              <w:rPr>
                <w:rFonts w:eastAsiaTheme="minorEastAsia"/>
                <w:kern w:val="0"/>
                <w:sz w:val="24"/>
              </w:rPr>
            </w:pPr>
            <w:r>
              <w:rPr>
                <w:rFonts w:eastAsiaTheme="minorEastAsia"/>
                <w:kern w:val="0"/>
                <w:sz w:val="24"/>
              </w:rPr>
              <w:t>4、排水方式</w:t>
            </w:r>
          </w:p>
          <w:p>
            <w:pPr>
              <w:spacing w:line="360" w:lineRule="auto"/>
              <w:ind w:firstLine="480" w:firstLineChars="200"/>
              <w:rPr>
                <w:rFonts w:eastAsiaTheme="minorEastAsia"/>
                <w:sz w:val="24"/>
                <w:szCs w:val="22"/>
              </w:rPr>
            </w:pPr>
            <w:r>
              <w:rPr>
                <w:rFonts w:hint="eastAsia" w:eastAsiaTheme="minorEastAsia"/>
                <w:kern w:val="0"/>
                <w:sz w:val="24"/>
              </w:rPr>
              <w:t>本项目废水主要为生活废水和生产废水，生产废水主要来自于地坪冲洗和车体清洗水，生产废水通过一期已建隔油池处理后排入污水处理站，餐饮废水通过已建餐饮废水隔油池处理后同其他生活污水一同排入化粪池处理后排入污水处理站。近期处理后非雨天回用于厂区绿化，雨天在污水处理站暂存；远期处理后非雨天回用于厂区绿化，雨天通过总排口排入滇池南岸截污管网，最终进入淤泥河污水处理厂。回用水水质执行执行</w:t>
            </w:r>
            <w:r>
              <w:rPr>
                <w:rFonts w:eastAsiaTheme="minorEastAsia"/>
                <w:kern w:val="0"/>
                <w:sz w:val="24"/>
              </w:rPr>
              <w:t>GB/T 18920-2020《城市污水再生利用 城市杂用水水质》绿化标准</w:t>
            </w:r>
            <w:r>
              <w:rPr>
                <w:rFonts w:hint="eastAsia" w:eastAsiaTheme="minorEastAsia"/>
                <w:kern w:val="0"/>
                <w:sz w:val="24"/>
              </w:rPr>
              <w:t>，总排口水质执行</w:t>
            </w:r>
            <w:r>
              <w:rPr>
                <w:rFonts w:eastAsiaTheme="minorEastAsia"/>
                <w:kern w:val="0"/>
                <w:sz w:val="24"/>
              </w:rPr>
              <w:t>《污水排入城镇下水道水质标准》（GB/T 31962-2015）中A等级标准。</w:t>
            </w:r>
          </w:p>
          <w:p>
            <w:pPr>
              <w:spacing w:line="360" w:lineRule="auto"/>
              <w:ind w:firstLine="480" w:firstLineChars="200"/>
              <w:rPr>
                <w:rFonts w:eastAsiaTheme="minorEastAsia"/>
                <w:sz w:val="24"/>
              </w:rPr>
            </w:pPr>
            <w:r>
              <w:rPr>
                <w:rFonts w:eastAsiaTheme="minorEastAsia"/>
                <w:sz w:val="24"/>
              </w:rPr>
              <w:t>5、污水处理设施能力分析</w:t>
            </w:r>
          </w:p>
          <w:p>
            <w:pPr>
              <w:spacing w:line="360" w:lineRule="auto"/>
              <w:ind w:firstLine="480" w:firstLineChars="200"/>
              <w:rPr>
                <w:rFonts w:eastAsiaTheme="minorEastAsia"/>
                <w:sz w:val="24"/>
              </w:rPr>
            </w:pPr>
            <w:r>
              <w:rPr>
                <w:rFonts w:eastAsiaTheme="minorEastAsia"/>
                <w:sz w:val="24"/>
              </w:rPr>
              <w:t>项目不单独设置污水处理设施，所有污水处理设施均依托一期已建成设施。项目共涉及4类污水处理设施，分别为隔油池、餐饮隔油池、化粪池和污水处理站。</w:t>
            </w:r>
          </w:p>
          <w:p>
            <w:pPr>
              <w:spacing w:line="360" w:lineRule="auto"/>
              <w:ind w:firstLine="480" w:firstLineChars="200"/>
              <w:rPr>
                <w:rFonts w:eastAsiaTheme="minorEastAsia"/>
                <w:sz w:val="24"/>
              </w:rPr>
            </w:pPr>
            <w:r>
              <w:rPr>
                <w:rFonts w:hint="eastAsia" w:ascii="宋体" w:hAnsi="宋体" w:cs="宋体"/>
                <w:sz w:val="24"/>
              </w:rPr>
              <w:t>①</w:t>
            </w:r>
            <w:r>
              <w:rPr>
                <w:rFonts w:eastAsiaTheme="minorEastAsia"/>
                <w:sz w:val="24"/>
              </w:rPr>
              <w:t>隔油池</w:t>
            </w:r>
          </w:p>
          <w:p>
            <w:pPr>
              <w:spacing w:line="360" w:lineRule="auto"/>
              <w:ind w:firstLine="480" w:firstLineChars="200"/>
              <w:rPr>
                <w:rFonts w:eastAsiaTheme="minorEastAsia"/>
                <w:sz w:val="24"/>
              </w:rPr>
            </w:pPr>
            <w:r>
              <w:rPr>
                <w:rFonts w:eastAsiaTheme="minorEastAsia"/>
                <w:sz w:val="24"/>
              </w:rPr>
              <w:t>一期项目设置1座隔油池，隔油池容积为50m³，</w:t>
            </w:r>
            <w:r>
              <w:rPr>
                <w:rFonts w:hint="eastAsia" w:eastAsiaTheme="minorEastAsia"/>
                <w:sz w:val="24"/>
              </w:rPr>
              <w:t>为</w:t>
            </w:r>
            <w:r>
              <w:rPr>
                <w:rFonts w:eastAsiaTheme="minorEastAsia"/>
                <w:sz w:val="24"/>
              </w:rPr>
              <w:t>平流隔油池，主要用于处理地坪清洗含油废水。一期项目实际运行过程中地坪清洗废水产生量0.096m³/d，本项目地坪清洗废水和车辆清洗废水产生总量为1.426m³/d，原有18m³隔油池容积可以满足处理需求。</w:t>
            </w:r>
          </w:p>
          <w:p>
            <w:pPr>
              <w:spacing w:line="360" w:lineRule="auto"/>
              <w:ind w:firstLine="480" w:firstLineChars="200"/>
              <w:rPr>
                <w:rFonts w:eastAsiaTheme="minorEastAsia"/>
                <w:sz w:val="24"/>
                <w:lang w:eastAsia="ja-JP"/>
              </w:rPr>
            </w:pPr>
            <w:r>
              <w:rPr>
                <w:rFonts w:hint="eastAsia" w:ascii="宋体" w:hAnsi="宋体" w:cs="宋体"/>
                <w:sz w:val="24"/>
                <w:lang w:eastAsia="ja-JP"/>
              </w:rPr>
              <w:t>②</w:t>
            </w:r>
            <w:r>
              <w:rPr>
                <w:rFonts w:eastAsiaTheme="minorEastAsia"/>
                <w:sz w:val="24"/>
                <w:lang w:eastAsia="ja-JP"/>
              </w:rPr>
              <w:t>化粪池</w:t>
            </w:r>
          </w:p>
          <w:p>
            <w:pPr>
              <w:spacing w:line="360" w:lineRule="auto"/>
              <w:ind w:firstLine="480" w:firstLineChars="200"/>
              <w:rPr>
                <w:rFonts w:eastAsiaTheme="minorEastAsia"/>
                <w:sz w:val="24"/>
              </w:rPr>
            </w:pPr>
            <w:r>
              <w:rPr>
                <w:rFonts w:hint="eastAsia" w:eastAsiaTheme="minorEastAsia"/>
                <w:sz w:val="24"/>
              </w:rPr>
              <w:t>一期</w:t>
            </w:r>
            <w:r>
              <w:rPr>
                <w:rFonts w:eastAsiaTheme="minorEastAsia"/>
                <w:sz w:val="24"/>
              </w:rPr>
              <w:t>设置一座化粪池，化粪池型号为G9-50QSF，有效容积为50m³。</w:t>
            </w:r>
            <w:r>
              <w:rPr>
                <w:rFonts w:hint="eastAsia" w:eastAsiaTheme="minorEastAsia"/>
                <w:sz w:val="24"/>
              </w:rPr>
              <w:t>一期项目</w:t>
            </w:r>
            <w:r>
              <w:rPr>
                <w:rFonts w:eastAsiaTheme="minorEastAsia"/>
                <w:sz w:val="24"/>
              </w:rPr>
              <w:t>生活污水产生量为3.04m³/d，本项目生活污水产生量为</w:t>
            </w:r>
            <w:r>
              <w:rPr>
                <w:rFonts w:hint="eastAsia" w:eastAsiaTheme="minorEastAsia"/>
                <w:sz w:val="24"/>
              </w:rPr>
              <w:t>9</w:t>
            </w:r>
            <w:r>
              <w:rPr>
                <w:rFonts w:eastAsiaTheme="minorEastAsia"/>
                <w:sz w:val="24"/>
              </w:rPr>
              <w:t>.92m³/d，因此原有化粪池可以满足处理需求。</w:t>
            </w:r>
          </w:p>
          <w:p>
            <w:pPr>
              <w:spacing w:line="360" w:lineRule="auto"/>
              <w:ind w:firstLine="480" w:firstLineChars="200"/>
              <w:rPr>
                <w:rFonts w:eastAsiaTheme="minorEastAsia"/>
                <w:sz w:val="24"/>
              </w:rPr>
            </w:pPr>
            <w:r>
              <w:rPr>
                <w:rFonts w:hint="eastAsia" w:ascii="宋体" w:hAnsi="宋体" w:cs="宋体"/>
                <w:sz w:val="24"/>
              </w:rPr>
              <w:t>③</w:t>
            </w:r>
            <w:r>
              <w:rPr>
                <w:rFonts w:hint="eastAsia" w:eastAsiaTheme="minorEastAsia"/>
                <w:sz w:val="24"/>
              </w:rPr>
              <w:t>餐饮隔油池</w:t>
            </w:r>
          </w:p>
          <w:p>
            <w:pPr>
              <w:spacing w:line="360" w:lineRule="auto"/>
              <w:ind w:firstLine="480" w:firstLineChars="200"/>
              <w:rPr>
                <w:rFonts w:eastAsiaTheme="minorEastAsia"/>
                <w:bCs/>
                <w:sz w:val="24"/>
              </w:rPr>
            </w:pPr>
            <w:r>
              <w:rPr>
                <w:rFonts w:hint="eastAsia" w:eastAsiaTheme="minorEastAsia"/>
                <w:sz w:val="24"/>
              </w:rPr>
              <w:t>一期</w:t>
            </w:r>
            <w:r>
              <w:rPr>
                <w:rFonts w:eastAsiaTheme="minorEastAsia"/>
                <w:sz w:val="24"/>
              </w:rPr>
              <w:t>项目设置1座</w:t>
            </w:r>
            <w:r>
              <w:rPr>
                <w:rFonts w:hint="eastAsia" w:eastAsiaTheme="minorEastAsia"/>
                <w:sz w:val="24"/>
              </w:rPr>
              <w:t>餐饮隔油池</w:t>
            </w:r>
            <w:r>
              <w:rPr>
                <w:rFonts w:eastAsiaTheme="minorEastAsia"/>
                <w:sz w:val="24"/>
              </w:rPr>
              <w:t>，容积为5m³。一期项目餐饮废水产生量为0.8m³/d，本项目餐饮废水产生量为</w:t>
            </w:r>
            <w:r>
              <w:rPr>
                <w:rFonts w:hint="eastAsia" w:eastAsiaTheme="minorEastAsia"/>
                <w:sz w:val="24"/>
              </w:rPr>
              <w:t>1</w:t>
            </w:r>
            <w:r>
              <w:rPr>
                <w:rFonts w:eastAsiaTheme="minorEastAsia"/>
                <w:sz w:val="24"/>
              </w:rPr>
              <w:t>.6m³/d，原有餐饮隔油池容积可以满足处理需求</w:t>
            </w:r>
            <w:r>
              <w:rPr>
                <w:rFonts w:eastAsiaTheme="minorEastAsia"/>
                <w:bCs/>
                <w:sz w:val="24"/>
              </w:rPr>
              <w:t>。</w:t>
            </w:r>
          </w:p>
          <w:p>
            <w:pPr>
              <w:spacing w:line="360" w:lineRule="auto"/>
              <w:ind w:firstLine="480" w:firstLineChars="200"/>
              <w:rPr>
                <w:rFonts w:eastAsiaTheme="minorEastAsia"/>
                <w:sz w:val="24"/>
              </w:rPr>
            </w:pPr>
            <w:r>
              <w:rPr>
                <w:rFonts w:hint="eastAsia" w:ascii="宋体" w:hAnsi="宋体" w:cs="宋体"/>
                <w:bCs/>
                <w:sz w:val="24"/>
              </w:rPr>
              <w:t>④</w:t>
            </w:r>
            <w:r>
              <w:rPr>
                <w:rFonts w:eastAsiaTheme="minorEastAsia"/>
                <w:bCs/>
                <w:sz w:val="24"/>
              </w:rPr>
              <w:t>污水处理站</w:t>
            </w:r>
          </w:p>
          <w:p>
            <w:pPr>
              <w:spacing w:line="360" w:lineRule="auto"/>
              <w:ind w:firstLine="480" w:firstLineChars="200"/>
              <w:rPr>
                <w:rFonts w:eastAsiaTheme="minorEastAsia"/>
                <w:sz w:val="24"/>
              </w:rPr>
            </w:pPr>
            <w:r>
              <w:rPr>
                <w:rFonts w:hint="eastAsia" w:eastAsiaTheme="minorEastAsia"/>
                <w:sz w:val="24"/>
              </w:rPr>
              <w:t>一期</w:t>
            </w:r>
            <w:r>
              <w:rPr>
                <w:rFonts w:eastAsiaTheme="minorEastAsia"/>
                <w:sz w:val="24"/>
              </w:rPr>
              <w:t>项目设置1座污水处理站，处理工艺采用ICEAS工艺。规模为85m³/d。</w:t>
            </w:r>
          </w:p>
          <w:p>
            <w:pPr>
              <w:spacing w:line="360" w:lineRule="auto"/>
              <w:ind w:firstLine="480" w:firstLineChars="200"/>
              <w:rPr>
                <w:rFonts w:eastAsiaTheme="minorEastAsia"/>
                <w:bCs/>
                <w:sz w:val="24"/>
              </w:rPr>
            </w:pPr>
            <w:r>
              <w:rPr>
                <w:rFonts w:hint="eastAsia" w:eastAsiaTheme="minorEastAsia"/>
                <w:bCs/>
                <w:sz w:val="24"/>
              </w:rPr>
              <w:t>一期</w:t>
            </w:r>
            <w:r>
              <w:rPr>
                <w:rFonts w:eastAsiaTheme="minorEastAsia"/>
                <w:bCs/>
                <w:sz w:val="24"/>
              </w:rPr>
              <w:t>项目</w:t>
            </w:r>
            <w:r>
              <w:rPr>
                <w:rFonts w:hint="eastAsia" w:eastAsiaTheme="minorEastAsia"/>
                <w:bCs/>
                <w:sz w:val="24"/>
              </w:rPr>
              <w:t>实际</w:t>
            </w:r>
            <w:r>
              <w:rPr>
                <w:rFonts w:eastAsiaTheme="minorEastAsia"/>
                <w:bCs/>
                <w:sz w:val="24"/>
              </w:rPr>
              <w:t>污水产生量为3.936m³/d，</w:t>
            </w:r>
            <w:r>
              <w:rPr>
                <w:rFonts w:hint="eastAsia" w:eastAsiaTheme="minorEastAsia"/>
                <w:bCs/>
                <w:sz w:val="24"/>
              </w:rPr>
              <w:t>本期项目</w:t>
            </w:r>
            <w:r>
              <w:rPr>
                <w:rFonts w:eastAsiaTheme="minorEastAsia"/>
                <w:bCs/>
                <w:sz w:val="24"/>
              </w:rPr>
              <w:t>最大污水产生量11.346m³/d，原有污水处理站容积可以满足处理需求。</w:t>
            </w:r>
          </w:p>
          <w:p>
            <w:pPr>
              <w:spacing w:line="360" w:lineRule="auto"/>
              <w:ind w:firstLine="480" w:firstLineChars="200"/>
              <w:rPr>
                <w:rFonts w:eastAsiaTheme="minorEastAsia"/>
                <w:bCs/>
                <w:sz w:val="24"/>
              </w:rPr>
            </w:pPr>
            <w:r>
              <w:rPr>
                <w:rFonts w:eastAsiaTheme="minorEastAsia"/>
                <w:bCs/>
                <w:sz w:val="24"/>
              </w:rPr>
              <w:t>污水处理站处理工艺采用</w:t>
            </w:r>
            <w:r>
              <w:rPr>
                <w:rFonts w:hint="eastAsia" w:eastAsiaTheme="minorEastAsia"/>
                <w:bCs/>
                <w:sz w:val="24"/>
              </w:rPr>
              <w:t>ICEAS工艺</w:t>
            </w:r>
            <w:r>
              <w:rPr>
                <w:rFonts w:eastAsiaTheme="minorEastAsia"/>
                <w:bCs/>
                <w:sz w:val="24"/>
              </w:rPr>
              <w:t>。该工艺出水水质好；运行可靠性高，抗冲击负荷能力强；无污泥膨胀问题。</w:t>
            </w:r>
            <w:r>
              <w:rPr>
                <w:rFonts w:hint="eastAsia" w:eastAsiaTheme="minorEastAsia"/>
                <w:bCs/>
                <w:sz w:val="24"/>
              </w:rPr>
              <w:t>根据一期项目竣工环境保护验收监测</w:t>
            </w:r>
            <w:r>
              <w:rPr>
                <w:rFonts w:eastAsiaTheme="minorEastAsia"/>
                <w:bCs/>
                <w:sz w:val="24"/>
              </w:rPr>
              <w:t>，原有污水处理站对污染物处理效率COD</w:t>
            </w:r>
            <w:r>
              <w:rPr>
                <w:rFonts w:eastAsiaTheme="minorEastAsia"/>
                <w:bCs/>
                <w:sz w:val="24"/>
                <w:vertAlign w:val="subscript"/>
              </w:rPr>
              <w:t>Cr</w:t>
            </w:r>
            <w:r>
              <w:rPr>
                <w:rFonts w:eastAsiaTheme="minorEastAsia"/>
                <w:bCs/>
                <w:sz w:val="24"/>
              </w:rPr>
              <w:t>82.8%，BOD91.5%，SS92%，氨氮75%，磷酸盐30%。</w:t>
            </w:r>
            <w:r>
              <w:rPr>
                <w:rFonts w:hint="eastAsia" w:eastAsiaTheme="minorEastAsia"/>
                <w:bCs/>
                <w:sz w:val="24"/>
              </w:rPr>
              <w:t>根据核算结果，本项目污水经过污水处理站处理后可以满足</w:t>
            </w:r>
            <w:r>
              <w:rPr>
                <w:rFonts w:eastAsiaTheme="minorEastAsia"/>
                <w:bCs/>
                <w:sz w:val="24"/>
              </w:rPr>
              <w:t>GB/T 18920-2020《城市污水再生利用 城市杂用水水质》绿化标准，总排口水质也可以满足《污水排入城镇下水道水质标准》（GB/T 31962-2015）中A等级标准。</w:t>
            </w:r>
          </w:p>
          <w:p>
            <w:pPr>
              <w:spacing w:line="360" w:lineRule="auto"/>
              <w:ind w:firstLine="480" w:firstLineChars="200"/>
              <w:rPr>
                <w:rFonts w:eastAsiaTheme="minorEastAsia"/>
                <w:bCs/>
                <w:sz w:val="24"/>
              </w:rPr>
            </w:pPr>
            <w:r>
              <w:rPr>
                <w:rFonts w:eastAsiaTheme="minorEastAsia"/>
                <w:bCs/>
                <w:sz w:val="24"/>
              </w:rPr>
              <w:t>6、</w:t>
            </w:r>
            <w:r>
              <w:rPr>
                <w:rFonts w:hint="eastAsia" w:eastAsiaTheme="minorEastAsia"/>
                <w:bCs/>
                <w:sz w:val="24"/>
              </w:rPr>
              <w:t>中水回用</w:t>
            </w:r>
            <w:r>
              <w:rPr>
                <w:rFonts w:eastAsiaTheme="minorEastAsia"/>
                <w:bCs/>
                <w:sz w:val="24"/>
              </w:rPr>
              <w:t>行性分析</w:t>
            </w:r>
          </w:p>
          <w:p>
            <w:pPr>
              <w:spacing w:line="360" w:lineRule="auto"/>
              <w:ind w:firstLine="480" w:firstLineChars="200"/>
              <w:rPr>
                <w:rFonts w:eastAsiaTheme="minorEastAsia"/>
                <w:bCs/>
                <w:sz w:val="24"/>
              </w:rPr>
            </w:pPr>
            <w:r>
              <w:rPr>
                <w:rFonts w:hint="eastAsia" w:eastAsiaTheme="minorEastAsia"/>
                <w:bCs/>
                <w:sz w:val="24"/>
              </w:rPr>
              <w:t>根据一期项目，整个基地绿化面积8</w:t>
            </w:r>
            <w:r>
              <w:rPr>
                <w:rFonts w:eastAsiaTheme="minorEastAsia"/>
                <w:bCs/>
                <w:sz w:val="24"/>
              </w:rPr>
              <w:t>0000㎡（扣除本期用地），根据根据《云南省地方标准 用水定额》（DB53T168-2019）园林绿化用水定额为3L/ (m</w:t>
            </w:r>
            <w:r>
              <w:rPr>
                <w:rFonts w:eastAsiaTheme="minorEastAsia"/>
                <w:bCs/>
                <w:sz w:val="24"/>
                <w:vertAlign w:val="superscript"/>
              </w:rPr>
              <w:t>2</w:t>
            </w:r>
            <w:r>
              <w:rPr>
                <w:rFonts w:eastAsiaTheme="minorEastAsia"/>
                <w:bCs/>
                <w:sz w:val="24"/>
              </w:rPr>
              <w:t>·次)，则整个基地绿化用水量为</w:t>
            </w:r>
            <w:r>
              <w:rPr>
                <w:rFonts w:hint="eastAsia" w:eastAsiaTheme="minorEastAsia"/>
                <w:bCs/>
                <w:sz w:val="24"/>
              </w:rPr>
              <w:t>2</w:t>
            </w:r>
            <w:r>
              <w:rPr>
                <w:rFonts w:eastAsiaTheme="minorEastAsia"/>
                <w:bCs/>
                <w:sz w:val="24"/>
              </w:rPr>
              <w:t>40m³/d，本项目污水产生量11.346m³/d，一期项目污水产生量3.936m³/d，根据一期项目竣工环境保护验收监测，污水处理站处理后可以达到GB/T 18920-2020《城市污水再生利用 城市杂用水水质》绿化标准，且一期已建成中水回用管线，因此项目中水非雨天回用于项目区内绿化可行。</w:t>
            </w:r>
          </w:p>
          <w:p>
            <w:pPr>
              <w:spacing w:line="360" w:lineRule="auto"/>
              <w:ind w:firstLine="480" w:firstLineChars="200"/>
              <w:rPr>
                <w:rFonts w:eastAsiaTheme="minorEastAsia"/>
                <w:bCs/>
                <w:sz w:val="24"/>
              </w:rPr>
            </w:pPr>
            <w:r>
              <w:rPr>
                <w:rFonts w:eastAsiaTheme="minorEastAsia"/>
                <w:bCs/>
                <w:sz w:val="24"/>
              </w:rPr>
              <w:t>项目近期雨天污水处理后在污水处理站内暂存，本项目和一期项目污水产生量为</w:t>
            </w:r>
            <w:r>
              <w:rPr>
                <w:rFonts w:hint="eastAsia" w:eastAsiaTheme="minorEastAsia"/>
                <w:bCs/>
                <w:sz w:val="24"/>
              </w:rPr>
              <w:t>1</w:t>
            </w:r>
            <w:r>
              <w:rPr>
                <w:rFonts w:eastAsiaTheme="minorEastAsia"/>
                <w:bCs/>
                <w:sz w:val="24"/>
              </w:rPr>
              <w:t>5.282m³/d，根据污水处理站设计，污水处理站清水池容积为</w:t>
            </w:r>
            <w:r>
              <w:rPr>
                <w:rFonts w:hint="eastAsia" w:eastAsiaTheme="minorEastAsia"/>
                <w:bCs/>
                <w:sz w:val="24"/>
              </w:rPr>
              <w:t>5</w:t>
            </w:r>
            <w:r>
              <w:rPr>
                <w:rFonts w:eastAsiaTheme="minorEastAsia"/>
                <w:bCs/>
                <w:sz w:val="24"/>
              </w:rPr>
              <w:t>0m³，按照连续降雨7</w:t>
            </w:r>
            <w:r>
              <w:rPr>
                <w:rFonts w:hint="eastAsia" w:eastAsiaTheme="minorEastAsia"/>
                <w:bCs/>
                <w:sz w:val="24"/>
              </w:rPr>
              <w:t>天计算，能完全容纳项目污水暂存的容积为</w:t>
            </w:r>
            <w:r>
              <w:rPr>
                <w:rFonts w:eastAsiaTheme="minorEastAsia"/>
                <w:bCs/>
                <w:sz w:val="24"/>
              </w:rPr>
              <w:t>106.974m³，一期项目污水处理站清水池容积不能满足本项目建成后雨天暂存需求。本次评价要求对一期项目已建污水处理站清水池进行扩建，按照连续降雨7</w:t>
            </w:r>
            <w:r>
              <w:rPr>
                <w:rFonts w:hint="eastAsia" w:eastAsiaTheme="minorEastAsia"/>
                <w:bCs/>
                <w:sz w:val="24"/>
              </w:rPr>
              <w:t>天计算，能完全容纳项目污水暂存的容积为</w:t>
            </w:r>
            <w:r>
              <w:rPr>
                <w:rFonts w:eastAsiaTheme="minorEastAsia"/>
                <w:bCs/>
                <w:sz w:val="24"/>
              </w:rPr>
              <w:t>106.974m³，取整后为</w:t>
            </w:r>
            <w:r>
              <w:rPr>
                <w:rFonts w:hint="eastAsia" w:eastAsiaTheme="minorEastAsia"/>
                <w:bCs/>
                <w:sz w:val="24"/>
              </w:rPr>
              <w:t>1</w:t>
            </w:r>
            <w:r>
              <w:rPr>
                <w:rFonts w:eastAsiaTheme="minorEastAsia"/>
                <w:bCs/>
                <w:sz w:val="24"/>
              </w:rPr>
              <w:t>07m³，则扩建后清水池容积不小于</w:t>
            </w:r>
            <w:r>
              <w:rPr>
                <w:rFonts w:hint="eastAsia" w:eastAsiaTheme="minorEastAsia"/>
                <w:bCs/>
                <w:sz w:val="24"/>
              </w:rPr>
              <w:t>1</w:t>
            </w:r>
            <w:r>
              <w:rPr>
                <w:rFonts w:eastAsiaTheme="minorEastAsia"/>
                <w:bCs/>
                <w:sz w:val="24"/>
              </w:rPr>
              <w:t>07m³。</w:t>
            </w:r>
          </w:p>
          <w:p>
            <w:pPr>
              <w:spacing w:line="360" w:lineRule="auto"/>
              <w:ind w:firstLine="480" w:firstLineChars="200"/>
              <w:rPr>
                <w:rFonts w:eastAsiaTheme="minorEastAsia"/>
                <w:sz w:val="24"/>
              </w:rPr>
            </w:pPr>
            <w:r>
              <w:rPr>
                <w:rFonts w:eastAsiaTheme="minorEastAsia"/>
                <w:sz w:val="24"/>
              </w:rPr>
              <w:t>7、废水进入污水处理厂可行性分析</w:t>
            </w:r>
          </w:p>
          <w:p>
            <w:pPr>
              <w:spacing w:line="360" w:lineRule="auto"/>
              <w:ind w:firstLine="480" w:firstLineChars="200"/>
              <w:rPr>
                <w:rFonts w:eastAsiaTheme="minorEastAsia"/>
                <w:sz w:val="24"/>
              </w:rPr>
            </w:pPr>
            <w:r>
              <w:rPr>
                <w:rFonts w:eastAsiaTheme="minorEastAsia"/>
                <w:sz w:val="24"/>
              </w:rPr>
              <w:t>根据一期项目环评和补充环评及批复，淤泥河水质净化厂建成后，本项目污水可以排入淤泥河水质净化厂。</w:t>
            </w:r>
          </w:p>
          <w:p>
            <w:pPr>
              <w:spacing w:line="360" w:lineRule="auto"/>
              <w:ind w:firstLine="480" w:firstLineChars="200"/>
              <w:rPr>
                <w:rFonts w:eastAsiaTheme="minorEastAsia"/>
                <w:sz w:val="24"/>
              </w:rPr>
            </w:pPr>
            <w:r>
              <w:rPr>
                <w:rFonts w:eastAsiaTheme="minorEastAsia"/>
                <w:sz w:val="24"/>
              </w:rPr>
              <w:t>根据现场踏勘，淤泥河水质净化厂已投入运行，滇池南岸截污管网目前还未接通至本项目区。</w:t>
            </w:r>
            <w:r>
              <w:rPr>
                <w:rFonts w:hint="eastAsia" w:eastAsiaTheme="minorEastAsia"/>
                <w:sz w:val="24"/>
              </w:rPr>
              <w:t>待</w:t>
            </w:r>
            <w:r>
              <w:rPr>
                <w:rFonts w:eastAsiaTheme="minorEastAsia"/>
                <w:sz w:val="24"/>
              </w:rPr>
              <w:t>接通至本项目区周边道路后，本项目所在晋城基地属于淤泥河水质净化厂纳污范围，因此项目远期污水可以通过滇池南岸截污管网排入淤泥河水质净化厂。</w:t>
            </w:r>
          </w:p>
          <w:p>
            <w:pPr>
              <w:spacing w:line="360" w:lineRule="auto"/>
              <w:ind w:firstLine="480" w:firstLineChars="200"/>
              <w:rPr>
                <w:rFonts w:eastAsiaTheme="minorEastAsia"/>
                <w:sz w:val="24"/>
              </w:rPr>
            </w:pPr>
            <w:r>
              <w:rPr>
                <w:rFonts w:eastAsiaTheme="minorEastAsia"/>
                <w:sz w:val="24"/>
              </w:rPr>
              <w:t>8、项目污水对地表水的影响</w:t>
            </w:r>
          </w:p>
          <w:p>
            <w:pPr>
              <w:spacing w:line="360" w:lineRule="auto"/>
              <w:ind w:firstLine="480" w:firstLineChars="200"/>
              <w:rPr>
                <w:rFonts w:eastAsiaTheme="minorEastAsia"/>
                <w:sz w:val="24"/>
              </w:rPr>
            </w:pPr>
            <w:r>
              <w:rPr>
                <w:rFonts w:eastAsiaTheme="minorEastAsia"/>
                <w:sz w:val="24"/>
              </w:rPr>
              <w:t>项目区附近的地表水体为</w:t>
            </w:r>
            <w:r>
              <w:rPr>
                <w:rFonts w:hint="eastAsia" w:eastAsiaTheme="minorEastAsia"/>
                <w:sz w:val="24"/>
              </w:rPr>
              <w:t>淤泥河、南冲河</w:t>
            </w:r>
            <w:r>
              <w:rPr>
                <w:rFonts w:eastAsiaTheme="minorEastAsia"/>
                <w:sz w:val="24"/>
              </w:rPr>
              <w:t>和滇池。根据项目位置关系，本项目位于淤泥河汇水范围内。</w:t>
            </w:r>
          </w:p>
          <w:p>
            <w:pPr>
              <w:spacing w:line="360" w:lineRule="auto"/>
              <w:ind w:firstLine="480" w:firstLineChars="200"/>
              <w:rPr>
                <w:rFonts w:eastAsiaTheme="minorEastAsia"/>
                <w:sz w:val="24"/>
              </w:rPr>
            </w:pPr>
            <w:r>
              <w:rPr>
                <w:rFonts w:eastAsiaTheme="minorEastAsia"/>
                <w:sz w:val="24"/>
              </w:rPr>
              <w:t>项目排水系统严格按照“雨污分流”的原则设计和实施，</w:t>
            </w:r>
            <w:r>
              <w:rPr>
                <w:rFonts w:hint="eastAsia" w:eastAsiaTheme="minorEastAsia"/>
                <w:sz w:val="24"/>
              </w:rPr>
              <w:t>生产废水通过一期已建隔油池处理后排入污水处理站，餐饮废水通过已建餐饮废水隔油池处理后同其他生活污水一同排入化粪池处理后排入污水处理站，处理后近期非雨天回用于厂区绿化，远期非雨天回用于绿化，雨天通过总排口排入滇池南岸截污管网，最终进入淤泥河污水处理厂。</w:t>
            </w:r>
            <w:r>
              <w:rPr>
                <w:rFonts w:eastAsiaTheme="minorEastAsia"/>
                <w:sz w:val="24"/>
              </w:rPr>
              <w:t>故项目运行对</w:t>
            </w:r>
            <w:r>
              <w:rPr>
                <w:rFonts w:hint="eastAsia" w:eastAsiaTheme="minorEastAsia"/>
                <w:sz w:val="24"/>
              </w:rPr>
              <w:t>淤泥河</w:t>
            </w:r>
            <w:r>
              <w:rPr>
                <w:rFonts w:eastAsiaTheme="minorEastAsia"/>
                <w:sz w:val="24"/>
              </w:rPr>
              <w:t>和滇池影响较小。</w:t>
            </w:r>
          </w:p>
          <w:p>
            <w:pPr>
              <w:spacing w:line="360" w:lineRule="auto"/>
              <w:ind w:firstLine="480" w:firstLineChars="200"/>
              <w:rPr>
                <w:rFonts w:eastAsiaTheme="minorEastAsia"/>
                <w:sz w:val="24"/>
              </w:rPr>
            </w:pPr>
            <w:r>
              <w:rPr>
                <w:rFonts w:eastAsiaTheme="minorEastAsia"/>
                <w:sz w:val="24"/>
              </w:rPr>
              <w:t>9、总排口设置情况</w:t>
            </w:r>
          </w:p>
          <w:p>
            <w:pPr>
              <w:spacing w:line="360" w:lineRule="auto"/>
              <w:ind w:firstLine="480" w:firstLineChars="200"/>
              <w:rPr>
                <w:rFonts w:eastAsiaTheme="minorEastAsia"/>
                <w:sz w:val="24"/>
              </w:rPr>
            </w:pPr>
            <w:r>
              <w:rPr>
                <w:rFonts w:eastAsiaTheme="minorEastAsia"/>
                <w:sz w:val="24"/>
              </w:rPr>
              <w:t>项目</w:t>
            </w:r>
            <w:r>
              <w:rPr>
                <w:rFonts w:hint="eastAsia" w:eastAsiaTheme="minorEastAsia"/>
                <w:sz w:val="24"/>
              </w:rPr>
              <w:t>近期不设置废水排放口，废水处理后回用于绿化</w:t>
            </w:r>
            <w:r>
              <w:rPr>
                <w:rFonts w:eastAsiaTheme="minorEastAsia"/>
                <w:sz w:val="24"/>
              </w:rPr>
              <w:t>。</w:t>
            </w:r>
          </w:p>
          <w:p>
            <w:pPr>
              <w:spacing w:line="360" w:lineRule="auto"/>
              <w:ind w:firstLine="480" w:firstLineChars="200"/>
              <w:rPr>
                <w:rFonts w:eastAsiaTheme="minorEastAsia"/>
                <w:sz w:val="24"/>
              </w:rPr>
            </w:pPr>
            <w:r>
              <w:rPr>
                <w:rFonts w:hint="eastAsia" w:eastAsiaTheme="minorEastAsia"/>
                <w:sz w:val="24"/>
              </w:rPr>
              <w:t>项目远期拟设置1个废水总排口，位于项目区西南，地理坐标：1</w:t>
            </w:r>
            <w:r>
              <w:rPr>
                <w:rFonts w:eastAsiaTheme="minorEastAsia"/>
                <w:sz w:val="24"/>
              </w:rPr>
              <w:t>02.771617°，</w:t>
            </w:r>
            <w:r>
              <w:rPr>
                <w:rFonts w:hint="eastAsia" w:eastAsiaTheme="minorEastAsia"/>
                <w:sz w:val="24"/>
              </w:rPr>
              <w:t>2</w:t>
            </w:r>
            <w:r>
              <w:rPr>
                <w:rFonts w:eastAsiaTheme="minorEastAsia"/>
                <w:sz w:val="24"/>
              </w:rPr>
              <w:t>4.733667°，编号为DW001。</w:t>
            </w:r>
          </w:p>
          <w:p>
            <w:pPr>
              <w:spacing w:line="360" w:lineRule="auto"/>
              <w:ind w:firstLine="480" w:firstLineChars="200"/>
              <w:rPr>
                <w:rFonts w:eastAsiaTheme="minorEastAsia"/>
                <w:sz w:val="24"/>
              </w:rPr>
            </w:pPr>
            <w:r>
              <w:rPr>
                <w:rFonts w:eastAsiaTheme="minorEastAsia"/>
                <w:sz w:val="24"/>
              </w:rPr>
              <w:t>10、自行监测</w:t>
            </w:r>
          </w:p>
          <w:p>
            <w:pPr>
              <w:spacing w:line="360" w:lineRule="auto"/>
              <w:ind w:firstLine="480" w:firstLineChars="200"/>
              <w:rPr>
                <w:rFonts w:eastAsiaTheme="minorEastAsia"/>
                <w:bCs/>
                <w:sz w:val="24"/>
              </w:rPr>
            </w:pPr>
            <w:r>
              <w:rPr>
                <w:rFonts w:eastAsiaTheme="minorEastAsia"/>
                <w:bCs/>
                <w:sz w:val="24"/>
              </w:rPr>
              <w:t>项目根据《固定污染源排污许可证分类管理名录》（2019），本项目为</w:t>
            </w:r>
            <w:r>
              <w:rPr>
                <w:rFonts w:hint="eastAsia" w:eastAsiaTheme="minorEastAsia"/>
                <w:bCs/>
                <w:sz w:val="24"/>
              </w:rPr>
              <w:t>金属制品、机械和设备修理业</w:t>
            </w:r>
            <w:r>
              <w:rPr>
                <w:rFonts w:eastAsiaTheme="minorEastAsia"/>
                <w:bCs/>
                <w:sz w:val="24"/>
              </w:rPr>
              <w:t>，本项目</w:t>
            </w:r>
            <w:r>
              <w:rPr>
                <w:rFonts w:hint="eastAsia" w:eastAsiaTheme="minorEastAsia"/>
                <w:bCs/>
                <w:sz w:val="24"/>
              </w:rPr>
              <w:t>不涉及</w:t>
            </w:r>
            <w:r>
              <w:rPr>
                <w:rFonts w:eastAsiaTheme="minorEastAsia"/>
                <w:bCs/>
                <w:sz w:val="24"/>
              </w:rPr>
              <w:t>通用工序中重点管理的工序，属于</w:t>
            </w:r>
            <w:r>
              <w:rPr>
                <w:rFonts w:hint="eastAsia" w:eastAsiaTheme="minorEastAsia"/>
                <w:bCs/>
                <w:sz w:val="24"/>
              </w:rPr>
              <w:t>简化</w:t>
            </w:r>
            <w:r>
              <w:rPr>
                <w:rFonts w:eastAsiaTheme="minorEastAsia"/>
                <w:bCs/>
                <w:sz w:val="24"/>
              </w:rPr>
              <w:t>管理类别；根据《排污许可证申请与核发技术规范总则》、《排污许可证申请与核发技术规范水处理通用工序》，本项目排放口均不属于主要排放口。</w:t>
            </w:r>
          </w:p>
          <w:p>
            <w:pPr>
              <w:spacing w:line="360" w:lineRule="auto"/>
              <w:ind w:firstLine="480" w:firstLineChars="200"/>
              <w:rPr>
                <w:rFonts w:eastAsiaTheme="minorEastAsia"/>
                <w:sz w:val="24"/>
              </w:rPr>
            </w:pPr>
            <w:r>
              <w:rPr>
                <w:rFonts w:eastAsiaTheme="minorEastAsia"/>
                <w:bCs/>
                <w:sz w:val="24"/>
              </w:rPr>
              <w:t>根据《排污单位自行监测技术指南水处理通用工序》（HJ 820-2017），项目为服务类排污单位，项目自行监测指标为：远期总排口设置自动监测装置监测排放流量；化学需氧量、氨氮每月进行一次监测；pH、SS、五日生化需氧量、磷酸盐每季度进行一次监测。</w:t>
            </w:r>
          </w:p>
          <w:p>
            <w:pPr>
              <w:autoSpaceDE w:val="0"/>
              <w:autoSpaceDN w:val="0"/>
              <w:adjustRightInd w:val="0"/>
              <w:spacing w:line="360" w:lineRule="auto"/>
              <w:jc w:val="left"/>
              <w:rPr>
                <w:rFonts w:eastAsiaTheme="minorEastAsia"/>
                <w:kern w:val="0"/>
                <w:sz w:val="24"/>
              </w:rPr>
            </w:pPr>
            <w:r>
              <w:rPr>
                <w:rFonts w:eastAsiaTheme="minorEastAsia"/>
                <w:b/>
                <w:sz w:val="24"/>
                <w:lang w:val="zh-CN"/>
              </w:rPr>
              <w:t xml:space="preserve">（三）、声环境影响分析 </w:t>
            </w:r>
          </w:p>
          <w:p>
            <w:pPr>
              <w:spacing w:line="360" w:lineRule="auto"/>
              <w:ind w:firstLine="470" w:firstLineChars="196"/>
              <w:rPr>
                <w:rFonts w:eastAsiaTheme="minorEastAsia"/>
                <w:sz w:val="24"/>
              </w:rPr>
            </w:pPr>
            <w:r>
              <w:rPr>
                <w:rFonts w:eastAsiaTheme="minorEastAsia"/>
                <w:sz w:val="24"/>
              </w:rPr>
              <w:t>一、生产设备噪声源</w:t>
            </w:r>
          </w:p>
          <w:p>
            <w:pPr>
              <w:spacing w:line="360" w:lineRule="auto"/>
              <w:ind w:firstLine="470" w:firstLineChars="196"/>
              <w:rPr>
                <w:rFonts w:eastAsiaTheme="minorEastAsia"/>
                <w:sz w:val="24"/>
              </w:rPr>
            </w:pPr>
            <w:r>
              <w:rPr>
                <w:rFonts w:hint="eastAsia" w:eastAsiaTheme="minorEastAsia"/>
                <w:sz w:val="24"/>
              </w:rPr>
              <w:t>本工程生产设备噪声主要为车间各种起重、装卸设备、风机等各种高噪声设备噪声。</w:t>
            </w:r>
          </w:p>
          <w:p>
            <w:pPr>
              <w:spacing w:line="360" w:lineRule="auto"/>
              <w:ind w:firstLine="470" w:firstLineChars="196"/>
              <w:rPr>
                <w:rFonts w:eastAsiaTheme="minorEastAsia"/>
                <w:sz w:val="24"/>
              </w:rPr>
            </w:pPr>
            <w:r>
              <w:rPr>
                <w:rFonts w:hint="eastAsia" w:eastAsiaTheme="minorEastAsia"/>
                <w:sz w:val="24"/>
              </w:rPr>
              <w:t>本次评价类比同类设备经验数据及一期项目竣工验收监测，本项目设备噪声源强见下表：</w:t>
            </w:r>
          </w:p>
          <w:p>
            <w:pPr>
              <w:spacing w:line="360" w:lineRule="auto"/>
              <w:ind w:firstLine="472" w:firstLineChars="196"/>
              <w:jc w:val="center"/>
              <w:rPr>
                <w:rFonts w:eastAsiaTheme="minorEastAsia"/>
                <w:b/>
                <w:sz w:val="24"/>
              </w:rPr>
            </w:pPr>
            <w:r>
              <w:rPr>
                <w:rFonts w:eastAsiaTheme="minorEastAsia"/>
                <w:b/>
                <w:sz w:val="24"/>
              </w:rPr>
              <w:t>表</w:t>
            </w:r>
            <w:r>
              <w:rPr>
                <w:rFonts w:hint="eastAsia" w:eastAsiaTheme="minorEastAsia"/>
                <w:b/>
                <w:sz w:val="24"/>
              </w:rPr>
              <w:t>4</w:t>
            </w:r>
            <w:r>
              <w:rPr>
                <w:rFonts w:eastAsiaTheme="minorEastAsia"/>
                <w:b/>
                <w:sz w:val="24"/>
              </w:rPr>
              <w:t>-5 主要设备噪声源强一览表</w:t>
            </w:r>
          </w:p>
          <w:tbl>
            <w:tblPr>
              <w:tblStyle w:val="45"/>
              <w:tblW w:w="74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2268"/>
              <w:gridCol w:w="1276"/>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9" w:type="dxa"/>
                </w:tcPr>
                <w:p>
                  <w:pPr>
                    <w:jc w:val="center"/>
                    <w:rPr>
                      <w:rFonts w:eastAsiaTheme="minorEastAsia"/>
                      <w:szCs w:val="21"/>
                    </w:rPr>
                  </w:pPr>
                  <w:r>
                    <w:rPr>
                      <w:rFonts w:hint="eastAsia" w:eastAsiaTheme="minorEastAsia"/>
                      <w:szCs w:val="21"/>
                    </w:rPr>
                    <w:t>序号</w:t>
                  </w:r>
                </w:p>
              </w:tc>
              <w:tc>
                <w:tcPr>
                  <w:tcW w:w="2268" w:type="dxa"/>
                </w:tcPr>
                <w:p>
                  <w:pPr>
                    <w:jc w:val="center"/>
                    <w:rPr>
                      <w:rFonts w:eastAsiaTheme="minorEastAsia"/>
                      <w:szCs w:val="21"/>
                    </w:rPr>
                  </w:pPr>
                  <w:r>
                    <w:rPr>
                      <w:rFonts w:hint="eastAsia" w:eastAsiaTheme="minorEastAsia"/>
                      <w:szCs w:val="21"/>
                    </w:rPr>
                    <w:t>设备名称</w:t>
                  </w:r>
                </w:p>
              </w:tc>
              <w:tc>
                <w:tcPr>
                  <w:tcW w:w="1276" w:type="dxa"/>
                </w:tcPr>
                <w:p>
                  <w:pPr>
                    <w:jc w:val="center"/>
                    <w:rPr>
                      <w:rFonts w:eastAsiaTheme="minorEastAsia"/>
                      <w:szCs w:val="21"/>
                    </w:rPr>
                  </w:pPr>
                  <w:r>
                    <w:rPr>
                      <w:rFonts w:hint="eastAsia" w:eastAsiaTheme="minorEastAsia"/>
                      <w:szCs w:val="21"/>
                    </w:rPr>
                    <w:t>源强</w:t>
                  </w:r>
                </w:p>
              </w:tc>
              <w:tc>
                <w:tcPr>
                  <w:tcW w:w="1276" w:type="dxa"/>
                </w:tcPr>
                <w:p>
                  <w:pPr>
                    <w:jc w:val="center"/>
                    <w:rPr>
                      <w:rFonts w:eastAsiaTheme="minorEastAsia"/>
                      <w:szCs w:val="21"/>
                    </w:rPr>
                  </w:pPr>
                  <w:r>
                    <w:rPr>
                      <w:rFonts w:hint="eastAsia" w:eastAsiaTheme="minorEastAsia"/>
                      <w:szCs w:val="21"/>
                    </w:rPr>
                    <w:t>控制措施</w:t>
                  </w:r>
                </w:p>
              </w:tc>
              <w:tc>
                <w:tcPr>
                  <w:tcW w:w="1276" w:type="dxa"/>
                </w:tcPr>
                <w:p>
                  <w:pPr>
                    <w:jc w:val="center"/>
                    <w:rPr>
                      <w:rFonts w:eastAsiaTheme="minorEastAsia"/>
                      <w:szCs w:val="21"/>
                    </w:rPr>
                  </w:pPr>
                  <w:r>
                    <w:rPr>
                      <w:rFonts w:hint="eastAsia" w:eastAsiaTheme="minorEastAsia"/>
                      <w:szCs w:val="21"/>
                    </w:rPr>
                    <w:t>治理后源强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9" w:type="dxa"/>
                </w:tcPr>
                <w:p>
                  <w:pPr>
                    <w:jc w:val="center"/>
                    <w:rPr>
                      <w:rFonts w:eastAsiaTheme="minorEastAsia"/>
                      <w:szCs w:val="21"/>
                    </w:rPr>
                  </w:pPr>
                  <w:r>
                    <w:rPr>
                      <w:rFonts w:hint="eastAsia" w:eastAsiaTheme="minorEastAsia"/>
                      <w:szCs w:val="21"/>
                    </w:rPr>
                    <w:t>1</w:t>
                  </w:r>
                </w:p>
              </w:tc>
              <w:tc>
                <w:tcPr>
                  <w:tcW w:w="2268" w:type="dxa"/>
                </w:tcPr>
                <w:p>
                  <w:pPr>
                    <w:jc w:val="center"/>
                    <w:rPr>
                      <w:rFonts w:eastAsiaTheme="minorEastAsia"/>
                      <w:szCs w:val="21"/>
                    </w:rPr>
                  </w:pPr>
                  <w:r>
                    <w:rPr>
                      <w:rFonts w:hint="eastAsia" w:eastAsiaTheme="minorEastAsia"/>
                      <w:szCs w:val="21"/>
                    </w:rPr>
                    <w:t>起重机</w:t>
                  </w:r>
                </w:p>
              </w:tc>
              <w:tc>
                <w:tcPr>
                  <w:tcW w:w="1276" w:type="dxa"/>
                </w:tcPr>
                <w:p>
                  <w:pPr>
                    <w:jc w:val="center"/>
                    <w:rPr>
                      <w:rFonts w:eastAsiaTheme="minorEastAsia"/>
                      <w:szCs w:val="21"/>
                    </w:rPr>
                  </w:pPr>
                  <w:r>
                    <w:rPr>
                      <w:rFonts w:hint="eastAsia" w:eastAsiaTheme="minorEastAsia"/>
                      <w:szCs w:val="21"/>
                    </w:rPr>
                    <w:t>9</w:t>
                  </w:r>
                  <w:r>
                    <w:rPr>
                      <w:rFonts w:eastAsiaTheme="minorEastAsia"/>
                      <w:szCs w:val="21"/>
                    </w:rPr>
                    <w:t>0</w:t>
                  </w:r>
                </w:p>
              </w:tc>
              <w:tc>
                <w:tcPr>
                  <w:tcW w:w="1276" w:type="dxa"/>
                </w:tcPr>
                <w:p>
                  <w:r>
                    <w:rPr>
                      <w:kern w:val="0"/>
                      <w:szCs w:val="21"/>
                    </w:rPr>
                    <w:t>基础减震垫、墙体隔声</w:t>
                  </w:r>
                </w:p>
              </w:tc>
              <w:tc>
                <w:tcPr>
                  <w:tcW w:w="1276" w:type="dxa"/>
                </w:tcPr>
                <w:p>
                  <w:pPr>
                    <w:jc w:val="center"/>
                    <w:rPr>
                      <w:rFonts w:eastAsiaTheme="minorEastAsia"/>
                      <w:szCs w:val="21"/>
                    </w:rPr>
                  </w:pPr>
                  <w:r>
                    <w:rPr>
                      <w:rFonts w:hint="eastAsia" w:eastAsiaTheme="minorEastAsia"/>
                      <w:szCs w:val="21"/>
                    </w:rPr>
                    <w:t>7</w:t>
                  </w:r>
                  <w:r>
                    <w:rPr>
                      <w:rFonts w:eastAsiaTheme="minor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9" w:type="dxa"/>
                </w:tcPr>
                <w:p>
                  <w:pPr>
                    <w:jc w:val="center"/>
                    <w:rPr>
                      <w:rFonts w:eastAsiaTheme="minorEastAsia"/>
                      <w:szCs w:val="21"/>
                    </w:rPr>
                  </w:pPr>
                  <w:r>
                    <w:rPr>
                      <w:rFonts w:hint="eastAsia" w:eastAsiaTheme="minorEastAsia"/>
                      <w:szCs w:val="21"/>
                    </w:rPr>
                    <w:t>2</w:t>
                  </w:r>
                </w:p>
              </w:tc>
              <w:tc>
                <w:tcPr>
                  <w:tcW w:w="2268" w:type="dxa"/>
                </w:tcPr>
                <w:p>
                  <w:pPr>
                    <w:jc w:val="center"/>
                    <w:rPr>
                      <w:rFonts w:eastAsiaTheme="minorEastAsia"/>
                      <w:szCs w:val="21"/>
                    </w:rPr>
                  </w:pPr>
                  <w:r>
                    <w:rPr>
                      <w:rFonts w:hint="eastAsia" w:eastAsiaTheme="minorEastAsia"/>
                      <w:szCs w:val="21"/>
                    </w:rPr>
                    <w:t>转盘</w:t>
                  </w:r>
                </w:p>
              </w:tc>
              <w:tc>
                <w:tcPr>
                  <w:tcW w:w="1276" w:type="dxa"/>
                </w:tcPr>
                <w:p>
                  <w:pPr>
                    <w:jc w:val="center"/>
                    <w:rPr>
                      <w:rFonts w:eastAsiaTheme="minorEastAsia"/>
                      <w:szCs w:val="21"/>
                    </w:rPr>
                  </w:pPr>
                  <w:r>
                    <w:rPr>
                      <w:rFonts w:hint="eastAsia" w:eastAsiaTheme="minorEastAsia"/>
                      <w:szCs w:val="21"/>
                    </w:rPr>
                    <w:t>9</w:t>
                  </w:r>
                  <w:r>
                    <w:rPr>
                      <w:rFonts w:eastAsiaTheme="minorEastAsia"/>
                      <w:szCs w:val="21"/>
                    </w:rPr>
                    <w:t>0</w:t>
                  </w:r>
                </w:p>
              </w:tc>
              <w:tc>
                <w:tcPr>
                  <w:tcW w:w="1276" w:type="dxa"/>
                </w:tcPr>
                <w:p>
                  <w:r>
                    <w:rPr>
                      <w:kern w:val="0"/>
                      <w:szCs w:val="21"/>
                    </w:rPr>
                    <w:t>基础减震垫、墙体隔声</w:t>
                  </w:r>
                </w:p>
              </w:tc>
              <w:tc>
                <w:tcPr>
                  <w:tcW w:w="1276" w:type="dxa"/>
                </w:tcPr>
                <w:p>
                  <w:pPr>
                    <w:jc w:val="center"/>
                    <w:rPr>
                      <w:rFonts w:eastAsiaTheme="minorEastAsia"/>
                      <w:szCs w:val="21"/>
                    </w:rPr>
                  </w:pPr>
                  <w:r>
                    <w:rPr>
                      <w:rFonts w:hint="eastAsia" w:eastAsiaTheme="minorEastAsia"/>
                      <w:szCs w:val="21"/>
                    </w:rPr>
                    <w:t>7</w:t>
                  </w:r>
                  <w:r>
                    <w:rPr>
                      <w:rFonts w:eastAsiaTheme="minor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9" w:type="dxa"/>
                </w:tcPr>
                <w:p>
                  <w:pPr>
                    <w:jc w:val="center"/>
                    <w:rPr>
                      <w:rFonts w:eastAsiaTheme="minorEastAsia"/>
                      <w:szCs w:val="21"/>
                    </w:rPr>
                  </w:pPr>
                  <w:r>
                    <w:rPr>
                      <w:rFonts w:hint="eastAsia" w:eastAsiaTheme="minorEastAsia"/>
                      <w:szCs w:val="21"/>
                    </w:rPr>
                    <w:t>3</w:t>
                  </w:r>
                </w:p>
              </w:tc>
              <w:tc>
                <w:tcPr>
                  <w:tcW w:w="2268" w:type="dxa"/>
                </w:tcPr>
                <w:p>
                  <w:pPr>
                    <w:jc w:val="center"/>
                    <w:rPr>
                      <w:rFonts w:eastAsiaTheme="minorEastAsia"/>
                      <w:szCs w:val="21"/>
                    </w:rPr>
                  </w:pPr>
                  <w:r>
                    <w:rPr>
                      <w:rFonts w:hint="eastAsia" w:eastAsiaTheme="minorEastAsia"/>
                      <w:szCs w:val="21"/>
                    </w:rPr>
                    <w:t>提升机</w:t>
                  </w:r>
                </w:p>
              </w:tc>
              <w:tc>
                <w:tcPr>
                  <w:tcW w:w="1276" w:type="dxa"/>
                </w:tcPr>
                <w:p>
                  <w:pPr>
                    <w:jc w:val="center"/>
                    <w:rPr>
                      <w:rFonts w:eastAsiaTheme="minorEastAsia"/>
                      <w:szCs w:val="21"/>
                    </w:rPr>
                  </w:pPr>
                  <w:r>
                    <w:rPr>
                      <w:rFonts w:hint="eastAsia" w:eastAsiaTheme="minorEastAsia"/>
                      <w:szCs w:val="21"/>
                    </w:rPr>
                    <w:t>8</w:t>
                  </w:r>
                  <w:r>
                    <w:rPr>
                      <w:rFonts w:eastAsiaTheme="minorEastAsia"/>
                      <w:szCs w:val="21"/>
                    </w:rPr>
                    <w:t>5</w:t>
                  </w:r>
                </w:p>
              </w:tc>
              <w:tc>
                <w:tcPr>
                  <w:tcW w:w="1276" w:type="dxa"/>
                </w:tcPr>
                <w:p>
                  <w:r>
                    <w:rPr>
                      <w:kern w:val="0"/>
                      <w:szCs w:val="21"/>
                    </w:rPr>
                    <w:t>基础减震垫、墙体隔声</w:t>
                  </w:r>
                </w:p>
              </w:tc>
              <w:tc>
                <w:tcPr>
                  <w:tcW w:w="1276" w:type="dxa"/>
                </w:tcPr>
                <w:p>
                  <w:pPr>
                    <w:jc w:val="center"/>
                    <w:rPr>
                      <w:rFonts w:eastAsiaTheme="minorEastAsia"/>
                      <w:szCs w:val="21"/>
                    </w:rPr>
                  </w:pPr>
                  <w:r>
                    <w:rPr>
                      <w:rFonts w:hint="eastAsia" w:eastAsiaTheme="minorEastAsia"/>
                      <w:szCs w:val="21"/>
                    </w:rPr>
                    <w:t>7</w:t>
                  </w:r>
                  <w:r>
                    <w:rPr>
                      <w:rFonts w:eastAsiaTheme="minor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9" w:type="dxa"/>
                </w:tcPr>
                <w:p>
                  <w:pPr>
                    <w:jc w:val="center"/>
                    <w:rPr>
                      <w:rFonts w:eastAsiaTheme="minorEastAsia"/>
                      <w:szCs w:val="21"/>
                    </w:rPr>
                  </w:pPr>
                  <w:r>
                    <w:rPr>
                      <w:rFonts w:hint="eastAsia" w:eastAsiaTheme="minorEastAsia"/>
                      <w:szCs w:val="21"/>
                    </w:rPr>
                    <w:t>4</w:t>
                  </w:r>
                </w:p>
              </w:tc>
              <w:tc>
                <w:tcPr>
                  <w:tcW w:w="2268" w:type="dxa"/>
                </w:tcPr>
                <w:p>
                  <w:pPr>
                    <w:jc w:val="center"/>
                    <w:rPr>
                      <w:rFonts w:eastAsiaTheme="minorEastAsia"/>
                      <w:szCs w:val="21"/>
                    </w:rPr>
                  </w:pPr>
                  <w:r>
                    <w:rPr>
                      <w:rFonts w:hint="eastAsia" w:eastAsiaTheme="minorEastAsia"/>
                      <w:szCs w:val="21"/>
                    </w:rPr>
                    <w:t>推卸机</w:t>
                  </w:r>
                </w:p>
              </w:tc>
              <w:tc>
                <w:tcPr>
                  <w:tcW w:w="1276" w:type="dxa"/>
                </w:tcPr>
                <w:p>
                  <w:pPr>
                    <w:jc w:val="center"/>
                    <w:rPr>
                      <w:rFonts w:eastAsiaTheme="minorEastAsia"/>
                      <w:szCs w:val="21"/>
                    </w:rPr>
                  </w:pPr>
                  <w:r>
                    <w:rPr>
                      <w:rFonts w:hint="eastAsia" w:eastAsiaTheme="minorEastAsia"/>
                      <w:szCs w:val="21"/>
                    </w:rPr>
                    <w:t>9</w:t>
                  </w:r>
                  <w:r>
                    <w:rPr>
                      <w:rFonts w:eastAsiaTheme="minorEastAsia"/>
                      <w:szCs w:val="21"/>
                    </w:rPr>
                    <w:t>0</w:t>
                  </w:r>
                </w:p>
              </w:tc>
              <w:tc>
                <w:tcPr>
                  <w:tcW w:w="1276" w:type="dxa"/>
                </w:tcPr>
                <w:p>
                  <w:r>
                    <w:rPr>
                      <w:kern w:val="0"/>
                      <w:szCs w:val="21"/>
                    </w:rPr>
                    <w:t>基础减震垫、墙体隔声</w:t>
                  </w:r>
                </w:p>
              </w:tc>
              <w:tc>
                <w:tcPr>
                  <w:tcW w:w="1276" w:type="dxa"/>
                </w:tcPr>
                <w:p>
                  <w:pPr>
                    <w:jc w:val="center"/>
                    <w:rPr>
                      <w:rFonts w:eastAsiaTheme="minorEastAsia"/>
                      <w:szCs w:val="21"/>
                    </w:rPr>
                  </w:pPr>
                  <w:r>
                    <w:rPr>
                      <w:rFonts w:hint="eastAsia" w:eastAsiaTheme="minorEastAsia"/>
                      <w:szCs w:val="21"/>
                    </w:rPr>
                    <w:t>7</w:t>
                  </w:r>
                  <w:r>
                    <w:rPr>
                      <w:rFonts w:eastAsiaTheme="minor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9" w:type="dxa"/>
                </w:tcPr>
                <w:p>
                  <w:pPr>
                    <w:jc w:val="center"/>
                    <w:rPr>
                      <w:rFonts w:eastAsiaTheme="minorEastAsia"/>
                      <w:szCs w:val="21"/>
                    </w:rPr>
                  </w:pPr>
                  <w:r>
                    <w:rPr>
                      <w:rFonts w:hint="eastAsia" w:eastAsiaTheme="minorEastAsia"/>
                      <w:szCs w:val="21"/>
                    </w:rPr>
                    <w:t>5</w:t>
                  </w:r>
                </w:p>
              </w:tc>
              <w:tc>
                <w:tcPr>
                  <w:tcW w:w="2268" w:type="dxa"/>
                </w:tcPr>
                <w:p>
                  <w:pPr>
                    <w:jc w:val="center"/>
                    <w:rPr>
                      <w:rFonts w:eastAsiaTheme="minorEastAsia"/>
                      <w:szCs w:val="21"/>
                    </w:rPr>
                  </w:pPr>
                  <w:r>
                    <w:rPr>
                      <w:rFonts w:hint="eastAsia" w:eastAsiaTheme="minorEastAsia"/>
                      <w:szCs w:val="21"/>
                    </w:rPr>
                    <w:t>拆卸设备</w:t>
                  </w:r>
                </w:p>
              </w:tc>
              <w:tc>
                <w:tcPr>
                  <w:tcW w:w="1276" w:type="dxa"/>
                </w:tcPr>
                <w:p>
                  <w:pPr>
                    <w:jc w:val="center"/>
                    <w:rPr>
                      <w:rFonts w:eastAsiaTheme="minorEastAsia"/>
                      <w:szCs w:val="21"/>
                    </w:rPr>
                  </w:pPr>
                  <w:r>
                    <w:rPr>
                      <w:rFonts w:hint="eastAsia" w:eastAsiaTheme="minorEastAsia"/>
                      <w:szCs w:val="21"/>
                    </w:rPr>
                    <w:t>8</w:t>
                  </w:r>
                  <w:r>
                    <w:rPr>
                      <w:rFonts w:eastAsiaTheme="minorEastAsia"/>
                      <w:szCs w:val="21"/>
                    </w:rPr>
                    <w:t>5</w:t>
                  </w:r>
                </w:p>
              </w:tc>
              <w:tc>
                <w:tcPr>
                  <w:tcW w:w="1276" w:type="dxa"/>
                </w:tcPr>
                <w:p>
                  <w:r>
                    <w:rPr>
                      <w:kern w:val="0"/>
                      <w:szCs w:val="21"/>
                    </w:rPr>
                    <w:t>基础减震垫、墙体隔声</w:t>
                  </w:r>
                </w:p>
              </w:tc>
              <w:tc>
                <w:tcPr>
                  <w:tcW w:w="1276" w:type="dxa"/>
                </w:tcPr>
                <w:p>
                  <w:pPr>
                    <w:jc w:val="center"/>
                    <w:rPr>
                      <w:rFonts w:eastAsiaTheme="minorEastAsia"/>
                      <w:szCs w:val="21"/>
                    </w:rPr>
                  </w:pPr>
                  <w:r>
                    <w:rPr>
                      <w:rFonts w:hint="eastAsia" w:eastAsiaTheme="minorEastAsia"/>
                      <w:szCs w:val="21"/>
                    </w:rPr>
                    <w:t>7</w:t>
                  </w:r>
                  <w:r>
                    <w:rPr>
                      <w:rFonts w:eastAsiaTheme="minorEastAsia"/>
                      <w:szCs w:val="21"/>
                    </w:rPr>
                    <w:t>0</w:t>
                  </w:r>
                </w:p>
              </w:tc>
            </w:tr>
          </w:tbl>
          <w:p>
            <w:pPr>
              <w:adjustRightInd w:val="0"/>
              <w:snapToGrid w:val="0"/>
              <w:spacing w:line="360" w:lineRule="auto"/>
              <w:ind w:firstLine="480" w:firstLineChars="200"/>
              <w:rPr>
                <w:bCs/>
                <w:sz w:val="24"/>
              </w:rPr>
            </w:pPr>
            <w:r>
              <w:rPr>
                <w:rFonts w:eastAsiaTheme="minorEastAsia"/>
                <w:sz w:val="24"/>
              </w:rPr>
              <w:t>二、</w:t>
            </w:r>
            <w:r>
              <w:rPr>
                <w:bCs/>
                <w:sz w:val="24"/>
              </w:rPr>
              <w:t>噪声影响预测</w:t>
            </w:r>
          </w:p>
          <w:p>
            <w:pPr>
              <w:adjustRightInd w:val="0"/>
              <w:snapToGrid w:val="0"/>
              <w:spacing w:line="360" w:lineRule="auto"/>
              <w:ind w:firstLine="480" w:firstLineChars="200"/>
              <w:rPr>
                <w:sz w:val="24"/>
              </w:rPr>
            </w:pPr>
            <w:r>
              <w:rPr>
                <w:sz w:val="24"/>
              </w:rPr>
              <w:t>噪声源的分布及与预测厂界间的距离见下表。</w:t>
            </w:r>
          </w:p>
          <w:p>
            <w:pPr>
              <w:spacing w:line="360" w:lineRule="auto"/>
              <w:ind w:firstLine="422" w:firstLineChars="200"/>
              <w:jc w:val="center"/>
              <w:rPr>
                <w:b/>
              </w:rPr>
            </w:pPr>
            <w:r>
              <w:rPr>
                <w:b/>
              </w:rPr>
              <w:t>表4-9  各声源与预测厂界间的距离（单位m）</w:t>
            </w:r>
          </w:p>
          <w:tbl>
            <w:tblPr>
              <w:tblStyle w:val="44"/>
              <w:tblW w:w="64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923"/>
              <w:gridCol w:w="807"/>
              <w:gridCol w:w="1653"/>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1490" w:type="dxa"/>
                  <w:shd w:val="clear" w:color="auto" w:fill="auto"/>
                  <w:vAlign w:val="center"/>
                </w:tcPr>
                <w:p>
                  <w:pPr>
                    <w:adjustRightInd w:val="0"/>
                    <w:snapToGrid w:val="0"/>
                    <w:jc w:val="center"/>
                    <w:rPr>
                      <w:szCs w:val="21"/>
                    </w:rPr>
                  </w:pPr>
                  <w:r>
                    <w:rPr>
                      <w:szCs w:val="21"/>
                    </w:rPr>
                    <w:t>噪声源</w:t>
                  </w:r>
                </w:p>
              </w:tc>
              <w:tc>
                <w:tcPr>
                  <w:tcW w:w="923" w:type="dxa"/>
                  <w:shd w:val="clear" w:color="auto" w:fill="auto"/>
                  <w:vAlign w:val="center"/>
                </w:tcPr>
                <w:p>
                  <w:pPr>
                    <w:adjustRightInd w:val="0"/>
                    <w:snapToGrid w:val="0"/>
                    <w:jc w:val="center"/>
                    <w:rPr>
                      <w:szCs w:val="21"/>
                    </w:rPr>
                  </w:pPr>
                  <w:r>
                    <w:rPr>
                      <w:szCs w:val="21"/>
                    </w:rPr>
                    <w:t>东厂界</w:t>
                  </w:r>
                </w:p>
              </w:tc>
              <w:tc>
                <w:tcPr>
                  <w:tcW w:w="807" w:type="dxa"/>
                  <w:shd w:val="clear" w:color="auto" w:fill="auto"/>
                  <w:vAlign w:val="center"/>
                </w:tcPr>
                <w:p>
                  <w:pPr>
                    <w:adjustRightInd w:val="0"/>
                    <w:snapToGrid w:val="0"/>
                    <w:jc w:val="center"/>
                    <w:rPr>
                      <w:szCs w:val="21"/>
                    </w:rPr>
                  </w:pPr>
                  <w:r>
                    <w:rPr>
                      <w:szCs w:val="21"/>
                    </w:rPr>
                    <w:t>南厂界</w:t>
                  </w:r>
                </w:p>
              </w:tc>
              <w:tc>
                <w:tcPr>
                  <w:tcW w:w="1653" w:type="dxa"/>
                  <w:shd w:val="clear" w:color="auto" w:fill="auto"/>
                  <w:vAlign w:val="center"/>
                </w:tcPr>
                <w:p>
                  <w:pPr>
                    <w:adjustRightInd w:val="0"/>
                    <w:snapToGrid w:val="0"/>
                    <w:jc w:val="center"/>
                    <w:rPr>
                      <w:szCs w:val="21"/>
                    </w:rPr>
                  </w:pPr>
                  <w:r>
                    <w:rPr>
                      <w:szCs w:val="21"/>
                    </w:rPr>
                    <w:t>西厂界</w:t>
                  </w:r>
                </w:p>
              </w:tc>
              <w:tc>
                <w:tcPr>
                  <w:tcW w:w="1579" w:type="dxa"/>
                  <w:shd w:val="clear" w:color="auto" w:fill="auto"/>
                  <w:vAlign w:val="center"/>
                </w:tcPr>
                <w:p>
                  <w:pPr>
                    <w:adjustRightInd w:val="0"/>
                    <w:snapToGrid w:val="0"/>
                    <w:jc w:val="center"/>
                    <w:rPr>
                      <w:szCs w:val="21"/>
                    </w:rPr>
                  </w:pPr>
                  <w:r>
                    <w:rPr>
                      <w:szCs w:val="21"/>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1490" w:type="dxa"/>
                </w:tcPr>
                <w:p>
                  <w:pPr>
                    <w:jc w:val="center"/>
                    <w:rPr>
                      <w:rFonts w:eastAsiaTheme="minorEastAsia"/>
                      <w:szCs w:val="21"/>
                    </w:rPr>
                  </w:pPr>
                  <w:r>
                    <w:rPr>
                      <w:rFonts w:hint="eastAsia" w:eastAsiaTheme="minorEastAsia"/>
                      <w:szCs w:val="21"/>
                    </w:rPr>
                    <w:t>起重机</w:t>
                  </w:r>
                </w:p>
              </w:tc>
              <w:tc>
                <w:tcPr>
                  <w:tcW w:w="923" w:type="dxa"/>
                  <w:shd w:val="clear" w:color="auto" w:fill="auto"/>
                  <w:vAlign w:val="bottom"/>
                </w:tcPr>
                <w:p>
                  <w:pPr>
                    <w:adjustRightInd w:val="0"/>
                    <w:snapToGrid w:val="0"/>
                    <w:jc w:val="center"/>
                    <w:textAlignment w:val="baseline"/>
                    <w:rPr>
                      <w:kern w:val="0"/>
                      <w:szCs w:val="21"/>
                    </w:rPr>
                  </w:pPr>
                  <w:r>
                    <w:rPr>
                      <w:kern w:val="0"/>
                      <w:szCs w:val="21"/>
                    </w:rPr>
                    <w:t>124</w:t>
                  </w:r>
                </w:p>
              </w:tc>
              <w:tc>
                <w:tcPr>
                  <w:tcW w:w="807" w:type="dxa"/>
                  <w:shd w:val="clear" w:color="auto" w:fill="auto"/>
                  <w:vAlign w:val="bottom"/>
                </w:tcPr>
                <w:p>
                  <w:pPr>
                    <w:adjustRightInd w:val="0"/>
                    <w:snapToGrid w:val="0"/>
                    <w:jc w:val="center"/>
                    <w:textAlignment w:val="baseline"/>
                    <w:rPr>
                      <w:kern w:val="0"/>
                      <w:szCs w:val="21"/>
                    </w:rPr>
                  </w:pPr>
                  <w:r>
                    <w:rPr>
                      <w:rFonts w:hint="eastAsia"/>
                      <w:kern w:val="0"/>
                      <w:szCs w:val="21"/>
                    </w:rPr>
                    <w:t>2</w:t>
                  </w:r>
                  <w:r>
                    <w:rPr>
                      <w:kern w:val="0"/>
                      <w:szCs w:val="21"/>
                    </w:rPr>
                    <w:t>4</w:t>
                  </w:r>
                </w:p>
              </w:tc>
              <w:tc>
                <w:tcPr>
                  <w:tcW w:w="1653" w:type="dxa"/>
                  <w:shd w:val="clear" w:color="auto" w:fill="auto"/>
                  <w:vAlign w:val="bottom"/>
                </w:tcPr>
                <w:p>
                  <w:pPr>
                    <w:adjustRightInd w:val="0"/>
                    <w:snapToGrid w:val="0"/>
                    <w:jc w:val="center"/>
                    <w:textAlignment w:val="baseline"/>
                    <w:rPr>
                      <w:kern w:val="0"/>
                      <w:szCs w:val="21"/>
                    </w:rPr>
                  </w:pPr>
                  <w:r>
                    <w:rPr>
                      <w:rFonts w:hint="eastAsia"/>
                      <w:kern w:val="0"/>
                      <w:szCs w:val="21"/>
                    </w:rPr>
                    <w:t>1</w:t>
                  </w:r>
                  <w:r>
                    <w:rPr>
                      <w:kern w:val="0"/>
                      <w:szCs w:val="21"/>
                    </w:rPr>
                    <w:t>0</w:t>
                  </w:r>
                </w:p>
              </w:tc>
              <w:tc>
                <w:tcPr>
                  <w:tcW w:w="1579" w:type="dxa"/>
                  <w:shd w:val="clear" w:color="auto" w:fill="auto"/>
                  <w:vAlign w:val="bottom"/>
                </w:tcPr>
                <w:p>
                  <w:pPr>
                    <w:adjustRightInd w:val="0"/>
                    <w:snapToGrid w:val="0"/>
                    <w:jc w:val="center"/>
                    <w:textAlignment w:val="baseline"/>
                    <w:rPr>
                      <w:kern w:val="0"/>
                      <w:szCs w:val="21"/>
                    </w:rPr>
                  </w:pPr>
                  <w:r>
                    <w:rPr>
                      <w:kern w:val="0"/>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1490" w:type="dxa"/>
                </w:tcPr>
                <w:p>
                  <w:pPr>
                    <w:jc w:val="center"/>
                    <w:rPr>
                      <w:rFonts w:eastAsiaTheme="minorEastAsia"/>
                      <w:szCs w:val="21"/>
                    </w:rPr>
                  </w:pPr>
                  <w:r>
                    <w:rPr>
                      <w:rFonts w:hint="eastAsia" w:eastAsiaTheme="minorEastAsia"/>
                      <w:szCs w:val="21"/>
                    </w:rPr>
                    <w:t>转盘</w:t>
                  </w:r>
                </w:p>
              </w:tc>
              <w:tc>
                <w:tcPr>
                  <w:tcW w:w="923" w:type="dxa"/>
                  <w:shd w:val="clear" w:color="auto" w:fill="auto"/>
                  <w:vAlign w:val="bottom"/>
                </w:tcPr>
                <w:p>
                  <w:pPr>
                    <w:adjustRightInd w:val="0"/>
                    <w:snapToGrid w:val="0"/>
                    <w:jc w:val="center"/>
                    <w:textAlignment w:val="baseline"/>
                    <w:rPr>
                      <w:kern w:val="0"/>
                      <w:szCs w:val="21"/>
                    </w:rPr>
                  </w:pPr>
                  <w:r>
                    <w:rPr>
                      <w:rFonts w:hint="eastAsia"/>
                      <w:kern w:val="0"/>
                      <w:szCs w:val="21"/>
                    </w:rPr>
                    <w:t>1</w:t>
                  </w:r>
                  <w:r>
                    <w:rPr>
                      <w:kern w:val="0"/>
                      <w:szCs w:val="21"/>
                    </w:rPr>
                    <w:t>20</w:t>
                  </w:r>
                </w:p>
              </w:tc>
              <w:tc>
                <w:tcPr>
                  <w:tcW w:w="807" w:type="dxa"/>
                  <w:shd w:val="clear" w:color="auto" w:fill="auto"/>
                  <w:vAlign w:val="bottom"/>
                </w:tcPr>
                <w:p>
                  <w:pPr>
                    <w:adjustRightInd w:val="0"/>
                    <w:snapToGrid w:val="0"/>
                    <w:jc w:val="center"/>
                    <w:textAlignment w:val="baseline"/>
                    <w:rPr>
                      <w:kern w:val="0"/>
                      <w:szCs w:val="21"/>
                    </w:rPr>
                  </w:pPr>
                  <w:r>
                    <w:rPr>
                      <w:rFonts w:hint="eastAsia"/>
                      <w:kern w:val="0"/>
                      <w:szCs w:val="21"/>
                    </w:rPr>
                    <w:t>4</w:t>
                  </w:r>
                  <w:r>
                    <w:rPr>
                      <w:kern w:val="0"/>
                      <w:szCs w:val="21"/>
                    </w:rPr>
                    <w:t>0</w:t>
                  </w:r>
                </w:p>
              </w:tc>
              <w:tc>
                <w:tcPr>
                  <w:tcW w:w="1653" w:type="dxa"/>
                  <w:shd w:val="clear" w:color="auto" w:fill="auto"/>
                  <w:vAlign w:val="bottom"/>
                </w:tcPr>
                <w:p>
                  <w:pPr>
                    <w:adjustRightInd w:val="0"/>
                    <w:snapToGrid w:val="0"/>
                    <w:jc w:val="center"/>
                    <w:textAlignment w:val="baseline"/>
                    <w:rPr>
                      <w:kern w:val="0"/>
                      <w:szCs w:val="21"/>
                    </w:rPr>
                  </w:pPr>
                  <w:r>
                    <w:rPr>
                      <w:rFonts w:hint="eastAsia"/>
                      <w:kern w:val="0"/>
                      <w:szCs w:val="21"/>
                    </w:rPr>
                    <w:t>2</w:t>
                  </w:r>
                  <w:r>
                    <w:rPr>
                      <w:kern w:val="0"/>
                      <w:szCs w:val="21"/>
                    </w:rPr>
                    <w:t>8</w:t>
                  </w:r>
                </w:p>
              </w:tc>
              <w:tc>
                <w:tcPr>
                  <w:tcW w:w="1579" w:type="dxa"/>
                  <w:shd w:val="clear" w:color="auto" w:fill="auto"/>
                  <w:vAlign w:val="bottom"/>
                </w:tcPr>
                <w:p>
                  <w:pPr>
                    <w:adjustRightInd w:val="0"/>
                    <w:snapToGrid w:val="0"/>
                    <w:jc w:val="center"/>
                    <w:textAlignment w:val="baseline"/>
                    <w:rPr>
                      <w:kern w:val="0"/>
                      <w:szCs w:val="21"/>
                    </w:rPr>
                  </w:pPr>
                  <w:r>
                    <w:rPr>
                      <w:rFonts w:hint="eastAsia"/>
                      <w:kern w:val="0"/>
                      <w:szCs w:val="21"/>
                    </w:rPr>
                    <w:t>4</w:t>
                  </w:r>
                  <w:r>
                    <w:rPr>
                      <w:kern w:val="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jc w:val="center"/>
              </w:trPr>
              <w:tc>
                <w:tcPr>
                  <w:tcW w:w="1490" w:type="dxa"/>
                </w:tcPr>
                <w:p>
                  <w:pPr>
                    <w:jc w:val="center"/>
                    <w:rPr>
                      <w:rFonts w:eastAsiaTheme="minorEastAsia"/>
                      <w:szCs w:val="21"/>
                    </w:rPr>
                  </w:pPr>
                  <w:r>
                    <w:rPr>
                      <w:rFonts w:hint="eastAsia" w:eastAsiaTheme="minorEastAsia"/>
                      <w:szCs w:val="21"/>
                    </w:rPr>
                    <w:t>提升机</w:t>
                  </w:r>
                </w:p>
              </w:tc>
              <w:tc>
                <w:tcPr>
                  <w:tcW w:w="923" w:type="dxa"/>
                  <w:shd w:val="clear" w:color="auto" w:fill="auto"/>
                  <w:vAlign w:val="bottom"/>
                </w:tcPr>
                <w:p>
                  <w:pPr>
                    <w:adjustRightInd w:val="0"/>
                    <w:snapToGrid w:val="0"/>
                    <w:jc w:val="center"/>
                    <w:textAlignment w:val="baseline"/>
                    <w:rPr>
                      <w:kern w:val="0"/>
                      <w:szCs w:val="21"/>
                    </w:rPr>
                  </w:pPr>
                  <w:r>
                    <w:rPr>
                      <w:rFonts w:hint="eastAsia"/>
                      <w:kern w:val="0"/>
                      <w:szCs w:val="21"/>
                    </w:rPr>
                    <w:t>5</w:t>
                  </w:r>
                  <w:r>
                    <w:rPr>
                      <w:kern w:val="0"/>
                      <w:szCs w:val="21"/>
                    </w:rPr>
                    <w:t>5</w:t>
                  </w:r>
                </w:p>
              </w:tc>
              <w:tc>
                <w:tcPr>
                  <w:tcW w:w="807" w:type="dxa"/>
                  <w:shd w:val="clear" w:color="auto" w:fill="auto"/>
                  <w:vAlign w:val="bottom"/>
                </w:tcPr>
                <w:p>
                  <w:pPr>
                    <w:adjustRightInd w:val="0"/>
                    <w:snapToGrid w:val="0"/>
                    <w:jc w:val="center"/>
                    <w:textAlignment w:val="baseline"/>
                    <w:rPr>
                      <w:kern w:val="0"/>
                      <w:szCs w:val="21"/>
                    </w:rPr>
                  </w:pPr>
                  <w:r>
                    <w:rPr>
                      <w:rFonts w:hint="eastAsia"/>
                      <w:kern w:val="0"/>
                      <w:szCs w:val="21"/>
                    </w:rPr>
                    <w:t>3</w:t>
                  </w:r>
                  <w:r>
                    <w:rPr>
                      <w:kern w:val="0"/>
                      <w:szCs w:val="21"/>
                    </w:rPr>
                    <w:t>0</w:t>
                  </w:r>
                </w:p>
              </w:tc>
              <w:tc>
                <w:tcPr>
                  <w:tcW w:w="1653" w:type="dxa"/>
                  <w:shd w:val="clear" w:color="auto" w:fill="auto"/>
                  <w:vAlign w:val="bottom"/>
                </w:tcPr>
                <w:p>
                  <w:pPr>
                    <w:adjustRightInd w:val="0"/>
                    <w:snapToGrid w:val="0"/>
                    <w:jc w:val="center"/>
                    <w:textAlignment w:val="baseline"/>
                    <w:rPr>
                      <w:kern w:val="0"/>
                      <w:szCs w:val="21"/>
                    </w:rPr>
                  </w:pPr>
                  <w:r>
                    <w:rPr>
                      <w:rFonts w:hint="eastAsia"/>
                      <w:kern w:val="0"/>
                      <w:szCs w:val="21"/>
                    </w:rPr>
                    <w:t>9</w:t>
                  </w:r>
                  <w:r>
                    <w:rPr>
                      <w:kern w:val="0"/>
                      <w:szCs w:val="21"/>
                    </w:rPr>
                    <w:t>3</w:t>
                  </w:r>
                </w:p>
              </w:tc>
              <w:tc>
                <w:tcPr>
                  <w:tcW w:w="1579" w:type="dxa"/>
                  <w:shd w:val="clear" w:color="auto" w:fill="auto"/>
                  <w:vAlign w:val="bottom"/>
                </w:tcPr>
                <w:p>
                  <w:pPr>
                    <w:adjustRightInd w:val="0"/>
                    <w:snapToGrid w:val="0"/>
                    <w:jc w:val="center"/>
                    <w:textAlignment w:val="baseline"/>
                    <w:rPr>
                      <w:kern w:val="0"/>
                      <w:szCs w:val="21"/>
                    </w:rPr>
                  </w:pPr>
                  <w:r>
                    <w:rPr>
                      <w:rFonts w:hint="eastAsia"/>
                      <w:kern w:val="0"/>
                      <w:szCs w:val="21"/>
                    </w:rPr>
                    <w:t>7</w:t>
                  </w:r>
                  <w:r>
                    <w:rPr>
                      <w:kern w:val="0"/>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1490" w:type="dxa"/>
                </w:tcPr>
                <w:p>
                  <w:pPr>
                    <w:jc w:val="center"/>
                    <w:rPr>
                      <w:rFonts w:eastAsiaTheme="minorEastAsia"/>
                      <w:szCs w:val="21"/>
                    </w:rPr>
                  </w:pPr>
                  <w:r>
                    <w:rPr>
                      <w:rFonts w:hint="eastAsia" w:eastAsiaTheme="minorEastAsia"/>
                      <w:szCs w:val="21"/>
                    </w:rPr>
                    <w:t>推卸机</w:t>
                  </w:r>
                </w:p>
              </w:tc>
              <w:tc>
                <w:tcPr>
                  <w:tcW w:w="923" w:type="dxa"/>
                  <w:shd w:val="clear" w:color="auto" w:fill="auto"/>
                  <w:vAlign w:val="bottom"/>
                </w:tcPr>
                <w:p>
                  <w:pPr>
                    <w:adjustRightInd w:val="0"/>
                    <w:snapToGrid w:val="0"/>
                    <w:jc w:val="center"/>
                    <w:textAlignment w:val="baseline"/>
                    <w:rPr>
                      <w:kern w:val="0"/>
                      <w:szCs w:val="21"/>
                    </w:rPr>
                  </w:pPr>
                  <w:r>
                    <w:rPr>
                      <w:rFonts w:hint="eastAsia"/>
                      <w:kern w:val="0"/>
                      <w:szCs w:val="21"/>
                    </w:rPr>
                    <w:t>1</w:t>
                  </w:r>
                  <w:r>
                    <w:rPr>
                      <w:kern w:val="0"/>
                      <w:szCs w:val="21"/>
                    </w:rPr>
                    <w:t>7</w:t>
                  </w:r>
                </w:p>
              </w:tc>
              <w:tc>
                <w:tcPr>
                  <w:tcW w:w="807" w:type="dxa"/>
                  <w:shd w:val="clear" w:color="auto" w:fill="auto"/>
                  <w:vAlign w:val="bottom"/>
                </w:tcPr>
                <w:p>
                  <w:pPr>
                    <w:adjustRightInd w:val="0"/>
                    <w:snapToGrid w:val="0"/>
                    <w:jc w:val="center"/>
                    <w:textAlignment w:val="baseline"/>
                    <w:rPr>
                      <w:kern w:val="0"/>
                      <w:szCs w:val="21"/>
                    </w:rPr>
                  </w:pPr>
                  <w:r>
                    <w:rPr>
                      <w:rFonts w:hint="eastAsia"/>
                      <w:kern w:val="0"/>
                      <w:szCs w:val="21"/>
                    </w:rPr>
                    <w:t>1</w:t>
                  </w:r>
                  <w:r>
                    <w:rPr>
                      <w:kern w:val="0"/>
                      <w:szCs w:val="21"/>
                    </w:rPr>
                    <w:t>05</w:t>
                  </w:r>
                </w:p>
              </w:tc>
              <w:tc>
                <w:tcPr>
                  <w:tcW w:w="1653" w:type="dxa"/>
                  <w:shd w:val="clear" w:color="auto" w:fill="auto"/>
                  <w:vAlign w:val="bottom"/>
                </w:tcPr>
                <w:p>
                  <w:pPr>
                    <w:adjustRightInd w:val="0"/>
                    <w:snapToGrid w:val="0"/>
                    <w:jc w:val="center"/>
                    <w:textAlignment w:val="baseline"/>
                    <w:rPr>
                      <w:kern w:val="0"/>
                      <w:szCs w:val="21"/>
                    </w:rPr>
                  </w:pPr>
                  <w:r>
                    <w:rPr>
                      <w:rFonts w:hint="eastAsia"/>
                      <w:kern w:val="0"/>
                      <w:szCs w:val="21"/>
                    </w:rPr>
                    <w:t>1</w:t>
                  </w:r>
                  <w:r>
                    <w:rPr>
                      <w:kern w:val="0"/>
                      <w:szCs w:val="21"/>
                    </w:rPr>
                    <w:t>31</w:t>
                  </w:r>
                </w:p>
              </w:tc>
              <w:tc>
                <w:tcPr>
                  <w:tcW w:w="1579" w:type="dxa"/>
                  <w:shd w:val="clear" w:color="auto" w:fill="auto"/>
                  <w:vAlign w:val="bottom"/>
                </w:tcPr>
                <w:p>
                  <w:pPr>
                    <w:adjustRightInd w:val="0"/>
                    <w:snapToGrid w:val="0"/>
                    <w:jc w:val="center"/>
                    <w:textAlignment w:val="baseline"/>
                    <w:rPr>
                      <w:kern w:val="0"/>
                      <w:szCs w:val="21"/>
                    </w:rPr>
                  </w:pPr>
                  <w:r>
                    <w:rPr>
                      <w:rFonts w:hint="eastAsia"/>
                      <w:kern w:val="0"/>
                      <w:szCs w:val="21"/>
                    </w:rPr>
                    <w:t>1</w:t>
                  </w:r>
                  <w:r>
                    <w:rPr>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 w:hRule="atLeast"/>
                <w:jc w:val="center"/>
              </w:trPr>
              <w:tc>
                <w:tcPr>
                  <w:tcW w:w="1490" w:type="dxa"/>
                </w:tcPr>
                <w:p>
                  <w:pPr>
                    <w:jc w:val="center"/>
                    <w:rPr>
                      <w:rFonts w:eastAsiaTheme="minorEastAsia"/>
                      <w:szCs w:val="21"/>
                    </w:rPr>
                  </w:pPr>
                  <w:r>
                    <w:rPr>
                      <w:rFonts w:hint="eastAsia" w:eastAsiaTheme="minorEastAsia"/>
                      <w:szCs w:val="21"/>
                    </w:rPr>
                    <w:t>拆卸设备</w:t>
                  </w:r>
                </w:p>
              </w:tc>
              <w:tc>
                <w:tcPr>
                  <w:tcW w:w="923" w:type="dxa"/>
                  <w:shd w:val="clear" w:color="auto" w:fill="auto"/>
                  <w:vAlign w:val="bottom"/>
                </w:tcPr>
                <w:p>
                  <w:pPr>
                    <w:adjustRightInd w:val="0"/>
                    <w:snapToGrid w:val="0"/>
                    <w:jc w:val="center"/>
                    <w:textAlignment w:val="baseline"/>
                    <w:rPr>
                      <w:kern w:val="0"/>
                      <w:szCs w:val="21"/>
                    </w:rPr>
                  </w:pPr>
                  <w:r>
                    <w:rPr>
                      <w:kern w:val="0"/>
                      <w:szCs w:val="21"/>
                    </w:rPr>
                    <w:t>22</w:t>
                  </w:r>
                </w:p>
              </w:tc>
              <w:tc>
                <w:tcPr>
                  <w:tcW w:w="807" w:type="dxa"/>
                  <w:shd w:val="clear" w:color="auto" w:fill="auto"/>
                  <w:vAlign w:val="bottom"/>
                </w:tcPr>
                <w:p>
                  <w:pPr>
                    <w:adjustRightInd w:val="0"/>
                    <w:snapToGrid w:val="0"/>
                    <w:jc w:val="center"/>
                    <w:textAlignment w:val="baseline"/>
                    <w:rPr>
                      <w:kern w:val="0"/>
                      <w:szCs w:val="21"/>
                    </w:rPr>
                  </w:pPr>
                  <w:r>
                    <w:rPr>
                      <w:rFonts w:hint="eastAsia"/>
                      <w:kern w:val="0"/>
                      <w:szCs w:val="21"/>
                    </w:rPr>
                    <w:t>1</w:t>
                  </w:r>
                  <w:r>
                    <w:rPr>
                      <w:kern w:val="0"/>
                      <w:szCs w:val="21"/>
                    </w:rPr>
                    <w:t>00</w:t>
                  </w:r>
                </w:p>
              </w:tc>
              <w:tc>
                <w:tcPr>
                  <w:tcW w:w="1653" w:type="dxa"/>
                  <w:shd w:val="clear" w:color="auto" w:fill="auto"/>
                  <w:vAlign w:val="bottom"/>
                </w:tcPr>
                <w:p>
                  <w:pPr>
                    <w:adjustRightInd w:val="0"/>
                    <w:snapToGrid w:val="0"/>
                    <w:jc w:val="center"/>
                    <w:textAlignment w:val="baseline"/>
                    <w:rPr>
                      <w:kern w:val="0"/>
                      <w:szCs w:val="21"/>
                    </w:rPr>
                  </w:pPr>
                  <w:r>
                    <w:rPr>
                      <w:rFonts w:hint="eastAsia"/>
                      <w:kern w:val="0"/>
                      <w:szCs w:val="21"/>
                    </w:rPr>
                    <w:t>1</w:t>
                  </w:r>
                  <w:r>
                    <w:rPr>
                      <w:kern w:val="0"/>
                      <w:szCs w:val="21"/>
                    </w:rPr>
                    <w:t>26</w:t>
                  </w:r>
                </w:p>
              </w:tc>
              <w:tc>
                <w:tcPr>
                  <w:tcW w:w="1579" w:type="dxa"/>
                  <w:shd w:val="clear" w:color="auto" w:fill="auto"/>
                  <w:vAlign w:val="bottom"/>
                </w:tcPr>
                <w:p>
                  <w:pPr>
                    <w:adjustRightInd w:val="0"/>
                    <w:snapToGrid w:val="0"/>
                    <w:jc w:val="center"/>
                    <w:textAlignment w:val="baseline"/>
                    <w:rPr>
                      <w:kern w:val="0"/>
                      <w:szCs w:val="21"/>
                    </w:rPr>
                  </w:pPr>
                  <w:r>
                    <w:rPr>
                      <w:rFonts w:hint="eastAsia"/>
                      <w:kern w:val="0"/>
                      <w:szCs w:val="21"/>
                    </w:rPr>
                    <w:t>1</w:t>
                  </w:r>
                  <w:r>
                    <w:rPr>
                      <w:kern w:val="0"/>
                      <w:szCs w:val="21"/>
                    </w:rPr>
                    <w:t>9</w:t>
                  </w:r>
                </w:p>
              </w:tc>
            </w:tr>
          </w:tbl>
          <w:p>
            <w:pPr>
              <w:spacing w:line="360" w:lineRule="auto"/>
              <w:ind w:firstLine="480" w:firstLineChars="200"/>
              <w:rPr>
                <w:sz w:val="24"/>
              </w:rPr>
            </w:pPr>
            <w:r>
              <w:rPr>
                <w:sz w:val="24"/>
              </w:rPr>
              <w:t>根据《环境影响评价技术导则—声环境》（HJ2.4-2022），本评价采用下述噪声预测模式。</w:t>
            </w:r>
          </w:p>
          <w:p>
            <w:pPr>
              <w:adjustRightInd w:val="0"/>
              <w:snapToGrid w:val="0"/>
              <w:spacing w:line="360" w:lineRule="auto"/>
              <w:ind w:firstLine="480" w:firstLineChars="200"/>
              <w:rPr>
                <w:sz w:val="24"/>
              </w:rPr>
            </w:pPr>
            <w:r>
              <w:rPr>
                <w:sz w:val="24"/>
              </w:rPr>
              <w:t>设备噪声源主要为点声源，评价采用点声源模式预测噪声源对环境的影响，预测仅考虑距离衰减。预测噪声源强采取措施后的噪声值，预测时噪声源强取采取措施后的噪声值。</w:t>
            </w:r>
          </w:p>
          <w:p>
            <w:pPr>
              <w:autoSpaceDE w:val="0"/>
              <w:autoSpaceDN w:val="0"/>
              <w:spacing w:line="360" w:lineRule="auto"/>
              <w:ind w:firstLine="480" w:firstLineChars="200"/>
              <w:jc w:val="left"/>
              <w:rPr>
                <w:sz w:val="24"/>
              </w:rPr>
            </w:pPr>
            <w:r>
              <w:rPr>
                <w:sz w:val="24"/>
              </w:rPr>
              <w:t>项目设备噪声经厂房、围墙等阻隔后在只考虑扩散衰减情况下，噪声衰减按下列公式计算：</w:t>
            </w:r>
          </w:p>
          <w:p>
            <w:pPr>
              <w:autoSpaceDE w:val="0"/>
              <w:autoSpaceDN w:val="0"/>
              <w:spacing w:line="360" w:lineRule="auto"/>
              <w:ind w:firstLine="480" w:firstLineChars="200"/>
              <w:jc w:val="center"/>
              <w:rPr>
                <w:sz w:val="24"/>
              </w:rPr>
            </w:pPr>
            <w:bookmarkStart w:id="117" w:name="_Toc191940396"/>
            <w:bookmarkStart w:id="118" w:name="_Toc193366126"/>
            <w:r>
              <w:rPr>
                <w:sz w:val="24"/>
              </w:rPr>
              <w:t>LA(r)=Lr0 -20lg(r/r0)-</w:t>
            </w:r>
            <w:r>
              <w:rPr>
                <w:rFonts w:hint="eastAsia" w:ascii="宋体" w:hAnsi="宋体" w:cs="宋体"/>
                <w:sz w:val="24"/>
              </w:rPr>
              <w:t>△</w:t>
            </w:r>
            <w:r>
              <w:rPr>
                <w:sz w:val="24"/>
              </w:rPr>
              <w:t>L</w:t>
            </w:r>
            <w:bookmarkEnd w:id="117"/>
            <w:bookmarkEnd w:id="118"/>
          </w:p>
          <w:p>
            <w:pPr>
              <w:autoSpaceDE w:val="0"/>
              <w:autoSpaceDN w:val="0"/>
              <w:spacing w:line="360" w:lineRule="auto"/>
              <w:ind w:firstLine="480" w:firstLineChars="200"/>
              <w:jc w:val="left"/>
              <w:rPr>
                <w:sz w:val="24"/>
              </w:rPr>
            </w:pPr>
            <w:r>
              <w:rPr>
                <w:sz w:val="24"/>
              </w:rPr>
              <w:t>式中：LA(r)---距声源r米处受声点的A声级；</w:t>
            </w:r>
          </w:p>
          <w:p>
            <w:pPr>
              <w:autoSpaceDE w:val="0"/>
              <w:autoSpaceDN w:val="0"/>
              <w:spacing w:line="360" w:lineRule="auto"/>
              <w:ind w:firstLine="1200" w:firstLineChars="500"/>
              <w:jc w:val="left"/>
              <w:rPr>
                <w:sz w:val="24"/>
              </w:rPr>
            </w:pPr>
            <w:bookmarkStart w:id="119" w:name="_Toc191940397"/>
            <w:bookmarkStart w:id="120" w:name="_Toc193366127"/>
            <w:r>
              <w:rPr>
                <w:sz w:val="24"/>
              </w:rPr>
              <w:t>Lr0----参考点声源强度；</w:t>
            </w:r>
            <w:bookmarkEnd w:id="119"/>
            <w:bookmarkEnd w:id="120"/>
          </w:p>
          <w:p>
            <w:pPr>
              <w:autoSpaceDE w:val="0"/>
              <w:autoSpaceDN w:val="0"/>
              <w:spacing w:line="360" w:lineRule="auto"/>
              <w:ind w:firstLine="1200" w:firstLineChars="500"/>
              <w:jc w:val="left"/>
              <w:rPr>
                <w:sz w:val="24"/>
              </w:rPr>
            </w:pPr>
            <w:r>
              <w:rPr>
                <w:sz w:val="24"/>
              </w:rPr>
              <w:t>r-----预测受声点与源之间的距离（m）；</w:t>
            </w:r>
          </w:p>
          <w:p>
            <w:pPr>
              <w:autoSpaceDE w:val="0"/>
              <w:autoSpaceDN w:val="0"/>
              <w:spacing w:line="360" w:lineRule="auto"/>
              <w:ind w:firstLine="1200" w:firstLineChars="500"/>
              <w:jc w:val="left"/>
              <w:rPr>
                <w:sz w:val="24"/>
              </w:rPr>
            </w:pPr>
            <w:r>
              <w:rPr>
                <w:sz w:val="24"/>
              </w:rPr>
              <w:t>r0-----参考点与源之间的距离（m）。</w:t>
            </w:r>
          </w:p>
          <w:p>
            <w:pPr>
              <w:autoSpaceDE w:val="0"/>
              <w:autoSpaceDN w:val="0"/>
              <w:spacing w:line="360" w:lineRule="auto"/>
              <w:ind w:firstLine="1200" w:firstLineChars="500"/>
              <w:rPr>
                <w:sz w:val="24"/>
              </w:rPr>
            </w:pPr>
            <w:r>
              <w:rPr>
                <w:rFonts w:hint="eastAsia" w:ascii="宋体" w:hAnsi="宋体" w:cs="宋体"/>
                <w:sz w:val="24"/>
              </w:rPr>
              <w:t>△</w:t>
            </w:r>
            <w:r>
              <w:rPr>
                <w:sz w:val="24"/>
              </w:rPr>
              <w:t>L---其它衰减因素，影响</w:t>
            </w:r>
            <w:r>
              <w:rPr>
                <w:rFonts w:hint="eastAsia" w:ascii="宋体" w:hAnsi="宋体" w:cs="宋体"/>
                <w:sz w:val="24"/>
              </w:rPr>
              <w:t>△</w:t>
            </w:r>
            <w:r>
              <w:rPr>
                <w:sz w:val="24"/>
              </w:rPr>
              <w:t>L取值的因素很多，主要考虑车间隔声，建筑物反射等影响，一般厂房隔声、基础减振后的</w:t>
            </w:r>
            <w:r>
              <w:rPr>
                <w:rFonts w:hint="eastAsia" w:ascii="宋体" w:hAnsi="宋体" w:cs="宋体"/>
                <w:sz w:val="24"/>
              </w:rPr>
              <w:t>△</w:t>
            </w:r>
            <w:r>
              <w:rPr>
                <w:sz w:val="24"/>
              </w:rPr>
              <w:t>L在10～20dB(A)，本报告计算时取</w:t>
            </w:r>
            <w:r>
              <w:rPr>
                <w:rFonts w:hint="eastAsia" w:ascii="宋体" w:hAnsi="宋体" w:cs="宋体"/>
                <w:sz w:val="24"/>
              </w:rPr>
              <w:t>△</w:t>
            </w:r>
            <w:r>
              <w:rPr>
                <w:sz w:val="24"/>
              </w:rPr>
              <w:t>L=15dB(A)，设置消声器还可在此基础衰减10dB(A)。空气吸收的衰减很少，在200m内近似为零。</w:t>
            </w:r>
          </w:p>
          <w:p>
            <w:pPr>
              <w:autoSpaceDE w:val="0"/>
              <w:autoSpaceDN w:val="0"/>
              <w:spacing w:line="360" w:lineRule="auto"/>
              <w:ind w:firstLine="480" w:firstLineChars="200"/>
              <w:rPr>
                <w:sz w:val="24"/>
              </w:rPr>
            </w:pPr>
            <w:r>
              <w:rPr>
                <w:sz w:val="24"/>
              </w:rPr>
              <w:t>各受声点的声源叠加按下列公式计算：</w:t>
            </w:r>
          </w:p>
          <w:p>
            <w:pPr>
              <w:autoSpaceDE w:val="0"/>
              <w:autoSpaceDN w:val="0"/>
              <w:spacing w:line="360" w:lineRule="auto"/>
              <w:ind w:firstLine="1680" w:firstLineChars="700"/>
              <w:jc w:val="left"/>
              <w:rPr>
                <w:sz w:val="24"/>
              </w:rPr>
            </w:pPr>
            <w:r>
              <w:rPr>
                <w:position w:val="-34"/>
                <w:sz w:val="24"/>
              </w:rPr>
              <w:object>
                <v:shape id="_x0000_i1032" o:spt="75" type="#_x0000_t75" style="height:39.75pt;width:98.25pt;" o:ole="t" filled="f" o:preferrelative="t" stroked="f" coordsize="21600,21600">
                  <v:path/>
                  <v:fill on="f" focussize="0,0"/>
                  <v:stroke on="f" joinstyle="miter"/>
                  <v:imagedata r:id="rId23" o:title=""/>
                  <o:lock v:ext="edit" aspectratio="t"/>
                  <w10:wrap type="none"/>
                  <w10:anchorlock/>
                </v:shape>
                <o:OLEObject Type="Embed" ProgID="Equation.3" ShapeID="_x0000_i1032" DrawAspect="Content" ObjectID="_1468075730" r:id="rId22">
                  <o:LockedField>false</o:LockedField>
                </o:OLEObject>
              </w:object>
            </w:r>
          </w:p>
          <w:p>
            <w:pPr>
              <w:autoSpaceDE w:val="0"/>
              <w:autoSpaceDN w:val="0"/>
              <w:spacing w:line="360" w:lineRule="auto"/>
              <w:ind w:firstLine="480" w:firstLineChars="200"/>
              <w:jc w:val="left"/>
              <w:rPr>
                <w:sz w:val="24"/>
              </w:rPr>
            </w:pPr>
            <w:r>
              <w:rPr>
                <w:sz w:val="24"/>
              </w:rPr>
              <w:t>式中：Li--- 第i个声源声值；</w:t>
            </w:r>
          </w:p>
          <w:p>
            <w:pPr>
              <w:autoSpaceDE w:val="0"/>
              <w:autoSpaceDN w:val="0"/>
              <w:spacing w:line="360" w:lineRule="auto"/>
              <w:ind w:firstLine="1680" w:firstLineChars="700"/>
              <w:jc w:val="left"/>
              <w:rPr>
                <w:sz w:val="24"/>
              </w:rPr>
            </w:pPr>
            <w:bookmarkStart w:id="121" w:name="_Toc191940398"/>
            <w:bookmarkStart w:id="122" w:name="_Toc193366128"/>
            <w:r>
              <w:rPr>
                <w:sz w:val="24"/>
              </w:rPr>
              <w:t>LA---某点噪声总叠加值；</w:t>
            </w:r>
            <w:bookmarkEnd w:id="121"/>
            <w:bookmarkEnd w:id="122"/>
          </w:p>
          <w:p>
            <w:pPr>
              <w:spacing w:line="360" w:lineRule="auto"/>
              <w:ind w:firstLine="1680" w:firstLineChars="700"/>
              <w:rPr>
                <w:sz w:val="24"/>
              </w:rPr>
            </w:pPr>
            <w:r>
              <w:rPr>
                <w:sz w:val="24"/>
              </w:rPr>
              <w:t>n---声源个数</w:t>
            </w:r>
          </w:p>
          <w:p>
            <w:pPr>
              <w:spacing w:line="360" w:lineRule="auto"/>
              <w:ind w:firstLine="480" w:firstLineChars="200"/>
              <w:rPr>
                <w:sz w:val="24"/>
              </w:rPr>
            </w:pPr>
            <w:r>
              <w:rPr>
                <w:sz w:val="24"/>
              </w:rPr>
              <w:t>3）预测条件</w:t>
            </w:r>
          </w:p>
          <w:p>
            <w:pPr>
              <w:spacing w:line="360" w:lineRule="auto"/>
              <w:ind w:firstLine="480" w:firstLineChars="200"/>
              <w:rPr>
                <w:sz w:val="24"/>
              </w:rPr>
            </w:pPr>
            <w:r>
              <w:rPr>
                <w:sz w:val="24"/>
              </w:rPr>
              <w:t>为保证一定的安全系数，预测中仅考虑几何发散衰减、空气吸收、地面效应引起的衰减，而忽略不计其它建筑物的屏障作用以及其它如绿化林带等的衰减。</w:t>
            </w:r>
          </w:p>
          <w:p>
            <w:pPr>
              <w:numPr>
                <w:ilvl w:val="0"/>
                <w:numId w:val="2"/>
              </w:numPr>
              <w:adjustRightInd w:val="0"/>
              <w:snapToGrid w:val="0"/>
              <w:spacing w:line="360" w:lineRule="auto"/>
              <w:ind w:firstLine="480" w:firstLineChars="200"/>
              <w:rPr>
                <w:bCs/>
                <w:sz w:val="24"/>
              </w:rPr>
            </w:pPr>
            <w:r>
              <w:rPr>
                <w:bCs/>
                <w:sz w:val="24"/>
              </w:rPr>
              <w:t>预测结果分析</w:t>
            </w:r>
          </w:p>
          <w:p>
            <w:pPr>
              <w:spacing w:line="360" w:lineRule="auto"/>
              <w:ind w:firstLine="480" w:firstLineChars="200"/>
              <w:rPr>
                <w:sz w:val="24"/>
              </w:rPr>
            </w:pPr>
            <w:r>
              <w:rPr>
                <w:sz w:val="24"/>
              </w:rPr>
              <w:t>项目运营期各预测厂界及敏感点的噪声情况见表4-10及表4-11。</w:t>
            </w:r>
          </w:p>
          <w:p>
            <w:pPr>
              <w:spacing w:line="360" w:lineRule="auto"/>
              <w:ind w:firstLine="482" w:firstLineChars="200"/>
              <w:jc w:val="center"/>
              <w:rPr>
                <w:b/>
                <w:sz w:val="24"/>
              </w:rPr>
            </w:pPr>
            <w:r>
              <w:rPr>
                <w:b/>
                <w:sz w:val="24"/>
              </w:rPr>
              <w:t>表4-10 各声源距离衰减值预测（单位dB(A)）</w:t>
            </w:r>
          </w:p>
          <w:tbl>
            <w:tblPr>
              <w:tblStyle w:val="44"/>
              <w:tblW w:w="44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829"/>
              <w:gridCol w:w="725"/>
              <w:gridCol w:w="775"/>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1338" w:type="dxa"/>
                  <w:shd w:val="clear" w:color="auto" w:fill="auto"/>
                  <w:vAlign w:val="center"/>
                </w:tcPr>
                <w:p>
                  <w:pPr>
                    <w:adjustRightInd w:val="0"/>
                    <w:snapToGrid w:val="0"/>
                    <w:jc w:val="center"/>
                    <w:rPr>
                      <w:szCs w:val="21"/>
                    </w:rPr>
                  </w:pPr>
                  <w:r>
                    <w:rPr>
                      <w:szCs w:val="21"/>
                    </w:rPr>
                    <w:t>噪声源</w:t>
                  </w:r>
                </w:p>
              </w:tc>
              <w:tc>
                <w:tcPr>
                  <w:tcW w:w="829" w:type="dxa"/>
                  <w:shd w:val="clear" w:color="auto" w:fill="auto"/>
                  <w:vAlign w:val="center"/>
                </w:tcPr>
                <w:p>
                  <w:pPr>
                    <w:adjustRightInd w:val="0"/>
                    <w:snapToGrid w:val="0"/>
                    <w:jc w:val="center"/>
                    <w:rPr>
                      <w:szCs w:val="21"/>
                    </w:rPr>
                  </w:pPr>
                  <w:r>
                    <w:rPr>
                      <w:szCs w:val="21"/>
                    </w:rPr>
                    <w:t>东厂界</w:t>
                  </w:r>
                </w:p>
              </w:tc>
              <w:tc>
                <w:tcPr>
                  <w:tcW w:w="725" w:type="dxa"/>
                  <w:shd w:val="clear" w:color="auto" w:fill="auto"/>
                  <w:vAlign w:val="center"/>
                </w:tcPr>
                <w:p>
                  <w:pPr>
                    <w:adjustRightInd w:val="0"/>
                    <w:snapToGrid w:val="0"/>
                    <w:jc w:val="center"/>
                    <w:rPr>
                      <w:szCs w:val="21"/>
                    </w:rPr>
                  </w:pPr>
                  <w:r>
                    <w:rPr>
                      <w:szCs w:val="21"/>
                    </w:rPr>
                    <w:t>南厂界</w:t>
                  </w:r>
                </w:p>
              </w:tc>
              <w:tc>
                <w:tcPr>
                  <w:tcW w:w="775" w:type="dxa"/>
                  <w:shd w:val="clear" w:color="auto" w:fill="auto"/>
                  <w:vAlign w:val="center"/>
                </w:tcPr>
                <w:p>
                  <w:pPr>
                    <w:adjustRightInd w:val="0"/>
                    <w:snapToGrid w:val="0"/>
                    <w:jc w:val="center"/>
                    <w:rPr>
                      <w:szCs w:val="21"/>
                    </w:rPr>
                  </w:pPr>
                  <w:r>
                    <w:rPr>
                      <w:szCs w:val="21"/>
                    </w:rPr>
                    <w:t>西厂界</w:t>
                  </w:r>
                </w:p>
              </w:tc>
              <w:tc>
                <w:tcPr>
                  <w:tcW w:w="762" w:type="dxa"/>
                  <w:shd w:val="clear" w:color="auto" w:fill="auto"/>
                  <w:vAlign w:val="center"/>
                </w:tcPr>
                <w:p>
                  <w:pPr>
                    <w:adjustRightInd w:val="0"/>
                    <w:snapToGrid w:val="0"/>
                    <w:jc w:val="center"/>
                    <w:rPr>
                      <w:szCs w:val="21"/>
                    </w:rPr>
                  </w:pPr>
                  <w:r>
                    <w:rPr>
                      <w:szCs w:val="21"/>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8" w:type="dxa"/>
                </w:tcPr>
                <w:p>
                  <w:pPr>
                    <w:jc w:val="center"/>
                    <w:rPr>
                      <w:rFonts w:eastAsiaTheme="minorEastAsia"/>
                      <w:szCs w:val="21"/>
                    </w:rPr>
                  </w:pPr>
                  <w:r>
                    <w:rPr>
                      <w:rFonts w:hint="eastAsia" w:eastAsiaTheme="minorEastAsia"/>
                      <w:szCs w:val="21"/>
                    </w:rPr>
                    <w:t>起重机</w:t>
                  </w:r>
                </w:p>
              </w:tc>
              <w:tc>
                <w:tcPr>
                  <w:tcW w:w="829" w:type="dxa"/>
                  <w:shd w:val="clear" w:color="auto" w:fill="auto"/>
                  <w:vAlign w:val="bottom"/>
                </w:tcPr>
                <w:p>
                  <w:pPr>
                    <w:adjustRightInd w:val="0"/>
                    <w:snapToGrid w:val="0"/>
                    <w:jc w:val="center"/>
                    <w:textAlignment w:val="baseline"/>
                    <w:rPr>
                      <w:kern w:val="0"/>
                      <w:szCs w:val="21"/>
                    </w:rPr>
                  </w:pPr>
                  <w:r>
                    <w:rPr>
                      <w:rFonts w:hint="eastAsia"/>
                      <w:kern w:val="0"/>
                      <w:szCs w:val="21"/>
                    </w:rPr>
                    <w:t>3</w:t>
                  </w:r>
                  <w:r>
                    <w:rPr>
                      <w:kern w:val="0"/>
                      <w:szCs w:val="21"/>
                    </w:rPr>
                    <w:t>3.1</w:t>
                  </w:r>
                </w:p>
              </w:tc>
              <w:tc>
                <w:tcPr>
                  <w:tcW w:w="725" w:type="dxa"/>
                  <w:shd w:val="clear" w:color="auto" w:fill="auto"/>
                  <w:vAlign w:val="bottom"/>
                </w:tcPr>
                <w:p>
                  <w:pPr>
                    <w:adjustRightInd w:val="0"/>
                    <w:snapToGrid w:val="0"/>
                    <w:jc w:val="center"/>
                    <w:textAlignment w:val="baseline"/>
                    <w:rPr>
                      <w:kern w:val="0"/>
                      <w:szCs w:val="21"/>
                    </w:rPr>
                  </w:pPr>
                  <w:r>
                    <w:rPr>
                      <w:rFonts w:hint="eastAsia"/>
                      <w:kern w:val="0"/>
                      <w:szCs w:val="21"/>
                    </w:rPr>
                    <w:t>4</w:t>
                  </w:r>
                  <w:r>
                    <w:rPr>
                      <w:kern w:val="0"/>
                      <w:szCs w:val="21"/>
                    </w:rPr>
                    <w:t>7.4</w:t>
                  </w:r>
                </w:p>
              </w:tc>
              <w:tc>
                <w:tcPr>
                  <w:tcW w:w="775" w:type="dxa"/>
                  <w:shd w:val="clear" w:color="auto" w:fill="auto"/>
                  <w:vAlign w:val="bottom"/>
                </w:tcPr>
                <w:p>
                  <w:pPr>
                    <w:adjustRightInd w:val="0"/>
                    <w:snapToGrid w:val="0"/>
                    <w:jc w:val="center"/>
                    <w:textAlignment w:val="baseline"/>
                    <w:rPr>
                      <w:kern w:val="0"/>
                      <w:szCs w:val="21"/>
                    </w:rPr>
                  </w:pPr>
                  <w:r>
                    <w:rPr>
                      <w:rFonts w:hint="eastAsia"/>
                      <w:kern w:val="0"/>
                      <w:szCs w:val="21"/>
                    </w:rPr>
                    <w:t>5</w:t>
                  </w:r>
                  <w:r>
                    <w:rPr>
                      <w:kern w:val="0"/>
                      <w:szCs w:val="21"/>
                    </w:rPr>
                    <w:t>5</w:t>
                  </w:r>
                </w:p>
              </w:tc>
              <w:tc>
                <w:tcPr>
                  <w:tcW w:w="762" w:type="dxa"/>
                  <w:shd w:val="clear" w:color="auto" w:fill="auto"/>
                  <w:vAlign w:val="bottom"/>
                </w:tcPr>
                <w:p>
                  <w:pPr>
                    <w:adjustRightInd w:val="0"/>
                    <w:snapToGrid w:val="0"/>
                    <w:jc w:val="center"/>
                    <w:textAlignment w:val="baseline"/>
                    <w:rPr>
                      <w:kern w:val="0"/>
                      <w:szCs w:val="21"/>
                    </w:rPr>
                  </w:pPr>
                  <w:r>
                    <w:rPr>
                      <w:rFonts w:hint="eastAsia"/>
                      <w:kern w:val="0"/>
                      <w:szCs w:val="21"/>
                    </w:rPr>
                    <w:t>3</w:t>
                  </w:r>
                  <w:r>
                    <w:rPr>
                      <w:kern w:val="0"/>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38" w:type="dxa"/>
                </w:tcPr>
                <w:p>
                  <w:pPr>
                    <w:jc w:val="center"/>
                    <w:rPr>
                      <w:rFonts w:eastAsiaTheme="minorEastAsia"/>
                      <w:szCs w:val="21"/>
                    </w:rPr>
                  </w:pPr>
                  <w:r>
                    <w:rPr>
                      <w:rFonts w:hint="eastAsia" w:eastAsiaTheme="minorEastAsia"/>
                      <w:szCs w:val="21"/>
                    </w:rPr>
                    <w:t>转盘</w:t>
                  </w:r>
                </w:p>
              </w:tc>
              <w:tc>
                <w:tcPr>
                  <w:tcW w:w="829" w:type="dxa"/>
                  <w:shd w:val="clear" w:color="auto" w:fill="auto"/>
                  <w:vAlign w:val="bottom"/>
                </w:tcPr>
                <w:p>
                  <w:pPr>
                    <w:adjustRightInd w:val="0"/>
                    <w:snapToGrid w:val="0"/>
                    <w:jc w:val="center"/>
                    <w:textAlignment w:val="baseline"/>
                    <w:rPr>
                      <w:kern w:val="0"/>
                      <w:szCs w:val="21"/>
                    </w:rPr>
                  </w:pPr>
                  <w:r>
                    <w:rPr>
                      <w:rFonts w:hint="eastAsia"/>
                      <w:kern w:val="0"/>
                      <w:szCs w:val="21"/>
                    </w:rPr>
                    <w:t>3</w:t>
                  </w:r>
                  <w:r>
                    <w:rPr>
                      <w:kern w:val="0"/>
                      <w:szCs w:val="21"/>
                    </w:rPr>
                    <w:t>3.4</w:t>
                  </w:r>
                </w:p>
              </w:tc>
              <w:tc>
                <w:tcPr>
                  <w:tcW w:w="725" w:type="dxa"/>
                  <w:shd w:val="clear" w:color="auto" w:fill="auto"/>
                  <w:vAlign w:val="bottom"/>
                </w:tcPr>
                <w:p>
                  <w:pPr>
                    <w:adjustRightInd w:val="0"/>
                    <w:snapToGrid w:val="0"/>
                    <w:jc w:val="center"/>
                    <w:textAlignment w:val="baseline"/>
                    <w:rPr>
                      <w:kern w:val="0"/>
                      <w:szCs w:val="21"/>
                    </w:rPr>
                  </w:pPr>
                  <w:r>
                    <w:rPr>
                      <w:rFonts w:hint="eastAsia"/>
                      <w:kern w:val="0"/>
                      <w:szCs w:val="21"/>
                    </w:rPr>
                    <w:t>4</w:t>
                  </w:r>
                  <w:r>
                    <w:rPr>
                      <w:kern w:val="0"/>
                      <w:szCs w:val="21"/>
                    </w:rPr>
                    <w:t>3.0</w:t>
                  </w:r>
                </w:p>
              </w:tc>
              <w:tc>
                <w:tcPr>
                  <w:tcW w:w="775" w:type="dxa"/>
                  <w:shd w:val="clear" w:color="auto" w:fill="auto"/>
                  <w:vAlign w:val="bottom"/>
                </w:tcPr>
                <w:p>
                  <w:pPr>
                    <w:adjustRightInd w:val="0"/>
                    <w:snapToGrid w:val="0"/>
                    <w:jc w:val="center"/>
                    <w:textAlignment w:val="baseline"/>
                    <w:rPr>
                      <w:kern w:val="0"/>
                      <w:szCs w:val="21"/>
                    </w:rPr>
                  </w:pPr>
                  <w:r>
                    <w:rPr>
                      <w:rFonts w:hint="eastAsia"/>
                      <w:kern w:val="0"/>
                      <w:szCs w:val="21"/>
                    </w:rPr>
                    <w:t>4</w:t>
                  </w:r>
                  <w:r>
                    <w:rPr>
                      <w:kern w:val="0"/>
                      <w:szCs w:val="21"/>
                    </w:rPr>
                    <w:t>6.1</w:t>
                  </w:r>
                </w:p>
              </w:tc>
              <w:tc>
                <w:tcPr>
                  <w:tcW w:w="762" w:type="dxa"/>
                  <w:shd w:val="clear" w:color="auto" w:fill="auto"/>
                  <w:vAlign w:val="bottom"/>
                </w:tcPr>
                <w:p>
                  <w:pPr>
                    <w:adjustRightInd w:val="0"/>
                    <w:snapToGrid w:val="0"/>
                    <w:jc w:val="center"/>
                    <w:textAlignment w:val="baseline"/>
                    <w:rPr>
                      <w:kern w:val="0"/>
                      <w:szCs w:val="21"/>
                    </w:rPr>
                  </w:pPr>
                  <w:r>
                    <w:rPr>
                      <w:rFonts w:hint="eastAsia"/>
                      <w:kern w:val="0"/>
                      <w:szCs w:val="21"/>
                    </w:rPr>
                    <w:t>4</w:t>
                  </w:r>
                  <w:r>
                    <w:rPr>
                      <w:kern w:val="0"/>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8" w:type="dxa"/>
                </w:tcPr>
                <w:p>
                  <w:pPr>
                    <w:jc w:val="center"/>
                    <w:rPr>
                      <w:rFonts w:eastAsiaTheme="minorEastAsia"/>
                      <w:szCs w:val="21"/>
                    </w:rPr>
                  </w:pPr>
                  <w:r>
                    <w:rPr>
                      <w:rFonts w:hint="eastAsia" w:eastAsiaTheme="minorEastAsia"/>
                      <w:szCs w:val="21"/>
                    </w:rPr>
                    <w:t>提升机</w:t>
                  </w:r>
                </w:p>
              </w:tc>
              <w:tc>
                <w:tcPr>
                  <w:tcW w:w="829" w:type="dxa"/>
                  <w:shd w:val="clear" w:color="auto" w:fill="auto"/>
                  <w:vAlign w:val="bottom"/>
                </w:tcPr>
                <w:p>
                  <w:pPr>
                    <w:adjustRightInd w:val="0"/>
                    <w:snapToGrid w:val="0"/>
                    <w:jc w:val="center"/>
                    <w:textAlignment w:val="baseline"/>
                    <w:rPr>
                      <w:kern w:val="0"/>
                      <w:szCs w:val="21"/>
                    </w:rPr>
                  </w:pPr>
                  <w:r>
                    <w:rPr>
                      <w:rFonts w:hint="eastAsia"/>
                      <w:kern w:val="0"/>
                      <w:szCs w:val="21"/>
                    </w:rPr>
                    <w:t>3</w:t>
                  </w:r>
                  <w:r>
                    <w:rPr>
                      <w:kern w:val="0"/>
                      <w:szCs w:val="21"/>
                    </w:rPr>
                    <w:t>5.2</w:t>
                  </w:r>
                </w:p>
              </w:tc>
              <w:tc>
                <w:tcPr>
                  <w:tcW w:w="725" w:type="dxa"/>
                  <w:shd w:val="clear" w:color="auto" w:fill="auto"/>
                  <w:vAlign w:val="bottom"/>
                </w:tcPr>
                <w:p>
                  <w:pPr>
                    <w:adjustRightInd w:val="0"/>
                    <w:snapToGrid w:val="0"/>
                    <w:jc w:val="center"/>
                    <w:textAlignment w:val="baseline"/>
                    <w:rPr>
                      <w:kern w:val="0"/>
                      <w:szCs w:val="21"/>
                    </w:rPr>
                  </w:pPr>
                  <w:r>
                    <w:rPr>
                      <w:rFonts w:hint="eastAsia"/>
                      <w:kern w:val="0"/>
                      <w:szCs w:val="21"/>
                    </w:rPr>
                    <w:t>4</w:t>
                  </w:r>
                  <w:r>
                    <w:rPr>
                      <w:kern w:val="0"/>
                      <w:szCs w:val="21"/>
                    </w:rPr>
                    <w:t>0.5</w:t>
                  </w:r>
                </w:p>
              </w:tc>
              <w:tc>
                <w:tcPr>
                  <w:tcW w:w="775" w:type="dxa"/>
                  <w:shd w:val="clear" w:color="auto" w:fill="auto"/>
                  <w:vAlign w:val="bottom"/>
                </w:tcPr>
                <w:p>
                  <w:pPr>
                    <w:adjustRightInd w:val="0"/>
                    <w:snapToGrid w:val="0"/>
                    <w:jc w:val="center"/>
                    <w:textAlignment w:val="baseline"/>
                    <w:rPr>
                      <w:kern w:val="0"/>
                      <w:szCs w:val="21"/>
                    </w:rPr>
                  </w:pPr>
                  <w:r>
                    <w:rPr>
                      <w:rFonts w:hint="eastAsia"/>
                      <w:kern w:val="0"/>
                      <w:szCs w:val="21"/>
                    </w:rPr>
                    <w:t>3</w:t>
                  </w:r>
                  <w:r>
                    <w:rPr>
                      <w:kern w:val="0"/>
                      <w:szCs w:val="21"/>
                    </w:rPr>
                    <w:t>0.6</w:t>
                  </w:r>
                </w:p>
              </w:tc>
              <w:tc>
                <w:tcPr>
                  <w:tcW w:w="762" w:type="dxa"/>
                  <w:shd w:val="clear" w:color="auto" w:fill="auto"/>
                  <w:vAlign w:val="bottom"/>
                </w:tcPr>
                <w:p>
                  <w:pPr>
                    <w:adjustRightInd w:val="0"/>
                    <w:snapToGrid w:val="0"/>
                    <w:jc w:val="center"/>
                    <w:textAlignment w:val="baseline"/>
                    <w:rPr>
                      <w:kern w:val="0"/>
                      <w:szCs w:val="21"/>
                    </w:rPr>
                  </w:pPr>
                  <w:r>
                    <w:rPr>
                      <w:rFonts w:hint="eastAsia"/>
                      <w:kern w:val="0"/>
                      <w:szCs w:val="21"/>
                    </w:rPr>
                    <w:t>3</w:t>
                  </w:r>
                  <w:r>
                    <w:rPr>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8" w:type="dxa"/>
                </w:tcPr>
                <w:p>
                  <w:pPr>
                    <w:jc w:val="center"/>
                    <w:rPr>
                      <w:rFonts w:eastAsiaTheme="minorEastAsia"/>
                      <w:szCs w:val="21"/>
                    </w:rPr>
                  </w:pPr>
                  <w:r>
                    <w:rPr>
                      <w:rFonts w:hint="eastAsia" w:eastAsiaTheme="minorEastAsia"/>
                      <w:szCs w:val="21"/>
                    </w:rPr>
                    <w:t>推卸机</w:t>
                  </w:r>
                </w:p>
              </w:tc>
              <w:tc>
                <w:tcPr>
                  <w:tcW w:w="829" w:type="dxa"/>
                  <w:shd w:val="clear" w:color="auto" w:fill="auto"/>
                  <w:vAlign w:val="bottom"/>
                </w:tcPr>
                <w:p>
                  <w:pPr>
                    <w:adjustRightInd w:val="0"/>
                    <w:snapToGrid w:val="0"/>
                    <w:jc w:val="center"/>
                    <w:textAlignment w:val="baseline"/>
                    <w:rPr>
                      <w:kern w:val="0"/>
                      <w:szCs w:val="21"/>
                    </w:rPr>
                  </w:pPr>
                  <w:r>
                    <w:rPr>
                      <w:rFonts w:hint="eastAsia"/>
                      <w:kern w:val="0"/>
                      <w:szCs w:val="21"/>
                    </w:rPr>
                    <w:t>5</w:t>
                  </w:r>
                  <w:r>
                    <w:rPr>
                      <w:kern w:val="0"/>
                      <w:szCs w:val="21"/>
                    </w:rPr>
                    <w:t>0.4</w:t>
                  </w:r>
                </w:p>
              </w:tc>
              <w:tc>
                <w:tcPr>
                  <w:tcW w:w="725" w:type="dxa"/>
                  <w:shd w:val="clear" w:color="auto" w:fill="auto"/>
                  <w:vAlign w:val="bottom"/>
                </w:tcPr>
                <w:p>
                  <w:pPr>
                    <w:adjustRightInd w:val="0"/>
                    <w:snapToGrid w:val="0"/>
                    <w:jc w:val="center"/>
                    <w:textAlignment w:val="baseline"/>
                    <w:rPr>
                      <w:kern w:val="0"/>
                      <w:szCs w:val="21"/>
                    </w:rPr>
                  </w:pPr>
                  <w:r>
                    <w:rPr>
                      <w:rFonts w:hint="eastAsia"/>
                      <w:kern w:val="0"/>
                      <w:szCs w:val="21"/>
                    </w:rPr>
                    <w:t>3</w:t>
                  </w:r>
                  <w:r>
                    <w:rPr>
                      <w:kern w:val="0"/>
                      <w:szCs w:val="21"/>
                    </w:rPr>
                    <w:t>4.6</w:t>
                  </w:r>
                </w:p>
              </w:tc>
              <w:tc>
                <w:tcPr>
                  <w:tcW w:w="775" w:type="dxa"/>
                  <w:shd w:val="clear" w:color="auto" w:fill="auto"/>
                  <w:vAlign w:val="bottom"/>
                </w:tcPr>
                <w:p>
                  <w:pPr>
                    <w:adjustRightInd w:val="0"/>
                    <w:snapToGrid w:val="0"/>
                    <w:jc w:val="center"/>
                    <w:textAlignment w:val="baseline"/>
                    <w:rPr>
                      <w:kern w:val="0"/>
                      <w:szCs w:val="21"/>
                    </w:rPr>
                  </w:pPr>
                  <w:r>
                    <w:rPr>
                      <w:rFonts w:hint="eastAsia"/>
                      <w:kern w:val="0"/>
                      <w:szCs w:val="21"/>
                    </w:rPr>
                    <w:t>3</w:t>
                  </w:r>
                  <w:r>
                    <w:rPr>
                      <w:kern w:val="0"/>
                      <w:szCs w:val="21"/>
                    </w:rPr>
                    <w:t>2.7</w:t>
                  </w:r>
                </w:p>
              </w:tc>
              <w:tc>
                <w:tcPr>
                  <w:tcW w:w="762" w:type="dxa"/>
                  <w:shd w:val="clear" w:color="auto" w:fill="auto"/>
                  <w:vAlign w:val="bottom"/>
                </w:tcPr>
                <w:p>
                  <w:pPr>
                    <w:adjustRightInd w:val="0"/>
                    <w:snapToGrid w:val="0"/>
                    <w:jc w:val="center"/>
                    <w:textAlignment w:val="baseline"/>
                    <w:rPr>
                      <w:kern w:val="0"/>
                      <w:szCs w:val="21"/>
                    </w:rPr>
                  </w:pPr>
                  <w:r>
                    <w:rPr>
                      <w:rFonts w:hint="eastAsia"/>
                      <w:kern w:val="0"/>
                      <w:szCs w:val="21"/>
                    </w:rPr>
                    <w:t>5</w:t>
                  </w:r>
                  <w:r>
                    <w:rPr>
                      <w:kern w:val="0"/>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jc w:val="center"/>
              </w:trPr>
              <w:tc>
                <w:tcPr>
                  <w:tcW w:w="1338" w:type="dxa"/>
                </w:tcPr>
                <w:p>
                  <w:pPr>
                    <w:jc w:val="center"/>
                    <w:rPr>
                      <w:rFonts w:eastAsiaTheme="minorEastAsia"/>
                      <w:szCs w:val="21"/>
                    </w:rPr>
                  </w:pPr>
                  <w:r>
                    <w:rPr>
                      <w:rFonts w:hint="eastAsia" w:eastAsiaTheme="minorEastAsia"/>
                      <w:szCs w:val="21"/>
                    </w:rPr>
                    <w:t>拆卸设备</w:t>
                  </w:r>
                </w:p>
              </w:tc>
              <w:tc>
                <w:tcPr>
                  <w:tcW w:w="829" w:type="dxa"/>
                  <w:shd w:val="clear" w:color="auto" w:fill="auto"/>
                  <w:vAlign w:val="bottom"/>
                </w:tcPr>
                <w:p>
                  <w:pPr>
                    <w:adjustRightInd w:val="0"/>
                    <w:snapToGrid w:val="0"/>
                    <w:jc w:val="center"/>
                    <w:textAlignment w:val="baseline"/>
                    <w:rPr>
                      <w:kern w:val="0"/>
                      <w:szCs w:val="21"/>
                    </w:rPr>
                  </w:pPr>
                  <w:r>
                    <w:rPr>
                      <w:rFonts w:hint="eastAsia"/>
                      <w:kern w:val="0"/>
                      <w:szCs w:val="21"/>
                    </w:rPr>
                    <w:t>4</w:t>
                  </w:r>
                  <w:r>
                    <w:rPr>
                      <w:kern w:val="0"/>
                      <w:szCs w:val="21"/>
                    </w:rPr>
                    <w:t>3.2</w:t>
                  </w:r>
                </w:p>
              </w:tc>
              <w:tc>
                <w:tcPr>
                  <w:tcW w:w="725" w:type="dxa"/>
                  <w:shd w:val="clear" w:color="auto" w:fill="auto"/>
                  <w:vAlign w:val="bottom"/>
                </w:tcPr>
                <w:p>
                  <w:pPr>
                    <w:adjustRightInd w:val="0"/>
                    <w:snapToGrid w:val="0"/>
                    <w:jc w:val="center"/>
                    <w:textAlignment w:val="baseline"/>
                    <w:rPr>
                      <w:kern w:val="0"/>
                      <w:szCs w:val="21"/>
                    </w:rPr>
                  </w:pPr>
                  <w:r>
                    <w:rPr>
                      <w:rFonts w:hint="eastAsia"/>
                      <w:kern w:val="0"/>
                      <w:szCs w:val="21"/>
                    </w:rPr>
                    <w:t>2</w:t>
                  </w:r>
                  <w:r>
                    <w:rPr>
                      <w:kern w:val="0"/>
                      <w:szCs w:val="21"/>
                    </w:rPr>
                    <w:t>9.6</w:t>
                  </w:r>
                </w:p>
              </w:tc>
              <w:tc>
                <w:tcPr>
                  <w:tcW w:w="775" w:type="dxa"/>
                  <w:shd w:val="clear" w:color="auto" w:fill="auto"/>
                  <w:vAlign w:val="bottom"/>
                </w:tcPr>
                <w:p>
                  <w:pPr>
                    <w:adjustRightInd w:val="0"/>
                    <w:snapToGrid w:val="0"/>
                    <w:jc w:val="center"/>
                    <w:textAlignment w:val="baseline"/>
                    <w:rPr>
                      <w:kern w:val="0"/>
                      <w:szCs w:val="21"/>
                    </w:rPr>
                  </w:pPr>
                  <w:r>
                    <w:rPr>
                      <w:rFonts w:hint="eastAsia"/>
                      <w:kern w:val="0"/>
                      <w:szCs w:val="21"/>
                    </w:rPr>
                    <w:t>2</w:t>
                  </w:r>
                  <w:r>
                    <w:rPr>
                      <w:kern w:val="0"/>
                      <w:szCs w:val="21"/>
                    </w:rPr>
                    <w:t>8.0</w:t>
                  </w:r>
                </w:p>
              </w:tc>
              <w:tc>
                <w:tcPr>
                  <w:tcW w:w="762" w:type="dxa"/>
                  <w:shd w:val="clear" w:color="auto" w:fill="auto"/>
                  <w:vAlign w:val="bottom"/>
                </w:tcPr>
                <w:p>
                  <w:pPr>
                    <w:adjustRightInd w:val="0"/>
                    <w:snapToGrid w:val="0"/>
                    <w:jc w:val="center"/>
                    <w:textAlignment w:val="baseline"/>
                    <w:rPr>
                      <w:kern w:val="0"/>
                      <w:szCs w:val="21"/>
                    </w:rPr>
                  </w:pPr>
                  <w:r>
                    <w:rPr>
                      <w:rFonts w:hint="eastAsia"/>
                      <w:kern w:val="0"/>
                      <w:szCs w:val="21"/>
                    </w:rPr>
                    <w:t>4</w:t>
                  </w:r>
                  <w:r>
                    <w:rPr>
                      <w:kern w:val="0"/>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jc w:val="center"/>
              </w:trPr>
              <w:tc>
                <w:tcPr>
                  <w:tcW w:w="1338" w:type="dxa"/>
                  <w:shd w:val="clear" w:color="auto" w:fill="auto"/>
                  <w:vAlign w:val="center"/>
                </w:tcPr>
                <w:p>
                  <w:pPr>
                    <w:adjustRightInd w:val="0"/>
                    <w:snapToGrid w:val="0"/>
                    <w:jc w:val="center"/>
                    <w:textAlignment w:val="baseline"/>
                    <w:rPr>
                      <w:kern w:val="0"/>
                      <w:szCs w:val="21"/>
                    </w:rPr>
                  </w:pPr>
                  <w:r>
                    <w:rPr>
                      <w:kern w:val="0"/>
                      <w:szCs w:val="21"/>
                    </w:rPr>
                    <w:t>叠加值</w:t>
                  </w:r>
                </w:p>
              </w:tc>
              <w:tc>
                <w:tcPr>
                  <w:tcW w:w="829" w:type="dxa"/>
                  <w:shd w:val="clear" w:color="auto" w:fill="auto"/>
                  <w:vAlign w:val="bottom"/>
                </w:tcPr>
                <w:p>
                  <w:pPr>
                    <w:adjustRightInd w:val="0"/>
                    <w:snapToGrid w:val="0"/>
                    <w:jc w:val="center"/>
                    <w:textAlignment w:val="baseline"/>
                    <w:rPr>
                      <w:kern w:val="0"/>
                      <w:szCs w:val="21"/>
                    </w:rPr>
                  </w:pPr>
                  <w:r>
                    <w:rPr>
                      <w:rFonts w:hint="eastAsia"/>
                      <w:kern w:val="0"/>
                      <w:szCs w:val="21"/>
                    </w:rPr>
                    <w:t>5</w:t>
                  </w:r>
                  <w:r>
                    <w:rPr>
                      <w:kern w:val="0"/>
                      <w:szCs w:val="21"/>
                    </w:rPr>
                    <w:t>1.4</w:t>
                  </w:r>
                </w:p>
              </w:tc>
              <w:tc>
                <w:tcPr>
                  <w:tcW w:w="725" w:type="dxa"/>
                  <w:shd w:val="clear" w:color="auto" w:fill="auto"/>
                  <w:vAlign w:val="bottom"/>
                </w:tcPr>
                <w:p>
                  <w:pPr>
                    <w:adjustRightInd w:val="0"/>
                    <w:snapToGrid w:val="0"/>
                    <w:jc w:val="center"/>
                    <w:textAlignment w:val="baseline"/>
                    <w:rPr>
                      <w:kern w:val="0"/>
                      <w:szCs w:val="21"/>
                    </w:rPr>
                  </w:pPr>
                  <w:r>
                    <w:rPr>
                      <w:rFonts w:hint="eastAsia"/>
                      <w:kern w:val="0"/>
                      <w:szCs w:val="21"/>
                    </w:rPr>
                    <w:t>4</w:t>
                  </w:r>
                  <w:r>
                    <w:rPr>
                      <w:kern w:val="0"/>
                      <w:szCs w:val="21"/>
                    </w:rPr>
                    <w:t>9.5</w:t>
                  </w:r>
                </w:p>
              </w:tc>
              <w:tc>
                <w:tcPr>
                  <w:tcW w:w="775" w:type="dxa"/>
                  <w:shd w:val="clear" w:color="auto" w:fill="auto"/>
                  <w:vAlign w:val="bottom"/>
                </w:tcPr>
                <w:p>
                  <w:pPr>
                    <w:adjustRightInd w:val="0"/>
                    <w:snapToGrid w:val="0"/>
                    <w:jc w:val="center"/>
                    <w:textAlignment w:val="baseline"/>
                    <w:rPr>
                      <w:kern w:val="0"/>
                      <w:szCs w:val="21"/>
                    </w:rPr>
                  </w:pPr>
                  <w:r>
                    <w:rPr>
                      <w:rFonts w:hint="eastAsia"/>
                      <w:kern w:val="0"/>
                      <w:szCs w:val="21"/>
                    </w:rPr>
                    <w:t>5</w:t>
                  </w:r>
                  <w:r>
                    <w:rPr>
                      <w:kern w:val="0"/>
                      <w:szCs w:val="21"/>
                    </w:rPr>
                    <w:t>5.6</w:t>
                  </w:r>
                </w:p>
              </w:tc>
              <w:tc>
                <w:tcPr>
                  <w:tcW w:w="762" w:type="dxa"/>
                  <w:shd w:val="clear" w:color="auto" w:fill="auto"/>
                  <w:vAlign w:val="bottom"/>
                </w:tcPr>
                <w:p>
                  <w:pPr>
                    <w:adjustRightInd w:val="0"/>
                    <w:snapToGrid w:val="0"/>
                    <w:jc w:val="center"/>
                    <w:textAlignment w:val="baseline"/>
                    <w:rPr>
                      <w:kern w:val="0"/>
                      <w:szCs w:val="21"/>
                    </w:rPr>
                  </w:pPr>
                  <w:r>
                    <w:rPr>
                      <w:rFonts w:hint="eastAsia"/>
                      <w:kern w:val="0"/>
                      <w:szCs w:val="21"/>
                    </w:rPr>
                    <w:t>5</w:t>
                  </w:r>
                  <w:r>
                    <w:rPr>
                      <w:kern w:val="0"/>
                      <w:szCs w:val="21"/>
                    </w:rPr>
                    <w:t>3.2</w:t>
                  </w:r>
                </w:p>
              </w:tc>
            </w:tr>
          </w:tbl>
          <w:p>
            <w:pPr>
              <w:spacing w:line="360" w:lineRule="auto"/>
              <w:ind w:firstLine="482" w:firstLineChars="200"/>
              <w:jc w:val="center"/>
              <w:rPr>
                <w:b/>
                <w:sz w:val="24"/>
              </w:rPr>
            </w:pPr>
            <w:r>
              <w:rPr>
                <w:b/>
                <w:sz w:val="24"/>
              </w:rPr>
              <w:t>表4-11各厂界及敏感点噪声预测结果</w:t>
            </w:r>
          </w:p>
          <w:tbl>
            <w:tblPr>
              <w:tblStyle w:val="44"/>
              <w:tblW w:w="77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7"/>
              <w:gridCol w:w="1927"/>
              <w:gridCol w:w="1927"/>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927" w:type="dxa"/>
                  <w:shd w:val="clear" w:color="auto" w:fill="auto"/>
                  <w:vAlign w:val="center"/>
                </w:tcPr>
                <w:p>
                  <w:pPr>
                    <w:adjustRightInd w:val="0"/>
                    <w:snapToGrid w:val="0"/>
                    <w:jc w:val="center"/>
                    <w:rPr>
                      <w:szCs w:val="21"/>
                    </w:rPr>
                  </w:pPr>
                  <w:r>
                    <w:rPr>
                      <w:szCs w:val="21"/>
                    </w:rPr>
                    <w:t>预测点</w:t>
                  </w:r>
                </w:p>
              </w:tc>
              <w:tc>
                <w:tcPr>
                  <w:tcW w:w="1927" w:type="dxa"/>
                  <w:shd w:val="clear" w:color="auto" w:fill="auto"/>
                  <w:vAlign w:val="center"/>
                </w:tcPr>
                <w:p>
                  <w:pPr>
                    <w:adjustRightInd w:val="0"/>
                    <w:snapToGrid w:val="0"/>
                    <w:jc w:val="center"/>
                    <w:rPr>
                      <w:szCs w:val="21"/>
                    </w:rPr>
                  </w:pPr>
                  <w:r>
                    <w:rPr>
                      <w:szCs w:val="21"/>
                    </w:rPr>
                    <w:t>预测贡献值dB（A）</w:t>
                  </w:r>
                </w:p>
              </w:tc>
              <w:tc>
                <w:tcPr>
                  <w:tcW w:w="1927" w:type="dxa"/>
                  <w:shd w:val="clear" w:color="auto" w:fill="auto"/>
                  <w:vAlign w:val="center"/>
                </w:tcPr>
                <w:p>
                  <w:pPr>
                    <w:adjustRightInd w:val="0"/>
                    <w:snapToGrid w:val="0"/>
                    <w:jc w:val="center"/>
                    <w:rPr>
                      <w:szCs w:val="21"/>
                    </w:rPr>
                  </w:pPr>
                  <w:r>
                    <w:rPr>
                      <w:szCs w:val="21"/>
                    </w:rPr>
                    <w:t>标准限值dB（A）</w:t>
                  </w:r>
                </w:p>
              </w:tc>
              <w:tc>
                <w:tcPr>
                  <w:tcW w:w="1927" w:type="dxa"/>
                  <w:shd w:val="clear" w:color="auto" w:fill="auto"/>
                  <w:vAlign w:val="center"/>
                </w:tcPr>
                <w:p>
                  <w:pPr>
                    <w:adjustRightInd w:val="0"/>
                    <w:snapToGrid w:val="0"/>
                    <w:jc w:val="center"/>
                    <w:rPr>
                      <w:szCs w:val="21"/>
                    </w:rPr>
                  </w:pPr>
                  <w:r>
                    <w:rPr>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1927" w:type="dxa"/>
                  <w:shd w:val="clear" w:color="auto" w:fill="auto"/>
                  <w:vAlign w:val="center"/>
                </w:tcPr>
                <w:p>
                  <w:pPr>
                    <w:adjustRightInd w:val="0"/>
                    <w:snapToGrid w:val="0"/>
                    <w:jc w:val="center"/>
                    <w:rPr>
                      <w:szCs w:val="21"/>
                    </w:rPr>
                  </w:pPr>
                  <w:r>
                    <w:rPr>
                      <w:szCs w:val="21"/>
                    </w:rPr>
                    <w:t>东厂界</w:t>
                  </w:r>
                </w:p>
              </w:tc>
              <w:tc>
                <w:tcPr>
                  <w:tcW w:w="1927" w:type="dxa"/>
                  <w:shd w:val="clear" w:color="auto" w:fill="auto"/>
                  <w:vAlign w:val="center"/>
                </w:tcPr>
                <w:p>
                  <w:pPr>
                    <w:adjustRightInd w:val="0"/>
                    <w:snapToGrid w:val="0"/>
                    <w:jc w:val="center"/>
                    <w:rPr>
                      <w:szCs w:val="21"/>
                    </w:rPr>
                  </w:pPr>
                  <w:r>
                    <w:rPr>
                      <w:rFonts w:hint="eastAsia"/>
                      <w:szCs w:val="21"/>
                    </w:rPr>
                    <w:t>5</w:t>
                  </w:r>
                  <w:r>
                    <w:rPr>
                      <w:szCs w:val="21"/>
                    </w:rPr>
                    <w:t>1.4</w:t>
                  </w:r>
                </w:p>
              </w:tc>
              <w:tc>
                <w:tcPr>
                  <w:tcW w:w="1927" w:type="dxa"/>
                  <w:shd w:val="clear" w:color="auto" w:fill="auto"/>
                  <w:vAlign w:val="center"/>
                </w:tcPr>
                <w:p>
                  <w:pPr>
                    <w:adjustRightInd w:val="0"/>
                    <w:snapToGrid w:val="0"/>
                    <w:jc w:val="center"/>
                    <w:rPr>
                      <w:szCs w:val="21"/>
                    </w:rPr>
                  </w:pPr>
                  <w:r>
                    <w:rPr>
                      <w:szCs w:val="21"/>
                    </w:rPr>
                    <w:t>昼间65</w:t>
                  </w:r>
                </w:p>
              </w:tc>
              <w:tc>
                <w:tcPr>
                  <w:tcW w:w="1927" w:type="dxa"/>
                  <w:shd w:val="clear" w:color="auto" w:fill="auto"/>
                  <w:vAlign w:val="center"/>
                </w:tcPr>
                <w:p>
                  <w:pPr>
                    <w:adjustRightInd w:val="0"/>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1927" w:type="dxa"/>
                  <w:shd w:val="clear" w:color="auto" w:fill="auto"/>
                  <w:vAlign w:val="center"/>
                </w:tcPr>
                <w:p>
                  <w:pPr>
                    <w:adjustRightInd w:val="0"/>
                    <w:snapToGrid w:val="0"/>
                    <w:jc w:val="center"/>
                    <w:rPr>
                      <w:szCs w:val="21"/>
                    </w:rPr>
                  </w:pPr>
                  <w:r>
                    <w:rPr>
                      <w:szCs w:val="21"/>
                    </w:rPr>
                    <w:t>南厂界</w:t>
                  </w:r>
                </w:p>
              </w:tc>
              <w:tc>
                <w:tcPr>
                  <w:tcW w:w="1927" w:type="dxa"/>
                  <w:shd w:val="clear" w:color="auto" w:fill="auto"/>
                  <w:vAlign w:val="center"/>
                </w:tcPr>
                <w:p>
                  <w:pPr>
                    <w:adjustRightInd w:val="0"/>
                    <w:snapToGrid w:val="0"/>
                    <w:jc w:val="center"/>
                    <w:rPr>
                      <w:szCs w:val="21"/>
                    </w:rPr>
                  </w:pPr>
                  <w:r>
                    <w:rPr>
                      <w:rFonts w:hint="eastAsia"/>
                      <w:szCs w:val="21"/>
                    </w:rPr>
                    <w:t>4</w:t>
                  </w:r>
                  <w:r>
                    <w:rPr>
                      <w:szCs w:val="21"/>
                    </w:rPr>
                    <w:t>9.5</w:t>
                  </w:r>
                </w:p>
              </w:tc>
              <w:tc>
                <w:tcPr>
                  <w:tcW w:w="1927" w:type="dxa"/>
                  <w:shd w:val="clear" w:color="auto" w:fill="auto"/>
                  <w:vAlign w:val="center"/>
                </w:tcPr>
                <w:p>
                  <w:pPr>
                    <w:adjustRightInd w:val="0"/>
                    <w:snapToGrid w:val="0"/>
                    <w:jc w:val="center"/>
                    <w:rPr>
                      <w:szCs w:val="21"/>
                    </w:rPr>
                  </w:pPr>
                  <w:r>
                    <w:rPr>
                      <w:szCs w:val="21"/>
                    </w:rPr>
                    <w:t>昼间65</w:t>
                  </w:r>
                </w:p>
              </w:tc>
              <w:tc>
                <w:tcPr>
                  <w:tcW w:w="1927" w:type="dxa"/>
                  <w:shd w:val="clear" w:color="auto" w:fill="auto"/>
                  <w:vAlign w:val="center"/>
                </w:tcPr>
                <w:p>
                  <w:pPr>
                    <w:adjustRightInd w:val="0"/>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jc w:val="center"/>
              </w:trPr>
              <w:tc>
                <w:tcPr>
                  <w:tcW w:w="1927" w:type="dxa"/>
                  <w:shd w:val="clear" w:color="auto" w:fill="auto"/>
                  <w:vAlign w:val="center"/>
                </w:tcPr>
                <w:p>
                  <w:pPr>
                    <w:adjustRightInd w:val="0"/>
                    <w:snapToGrid w:val="0"/>
                    <w:jc w:val="center"/>
                    <w:rPr>
                      <w:szCs w:val="21"/>
                    </w:rPr>
                  </w:pPr>
                  <w:r>
                    <w:rPr>
                      <w:szCs w:val="21"/>
                    </w:rPr>
                    <w:t>西厂界</w:t>
                  </w:r>
                </w:p>
              </w:tc>
              <w:tc>
                <w:tcPr>
                  <w:tcW w:w="1927" w:type="dxa"/>
                  <w:shd w:val="clear" w:color="auto" w:fill="auto"/>
                  <w:vAlign w:val="center"/>
                </w:tcPr>
                <w:p>
                  <w:pPr>
                    <w:adjustRightInd w:val="0"/>
                    <w:snapToGrid w:val="0"/>
                    <w:jc w:val="center"/>
                    <w:rPr>
                      <w:szCs w:val="21"/>
                    </w:rPr>
                  </w:pPr>
                  <w:r>
                    <w:rPr>
                      <w:rFonts w:hint="eastAsia"/>
                      <w:szCs w:val="21"/>
                    </w:rPr>
                    <w:t>5</w:t>
                  </w:r>
                  <w:r>
                    <w:rPr>
                      <w:szCs w:val="21"/>
                    </w:rPr>
                    <w:t>5.6</w:t>
                  </w:r>
                </w:p>
              </w:tc>
              <w:tc>
                <w:tcPr>
                  <w:tcW w:w="1927" w:type="dxa"/>
                  <w:shd w:val="clear" w:color="auto" w:fill="auto"/>
                  <w:vAlign w:val="center"/>
                </w:tcPr>
                <w:p>
                  <w:pPr>
                    <w:adjustRightInd w:val="0"/>
                    <w:snapToGrid w:val="0"/>
                    <w:jc w:val="center"/>
                    <w:rPr>
                      <w:szCs w:val="21"/>
                    </w:rPr>
                  </w:pPr>
                  <w:r>
                    <w:rPr>
                      <w:szCs w:val="21"/>
                    </w:rPr>
                    <w:t>昼间65</w:t>
                  </w:r>
                </w:p>
              </w:tc>
              <w:tc>
                <w:tcPr>
                  <w:tcW w:w="1927" w:type="dxa"/>
                  <w:shd w:val="clear" w:color="auto" w:fill="auto"/>
                  <w:vAlign w:val="center"/>
                </w:tcPr>
                <w:p>
                  <w:pPr>
                    <w:adjustRightInd w:val="0"/>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1927" w:type="dxa"/>
                  <w:shd w:val="clear" w:color="auto" w:fill="auto"/>
                  <w:vAlign w:val="center"/>
                </w:tcPr>
                <w:p>
                  <w:pPr>
                    <w:adjustRightInd w:val="0"/>
                    <w:snapToGrid w:val="0"/>
                    <w:jc w:val="center"/>
                    <w:rPr>
                      <w:szCs w:val="21"/>
                    </w:rPr>
                  </w:pPr>
                  <w:r>
                    <w:rPr>
                      <w:szCs w:val="21"/>
                    </w:rPr>
                    <w:t>北厂界</w:t>
                  </w:r>
                </w:p>
              </w:tc>
              <w:tc>
                <w:tcPr>
                  <w:tcW w:w="1927" w:type="dxa"/>
                  <w:shd w:val="clear" w:color="auto" w:fill="auto"/>
                  <w:vAlign w:val="center"/>
                </w:tcPr>
                <w:p>
                  <w:pPr>
                    <w:adjustRightInd w:val="0"/>
                    <w:snapToGrid w:val="0"/>
                    <w:jc w:val="center"/>
                    <w:rPr>
                      <w:szCs w:val="21"/>
                    </w:rPr>
                  </w:pPr>
                  <w:r>
                    <w:rPr>
                      <w:rFonts w:hint="eastAsia"/>
                      <w:szCs w:val="21"/>
                    </w:rPr>
                    <w:t>5</w:t>
                  </w:r>
                  <w:r>
                    <w:rPr>
                      <w:szCs w:val="21"/>
                    </w:rPr>
                    <w:t>3.2</w:t>
                  </w:r>
                </w:p>
              </w:tc>
              <w:tc>
                <w:tcPr>
                  <w:tcW w:w="1927" w:type="dxa"/>
                  <w:shd w:val="clear" w:color="auto" w:fill="auto"/>
                  <w:vAlign w:val="center"/>
                </w:tcPr>
                <w:p>
                  <w:pPr>
                    <w:adjustRightInd w:val="0"/>
                    <w:snapToGrid w:val="0"/>
                    <w:jc w:val="center"/>
                    <w:rPr>
                      <w:szCs w:val="21"/>
                    </w:rPr>
                  </w:pPr>
                  <w:r>
                    <w:rPr>
                      <w:szCs w:val="21"/>
                    </w:rPr>
                    <w:t>昼间65</w:t>
                  </w:r>
                </w:p>
              </w:tc>
              <w:tc>
                <w:tcPr>
                  <w:tcW w:w="1927" w:type="dxa"/>
                  <w:shd w:val="clear" w:color="auto" w:fill="auto"/>
                  <w:vAlign w:val="center"/>
                </w:tcPr>
                <w:p>
                  <w:pPr>
                    <w:adjustRightInd w:val="0"/>
                    <w:snapToGrid w:val="0"/>
                    <w:jc w:val="center"/>
                    <w:rPr>
                      <w:szCs w:val="21"/>
                    </w:rPr>
                  </w:pPr>
                  <w:r>
                    <w:rPr>
                      <w:szCs w:val="21"/>
                    </w:rPr>
                    <w:t>达标</w:t>
                  </w:r>
                </w:p>
              </w:tc>
            </w:tr>
          </w:tbl>
          <w:p>
            <w:pPr>
              <w:adjustRightInd w:val="0"/>
              <w:snapToGrid w:val="0"/>
              <w:spacing w:line="360" w:lineRule="auto"/>
              <w:ind w:firstLine="480" w:firstLineChars="200"/>
              <w:rPr>
                <w:kern w:val="0"/>
                <w:sz w:val="24"/>
              </w:rPr>
            </w:pPr>
            <w:r>
              <w:rPr>
                <w:kern w:val="0"/>
                <w:sz w:val="24"/>
              </w:rPr>
              <w:t>由上表可知，项目夜间不生产，运营期各厂界噪声贡献值范围为49.5dB(A)～55.6dB(A)，各厂界噪声贡献值均满足《工业企业厂界环境噪声排放标准》（GB12348-2008）3类昼间标准要求。</w:t>
            </w:r>
          </w:p>
          <w:p>
            <w:pPr>
              <w:adjustRightInd w:val="0"/>
              <w:snapToGrid w:val="0"/>
              <w:spacing w:line="360" w:lineRule="auto"/>
              <w:ind w:firstLine="480" w:firstLineChars="200"/>
              <w:rPr>
                <w:kern w:val="0"/>
                <w:sz w:val="24"/>
              </w:rPr>
            </w:pPr>
            <w:r>
              <w:rPr>
                <w:kern w:val="0"/>
                <w:sz w:val="24"/>
                <w:lang w:val="zh-CN"/>
              </w:rPr>
              <w:t>项目</w:t>
            </w:r>
            <w:r>
              <w:rPr>
                <w:rFonts w:hint="eastAsia"/>
                <w:kern w:val="0"/>
                <w:sz w:val="24"/>
                <w:lang w:val="zh-CN"/>
              </w:rPr>
              <w:t>5</w:t>
            </w:r>
            <w:r>
              <w:rPr>
                <w:kern w:val="0"/>
                <w:sz w:val="24"/>
                <w:lang w:val="zh-CN"/>
              </w:rPr>
              <w:t>0m范围内无敏感点分布</w:t>
            </w:r>
            <w:r>
              <w:rPr>
                <w:kern w:val="0"/>
                <w:sz w:val="24"/>
              </w:rPr>
              <w:t>。</w:t>
            </w:r>
          </w:p>
          <w:p>
            <w:pPr>
              <w:adjustRightInd w:val="0"/>
              <w:snapToGrid w:val="0"/>
              <w:spacing w:line="360" w:lineRule="auto"/>
              <w:ind w:firstLine="480" w:firstLineChars="200"/>
              <w:rPr>
                <w:kern w:val="0"/>
                <w:sz w:val="24"/>
                <w:lang w:val="zh-CN"/>
              </w:rPr>
            </w:pPr>
            <w:r>
              <w:rPr>
                <w:kern w:val="0"/>
                <w:sz w:val="24"/>
              </w:rPr>
              <w:t>综上所述，经对产噪设备采取基础减震、隔声降噪及距离衰减后，项目</w:t>
            </w:r>
            <w:r>
              <w:rPr>
                <w:kern w:val="0"/>
                <w:sz w:val="24"/>
                <w:lang w:val="zh-CN"/>
              </w:rPr>
              <w:t>运营期各厂界噪声满足《工业企业厂界环境噪声排放标准》（GB12348-2008）</w:t>
            </w:r>
            <w:r>
              <w:rPr>
                <w:kern w:val="0"/>
                <w:sz w:val="24"/>
              </w:rPr>
              <w:t>3</w:t>
            </w:r>
            <w:r>
              <w:rPr>
                <w:kern w:val="0"/>
                <w:sz w:val="24"/>
                <w:lang w:val="zh-CN"/>
              </w:rPr>
              <w:t>类标准要求，对周边声环境敏感点影响较小。</w:t>
            </w:r>
          </w:p>
          <w:p>
            <w:pPr>
              <w:autoSpaceDE w:val="0"/>
              <w:autoSpaceDN w:val="0"/>
              <w:adjustRightInd w:val="0"/>
              <w:spacing w:line="360" w:lineRule="auto"/>
              <w:jc w:val="left"/>
              <w:rPr>
                <w:rFonts w:eastAsiaTheme="minorEastAsia"/>
                <w:b/>
                <w:sz w:val="24"/>
              </w:rPr>
            </w:pPr>
            <w:r>
              <w:rPr>
                <w:rFonts w:eastAsiaTheme="minorEastAsia"/>
                <w:b/>
                <w:sz w:val="24"/>
              </w:rPr>
              <w:t>（四）、固体废弃物影响分析</w:t>
            </w:r>
          </w:p>
          <w:p>
            <w:pPr>
              <w:spacing w:line="360" w:lineRule="auto"/>
              <w:ind w:firstLine="480" w:firstLineChars="200"/>
              <w:rPr>
                <w:rFonts w:eastAsiaTheme="minorEastAsia"/>
                <w:sz w:val="24"/>
                <w:szCs w:val="22"/>
              </w:rPr>
            </w:pPr>
            <w:bookmarkStart w:id="123" w:name="_Toc419792178"/>
            <w:bookmarkStart w:id="124" w:name="_Toc421520589"/>
            <w:r>
              <w:rPr>
                <w:rFonts w:eastAsiaTheme="minorEastAsia"/>
                <w:sz w:val="24"/>
                <w:szCs w:val="22"/>
              </w:rPr>
              <w:t>1、固废产生量</w:t>
            </w:r>
          </w:p>
          <w:p>
            <w:pPr>
              <w:spacing w:line="360" w:lineRule="auto"/>
              <w:ind w:firstLine="480" w:firstLineChars="200"/>
              <w:rPr>
                <w:rFonts w:eastAsiaTheme="minorEastAsia"/>
                <w:sz w:val="24"/>
                <w:szCs w:val="22"/>
              </w:rPr>
            </w:pPr>
            <w:r>
              <w:rPr>
                <w:rFonts w:eastAsiaTheme="minorEastAsia"/>
                <w:sz w:val="24"/>
                <w:szCs w:val="22"/>
              </w:rPr>
              <w:t>（1）</w:t>
            </w:r>
            <w:bookmarkEnd w:id="123"/>
            <w:r>
              <w:rPr>
                <w:rFonts w:eastAsiaTheme="minorEastAsia"/>
                <w:sz w:val="24"/>
                <w:szCs w:val="22"/>
              </w:rPr>
              <w:t>一般固废</w:t>
            </w:r>
            <w:bookmarkEnd w:id="124"/>
          </w:p>
          <w:p>
            <w:pPr>
              <w:spacing w:line="360" w:lineRule="auto"/>
              <w:ind w:firstLine="480" w:firstLineChars="200"/>
              <w:rPr>
                <w:rFonts w:eastAsiaTheme="minorEastAsia"/>
                <w:sz w:val="24"/>
                <w:szCs w:val="22"/>
              </w:rPr>
            </w:pPr>
            <w:r>
              <w:rPr>
                <w:rFonts w:hint="eastAsia" w:ascii="宋体" w:hAnsi="宋体" w:cs="宋体"/>
                <w:sz w:val="24"/>
                <w:szCs w:val="22"/>
              </w:rPr>
              <w:t>①</w:t>
            </w:r>
            <w:r>
              <w:rPr>
                <w:rFonts w:eastAsiaTheme="minorEastAsia"/>
                <w:sz w:val="24"/>
                <w:szCs w:val="22"/>
              </w:rPr>
              <w:t>生活垃圾</w:t>
            </w:r>
          </w:p>
          <w:p>
            <w:pPr>
              <w:spacing w:line="360" w:lineRule="auto"/>
              <w:ind w:firstLine="480" w:firstLineChars="200"/>
              <w:rPr>
                <w:rFonts w:eastAsiaTheme="minorEastAsia"/>
                <w:snapToGrid w:val="0"/>
                <w:spacing w:val="4"/>
                <w:kern w:val="0"/>
                <w:sz w:val="24"/>
              </w:rPr>
            </w:pPr>
            <w:r>
              <w:rPr>
                <w:rFonts w:eastAsiaTheme="minorEastAsia"/>
                <w:sz w:val="24"/>
                <w:szCs w:val="22"/>
              </w:rPr>
              <w:t>项目内工作人员200人，分为两班，生活垃圾产生量按0.5kg/人·d计，则项目生活垃圾产生量为50kg/d</w:t>
            </w:r>
            <w:r>
              <w:rPr>
                <w:rFonts w:eastAsiaTheme="minorEastAsia"/>
                <w:snapToGrid w:val="0"/>
                <w:spacing w:val="4"/>
                <w:kern w:val="0"/>
                <w:sz w:val="24"/>
              </w:rPr>
              <w:t>，经集中收集后，委托环卫部门清运处置。</w:t>
            </w:r>
          </w:p>
          <w:p>
            <w:pPr>
              <w:spacing w:line="360" w:lineRule="auto"/>
              <w:ind w:firstLine="496" w:firstLineChars="200"/>
              <w:rPr>
                <w:rFonts w:eastAsiaTheme="minorEastAsia"/>
                <w:snapToGrid w:val="0"/>
                <w:spacing w:val="4"/>
                <w:kern w:val="0"/>
                <w:sz w:val="24"/>
              </w:rPr>
            </w:pPr>
            <w:r>
              <w:rPr>
                <w:rFonts w:hint="eastAsia" w:ascii="宋体" w:hAnsi="宋体" w:cs="宋体"/>
                <w:snapToGrid w:val="0"/>
                <w:spacing w:val="4"/>
                <w:kern w:val="0"/>
                <w:sz w:val="24"/>
              </w:rPr>
              <w:t>②</w:t>
            </w:r>
            <w:r>
              <w:rPr>
                <w:rFonts w:eastAsiaTheme="minorEastAsia"/>
                <w:snapToGrid w:val="0"/>
                <w:spacing w:val="4"/>
                <w:kern w:val="0"/>
                <w:sz w:val="24"/>
              </w:rPr>
              <w:t>餐饮垃圾</w:t>
            </w:r>
          </w:p>
          <w:p>
            <w:pPr>
              <w:spacing w:line="360" w:lineRule="auto"/>
              <w:ind w:firstLine="480" w:firstLineChars="200"/>
              <w:rPr>
                <w:rFonts w:eastAsiaTheme="minorEastAsia"/>
                <w:sz w:val="24"/>
                <w:szCs w:val="22"/>
              </w:rPr>
            </w:pPr>
            <w:r>
              <w:rPr>
                <w:rFonts w:eastAsiaTheme="minorEastAsia"/>
                <w:sz w:val="24"/>
                <w:szCs w:val="22"/>
              </w:rPr>
              <w:t>项目餐饮区域泔水产生量按0.5kg/人·天计算，项目就餐人数约为100人/d，则泔水产生量为50kg/d，泔水</w:t>
            </w:r>
            <w:r>
              <w:rPr>
                <w:rFonts w:hint="eastAsia" w:eastAsiaTheme="minorEastAsia"/>
                <w:sz w:val="24"/>
                <w:szCs w:val="22"/>
              </w:rPr>
              <w:t>委托有资质的单位清运处置</w:t>
            </w:r>
            <w:r>
              <w:rPr>
                <w:rFonts w:eastAsiaTheme="minorEastAsia"/>
                <w:sz w:val="24"/>
                <w:szCs w:val="22"/>
              </w:rPr>
              <w:t>。</w:t>
            </w:r>
          </w:p>
          <w:p>
            <w:pPr>
              <w:spacing w:line="360" w:lineRule="auto"/>
              <w:ind w:firstLine="480" w:firstLineChars="200"/>
              <w:rPr>
                <w:rFonts w:eastAsiaTheme="minorEastAsia"/>
                <w:sz w:val="24"/>
                <w:szCs w:val="22"/>
              </w:rPr>
            </w:pPr>
            <w:r>
              <w:rPr>
                <w:rFonts w:hint="eastAsia" w:eastAsiaTheme="minorEastAsia"/>
                <w:sz w:val="24"/>
                <w:szCs w:val="22"/>
              </w:rPr>
              <w:t>③维修替换部件</w:t>
            </w:r>
          </w:p>
          <w:p>
            <w:pPr>
              <w:spacing w:line="360" w:lineRule="auto"/>
              <w:ind w:firstLine="480" w:firstLineChars="200"/>
              <w:rPr>
                <w:rFonts w:eastAsiaTheme="minorEastAsia"/>
                <w:sz w:val="24"/>
                <w:szCs w:val="22"/>
              </w:rPr>
            </w:pPr>
            <w:r>
              <w:rPr>
                <w:rFonts w:eastAsiaTheme="minorEastAsia"/>
                <w:sz w:val="24"/>
                <w:szCs w:val="22"/>
              </w:rPr>
              <w:t>项目维修过程中替换装置、设备均由生产厂家回收。</w:t>
            </w:r>
          </w:p>
          <w:p>
            <w:pPr>
              <w:spacing w:line="360" w:lineRule="auto"/>
              <w:ind w:firstLine="480" w:firstLineChars="200"/>
              <w:rPr>
                <w:rFonts w:eastAsiaTheme="minorEastAsia"/>
                <w:sz w:val="24"/>
                <w:szCs w:val="22"/>
              </w:rPr>
            </w:pPr>
            <w:r>
              <w:rPr>
                <w:rFonts w:hint="eastAsia" w:eastAsiaTheme="minorEastAsia"/>
                <w:sz w:val="24"/>
                <w:szCs w:val="22"/>
              </w:rPr>
              <w:t>④喷砂废砂</w:t>
            </w:r>
          </w:p>
          <w:p>
            <w:pPr>
              <w:spacing w:line="360" w:lineRule="auto"/>
              <w:ind w:firstLine="480" w:firstLineChars="200"/>
              <w:rPr>
                <w:rFonts w:eastAsiaTheme="minorEastAsia"/>
                <w:sz w:val="24"/>
                <w:szCs w:val="22"/>
              </w:rPr>
            </w:pPr>
            <w:r>
              <w:rPr>
                <w:rFonts w:eastAsiaTheme="minorEastAsia"/>
                <w:sz w:val="24"/>
                <w:szCs w:val="22"/>
              </w:rPr>
              <w:t>根据业主提供相关经验，本项目喷砂废砂产生量约为喷砂使用量的</w:t>
            </w:r>
            <w:r>
              <w:rPr>
                <w:rFonts w:hint="eastAsia" w:eastAsiaTheme="minorEastAsia"/>
                <w:sz w:val="24"/>
                <w:szCs w:val="22"/>
              </w:rPr>
              <w:t>1</w:t>
            </w:r>
            <w:r>
              <w:rPr>
                <w:rFonts w:eastAsiaTheme="minorEastAsia"/>
                <w:sz w:val="24"/>
                <w:szCs w:val="22"/>
              </w:rPr>
              <w:t>.5%，则项目废砂产生量为</w:t>
            </w:r>
            <w:r>
              <w:rPr>
                <w:rFonts w:hint="eastAsia" w:eastAsiaTheme="minorEastAsia"/>
                <w:sz w:val="24"/>
                <w:szCs w:val="22"/>
              </w:rPr>
              <w:t>2</w:t>
            </w:r>
            <w:r>
              <w:rPr>
                <w:rFonts w:eastAsiaTheme="minorEastAsia"/>
                <w:sz w:val="24"/>
                <w:szCs w:val="22"/>
              </w:rPr>
              <w:t>.55kg/a，废砂由生产厂家回收。</w:t>
            </w:r>
          </w:p>
          <w:p>
            <w:pPr>
              <w:spacing w:line="360" w:lineRule="auto"/>
              <w:ind w:firstLine="480" w:firstLineChars="200"/>
              <w:rPr>
                <w:rFonts w:eastAsiaTheme="minorEastAsia"/>
                <w:sz w:val="24"/>
                <w:szCs w:val="22"/>
              </w:rPr>
            </w:pPr>
            <w:r>
              <w:rPr>
                <w:rFonts w:hint="eastAsia" w:eastAsiaTheme="minorEastAsia"/>
                <w:sz w:val="24"/>
                <w:szCs w:val="22"/>
              </w:rPr>
              <w:t>⑤喷砂除尘灰</w:t>
            </w:r>
          </w:p>
          <w:p>
            <w:pPr>
              <w:spacing w:line="360" w:lineRule="auto"/>
              <w:ind w:firstLine="480" w:firstLineChars="200"/>
              <w:rPr>
                <w:rFonts w:eastAsiaTheme="minorEastAsia"/>
                <w:sz w:val="24"/>
                <w:szCs w:val="22"/>
              </w:rPr>
            </w:pPr>
            <w:r>
              <w:rPr>
                <w:rFonts w:eastAsiaTheme="minorEastAsia"/>
                <w:sz w:val="24"/>
                <w:szCs w:val="22"/>
              </w:rPr>
              <w:t>喷砂除尘灰属于一般工业废物，</w:t>
            </w:r>
            <w:r>
              <w:rPr>
                <w:rFonts w:hint="eastAsia" w:eastAsiaTheme="minorEastAsia"/>
                <w:sz w:val="24"/>
                <w:szCs w:val="22"/>
              </w:rPr>
              <w:t>外售给</w:t>
            </w:r>
            <w:r>
              <w:rPr>
                <w:rFonts w:eastAsiaTheme="minorEastAsia"/>
                <w:sz w:val="24"/>
                <w:szCs w:val="22"/>
              </w:rPr>
              <w:t>物资回收单位回收。</w:t>
            </w:r>
          </w:p>
          <w:p>
            <w:pPr>
              <w:spacing w:line="360" w:lineRule="auto"/>
              <w:ind w:firstLine="480" w:firstLineChars="200"/>
              <w:rPr>
                <w:rFonts w:eastAsiaTheme="minorEastAsia"/>
                <w:sz w:val="24"/>
                <w:szCs w:val="22"/>
              </w:rPr>
            </w:pPr>
            <w:r>
              <w:rPr>
                <w:rFonts w:hint="eastAsia" w:eastAsiaTheme="minorEastAsia"/>
                <w:sz w:val="24"/>
                <w:szCs w:val="22"/>
              </w:rPr>
              <w:t>⑥水性漆包装桶</w:t>
            </w:r>
          </w:p>
          <w:p>
            <w:pPr>
              <w:spacing w:line="360" w:lineRule="auto"/>
              <w:ind w:firstLine="480" w:firstLineChars="200"/>
              <w:rPr>
                <w:rFonts w:eastAsiaTheme="minorEastAsia"/>
                <w:sz w:val="24"/>
                <w:szCs w:val="22"/>
              </w:rPr>
            </w:pPr>
            <w:r>
              <w:rPr>
                <w:rFonts w:eastAsiaTheme="minorEastAsia"/>
                <w:sz w:val="24"/>
                <w:szCs w:val="22"/>
              </w:rPr>
              <w:t>工程水性漆包装桶产生量约为</w:t>
            </w:r>
            <w:r>
              <w:rPr>
                <w:rFonts w:hint="eastAsia" w:eastAsiaTheme="minorEastAsia"/>
                <w:sz w:val="24"/>
                <w:szCs w:val="22"/>
              </w:rPr>
              <w:t>0</w:t>
            </w:r>
            <w:r>
              <w:rPr>
                <w:rFonts w:eastAsiaTheme="minorEastAsia"/>
                <w:sz w:val="24"/>
                <w:szCs w:val="22"/>
              </w:rPr>
              <w:t>.5t/a，一般为金属桶，外售给物资回收单位。</w:t>
            </w:r>
          </w:p>
          <w:p>
            <w:pPr>
              <w:spacing w:line="360" w:lineRule="auto"/>
              <w:ind w:firstLine="480" w:firstLineChars="200"/>
              <w:rPr>
                <w:rFonts w:eastAsiaTheme="minorEastAsia"/>
                <w:sz w:val="24"/>
                <w:szCs w:val="22"/>
              </w:rPr>
            </w:pPr>
            <w:r>
              <w:rPr>
                <w:rFonts w:eastAsiaTheme="minorEastAsia"/>
                <w:sz w:val="24"/>
                <w:szCs w:val="22"/>
              </w:rPr>
              <w:t>（2）危险废物</w:t>
            </w:r>
          </w:p>
          <w:p>
            <w:pPr>
              <w:spacing w:line="360" w:lineRule="auto"/>
              <w:ind w:firstLine="480" w:firstLineChars="200"/>
              <w:rPr>
                <w:rFonts w:eastAsiaTheme="minorEastAsia"/>
                <w:sz w:val="24"/>
                <w:szCs w:val="22"/>
              </w:rPr>
            </w:pPr>
            <w:bookmarkStart w:id="125" w:name="_Toc423974524"/>
            <w:bookmarkStart w:id="126" w:name="_Toc421520593"/>
            <w:r>
              <w:rPr>
                <w:rFonts w:hint="eastAsia" w:eastAsiaTheme="minorEastAsia"/>
                <w:sz w:val="24"/>
                <w:szCs w:val="22"/>
              </w:rPr>
              <w:t>①废过滤棉、废活性炭</w:t>
            </w:r>
          </w:p>
          <w:p>
            <w:pPr>
              <w:spacing w:line="360" w:lineRule="auto"/>
              <w:ind w:firstLine="480" w:firstLineChars="200"/>
              <w:rPr>
                <w:rFonts w:eastAsiaTheme="minorEastAsia"/>
                <w:sz w:val="24"/>
                <w:szCs w:val="22"/>
              </w:rPr>
            </w:pPr>
            <w:r>
              <w:rPr>
                <w:rFonts w:eastAsiaTheme="minorEastAsia"/>
                <w:sz w:val="24"/>
                <w:szCs w:val="22"/>
              </w:rPr>
              <w:t>项目喷漆废气采用过滤棉</w:t>
            </w:r>
            <w:r>
              <w:rPr>
                <w:rFonts w:hint="eastAsia" w:eastAsiaTheme="minorEastAsia"/>
                <w:sz w:val="24"/>
                <w:szCs w:val="22"/>
              </w:rPr>
              <w:t>+活性炭箱吸附处置，废过滤棉、废活性炭属于危险废物。产生量约为</w:t>
            </w:r>
            <w:r>
              <w:rPr>
                <w:rFonts w:eastAsiaTheme="minorEastAsia"/>
                <w:sz w:val="24"/>
                <w:szCs w:val="22"/>
              </w:rPr>
              <w:t>2t/a，统一运至一期危废暂存间内暂存，交由云南大地丰源环保有限公司清运处置。</w:t>
            </w:r>
          </w:p>
          <w:p>
            <w:pPr>
              <w:spacing w:line="360" w:lineRule="auto"/>
              <w:ind w:firstLine="480" w:firstLineChars="200"/>
              <w:rPr>
                <w:rFonts w:eastAsiaTheme="minorEastAsia"/>
                <w:sz w:val="24"/>
                <w:szCs w:val="22"/>
              </w:rPr>
            </w:pPr>
            <w:r>
              <w:rPr>
                <w:rFonts w:hint="eastAsia" w:eastAsiaTheme="minorEastAsia"/>
                <w:sz w:val="24"/>
                <w:szCs w:val="22"/>
              </w:rPr>
              <w:t>②隔油池废油、污泥</w:t>
            </w:r>
          </w:p>
          <w:p>
            <w:pPr>
              <w:spacing w:line="360" w:lineRule="auto"/>
              <w:ind w:firstLine="480"/>
              <w:rPr>
                <w:rFonts w:eastAsiaTheme="minorEastAsia"/>
                <w:sz w:val="24"/>
                <w:szCs w:val="22"/>
              </w:rPr>
            </w:pPr>
            <w:r>
              <w:rPr>
                <w:rFonts w:eastAsiaTheme="minorEastAsia"/>
                <w:sz w:val="24"/>
                <w:szCs w:val="22"/>
              </w:rPr>
              <w:t>一期项目在雨淋实验车间旁设置一座</w:t>
            </w:r>
            <w:r>
              <w:rPr>
                <w:rFonts w:hint="eastAsia" w:eastAsiaTheme="minorEastAsia"/>
                <w:sz w:val="24"/>
                <w:szCs w:val="22"/>
              </w:rPr>
              <w:t>5</w:t>
            </w:r>
            <w:r>
              <w:rPr>
                <w:rFonts w:eastAsiaTheme="minorEastAsia"/>
                <w:sz w:val="24"/>
                <w:szCs w:val="22"/>
              </w:rPr>
              <w:t>0m³隔油池，本项目车间地坪清洗和车辆清洗含油废水均排入隔油池，隔油池废油和污泥产生量约为处理水量的0.02%，则隔油池废油和污泥产生量为</w:t>
            </w:r>
            <w:r>
              <w:rPr>
                <w:rFonts w:hint="eastAsia" w:eastAsiaTheme="minorEastAsia"/>
                <w:sz w:val="24"/>
                <w:szCs w:val="22"/>
              </w:rPr>
              <w:t>0</w:t>
            </w:r>
            <w:r>
              <w:rPr>
                <w:rFonts w:eastAsiaTheme="minorEastAsia"/>
                <w:sz w:val="24"/>
                <w:szCs w:val="22"/>
              </w:rPr>
              <w:t>.96t/a，定期由云南大地丰源环保有限公司清掏清运和处置。</w:t>
            </w:r>
          </w:p>
          <w:p>
            <w:pPr>
              <w:spacing w:line="360" w:lineRule="auto"/>
              <w:ind w:firstLine="480"/>
              <w:rPr>
                <w:sz w:val="24"/>
                <w:szCs w:val="22"/>
              </w:rPr>
            </w:pPr>
            <w:r>
              <w:rPr>
                <w:rFonts w:hint="eastAsia" w:ascii="宋体" w:hAnsi="宋体" w:cs="宋体"/>
                <w:sz w:val="24"/>
                <w:szCs w:val="22"/>
              </w:rPr>
              <w:t>③</w:t>
            </w:r>
            <w:r>
              <w:rPr>
                <w:sz w:val="24"/>
                <w:szCs w:val="22"/>
              </w:rPr>
              <w:t>废机油</w:t>
            </w:r>
          </w:p>
          <w:p>
            <w:pPr>
              <w:spacing w:line="360" w:lineRule="auto"/>
              <w:ind w:firstLine="480"/>
              <w:rPr>
                <w:rFonts w:eastAsiaTheme="minorEastAsia"/>
                <w:sz w:val="24"/>
                <w:szCs w:val="22"/>
              </w:rPr>
            </w:pPr>
            <w:r>
              <w:rPr>
                <w:sz w:val="24"/>
                <w:szCs w:val="22"/>
              </w:rPr>
              <w:t>项目维修过程会产生一定的废机油，类比同类型项目，废机油产生量约为0.05t/a，废机油统一收集依托一期已建成危废暂存间暂存，委托云南大地丰源环保有限公司清运处置。</w:t>
            </w:r>
          </w:p>
          <w:p>
            <w:pPr>
              <w:spacing w:line="360" w:lineRule="auto"/>
              <w:ind w:firstLine="480" w:firstLineChars="200"/>
              <w:rPr>
                <w:rFonts w:eastAsiaTheme="minorEastAsia"/>
                <w:sz w:val="24"/>
                <w:szCs w:val="22"/>
              </w:rPr>
            </w:pPr>
            <w:r>
              <w:rPr>
                <w:rFonts w:hint="eastAsia" w:eastAsiaTheme="minorEastAsia"/>
                <w:sz w:val="24"/>
                <w:szCs w:val="22"/>
              </w:rPr>
              <w:t>④打磨废料</w:t>
            </w:r>
          </w:p>
          <w:p>
            <w:pPr>
              <w:spacing w:line="360" w:lineRule="auto"/>
              <w:ind w:firstLine="480" w:firstLineChars="200"/>
              <w:rPr>
                <w:rFonts w:eastAsiaTheme="minorEastAsia"/>
                <w:sz w:val="24"/>
                <w:szCs w:val="22"/>
              </w:rPr>
            </w:pPr>
            <w:r>
              <w:rPr>
                <w:rFonts w:eastAsiaTheme="minorEastAsia"/>
                <w:sz w:val="24"/>
                <w:szCs w:val="22"/>
              </w:rPr>
              <w:t>项目打磨固废主要为打磨过程中除尘装置除尘灰，因打磨部位常含油漆，且目前已投入运行城轨列车使用溶剂型油漆，因此打磨除尘灰属于危废，产生量为</w:t>
            </w:r>
            <w:r>
              <w:rPr>
                <w:rFonts w:hint="eastAsia" w:eastAsiaTheme="minorEastAsia"/>
                <w:sz w:val="24"/>
                <w:szCs w:val="22"/>
              </w:rPr>
              <w:t>3</w:t>
            </w:r>
            <w:r>
              <w:rPr>
                <w:rFonts w:eastAsiaTheme="minorEastAsia"/>
                <w:sz w:val="24"/>
                <w:szCs w:val="22"/>
              </w:rPr>
              <w:t>20.1kg/a，打磨除尘灰统一运至一期已建成危废暂存间集中堆存，委托云南大地丰源有限公司清运处置。</w:t>
            </w:r>
          </w:p>
          <w:p>
            <w:pPr>
              <w:spacing w:line="360" w:lineRule="auto"/>
              <w:ind w:firstLine="480" w:firstLineChars="200"/>
              <w:rPr>
                <w:rFonts w:eastAsiaTheme="minorEastAsia"/>
                <w:sz w:val="24"/>
                <w:szCs w:val="22"/>
              </w:rPr>
            </w:pPr>
            <w:r>
              <w:rPr>
                <w:rFonts w:hint="eastAsia" w:eastAsiaTheme="minorEastAsia"/>
                <w:sz w:val="24"/>
                <w:szCs w:val="22"/>
              </w:rPr>
              <w:t>⑤除锈废液</w:t>
            </w:r>
          </w:p>
          <w:p>
            <w:pPr>
              <w:spacing w:line="360" w:lineRule="auto"/>
              <w:ind w:firstLine="480" w:firstLineChars="200"/>
              <w:rPr>
                <w:rFonts w:eastAsiaTheme="minorEastAsia"/>
                <w:sz w:val="24"/>
                <w:szCs w:val="22"/>
              </w:rPr>
            </w:pPr>
            <w:r>
              <w:rPr>
                <w:rFonts w:hint="eastAsia" w:eastAsiaTheme="minorEastAsia"/>
                <w:sz w:val="24"/>
                <w:szCs w:val="22"/>
              </w:rPr>
              <w:t>项目拆车检查后需要除锈的区域采用一体化除锈机进行除锈操作，除锈主要包括除锈液和中和液，除锈液主要为盐酸和缓蚀剂，除锈后再进入中和槽，中和液主要为氢氧化钠、磷酸三钠水溶液。</w:t>
            </w:r>
          </w:p>
          <w:p>
            <w:pPr>
              <w:spacing w:line="360" w:lineRule="auto"/>
              <w:ind w:firstLine="480" w:firstLineChars="200"/>
              <w:rPr>
                <w:rFonts w:eastAsiaTheme="minorEastAsia"/>
                <w:sz w:val="24"/>
                <w:szCs w:val="22"/>
              </w:rPr>
            </w:pPr>
            <w:r>
              <w:rPr>
                <w:rFonts w:eastAsiaTheme="minorEastAsia"/>
                <w:sz w:val="24"/>
                <w:szCs w:val="22"/>
              </w:rPr>
              <w:t>除锈液和中和液均属于危废。</w:t>
            </w:r>
          </w:p>
          <w:p>
            <w:pPr>
              <w:spacing w:line="360" w:lineRule="auto"/>
              <w:ind w:firstLine="480" w:firstLineChars="200"/>
              <w:rPr>
                <w:rFonts w:eastAsiaTheme="minorEastAsia"/>
                <w:sz w:val="24"/>
                <w:szCs w:val="22"/>
              </w:rPr>
            </w:pPr>
            <w:r>
              <w:rPr>
                <w:rFonts w:eastAsiaTheme="minorEastAsia"/>
                <w:sz w:val="24"/>
                <w:szCs w:val="22"/>
              </w:rPr>
              <w:t>根据业主提供资料，项目除锈液使用量约为</w:t>
            </w:r>
            <w:r>
              <w:rPr>
                <w:rFonts w:hint="eastAsia" w:eastAsiaTheme="minorEastAsia"/>
                <w:sz w:val="24"/>
                <w:szCs w:val="22"/>
              </w:rPr>
              <w:t>1t</w:t>
            </w:r>
            <w:r>
              <w:rPr>
                <w:rFonts w:eastAsiaTheme="minorEastAsia"/>
                <w:sz w:val="24"/>
                <w:szCs w:val="22"/>
              </w:rPr>
              <w:t>/a，中和液使用量约为</w:t>
            </w:r>
            <w:r>
              <w:rPr>
                <w:rFonts w:hint="eastAsia" w:eastAsiaTheme="minorEastAsia"/>
                <w:sz w:val="24"/>
                <w:szCs w:val="22"/>
              </w:rPr>
              <w:t>1t</w:t>
            </w:r>
            <w:r>
              <w:rPr>
                <w:rFonts w:eastAsiaTheme="minorEastAsia"/>
                <w:sz w:val="24"/>
                <w:szCs w:val="22"/>
              </w:rPr>
              <w:t>/a，除锈液和中和液均为成品不在厂区内自行配制，除锈完成后更换，因此废除锈液和废中和液产生量均为</w:t>
            </w:r>
            <w:r>
              <w:rPr>
                <w:rFonts w:hint="eastAsia" w:eastAsiaTheme="minorEastAsia"/>
                <w:sz w:val="24"/>
                <w:szCs w:val="22"/>
              </w:rPr>
              <w:t>1t</w:t>
            </w:r>
            <w:r>
              <w:rPr>
                <w:rFonts w:eastAsiaTheme="minorEastAsia"/>
                <w:sz w:val="24"/>
                <w:szCs w:val="22"/>
              </w:rPr>
              <w:t>/a。除锈工段废除锈液和废中和液分别收集，在一期已建成的危废暂存间暂存，委托云南大地丰源有限公司清运处置。</w:t>
            </w:r>
          </w:p>
          <w:bookmarkEnd w:id="125"/>
          <w:bookmarkEnd w:id="126"/>
          <w:p>
            <w:pPr>
              <w:spacing w:line="360" w:lineRule="auto"/>
              <w:rPr>
                <w:rFonts w:eastAsiaTheme="minorEastAsia"/>
                <w:sz w:val="24"/>
                <w:szCs w:val="22"/>
              </w:rPr>
            </w:pPr>
            <w:r>
              <w:rPr>
                <w:rFonts w:eastAsiaTheme="minorEastAsia"/>
                <w:sz w:val="24"/>
                <w:szCs w:val="22"/>
              </w:rPr>
              <w:t>二、固体废弃物处置合理性分析</w:t>
            </w:r>
          </w:p>
          <w:p>
            <w:pPr>
              <w:adjustRightInd w:val="0"/>
              <w:spacing w:line="360" w:lineRule="auto"/>
              <w:ind w:firstLine="480" w:firstLineChars="200"/>
              <w:textAlignment w:val="baseline"/>
              <w:rPr>
                <w:rFonts w:eastAsiaTheme="minorEastAsia"/>
                <w:kern w:val="0"/>
                <w:sz w:val="24"/>
              </w:rPr>
            </w:pPr>
            <w:r>
              <w:rPr>
                <w:rFonts w:eastAsiaTheme="minorEastAsia"/>
                <w:kern w:val="0"/>
                <w:sz w:val="24"/>
              </w:rPr>
              <w:t>（1）一般固废</w:t>
            </w:r>
          </w:p>
          <w:p>
            <w:pPr>
              <w:adjustRightInd w:val="0"/>
              <w:spacing w:line="360" w:lineRule="auto"/>
              <w:ind w:firstLine="480"/>
              <w:textAlignment w:val="baseline"/>
              <w:rPr>
                <w:rFonts w:eastAsiaTheme="minorEastAsia"/>
                <w:kern w:val="0"/>
                <w:sz w:val="24"/>
              </w:rPr>
            </w:pPr>
            <w:r>
              <w:rPr>
                <w:rFonts w:eastAsiaTheme="minorEastAsia"/>
                <w:kern w:val="0"/>
                <w:sz w:val="24"/>
              </w:rPr>
              <w:t>项目</w:t>
            </w:r>
            <w:r>
              <w:rPr>
                <w:rFonts w:hint="eastAsia" w:eastAsiaTheme="minorEastAsia"/>
                <w:kern w:val="0"/>
                <w:sz w:val="24"/>
              </w:rPr>
              <w:t>生活垃圾</w:t>
            </w:r>
            <w:r>
              <w:rPr>
                <w:rFonts w:eastAsiaTheme="minorEastAsia"/>
                <w:kern w:val="0"/>
                <w:sz w:val="24"/>
              </w:rPr>
              <w:t>由环卫部门清运处置，泔水委托有资质的单位清运处置，维修替换部件、废砂</w:t>
            </w:r>
            <w:r>
              <w:rPr>
                <w:rFonts w:hint="eastAsia" w:eastAsiaTheme="minorEastAsia"/>
                <w:kern w:val="0"/>
                <w:sz w:val="24"/>
              </w:rPr>
              <w:t>均由</w:t>
            </w:r>
            <w:r>
              <w:rPr>
                <w:rFonts w:eastAsiaTheme="minorEastAsia"/>
                <w:kern w:val="0"/>
                <w:sz w:val="24"/>
              </w:rPr>
              <w:t>生产厂家回收，喷砂除尘灰和水性漆包装桶外售给物资回收单位。可以做到100%处置。</w:t>
            </w:r>
          </w:p>
          <w:p>
            <w:pPr>
              <w:adjustRightInd w:val="0"/>
              <w:spacing w:line="360" w:lineRule="auto"/>
              <w:ind w:firstLine="480"/>
              <w:textAlignment w:val="baseline"/>
              <w:rPr>
                <w:rFonts w:eastAsiaTheme="minorEastAsia"/>
                <w:kern w:val="0"/>
                <w:sz w:val="24"/>
              </w:rPr>
            </w:pPr>
            <w:r>
              <w:rPr>
                <w:rFonts w:eastAsiaTheme="minorEastAsia"/>
                <w:kern w:val="0"/>
                <w:sz w:val="24"/>
              </w:rPr>
              <w:t>（2）危险废物</w:t>
            </w:r>
          </w:p>
          <w:p>
            <w:pPr>
              <w:spacing w:line="360" w:lineRule="auto"/>
              <w:ind w:firstLine="480" w:firstLineChars="200"/>
              <w:rPr>
                <w:rFonts w:eastAsiaTheme="minorEastAsia"/>
                <w:sz w:val="24"/>
                <w:szCs w:val="22"/>
              </w:rPr>
            </w:pPr>
            <w:r>
              <w:rPr>
                <w:rFonts w:eastAsiaTheme="minorEastAsia"/>
                <w:sz w:val="24"/>
                <w:szCs w:val="22"/>
              </w:rPr>
              <w:t>工程危险废物均分别收集，除隔油池废油外均统一运至一期已建成危废暂存间分类暂存，委托云南大地丰源环保有限公司清运处置。</w:t>
            </w:r>
          </w:p>
          <w:p>
            <w:pPr>
              <w:spacing w:line="360" w:lineRule="auto"/>
              <w:ind w:firstLine="480" w:firstLineChars="200"/>
              <w:rPr>
                <w:rFonts w:eastAsiaTheme="minorEastAsia"/>
                <w:sz w:val="24"/>
                <w:szCs w:val="22"/>
              </w:rPr>
            </w:pPr>
            <w:r>
              <w:rPr>
                <w:rFonts w:eastAsiaTheme="minorEastAsia"/>
                <w:sz w:val="24"/>
                <w:szCs w:val="22"/>
              </w:rPr>
              <w:t>工程依托一期已建成危废暂存间。改危废暂存间位于联合厂房旁，与其它区域隔开，危废暂存间已进行三防措施，面积为</w:t>
            </w:r>
            <w:r>
              <w:rPr>
                <w:rFonts w:hint="eastAsia" w:eastAsiaTheme="minorEastAsia"/>
                <w:sz w:val="24"/>
                <w:szCs w:val="22"/>
              </w:rPr>
              <w:t>5</w:t>
            </w:r>
            <w:r>
              <w:rPr>
                <w:rFonts w:eastAsiaTheme="minorEastAsia"/>
                <w:sz w:val="24"/>
                <w:szCs w:val="22"/>
              </w:rPr>
              <w:t>0㎡，内部设置不同类型危废暂存区域并悬挂了标识牌，建设单位已与云南大地丰源环保有限公司签订了清运处置协议，并建立了台账管理制度。因此本项目依托一期危废暂存间可行。</w:t>
            </w:r>
          </w:p>
          <w:p>
            <w:pPr>
              <w:spacing w:line="360" w:lineRule="auto"/>
              <w:ind w:firstLine="480" w:firstLineChars="200"/>
              <w:rPr>
                <w:rFonts w:eastAsiaTheme="minorEastAsia"/>
                <w:sz w:val="24"/>
              </w:rPr>
            </w:pPr>
            <w:r>
              <w:rPr>
                <w:rFonts w:eastAsiaTheme="minorEastAsia"/>
                <w:sz w:val="24"/>
              </w:rPr>
              <w:t>综上所述，项目固废均可做到100%合理处置，影响很小。</w:t>
            </w:r>
          </w:p>
          <w:p>
            <w:pPr>
              <w:spacing w:line="360" w:lineRule="auto"/>
              <w:ind w:firstLine="482" w:firstLineChars="200"/>
              <w:rPr>
                <w:rFonts w:eastAsiaTheme="minorEastAsia"/>
                <w:sz w:val="24"/>
              </w:rPr>
            </w:pPr>
            <w:r>
              <w:rPr>
                <w:rFonts w:eastAsiaTheme="minorEastAsia"/>
                <w:b/>
                <w:kern w:val="0"/>
                <w:sz w:val="24"/>
                <w:szCs w:val="20"/>
              </w:rPr>
              <w:t>（五）环境风险</w:t>
            </w:r>
          </w:p>
          <w:p>
            <w:pPr>
              <w:widowControl/>
              <w:spacing w:line="360" w:lineRule="auto"/>
              <w:ind w:firstLine="482" w:firstLineChars="200"/>
              <w:jc w:val="left"/>
              <w:rPr>
                <w:b/>
                <w:kern w:val="0"/>
                <w:sz w:val="24"/>
              </w:rPr>
            </w:pPr>
            <w:r>
              <w:rPr>
                <w:b/>
                <w:kern w:val="0"/>
                <w:sz w:val="24"/>
              </w:rPr>
              <w:t>一、环境风险识别</w:t>
            </w:r>
          </w:p>
          <w:p>
            <w:pPr>
              <w:widowControl/>
              <w:adjustRightInd w:val="0"/>
              <w:snapToGrid w:val="0"/>
              <w:spacing w:line="360" w:lineRule="auto"/>
              <w:ind w:firstLine="480" w:firstLineChars="200"/>
              <w:jc w:val="left"/>
              <w:rPr>
                <w:kern w:val="0"/>
                <w:sz w:val="24"/>
              </w:rPr>
            </w:pPr>
            <w:r>
              <w:rPr>
                <w:kern w:val="0"/>
                <w:sz w:val="24"/>
              </w:rPr>
              <w:t>（一）风险受体</w:t>
            </w:r>
          </w:p>
          <w:p>
            <w:pPr>
              <w:widowControl/>
              <w:adjustRightInd w:val="0"/>
              <w:snapToGrid w:val="0"/>
              <w:spacing w:line="360" w:lineRule="auto"/>
              <w:ind w:firstLine="480" w:firstLineChars="200"/>
              <w:jc w:val="left"/>
              <w:rPr>
                <w:kern w:val="0"/>
                <w:sz w:val="24"/>
              </w:rPr>
            </w:pPr>
            <w:r>
              <w:rPr>
                <w:kern w:val="0"/>
                <w:sz w:val="24"/>
              </w:rPr>
              <w:t>项目区周围主要为</w:t>
            </w:r>
            <w:r>
              <w:rPr>
                <w:rFonts w:hint="eastAsia"/>
                <w:kern w:val="0"/>
                <w:sz w:val="24"/>
              </w:rPr>
              <w:t>晋城镇</w:t>
            </w:r>
            <w:r>
              <w:rPr>
                <w:kern w:val="0"/>
                <w:sz w:val="24"/>
              </w:rPr>
              <w:t>，最近的居民点为</w:t>
            </w:r>
            <w:r>
              <w:rPr>
                <w:rFonts w:hint="eastAsia"/>
                <w:kern w:val="0"/>
                <w:sz w:val="24"/>
              </w:rPr>
              <w:t>富有村</w:t>
            </w:r>
            <w:r>
              <w:rPr>
                <w:kern w:val="0"/>
                <w:sz w:val="24"/>
              </w:rPr>
              <w:t>和白沙村；</w:t>
            </w:r>
          </w:p>
          <w:p>
            <w:pPr>
              <w:widowControl/>
              <w:adjustRightInd w:val="0"/>
              <w:snapToGrid w:val="0"/>
              <w:spacing w:line="360" w:lineRule="auto"/>
              <w:ind w:firstLine="480" w:firstLineChars="200"/>
              <w:jc w:val="left"/>
              <w:rPr>
                <w:kern w:val="0"/>
                <w:sz w:val="24"/>
              </w:rPr>
            </w:pPr>
            <w:r>
              <w:rPr>
                <w:kern w:val="0"/>
                <w:sz w:val="24"/>
              </w:rPr>
              <w:t>（二）环境风险源识别</w:t>
            </w:r>
          </w:p>
          <w:p>
            <w:pPr>
              <w:widowControl/>
              <w:adjustRightInd w:val="0"/>
              <w:snapToGrid w:val="0"/>
              <w:spacing w:line="360" w:lineRule="auto"/>
              <w:ind w:firstLine="480" w:firstLineChars="200"/>
              <w:jc w:val="left"/>
              <w:rPr>
                <w:kern w:val="0"/>
                <w:sz w:val="24"/>
              </w:rPr>
            </w:pPr>
            <w:r>
              <w:rPr>
                <w:kern w:val="0"/>
                <w:sz w:val="24"/>
              </w:rPr>
              <w:t>项目存在的主要环境风险源根据《建设项目环境风险评价技术导则》（HJ/T169-2018）并结合《危险化学品重大危险源辨识》（GB18218-2018）、《国家危险废物目录》（2021年版）、《企业突发环境事件风险分级方法》（HJ 941-2018）进行识别。</w:t>
            </w:r>
          </w:p>
          <w:p>
            <w:pPr>
              <w:widowControl/>
              <w:adjustRightInd w:val="0"/>
              <w:snapToGrid w:val="0"/>
              <w:spacing w:line="360" w:lineRule="auto"/>
              <w:ind w:firstLine="480" w:firstLineChars="200"/>
              <w:jc w:val="left"/>
              <w:rPr>
                <w:kern w:val="0"/>
                <w:sz w:val="24"/>
              </w:rPr>
            </w:pPr>
            <w:r>
              <w:rPr>
                <w:kern w:val="0"/>
                <w:sz w:val="24"/>
              </w:rPr>
              <w:t>存在物质风险的识别结果见下表：</w:t>
            </w:r>
          </w:p>
          <w:p>
            <w:pPr>
              <w:widowControl/>
              <w:ind w:firstLine="555"/>
              <w:jc w:val="center"/>
              <w:rPr>
                <w:rFonts w:eastAsiaTheme="minorEastAsia"/>
                <w:b/>
                <w:kern w:val="0"/>
                <w:sz w:val="24"/>
              </w:rPr>
            </w:pPr>
            <w:r>
              <w:rPr>
                <w:rFonts w:eastAsiaTheme="minorEastAsia"/>
                <w:b/>
                <w:kern w:val="0"/>
                <w:sz w:val="24"/>
              </w:rPr>
              <w:t>表4-8 物质风险识别</w:t>
            </w:r>
          </w:p>
          <w:tbl>
            <w:tblPr>
              <w:tblStyle w:val="44"/>
              <w:tblW w:w="77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150"/>
              <w:gridCol w:w="965"/>
              <w:gridCol w:w="2059"/>
              <w:gridCol w:w="1687"/>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jc w:val="center"/>
              </w:trPr>
              <w:tc>
                <w:tcPr>
                  <w:tcW w:w="1791" w:type="dxa"/>
                  <w:gridSpan w:val="2"/>
                  <w:tcBorders>
                    <w:top w:val="single" w:color="auto" w:sz="4" w:space="0"/>
                    <w:left w:val="single" w:color="auto" w:sz="4" w:space="0"/>
                    <w:bottom w:val="single" w:color="auto" w:sz="4" w:space="0"/>
                    <w:right w:val="single" w:color="auto" w:sz="4" w:space="0"/>
                  </w:tcBorders>
                  <w:vAlign w:val="center"/>
                </w:tcPr>
                <w:p>
                  <w:pPr>
                    <w:widowControl/>
                    <w:ind w:firstLine="420"/>
                    <w:jc w:val="center"/>
                    <w:rPr>
                      <w:rFonts w:eastAsiaTheme="minorEastAsia"/>
                      <w:kern w:val="0"/>
                      <w:szCs w:val="21"/>
                    </w:rPr>
                  </w:pPr>
                  <w:r>
                    <w:rPr>
                      <w:rFonts w:eastAsiaTheme="minorEastAsia"/>
                      <w:kern w:val="0"/>
                      <w:szCs w:val="21"/>
                      <w:lang w:bidi="ar"/>
                    </w:rPr>
                    <w:t>风险源</w:t>
                  </w:r>
                </w:p>
              </w:tc>
              <w:tc>
                <w:tcPr>
                  <w:tcW w:w="965" w:type="dxa"/>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rPr>
                  </w:pPr>
                  <w:r>
                    <w:rPr>
                      <w:rFonts w:eastAsiaTheme="minorEastAsia"/>
                      <w:kern w:val="0"/>
                      <w:szCs w:val="21"/>
                      <w:lang w:bidi="ar"/>
                    </w:rPr>
                    <w:t>产生环节</w:t>
                  </w:r>
                </w:p>
              </w:tc>
              <w:tc>
                <w:tcPr>
                  <w:tcW w:w="2059" w:type="dxa"/>
                  <w:tcBorders>
                    <w:top w:val="single" w:color="auto" w:sz="4" w:space="0"/>
                    <w:left w:val="nil"/>
                    <w:bottom w:val="single" w:color="auto" w:sz="4" w:space="0"/>
                    <w:right w:val="single" w:color="auto" w:sz="4" w:space="0"/>
                  </w:tcBorders>
                  <w:vAlign w:val="center"/>
                </w:tcPr>
                <w:p>
                  <w:pPr>
                    <w:widowControl/>
                    <w:ind w:firstLine="420"/>
                    <w:jc w:val="center"/>
                    <w:rPr>
                      <w:rFonts w:eastAsiaTheme="minorEastAsia"/>
                      <w:kern w:val="0"/>
                      <w:szCs w:val="21"/>
                    </w:rPr>
                  </w:pPr>
                  <w:r>
                    <w:rPr>
                      <w:rFonts w:eastAsiaTheme="minorEastAsia"/>
                      <w:kern w:val="0"/>
                      <w:szCs w:val="21"/>
                      <w:lang w:bidi="ar"/>
                    </w:rPr>
                    <w:t>项目情况</w:t>
                  </w:r>
                </w:p>
              </w:tc>
              <w:tc>
                <w:tcPr>
                  <w:tcW w:w="1687" w:type="dxa"/>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rPr>
                  </w:pPr>
                  <w:r>
                    <w:rPr>
                      <w:rFonts w:eastAsiaTheme="minorEastAsia"/>
                      <w:kern w:val="0"/>
                      <w:szCs w:val="21"/>
                      <w:lang w:bidi="ar"/>
                    </w:rPr>
                    <w:t>对环境的影响</w:t>
                  </w:r>
                </w:p>
              </w:tc>
              <w:tc>
                <w:tcPr>
                  <w:tcW w:w="1224" w:type="dxa"/>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rPr>
                  </w:pPr>
                  <w:r>
                    <w:rPr>
                      <w:rFonts w:eastAsiaTheme="minorEastAsia"/>
                      <w:kern w:val="0"/>
                      <w:szCs w:val="21"/>
                      <w:lang w:bidi="ar"/>
                    </w:rPr>
                    <w:t>是否构成主要风险源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641" w:type="dxa"/>
                  <w:vMerge w:val="restart"/>
                  <w:tcBorders>
                    <w:top w:val="nil"/>
                    <w:left w:val="single" w:color="auto" w:sz="4" w:space="0"/>
                    <w:right w:val="single" w:color="auto" w:sz="4" w:space="0"/>
                  </w:tcBorders>
                  <w:vAlign w:val="center"/>
                </w:tcPr>
                <w:p>
                  <w:pPr>
                    <w:widowControl/>
                    <w:jc w:val="left"/>
                    <w:rPr>
                      <w:rFonts w:eastAsiaTheme="minorEastAsia"/>
                      <w:kern w:val="0"/>
                      <w:szCs w:val="21"/>
                    </w:rPr>
                  </w:pPr>
                  <w:r>
                    <w:rPr>
                      <w:rFonts w:eastAsiaTheme="minorEastAsia"/>
                      <w:kern w:val="0"/>
                      <w:szCs w:val="21"/>
                      <w:lang w:bidi="ar"/>
                    </w:rPr>
                    <w:t>液态</w:t>
                  </w:r>
                </w:p>
              </w:tc>
              <w:tc>
                <w:tcPr>
                  <w:tcW w:w="1150" w:type="dxa"/>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rPr>
                  </w:pPr>
                  <w:r>
                    <w:rPr>
                      <w:rFonts w:eastAsiaTheme="minorEastAsia"/>
                      <w:kern w:val="0"/>
                      <w:szCs w:val="21"/>
                      <w:lang w:bidi="ar"/>
                    </w:rPr>
                    <w:t>消防废水</w:t>
                  </w:r>
                </w:p>
              </w:tc>
              <w:tc>
                <w:tcPr>
                  <w:tcW w:w="965" w:type="dxa"/>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rPr>
                  </w:pPr>
                  <w:r>
                    <w:rPr>
                      <w:rFonts w:eastAsiaTheme="minorEastAsia"/>
                      <w:kern w:val="0"/>
                      <w:szCs w:val="21"/>
                      <w:lang w:bidi="ar"/>
                    </w:rPr>
                    <w:t>火灾事故产生</w:t>
                  </w:r>
                </w:p>
              </w:tc>
              <w:tc>
                <w:tcPr>
                  <w:tcW w:w="2059" w:type="dxa"/>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rPr>
                  </w:pPr>
                  <w:r>
                    <w:rPr>
                      <w:rFonts w:eastAsiaTheme="minorEastAsia"/>
                      <w:kern w:val="0"/>
                      <w:szCs w:val="21"/>
                      <w:lang w:bidi="ar"/>
                    </w:rPr>
                    <w:t>办公用品遇明火易燃，火灾事故状态下的消防废水无法收集将造成废水外泄</w:t>
                  </w:r>
                </w:p>
              </w:tc>
              <w:tc>
                <w:tcPr>
                  <w:tcW w:w="1687" w:type="dxa"/>
                  <w:vMerge w:val="restart"/>
                  <w:tcBorders>
                    <w:top w:val="nil"/>
                    <w:left w:val="nil"/>
                    <w:right w:val="single" w:color="auto" w:sz="4" w:space="0"/>
                  </w:tcBorders>
                  <w:vAlign w:val="center"/>
                </w:tcPr>
                <w:p>
                  <w:pPr>
                    <w:widowControl/>
                    <w:jc w:val="left"/>
                    <w:rPr>
                      <w:rFonts w:eastAsiaTheme="minorEastAsia"/>
                      <w:kern w:val="0"/>
                      <w:szCs w:val="21"/>
                    </w:rPr>
                  </w:pPr>
                  <w:r>
                    <w:rPr>
                      <w:rFonts w:eastAsiaTheme="minorEastAsia"/>
                      <w:kern w:val="0"/>
                      <w:szCs w:val="21"/>
                      <w:lang w:bidi="ar"/>
                    </w:rPr>
                    <w:t>泄漏后会污染地表水</w:t>
                  </w:r>
                </w:p>
              </w:tc>
              <w:tc>
                <w:tcPr>
                  <w:tcW w:w="1224" w:type="dxa"/>
                  <w:tcBorders>
                    <w:top w:val="single" w:color="auto" w:sz="4" w:space="0"/>
                    <w:left w:val="nil"/>
                    <w:bottom w:val="single" w:color="auto" w:sz="4" w:space="0"/>
                    <w:right w:val="single" w:color="auto" w:sz="4" w:space="0"/>
                  </w:tcBorders>
                  <w:vAlign w:val="center"/>
                </w:tcPr>
                <w:p>
                  <w:pPr>
                    <w:widowControl/>
                    <w:ind w:firstLine="420"/>
                    <w:jc w:val="left"/>
                    <w:rPr>
                      <w:rFonts w:eastAsiaTheme="minorEastAsia"/>
                      <w:kern w:val="0"/>
                      <w:szCs w:val="21"/>
                    </w:rPr>
                  </w:pPr>
                  <w:r>
                    <w:rPr>
                      <w:rFonts w:eastAsiaTheme="minorEastAsia"/>
                      <w:kern w:val="0"/>
                      <w:szCs w:val="21"/>
                      <w:lang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jc w:val="center"/>
              </w:trPr>
              <w:tc>
                <w:tcPr>
                  <w:tcW w:w="641" w:type="dxa"/>
                  <w:vMerge w:val="continue"/>
                  <w:tcBorders>
                    <w:left w:val="single" w:color="auto" w:sz="4" w:space="0"/>
                    <w:right w:val="single" w:color="auto" w:sz="4" w:space="0"/>
                  </w:tcBorders>
                  <w:vAlign w:val="center"/>
                </w:tcPr>
                <w:p>
                  <w:pPr>
                    <w:widowControl/>
                    <w:jc w:val="left"/>
                    <w:rPr>
                      <w:rFonts w:eastAsiaTheme="minorEastAsia"/>
                      <w:kern w:val="0"/>
                      <w:szCs w:val="21"/>
                    </w:rPr>
                  </w:pPr>
                </w:p>
              </w:tc>
              <w:tc>
                <w:tcPr>
                  <w:tcW w:w="1150" w:type="dxa"/>
                  <w:vMerge w:val="restart"/>
                  <w:tcBorders>
                    <w:top w:val="single" w:color="auto" w:sz="4" w:space="0"/>
                    <w:left w:val="nil"/>
                    <w:right w:val="single" w:color="auto" w:sz="4" w:space="0"/>
                  </w:tcBorders>
                  <w:vAlign w:val="center"/>
                </w:tcPr>
                <w:p>
                  <w:pPr>
                    <w:widowControl/>
                    <w:jc w:val="left"/>
                    <w:rPr>
                      <w:rFonts w:eastAsiaTheme="minorEastAsia"/>
                      <w:kern w:val="0"/>
                      <w:szCs w:val="21"/>
                      <w:lang w:bidi="ar"/>
                    </w:rPr>
                  </w:pPr>
                  <w:r>
                    <w:rPr>
                      <w:rFonts w:eastAsiaTheme="minorEastAsia"/>
                      <w:kern w:val="0"/>
                      <w:szCs w:val="21"/>
                      <w:lang w:bidi="ar"/>
                    </w:rPr>
                    <w:t>污水</w:t>
                  </w:r>
                </w:p>
              </w:tc>
              <w:tc>
                <w:tcPr>
                  <w:tcW w:w="965" w:type="dxa"/>
                  <w:vMerge w:val="restart"/>
                  <w:tcBorders>
                    <w:top w:val="single" w:color="auto" w:sz="4" w:space="0"/>
                    <w:left w:val="nil"/>
                    <w:right w:val="single" w:color="auto" w:sz="4" w:space="0"/>
                  </w:tcBorders>
                  <w:vAlign w:val="center"/>
                </w:tcPr>
                <w:p>
                  <w:pPr>
                    <w:widowControl/>
                    <w:jc w:val="left"/>
                    <w:rPr>
                      <w:rFonts w:eastAsiaTheme="minorEastAsia"/>
                      <w:kern w:val="0"/>
                      <w:szCs w:val="21"/>
                      <w:lang w:bidi="ar"/>
                    </w:rPr>
                  </w:pPr>
                  <w:r>
                    <w:rPr>
                      <w:rFonts w:eastAsiaTheme="minorEastAsia"/>
                      <w:kern w:val="0"/>
                      <w:szCs w:val="21"/>
                      <w:lang w:bidi="ar"/>
                    </w:rPr>
                    <w:t>化粪池、污水管网、污水处理站</w:t>
                  </w:r>
                </w:p>
              </w:tc>
              <w:tc>
                <w:tcPr>
                  <w:tcW w:w="2059" w:type="dxa"/>
                  <w:vMerge w:val="restart"/>
                  <w:tcBorders>
                    <w:top w:val="single" w:color="auto" w:sz="4" w:space="0"/>
                    <w:left w:val="nil"/>
                    <w:right w:val="single" w:color="auto" w:sz="4" w:space="0"/>
                  </w:tcBorders>
                  <w:vAlign w:val="center"/>
                </w:tcPr>
                <w:p>
                  <w:pPr>
                    <w:widowControl/>
                    <w:jc w:val="left"/>
                    <w:rPr>
                      <w:rFonts w:eastAsiaTheme="minorEastAsia"/>
                      <w:kern w:val="0"/>
                      <w:szCs w:val="21"/>
                      <w:lang w:bidi="ar"/>
                    </w:rPr>
                  </w:pPr>
                  <w:r>
                    <w:rPr>
                      <w:rFonts w:eastAsiaTheme="minorEastAsia"/>
                      <w:kern w:val="0"/>
                      <w:szCs w:val="21"/>
                      <w:lang w:bidi="ar"/>
                    </w:rPr>
                    <w:t>污水管网、化粪池若发生泄漏，生活污水进入周边地表水体产生污染</w:t>
                  </w:r>
                </w:p>
              </w:tc>
              <w:tc>
                <w:tcPr>
                  <w:tcW w:w="1687" w:type="dxa"/>
                  <w:vMerge w:val="continue"/>
                  <w:tcBorders>
                    <w:left w:val="nil"/>
                    <w:right w:val="single" w:color="auto" w:sz="4" w:space="0"/>
                  </w:tcBorders>
                  <w:vAlign w:val="center"/>
                </w:tcPr>
                <w:p>
                  <w:pPr>
                    <w:widowControl/>
                    <w:ind w:firstLine="420"/>
                    <w:jc w:val="left"/>
                    <w:rPr>
                      <w:rFonts w:eastAsiaTheme="minorEastAsia"/>
                      <w:kern w:val="0"/>
                      <w:szCs w:val="21"/>
                    </w:rPr>
                  </w:pPr>
                </w:p>
              </w:tc>
              <w:tc>
                <w:tcPr>
                  <w:tcW w:w="1224" w:type="dxa"/>
                  <w:tcBorders>
                    <w:left w:val="nil"/>
                    <w:right w:val="single" w:color="auto" w:sz="4" w:space="0"/>
                  </w:tcBorders>
                  <w:vAlign w:val="center"/>
                </w:tcPr>
                <w:p>
                  <w:pPr>
                    <w:widowControl/>
                    <w:ind w:firstLine="420"/>
                    <w:jc w:val="center"/>
                    <w:rPr>
                      <w:rFonts w:eastAsiaTheme="minorEastAsia"/>
                      <w:kern w:val="0"/>
                      <w:szCs w:val="21"/>
                      <w:lang w:bidi="ar"/>
                    </w:rPr>
                  </w:pPr>
                  <w:r>
                    <w:rPr>
                      <w:rFonts w:eastAsiaTheme="minorEastAsia"/>
                      <w:kern w:val="0"/>
                      <w:szCs w:val="21"/>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0" w:hRule="atLeast"/>
                <w:jc w:val="center"/>
              </w:trPr>
              <w:tc>
                <w:tcPr>
                  <w:tcW w:w="641" w:type="dxa"/>
                  <w:vMerge w:val="continue"/>
                  <w:tcBorders>
                    <w:left w:val="single" w:color="auto" w:sz="4" w:space="0"/>
                    <w:right w:val="single" w:color="auto" w:sz="4" w:space="0"/>
                  </w:tcBorders>
                  <w:vAlign w:val="center"/>
                </w:tcPr>
                <w:p>
                  <w:pPr>
                    <w:widowControl/>
                    <w:jc w:val="left"/>
                    <w:rPr>
                      <w:rFonts w:eastAsiaTheme="minorEastAsia"/>
                      <w:kern w:val="0"/>
                      <w:szCs w:val="21"/>
                    </w:rPr>
                  </w:pPr>
                </w:p>
              </w:tc>
              <w:tc>
                <w:tcPr>
                  <w:tcW w:w="1150" w:type="dxa"/>
                  <w:vMerge w:val="continue"/>
                  <w:tcBorders>
                    <w:left w:val="nil"/>
                    <w:right w:val="single" w:color="auto" w:sz="4" w:space="0"/>
                  </w:tcBorders>
                  <w:vAlign w:val="center"/>
                </w:tcPr>
                <w:p>
                  <w:pPr>
                    <w:widowControl/>
                    <w:jc w:val="left"/>
                    <w:rPr>
                      <w:rFonts w:eastAsiaTheme="minorEastAsia"/>
                      <w:kern w:val="0"/>
                      <w:szCs w:val="21"/>
                      <w:lang w:bidi="ar"/>
                    </w:rPr>
                  </w:pPr>
                </w:p>
              </w:tc>
              <w:tc>
                <w:tcPr>
                  <w:tcW w:w="965" w:type="dxa"/>
                  <w:vMerge w:val="continue"/>
                  <w:tcBorders>
                    <w:left w:val="nil"/>
                    <w:right w:val="single" w:color="auto" w:sz="4" w:space="0"/>
                  </w:tcBorders>
                  <w:vAlign w:val="center"/>
                </w:tcPr>
                <w:p>
                  <w:pPr>
                    <w:widowControl/>
                    <w:jc w:val="left"/>
                    <w:rPr>
                      <w:rFonts w:eastAsiaTheme="minorEastAsia"/>
                      <w:kern w:val="0"/>
                      <w:szCs w:val="21"/>
                      <w:lang w:bidi="ar"/>
                    </w:rPr>
                  </w:pPr>
                </w:p>
              </w:tc>
              <w:tc>
                <w:tcPr>
                  <w:tcW w:w="2059" w:type="dxa"/>
                  <w:vMerge w:val="continue"/>
                  <w:tcBorders>
                    <w:left w:val="nil"/>
                    <w:right w:val="single" w:color="auto" w:sz="4" w:space="0"/>
                  </w:tcBorders>
                  <w:vAlign w:val="center"/>
                </w:tcPr>
                <w:p>
                  <w:pPr>
                    <w:widowControl/>
                    <w:jc w:val="left"/>
                    <w:rPr>
                      <w:rFonts w:eastAsiaTheme="minorEastAsia"/>
                      <w:kern w:val="0"/>
                      <w:szCs w:val="21"/>
                      <w:lang w:bidi="ar"/>
                    </w:rPr>
                  </w:pPr>
                </w:p>
              </w:tc>
              <w:tc>
                <w:tcPr>
                  <w:tcW w:w="1687" w:type="dxa"/>
                  <w:vMerge w:val="continue"/>
                  <w:tcBorders>
                    <w:left w:val="nil"/>
                    <w:right w:val="single" w:color="auto" w:sz="4" w:space="0"/>
                  </w:tcBorders>
                  <w:vAlign w:val="center"/>
                </w:tcPr>
                <w:p>
                  <w:pPr>
                    <w:widowControl/>
                    <w:ind w:firstLine="420"/>
                    <w:jc w:val="left"/>
                    <w:rPr>
                      <w:rFonts w:eastAsiaTheme="minorEastAsia"/>
                      <w:kern w:val="0"/>
                      <w:szCs w:val="21"/>
                    </w:rPr>
                  </w:pPr>
                </w:p>
              </w:tc>
              <w:tc>
                <w:tcPr>
                  <w:tcW w:w="1224" w:type="dxa"/>
                  <w:tcBorders>
                    <w:left w:val="nil"/>
                    <w:right w:val="single" w:color="auto" w:sz="4" w:space="0"/>
                  </w:tcBorders>
                  <w:vAlign w:val="center"/>
                </w:tcPr>
                <w:p>
                  <w:pPr>
                    <w:widowControl/>
                    <w:ind w:firstLine="420"/>
                    <w:jc w:val="center"/>
                    <w:rPr>
                      <w:rFonts w:eastAsiaTheme="minorEastAsia"/>
                      <w:kern w:val="0"/>
                      <w:szCs w:val="21"/>
                      <w:lang w:bidi="ar"/>
                    </w:rPr>
                  </w:pPr>
                  <w:r>
                    <w:rPr>
                      <w:rFonts w:eastAsiaTheme="minorEastAsia"/>
                      <w:kern w:val="0"/>
                      <w:szCs w:val="21"/>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641" w:type="dxa"/>
                  <w:vMerge w:val="continue"/>
                  <w:tcBorders>
                    <w:left w:val="single" w:color="auto" w:sz="4" w:space="0"/>
                    <w:right w:val="single" w:color="auto" w:sz="4" w:space="0"/>
                  </w:tcBorders>
                  <w:vAlign w:val="center"/>
                </w:tcPr>
                <w:p>
                  <w:pPr>
                    <w:widowControl/>
                    <w:jc w:val="left"/>
                    <w:rPr>
                      <w:rFonts w:eastAsiaTheme="minorEastAsia"/>
                      <w:kern w:val="0"/>
                      <w:szCs w:val="21"/>
                    </w:rPr>
                  </w:pPr>
                </w:p>
              </w:tc>
              <w:tc>
                <w:tcPr>
                  <w:tcW w:w="1150" w:type="dxa"/>
                  <w:vMerge w:val="continue"/>
                  <w:tcBorders>
                    <w:left w:val="nil"/>
                    <w:bottom w:val="single" w:color="auto" w:sz="4" w:space="0"/>
                    <w:right w:val="single" w:color="auto" w:sz="4" w:space="0"/>
                  </w:tcBorders>
                  <w:vAlign w:val="center"/>
                </w:tcPr>
                <w:p>
                  <w:pPr>
                    <w:widowControl/>
                    <w:jc w:val="left"/>
                    <w:rPr>
                      <w:rFonts w:eastAsiaTheme="minorEastAsia"/>
                      <w:kern w:val="0"/>
                      <w:szCs w:val="21"/>
                      <w:lang w:bidi="ar"/>
                    </w:rPr>
                  </w:pPr>
                </w:p>
              </w:tc>
              <w:tc>
                <w:tcPr>
                  <w:tcW w:w="965" w:type="dxa"/>
                  <w:vMerge w:val="continue"/>
                  <w:tcBorders>
                    <w:left w:val="nil"/>
                    <w:bottom w:val="single" w:color="auto" w:sz="4" w:space="0"/>
                    <w:right w:val="single" w:color="auto" w:sz="4" w:space="0"/>
                  </w:tcBorders>
                  <w:vAlign w:val="center"/>
                </w:tcPr>
                <w:p>
                  <w:pPr>
                    <w:widowControl/>
                    <w:jc w:val="left"/>
                    <w:rPr>
                      <w:rFonts w:eastAsiaTheme="minorEastAsia"/>
                      <w:kern w:val="0"/>
                      <w:szCs w:val="21"/>
                      <w:lang w:bidi="ar"/>
                    </w:rPr>
                  </w:pPr>
                </w:p>
              </w:tc>
              <w:tc>
                <w:tcPr>
                  <w:tcW w:w="2059" w:type="dxa"/>
                  <w:vMerge w:val="continue"/>
                  <w:tcBorders>
                    <w:left w:val="nil"/>
                    <w:bottom w:val="single" w:color="auto" w:sz="4" w:space="0"/>
                    <w:right w:val="single" w:color="auto" w:sz="4" w:space="0"/>
                  </w:tcBorders>
                  <w:vAlign w:val="center"/>
                </w:tcPr>
                <w:p>
                  <w:pPr>
                    <w:widowControl/>
                    <w:jc w:val="left"/>
                    <w:rPr>
                      <w:rFonts w:eastAsiaTheme="minorEastAsia"/>
                      <w:kern w:val="0"/>
                      <w:szCs w:val="21"/>
                      <w:lang w:bidi="ar"/>
                    </w:rPr>
                  </w:pPr>
                </w:p>
              </w:tc>
              <w:tc>
                <w:tcPr>
                  <w:tcW w:w="1687" w:type="dxa"/>
                  <w:vMerge w:val="continue"/>
                  <w:tcBorders>
                    <w:left w:val="nil"/>
                    <w:right w:val="single" w:color="auto" w:sz="4" w:space="0"/>
                  </w:tcBorders>
                  <w:vAlign w:val="center"/>
                </w:tcPr>
                <w:p>
                  <w:pPr>
                    <w:widowControl/>
                    <w:ind w:firstLine="420"/>
                    <w:jc w:val="left"/>
                    <w:rPr>
                      <w:rFonts w:eastAsiaTheme="minorEastAsia"/>
                      <w:kern w:val="0"/>
                      <w:szCs w:val="21"/>
                    </w:rPr>
                  </w:pPr>
                </w:p>
              </w:tc>
              <w:tc>
                <w:tcPr>
                  <w:tcW w:w="1224" w:type="dxa"/>
                  <w:vMerge w:val="restart"/>
                  <w:tcBorders>
                    <w:left w:val="nil"/>
                    <w:right w:val="single" w:color="auto" w:sz="4" w:space="0"/>
                  </w:tcBorders>
                  <w:vAlign w:val="center"/>
                </w:tcPr>
                <w:p>
                  <w:pPr>
                    <w:widowControl/>
                    <w:ind w:firstLine="420"/>
                    <w:jc w:val="center"/>
                    <w:rPr>
                      <w:rFonts w:eastAsiaTheme="minorEastAsia"/>
                      <w:kern w:val="0"/>
                      <w:szCs w:val="21"/>
                      <w:lang w:bidi="ar"/>
                    </w:rPr>
                  </w:pPr>
                  <w:r>
                    <w:rPr>
                      <w:rFonts w:eastAsiaTheme="minorEastAsia"/>
                      <w:kern w:val="0"/>
                      <w:szCs w:val="21"/>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7" w:hRule="atLeast"/>
                <w:jc w:val="center"/>
              </w:trPr>
              <w:tc>
                <w:tcPr>
                  <w:tcW w:w="641" w:type="dxa"/>
                  <w:vMerge w:val="continue"/>
                  <w:tcBorders>
                    <w:left w:val="single" w:color="auto" w:sz="4" w:space="0"/>
                    <w:right w:val="single" w:color="auto" w:sz="4" w:space="0"/>
                  </w:tcBorders>
                  <w:vAlign w:val="center"/>
                </w:tcPr>
                <w:p>
                  <w:pPr>
                    <w:widowControl/>
                    <w:jc w:val="left"/>
                    <w:rPr>
                      <w:rFonts w:eastAsiaTheme="minorEastAsia"/>
                      <w:kern w:val="0"/>
                      <w:szCs w:val="21"/>
                    </w:rPr>
                  </w:pPr>
                </w:p>
              </w:tc>
              <w:tc>
                <w:tcPr>
                  <w:tcW w:w="1150" w:type="dxa"/>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lang w:bidi="ar"/>
                    </w:rPr>
                  </w:pPr>
                  <w:r>
                    <w:rPr>
                      <w:rFonts w:eastAsiaTheme="minorEastAsia"/>
                      <w:kern w:val="0"/>
                      <w:szCs w:val="21"/>
                      <w:lang w:bidi="ar"/>
                    </w:rPr>
                    <w:t>酸液、中和液</w:t>
                  </w:r>
                </w:p>
              </w:tc>
              <w:tc>
                <w:tcPr>
                  <w:tcW w:w="965" w:type="dxa"/>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lang w:bidi="ar"/>
                    </w:rPr>
                  </w:pPr>
                  <w:r>
                    <w:rPr>
                      <w:rFonts w:eastAsiaTheme="minorEastAsia"/>
                      <w:kern w:val="0"/>
                      <w:szCs w:val="21"/>
                      <w:lang w:bidi="ar"/>
                    </w:rPr>
                    <w:t>原料库</w:t>
                  </w:r>
                </w:p>
              </w:tc>
              <w:tc>
                <w:tcPr>
                  <w:tcW w:w="2059" w:type="dxa"/>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lang w:bidi="ar"/>
                    </w:rPr>
                  </w:pPr>
                  <w:r>
                    <w:rPr>
                      <w:rFonts w:eastAsiaTheme="minorEastAsia"/>
                      <w:kern w:val="0"/>
                      <w:szCs w:val="21"/>
                      <w:lang w:bidi="ar"/>
                    </w:rPr>
                    <w:t>腐蚀性化学品</w:t>
                  </w:r>
                </w:p>
              </w:tc>
              <w:tc>
                <w:tcPr>
                  <w:tcW w:w="1687" w:type="dxa"/>
                  <w:vMerge w:val="continue"/>
                  <w:tcBorders>
                    <w:left w:val="nil"/>
                    <w:right w:val="single" w:color="auto" w:sz="4" w:space="0"/>
                  </w:tcBorders>
                  <w:vAlign w:val="center"/>
                </w:tcPr>
                <w:p>
                  <w:pPr>
                    <w:widowControl/>
                    <w:ind w:firstLine="420"/>
                    <w:jc w:val="left"/>
                    <w:rPr>
                      <w:rFonts w:eastAsiaTheme="minorEastAsia"/>
                      <w:kern w:val="0"/>
                      <w:szCs w:val="21"/>
                    </w:rPr>
                  </w:pPr>
                </w:p>
              </w:tc>
              <w:tc>
                <w:tcPr>
                  <w:tcW w:w="1224" w:type="dxa"/>
                  <w:vMerge w:val="continue"/>
                  <w:tcBorders>
                    <w:left w:val="nil"/>
                    <w:right w:val="single" w:color="auto" w:sz="4" w:space="0"/>
                  </w:tcBorders>
                  <w:vAlign w:val="center"/>
                </w:tcPr>
                <w:p>
                  <w:pPr>
                    <w:widowControl/>
                    <w:ind w:firstLine="420"/>
                    <w:jc w:val="center"/>
                    <w:rPr>
                      <w:rFonts w:eastAsiaTheme="minorEastAsia"/>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8" w:hRule="atLeast"/>
                <w:jc w:val="center"/>
              </w:trPr>
              <w:tc>
                <w:tcPr>
                  <w:tcW w:w="641" w:type="dxa"/>
                  <w:vMerge w:val="restart"/>
                  <w:tcBorders>
                    <w:top w:val="nil"/>
                    <w:left w:val="single" w:color="auto" w:sz="4" w:space="0"/>
                    <w:right w:val="single" w:color="auto" w:sz="4" w:space="0"/>
                  </w:tcBorders>
                  <w:vAlign w:val="center"/>
                </w:tcPr>
                <w:p>
                  <w:pPr>
                    <w:widowControl/>
                    <w:jc w:val="left"/>
                    <w:rPr>
                      <w:rFonts w:eastAsiaTheme="minorEastAsia"/>
                      <w:kern w:val="0"/>
                      <w:szCs w:val="21"/>
                    </w:rPr>
                  </w:pPr>
                  <w:r>
                    <w:rPr>
                      <w:rFonts w:eastAsiaTheme="minorEastAsia"/>
                      <w:kern w:val="0"/>
                      <w:szCs w:val="21"/>
                      <w:lang w:bidi="ar"/>
                    </w:rPr>
                    <w:t>气态</w:t>
                  </w:r>
                </w:p>
              </w:tc>
              <w:tc>
                <w:tcPr>
                  <w:tcW w:w="1150" w:type="dxa"/>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rPr>
                  </w:pPr>
                  <w:r>
                    <w:rPr>
                      <w:rFonts w:eastAsiaTheme="minorEastAsia"/>
                      <w:kern w:val="0"/>
                      <w:szCs w:val="21"/>
                      <w:lang w:bidi="ar"/>
                    </w:rPr>
                    <w:t>火灾废气</w:t>
                  </w:r>
                </w:p>
              </w:tc>
              <w:tc>
                <w:tcPr>
                  <w:tcW w:w="965" w:type="dxa"/>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rPr>
                  </w:pPr>
                  <w:r>
                    <w:rPr>
                      <w:rFonts w:eastAsiaTheme="minorEastAsia"/>
                      <w:kern w:val="0"/>
                      <w:szCs w:val="21"/>
                      <w:lang w:bidi="ar"/>
                    </w:rPr>
                    <w:t>项目区</w:t>
                  </w:r>
                </w:p>
              </w:tc>
              <w:tc>
                <w:tcPr>
                  <w:tcW w:w="2059" w:type="dxa"/>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rPr>
                  </w:pPr>
                  <w:r>
                    <w:rPr>
                      <w:rFonts w:eastAsiaTheme="minorEastAsia"/>
                      <w:kern w:val="0"/>
                      <w:szCs w:val="21"/>
                      <w:lang w:bidi="ar"/>
                    </w:rPr>
                    <w:t>物料遇明火易发生火灾</w:t>
                  </w:r>
                </w:p>
              </w:tc>
              <w:tc>
                <w:tcPr>
                  <w:tcW w:w="1687" w:type="dxa"/>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rPr>
                  </w:pPr>
                  <w:r>
                    <w:rPr>
                      <w:rFonts w:eastAsiaTheme="minorEastAsia"/>
                      <w:kern w:val="0"/>
                      <w:szCs w:val="21"/>
                      <w:lang w:bidi="ar"/>
                    </w:rPr>
                    <w:t>燃烧释放有毒有害气体，对大气环境及人体造成影响</w:t>
                  </w:r>
                </w:p>
              </w:tc>
              <w:tc>
                <w:tcPr>
                  <w:tcW w:w="1224" w:type="dxa"/>
                  <w:tcBorders>
                    <w:top w:val="single" w:color="auto" w:sz="4" w:space="0"/>
                    <w:left w:val="nil"/>
                    <w:bottom w:val="single" w:color="auto" w:sz="4" w:space="0"/>
                    <w:right w:val="single" w:color="auto" w:sz="4" w:space="0"/>
                  </w:tcBorders>
                </w:tcPr>
                <w:p>
                  <w:pPr>
                    <w:widowControl/>
                    <w:jc w:val="center"/>
                    <w:rPr>
                      <w:rFonts w:eastAsiaTheme="minorEastAsia"/>
                      <w:kern w:val="0"/>
                      <w:szCs w:val="21"/>
                    </w:rPr>
                  </w:pPr>
                  <w:r>
                    <w:rPr>
                      <w:rFonts w:eastAsiaTheme="minorEastAsia"/>
                      <w:kern w:val="0"/>
                      <w:szCs w:val="21"/>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9" w:hRule="atLeast"/>
                <w:jc w:val="center"/>
              </w:trPr>
              <w:tc>
                <w:tcPr>
                  <w:tcW w:w="641" w:type="dxa"/>
                  <w:vMerge w:val="continue"/>
                  <w:tcBorders>
                    <w:left w:val="single" w:color="auto" w:sz="4" w:space="0"/>
                    <w:right w:val="single" w:color="auto" w:sz="4" w:space="0"/>
                  </w:tcBorders>
                  <w:vAlign w:val="center"/>
                </w:tcPr>
                <w:p>
                  <w:pPr>
                    <w:widowControl/>
                    <w:ind w:firstLine="420"/>
                    <w:jc w:val="left"/>
                    <w:rPr>
                      <w:rFonts w:eastAsiaTheme="minorEastAsia"/>
                      <w:kern w:val="0"/>
                      <w:szCs w:val="21"/>
                    </w:rPr>
                  </w:pPr>
                </w:p>
              </w:tc>
              <w:tc>
                <w:tcPr>
                  <w:tcW w:w="1150" w:type="dxa"/>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rPr>
                  </w:pPr>
                  <w:r>
                    <w:rPr>
                      <w:rFonts w:eastAsiaTheme="minorEastAsia"/>
                      <w:kern w:val="0"/>
                      <w:szCs w:val="21"/>
                      <w:lang w:bidi="ar"/>
                    </w:rPr>
                    <w:t>恶臭</w:t>
                  </w:r>
                </w:p>
              </w:tc>
              <w:tc>
                <w:tcPr>
                  <w:tcW w:w="965" w:type="dxa"/>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rPr>
                  </w:pPr>
                  <w:r>
                    <w:rPr>
                      <w:rFonts w:eastAsiaTheme="minorEastAsia"/>
                      <w:kern w:val="0"/>
                      <w:szCs w:val="21"/>
                      <w:lang w:bidi="ar"/>
                    </w:rPr>
                    <w:t>污水处理站</w:t>
                  </w:r>
                </w:p>
              </w:tc>
              <w:tc>
                <w:tcPr>
                  <w:tcW w:w="2059" w:type="dxa"/>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rPr>
                  </w:pPr>
                  <w:r>
                    <w:rPr>
                      <w:rFonts w:eastAsiaTheme="minorEastAsia"/>
                      <w:kern w:val="0"/>
                      <w:szCs w:val="21"/>
                      <w:lang w:bidi="ar"/>
                    </w:rPr>
                    <w:t>除臭系统措施故障，恶臭污染物超标排放</w:t>
                  </w:r>
                </w:p>
              </w:tc>
              <w:tc>
                <w:tcPr>
                  <w:tcW w:w="1687" w:type="dxa"/>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rPr>
                  </w:pPr>
                  <w:r>
                    <w:rPr>
                      <w:rFonts w:eastAsiaTheme="minorEastAsia"/>
                      <w:kern w:val="0"/>
                      <w:szCs w:val="21"/>
                      <w:lang w:bidi="ar"/>
                    </w:rPr>
                    <w:t>对项目区内环境空气及人体造成影响</w:t>
                  </w:r>
                </w:p>
              </w:tc>
              <w:tc>
                <w:tcPr>
                  <w:tcW w:w="1224" w:type="dxa"/>
                  <w:tcBorders>
                    <w:top w:val="single" w:color="auto" w:sz="4" w:space="0"/>
                    <w:left w:val="nil"/>
                    <w:bottom w:val="single" w:color="auto" w:sz="4" w:space="0"/>
                    <w:right w:val="single" w:color="auto" w:sz="4" w:space="0"/>
                  </w:tcBorders>
                </w:tcPr>
                <w:p>
                  <w:pPr>
                    <w:widowControl/>
                    <w:jc w:val="center"/>
                    <w:rPr>
                      <w:rFonts w:eastAsiaTheme="minorEastAsia"/>
                      <w:kern w:val="0"/>
                      <w:szCs w:val="21"/>
                    </w:rPr>
                  </w:pPr>
                  <w:r>
                    <w:rPr>
                      <w:rFonts w:eastAsiaTheme="minorEastAsia"/>
                      <w:kern w:val="0"/>
                      <w:szCs w:val="21"/>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8" w:hRule="atLeast"/>
                <w:jc w:val="center"/>
              </w:trPr>
              <w:tc>
                <w:tcPr>
                  <w:tcW w:w="641" w:type="dxa"/>
                  <w:tcBorders>
                    <w:top w:val="nil"/>
                    <w:left w:val="single" w:color="auto" w:sz="4" w:space="0"/>
                    <w:right w:val="single" w:color="auto" w:sz="4" w:space="0"/>
                  </w:tcBorders>
                  <w:vAlign w:val="center"/>
                </w:tcPr>
                <w:p>
                  <w:pPr>
                    <w:widowControl/>
                    <w:jc w:val="left"/>
                    <w:rPr>
                      <w:rFonts w:eastAsiaTheme="minorEastAsia"/>
                      <w:kern w:val="0"/>
                      <w:szCs w:val="21"/>
                    </w:rPr>
                  </w:pPr>
                  <w:r>
                    <w:rPr>
                      <w:rFonts w:eastAsiaTheme="minorEastAsia"/>
                      <w:kern w:val="0"/>
                      <w:szCs w:val="21"/>
                      <w:lang w:bidi="ar"/>
                    </w:rPr>
                    <w:t>危废</w:t>
                  </w:r>
                </w:p>
              </w:tc>
              <w:tc>
                <w:tcPr>
                  <w:tcW w:w="2115" w:type="dxa"/>
                  <w:gridSpan w:val="2"/>
                  <w:tcBorders>
                    <w:top w:val="single" w:color="auto" w:sz="4" w:space="0"/>
                    <w:left w:val="nil"/>
                    <w:bottom w:val="single" w:color="auto" w:sz="4" w:space="0"/>
                    <w:right w:val="single" w:color="auto" w:sz="4" w:space="0"/>
                  </w:tcBorders>
                  <w:vAlign w:val="center"/>
                </w:tcPr>
                <w:p>
                  <w:pPr>
                    <w:widowControl/>
                    <w:jc w:val="left"/>
                    <w:rPr>
                      <w:rFonts w:eastAsiaTheme="minorEastAsia"/>
                      <w:kern w:val="0"/>
                      <w:szCs w:val="21"/>
                    </w:rPr>
                  </w:pPr>
                  <w:r>
                    <w:rPr>
                      <w:rFonts w:eastAsiaTheme="minorEastAsia"/>
                      <w:kern w:val="0"/>
                      <w:szCs w:val="21"/>
                      <w:lang w:bidi="ar"/>
                    </w:rPr>
                    <w:t>废过滤棉、废活性炭、废机油、打磨</w:t>
                  </w:r>
                  <w:r>
                    <w:rPr>
                      <w:rFonts w:hint="eastAsia" w:eastAsiaTheme="minorEastAsia"/>
                      <w:kern w:val="0"/>
                      <w:szCs w:val="21"/>
                      <w:lang w:bidi="ar"/>
                    </w:rPr>
                    <w:t>废料、除锈废液</w:t>
                  </w:r>
                </w:p>
              </w:tc>
              <w:tc>
                <w:tcPr>
                  <w:tcW w:w="2059" w:type="dxa"/>
                  <w:tcBorders>
                    <w:top w:val="nil"/>
                    <w:left w:val="nil"/>
                    <w:bottom w:val="single" w:color="auto" w:sz="4" w:space="0"/>
                    <w:right w:val="single" w:color="auto" w:sz="4" w:space="0"/>
                  </w:tcBorders>
                  <w:vAlign w:val="center"/>
                </w:tcPr>
                <w:p>
                  <w:pPr>
                    <w:widowControl/>
                    <w:jc w:val="left"/>
                    <w:rPr>
                      <w:rFonts w:eastAsiaTheme="minorEastAsia"/>
                      <w:kern w:val="0"/>
                      <w:szCs w:val="21"/>
                    </w:rPr>
                  </w:pPr>
                  <w:r>
                    <w:rPr>
                      <w:rFonts w:hint="eastAsia" w:eastAsiaTheme="minorEastAsia"/>
                      <w:kern w:val="0"/>
                      <w:szCs w:val="21"/>
                      <w:lang w:bidi="ar"/>
                    </w:rPr>
                    <w:t>危险废物</w:t>
                  </w:r>
                  <w:r>
                    <w:rPr>
                      <w:rFonts w:eastAsiaTheme="minorEastAsia"/>
                      <w:kern w:val="0"/>
                      <w:szCs w:val="21"/>
                      <w:lang w:bidi="ar"/>
                    </w:rPr>
                    <w:t>统一堆存于危废间内，定期交由有资质单位清运处置；医疗废物分类收集暂存于医废暂存间，统一由迪庆州金盛医疗废物处置有限公司清运处置</w:t>
                  </w:r>
                </w:p>
              </w:tc>
              <w:tc>
                <w:tcPr>
                  <w:tcW w:w="1687" w:type="dxa"/>
                  <w:tcBorders>
                    <w:top w:val="nil"/>
                    <w:left w:val="nil"/>
                    <w:bottom w:val="single" w:color="auto" w:sz="4" w:space="0"/>
                    <w:right w:val="single" w:color="auto" w:sz="4" w:space="0"/>
                  </w:tcBorders>
                  <w:vAlign w:val="center"/>
                </w:tcPr>
                <w:p>
                  <w:pPr>
                    <w:widowControl/>
                    <w:jc w:val="left"/>
                    <w:rPr>
                      <w:rFonts w:eastAsiaTheme="minorEastAsia"/>
                      <w:kern w:val="0"/>
                      <w:szCs w:val="21"/>
                    </w:rPr>
                  </w:pPr>
                  <w:r>
                    <w:rPr>
                      <w:rFonts w:eastAsiaTheme="minorEastAsia"/>
                      <w:kern w:val="0"/>
                      <w:szCs w:val="21"/>
                      <w:lang w:bidi="ar"/>
                    </w:rPr>
                    <w:t>随意丢失后会污染水体</w:t>
                  </w:r>
                </w:p>
              </w:tc>
              <w:tc>
                <w:tcPr>
                  <w:tcW w:w="1224" w:type="dxa"/>
                  <w:tcBorders>
                    <w:top w:val="nil"/>
                    <w:left w:val="nil"/>
                    <w:bottom w:val="single" w:color="auto" w:sz="4" w:space="0"/>
                    <w:right w:val="single" w:color="auto" w:sz="4" w:space="0"/>
                  </w:tcBorders>
                  <w:vAlign w:val="center"/>
                </w:tcPr>
                <w:p>
                  <w:pPr>
                    <w:widowControl/>
                    <w:ind w:firstLine="420"/>
                    <w:jc w:val="center"/>
                    <w:rPr>
                      <w:rFonts w:eastAsiaTheme="minorEastAsia"/>
                      <w:kern w:val="0"/>
                      <w:szCs w:val="21"/>
                    </w:rPr>
                  </w:pPr>
                  <w:r>
                    <w:rPr>
                      <w:rFonts w:eastAsiaTheme="minorEastAsia"/>
                      <w:kern w:val="0"/>
                      <w:szCs w:val="21"/>
                      <w:lang w:bidi="ar"/>
                    </w:rPr>
                    <w:t>是</w:t>
                  </w:r>
                </w:p>
              </w:tc>
            </w:tr>
          </w:tbl>
          <w:p>
            <w:pPr>
              <w:spacing w:line="360" w:lineRule="auto"/>
              <w:ind w:firstLine="560"/>
              <w:jc w:val="left"/>
              <w:rPr>
                <w:rFonts w:eastAsiaTheme="minorEastAsia"/>
                <w:b/>
                <w:sz w:val="24"/>
              </w:rPr>
            </w:pPr>
            <w:r>
              <w:rPr>
                <w:rFonts w:eastAsiaTheme="minorEastAsia"/>
                <w:sz w:val="24"/>
              </w:rPr>
              <w:t>根据现场勘查，主要有害物质的特性、存贮量、使用量及工程区域特点，主要涉及的危险化学品为</w:t>
            </w:r>
            <w:r>
              <w:rPr>
                <w:rFonts w:hint="eastAsia" w:eastAsiaTheme="minorEastAsia"/>
                <w:sz w:val="24"/>
              </w:rPr>
              <w:t>盐酸</w:t>
            </w:r>
            <w:r>
              <w:rPr>
                <w:rFonts w:eastAsiaTheme="minorEastAsia"/>
                <w:sz w:val="24"/>
              </w:rPr>
              <w:t>等，根据《危险化学品重大危险源辨识》（GB18218-2018），项目风险物质辨识详见表4-9。</w:t>
            </w:r>
          </w:p>
          <w:p>
            <w:pPr>
              <w:adjustRightInd w:val="0"/>
              <w:snapToGrid w:val="0"/>
              <w:spacing w:line="360" w:lineRule="auto"/>
              <w:ind w:firstLine="482"/>
              <w:jc w:val="center"/>
              <w:rPr>
                <w:rFonts w:eastAsiaTheme="minorEastAsia"/>
                <w:b/>
                <w:sz w:val="24"/>
              </w:rPr>
            </w:pPr>
            <w:r>
              <w:rPr>
                <w:rFonts w:eastAsiaTheme="minorEastAsia"/>
                <w:b/>
                <w:sz w:val="24"/>
              </w:rPr>
              <w:t>表4-9  重大危险源识别汇总表</w:t>
            </w:r>
          </w:p>
          <w:tbl>
            <w:tblPr>
              <w:tblStyle w:val="44"/>
              <w:tblW w:w="706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1"/>
              <w:gridCol w:w="905"/>
              <w:gridCol w:w="951"/>
              <w:gridCol w:w="951"/>
              <w:gridCol w:w="985"/>
              <w:gridCol w:w="1163"/>
              <w:gridCol w:w="11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1" w:hRule="atLeast"/>
                <w:jc w:val="center"/>
              </w:trPr>
              <w:tc>
                <w:tcPr>
                  <w:tcW w:w="951" w:type="dxa"/>
                  <w:vAlign w:val="center"/>
                </w:tcPr>
                <w:p>
                  <w:pPr>
                    <w:adjustRightInd w:val="0"/>
                    <w:snapToGrid w:val="0"/>
                    <w:rPr>
                      <w:rFonts w:eastAsiaTheme="minorEastAsia"/>
                      <w:szCs w:val="21"/>
                    </w:rPr>
                  </w:pPr>
                  <w:bookmarkStart w:id="127" w:name="_Toc17487"/>
                  <w:r>
                    <w:rPr>
                      <w:rFonts w:eastAsiaTheme="minorEastAsia"/>
                      <w:szCs w:val="21"/>
                    </w:rPr>
                    <w:t>风险物质</w:t>
                  </w:r>
                </w:p>
              </w:tc>
              <w:tc>
                <w:tcPr>
                  <w:tcW w:w="905" w:type="dxa"/>
                  <w:vAlign w:val="center"/>
                </w:tcPr>
                <w:p>
                  <w:pPr>
                    <w:adjustRightInd w:val="0"/>
                    <w:snapToGrid w:val="0"/>
                    <w:rPr>
                      <w:rFonts w:eastAsiaTheme="minorEastAsia"/>
                      <w:szCs w:val="21"/>
                    </w:rPr>
                  </w:pPr>
                  <w:r>
                    <w:rPr>
                      <w:rFonts w:eastAsiaTheme="minorEastAsia"/>
                      <w:szCs w:val="21"/>
                    </w:rPr>
                    <w:t xml:space="preserve"> 位置</w:t>
                  </w:r>
                </w:p>
              </w:tc>
              <w:tc>
                <w:tcPr>
                  <w:tcW w:w="951" w:type="dxa"/>
                </w:tcPr>
                <w:p>
                  <w:pPr>
                    <w:adjustRightInd w:val="0"/>
                    <w:snapToGrid w:val="0"/>
                    <w:rPr>
                      <w:rFonts w:eastAsiaTheme="minorEastAsia"/>
                      <w:szCs w:val="21"/>
                    </w:rPr>
                  </w:pPr>
                  <w:r>
                    <w:rPr>
                      <w:rFonts w:eastAsiaTheme="minorEastAsia"/>
                      <w:szCs w:val="21"/>
                    </w:rPr>
                    <w:t>CAS号</w:t>
                  </w:r>
                </w:p>
              </w:tc>
              <w:tc>
                <w:tcPr>
                  <w:tcW w:w="951" w:type="dxa"/>
                  <w:vAlign w:val="center"/>
                </w:tcPr>
                <w:p>
                  <w:pPr>
                    <w:adjustRightInd w:val="0"/>
                    <w:snapToGrid w:val="0"/>
                    <w:rPr>
                      <w:rFonts w:eastAsiaTheme="minorEastAsia"/>
                      <w:szCs w:val="21"/>
                    </w:rPr>
                  </w:pPr>
                  <w:r>
                    <w:rPr>
                      <w:rFonts w:eastAsiaTheme="minorEastAsia"/>
                      <w:szCs w:val="21"/>
                    </w:rPr>
                    <w:t>最大储存量</w:t>
                  </w:r>
                </w:p>
              </w:tc>
              <w:tc>
                <w:tcPr>
                  <w:tcW w:w="985" w:type="dxa"/>
                  <w:vAlign w:val="center"/>
                </w:tcPr>
                <w:p>
                  <w:pPr>
                    <w:adjustRightInd w:val="0"/>
                    <w:snapToGrid w:val="0"/>
                    <w:rPr>
                      <w:rFonts w:eastAsiaTheme="minorEastAsia"/>
                      <w:szCs w:val="21"/>
                    </w:rPr>
                  </w:pPr>
                  <w:r>
                    <w:rPr>
                      <w:rFonts w:eastAsiaTheme="minorEastAsia"/>
                      <w:szCs w:val="21"/>
                    </w:rPr>
                    <w:t>临界量（t）</w:t>
                  </w:r>
                </w:p>
              </w:tc>
              <w:tc>
                <w:tcPr>
                  <w:tcW w:w="1163" w:type="dxa"/>
                </w:tcPr>
                <w:p>
                  <w:pPr>
                    <w:adjustRightInd w:val="0"/>
                    <w:snapToGrid w:val="0"/>
                    <w:rPr>
                      <w:rFonts w:eastAsiaTheme="minorEastAsia"/>
                      <w:szCs w:val="21"/>
                    </w:rPr>
                  </w:pPr>
                  <w:r>
                    <w:rPr>
                      <w:rFonts w:eastAsiaTheme="minorEastAsia"/>
                      <w:szCs w:val="21"/>
                    </w:rPr>
                    <w:t>q值</w:t>
                  </w:r>
                </w:p>
              </w:tc>
              <w:tc>
                <w:tcPr>
                  <w:tcW w:w="1163" w:type="dxa"/>
                  <w:vAlign w:val="center"/>
                </w:tcPr>
                <w:p>
                  <w:pPr>
                    <w:adjustRightInd w:val="0"/>
                    <w:snapToGrid w:val="0"/>
                    <w:rPr>
                      <w:rFonts w:eastAsiaTheme="minorEastAsia"/>
                      <w:szCs w:val="21"/>
                    </w:rPr>
                  </w:pPr>
                  <w:r>
                    <w:rPr>
                      <w:rFonts w:eastAsiaTheme="minorEastAsia"/>
                      <w:szCs w:val="21"/>
                    </w:rPr>
                    <w:t>是否为重大危险源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4" w:hRule="atLeast"/>
                <w:jc w:val="center"/>
              </w:trPr>
              <w:tc>
                <w:tcPr>
                  <w:tcW w:w="951" w:type="dxa"/>
                  <w:vAlign w:val="center"/>
                </w:tcPr>
                <w:p>
                  <w:pPr>
                    <w:adjustRightInd w:val="0"/>
                    <w:snapToGrid w:val="0"/>
                    <w:rPr>
                      <w:rFonts w:eastAsiaTheme="minorEastAsia"/>
                      <w:szCs w:val="21"/>
                    </w:rPr>
                  </w:pPr>
                  <w:r>
                    <w:rPr>
                      <w:rFonts w:eastAsiaTheme="minorEastAsia"/>
                      <w:szCs w:val="21"/>
                    </w:rPr>
                    <w:t>盐酸</w:t>
                  </w:r>
                </w:p>
              </w:tc>
              <w:tc>
                <w:tcPr>
                  <w:tcW w:w="905" w:type="dxa"/>
                  <w:vAlign w:val="center"/>
                </w:tcPr>
                <w:p>
                  <w:pPr>
                    <w:adjustRightInd w:val="0"/>
                    <w:snapToGrid w:val="0"/>
                    <w:rPr>
                      <w:rFonts w:eastAsiaTheme="minorEastAsia"/>
                      <w:szCs w:val="21"/>
                    </w:rPr>
                  </w:pPr>
                  <w:r>
                    <w:rPr>
                      <w:rFonts w:eastAsiaTheme="minorEastAsia"/>
                      <w:szCs w:val="21"/>
                    </w:rPr>
                    <w:t>原料库</w:t>
                  </w:r>
                </w:p>
              </w:tc>
              <w:tc>
                <w:tcPr>
                  <w:tcW w:w="951" w:type="dxa"/>
                </w:tcPr>
                <w:p>
                  <w:pPr>
                    <w:adjustRightInd w:val="0"/>
                    <w:snapToGrid w:val="0"/>
                    <w:rPr>
                      <w:rFonts w:eastAsiaTheme="minorEastAsia"/>
                      <w:szCs w:val="21"/>
                    </w:rPr>
                  </w:pPr>
                  <w:r>
                    <w:rPr>
                      <w:rFonts w:eastAsiaTheme="minorEastAsia"/>
                      <w:bCs/>
                      <w:szCs w:val="21"/>
                    </w:rPr>
                    <w:t>7647-01-0</w:t>
                  </w:r>
                </w:p>
              </w:tc>
              <w:tc>
                <w:tcPr>
                  <w:tcW w:w="951" w:type="dxa"/>
                  <w:vAlign w:val="center"/>
                </w:tcPr>
                <w:p>
                  <w:pPr>
                    <w:adjustRightInd w:val="0"/>
                    <w:snapToGrid w:val="0"/>
                    <w:rPr>
                      <w:rFonts w:eastAsiaTheme="minorEastAsia"/>
                      <w:szCs w:val="21"/>
                    </w:rPr>
                  </w:pPr>
                  <w:r>
                    <w:rPr>
                      <w:rFonts w:eastAsiaTheme="minorEastAsia"/>
                      <w:szCs w:val="21"/>
                    </w:rPr>
                    <w:t>0.5t</w:t>
                  </w:r>
                </w:p>
              </w:tc>
              <w:tc>
                <w:tcPr>
                  <w:tcW w:w="985" w:type="dxa"/>
                  <w:vAlign w:val="center"/>
                </w:tcPr>
                <w:p>
                  <w:pPr>
                    <w:adjustRightInd w:val="0"/>
                    <w:snapToGrid w:val="0"/>
                    <w:rPr>
                      <w:rFonts w:eastAsiaTheme="minorEastAsia"/>
                      <w:szCs w:val="21"/>
                    </w:rPr>
                  </w:pPr>
                  <w:r>
                    <w:rPr>
                      <w:rFonts w:eastAsiaTheme="minorEastAsia"/>
                      <w:szCs w:val="21"/>
                    </w:rPr>
                    <w:t>20</w:t>
                  </w:r>
                </w:p>
              </w:tc>
              <w:tc>
                <w:tcPr>
                  <w:tcW w:w="1163"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Theme="minorEastAsia"/>
                      <w:szCs w:val="21"/>
                    </w:rPr>
                  </w:pPr>
                  <w:r>
                    <w:rPr>
                      <w:rFonts w:eastAsiaTheme="minorEastAsia"/>
                      <w:szCs w:val="21"/>
                    </w:rPr>
                    <w:t>0.025</w:t>
                  </w:r>
                </w:p>
              </w:tc>
              <w:tc>
                <w:tcPr>
                  <w:tcW w:w="1163" w:type="dxa"/>
                  <w:vAlign w:val="center"/>
                </w:tcPr>
                <w:p>
                  <w:pPr>
                    <w:adjustRightInd w:val="0"/>
                    <w:snapToGrid w:val="0"/>
                    <w:ind w:firstLine="420"/>
                    <w:jc w:val="center"/>
                    <w:rPr>
                      <w:rFonts w:eastAsiaTheme="minorEastAsia"/>
                      <w:szCs w:val="21"/>
                    </w:rPr>
                  </w:pPr>
                  <w:r>
                    <w:rPr>
                      <w:rFonts w:eastAsiaTheme="minorEastAsia"/>
                      <w:szCs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4" w:hRule="atLeast"/>
                <w:jc w:val="center"/>
              </w:trPr>
              <w:tc>
                <w:tcPr>
                  <w:tcW w:w="951" w:type="dxa"/>
                  <w:vAlign w:val="center"/>
                </w:tcPr>
                <w:p>
                  <w:pPr>
                    <w:adjustRightInd w:val="0"/>
                    <w:snapToGrid w:val="0"/>
                    <w:rPr>
                      <w:rFonts w:eastAsiaTheme="minorEastAsia"/>
                      <w:szCs w:val="21"/>
                    </w:rPr>
                  </w:pPr>
                  <w:r>
                    <w:rPr>
                      <w:rFonts w:eastAsiaTheme="minorEastAsia"/>
                      <w:szCs w:val="21"/>
                    </w:rPr>
                    <w:t>合计</w:t>
                  </w:r>
                </w:p>
              </w:tc>
              <w:tc>
                <w:tcPr>
                  <w:tcW w:w="905" w:type="dxa"/>
                  <w:vAlign w:val="center"/>
                </w:tcPr>
                <w:p>
                  <w:pPr>
                    <w:adjustRightInd w:val="0"/>
                    <w:snapToGrid w:val="0"/>
                    <w:rPr>
                      <w:rFonts w:eastAsiaTheme="minorEastAsia"/>
                      <w:szCs w:val="21"/>
                    </w:rPr>
                  </w:pPr>
                </w:p>
              </w:tc>
              <w:tc>
                <w:tcPr>
                  <w:tcW w:w="951" w:type="dxa"/>
                </w:tcPr>
                <w:p>
                  <w:pPr>
                    <w:adjustRightInd w:val="0"/>
                    <w:snapToGrid w:val="0"/>
                    <w:ind w:firstLine="420"/>
                    <w:rPr>
                      <w:rFonts w:eastAsiaTheme="minorEastAsia"/>
                      <w:szCs w:val="21"/>
                    </w:rPr>
                  </w:pPr>
                </w:p>
              </w:tc>
              <w:tc>
                <w:tcPr>
                  <w:tcW w:w="951" w:type="dxa"/>
                  <w:vAlign w:val="center"/>
                </w:tcPr>
                <w:p>
                  <w:pPr>
                    <w:adjustRightInd w:val="0"/>
                    <w:snapToGrid w:val="0"/>
                    <w:ind w:firstLine="420"/>
                    <w:rPr>
                      <w:rFonts w:eastAsiaTheme="minorEastAsia"/>
                      <w:szCs w:val="21"/>
                    </w:rPr>
                  </w:pPr>
                </w:p>
              </w:tc>
              <w:tc>
                <w:tcPr>
                  <w:tcW w:w="985" w:type="dxa"/>
                  <w:vAlign w:val="center"/>
                </w:tcPr>
                <w:p>
                  <w:pPr>
                    <w:adjustRightInd w:val="0"/>
                    <w:snapToGrid w:val="0"/>
                    <w:rPr>
                      <w:rFonts w:eastAsiaTheme="minorEastAsia"/>
                      <w:szCs w:val="21"/>
                    </w:rPr>
                  </w:pPr>
                </w:p>
              </w:tc>
              <w:tc>
                <w:tcPr>
                  <w:tcW w:w="1163" w:type="dxa"/>
                  <w:tcBorders>
                    <w:top w:val="single" w:color="000000" w:sz="4" w:space="0"/>
                    <w:left w:val="single" w:color="000000" w:sz="4" w:space="0"/>
                    <w:bottom w:val="single" w:color="000000" w:sz="4" w:space="0"/>
                    <w:right w:val="single" w:color="000000" w:sz="4" w:space="0"/>
                  </w:tcBorders>
                </w:tcPr>
                <w:p>
                  <w:pPr>
                    <w:adjustRightInd w:val="0"/>
                    <w:snapToGrid w:val="0"/>
                    <w:spacing w:line="360" w:lineRule="auto"/>
                    <w:jc w:val="center"/>
                    <w:rPr>
                      <w:rFonts w:eastAsiaTheme="minorEastAsia"/>
                      <w:szCs w:val="21"/>
                    </w:rPr>
                  </w:pPr>
                  <w:r>
                    <w:rPr>
                      <w:rFonts w:eastAsiaTheme="minorEastAsia"/>
                      <w:szCs w:val="21"/>
                    </w:rPr>
                    <w:t>0.025</w:t>
                  </w:r>
                </w:p>
              </w:tc>
              <w:tc>
                <w:tcPr>
                  <w:tcW w:w="1163" w:type="dxa"/>
                  <w:vAlign w:val="center"/>
                </w:tcPr>
                <w:p>
                  <w:pPr>
                    <w:adjustRightInd w:val="0"/>
                    <w:snapToGrid w:val="0"/>
                    <w:ind w:firstLine="420"/>
                    <w:jc w:val="center"/>
                    <w:rPr>
                      <w:rFonts w:eastAsiaTheme="minorEastAsia"/>
                      <w:szCs w:val="21"/>
                    </w:rPr>
                  </w:pPr>
                  <w:r>
                    <w:rPr>
                      <w:rFonts w:eastAsiaTheme="minorEastAsia"/>
                      <w:szCs w:val="21"/>
                    </w:rPr>
                    <w:t>否</w:t>
                  </w:r>
                </w:p>
              </w:tc>
            </w:tr>
          </w:tbl>
          <w:p>
            <w:pPr>
              <w:autoSpaceDE w:val="0"/>
              <w:autoSpaceDN w:val="0"/>
              <w:adjustRightInd w:val="0"/>
              <w:snapToGrid w:val="0"/>
              <w:spacing w:line="440" w:lineRule="atLeast"/>
              <w:ind w:firstLine="425"/>
              <w:textAlignment w:val="baseline"/>
              <w:rPr>
                <w:rFonts w:eastAsiaTheme="minorEastAsia"/>
                <w:bCs/>
                <w:kern w:val="28"/>
                <w:sz w:val="24"/>
              </w:rPr>
            </w:pPr>
            <w:bookmarkStart w:id="128" w:name="_Toc21528"/>
            <w:bookmarkStart w:id="129" w:name="_Toc18092"/>
            <w:r>
              <w:rPr>
                <w:rFonts w:eastAsiaTheme="minorEastAsia"/>
                <w:bCs/>
                <w:kern w:val="28"/>
                <w:sz w:val="24"/>
              </w:rPr>
              <w:t>根据下面公式计算物质数量与其临界量比值Q：</w:t>
            </w:r>
          </w:p>
          <w:p>
            <w:pPr>
              <w:autoSpaceDE w:val="0"/>
              <w:autoSpaceDN w:val="0"/>
              <w:adjustRightInd w:val="0"/>
              <w:snapToGrid w:val="0"/>
              <w:spacing w:line="440" w:lineRule="atLeast"/>
              <w:ind w:firstLine="425"/>
              <w:textAlignment w:val="baseline"/>
              <w:rPr>
                <w:rFonts w:eastAsiaTheme="minorEastAsia"/>
                <w:bCs/>
                <w:kern w:val="28"/>
                <w:sz w:val="24"/>
              </w:rPr>
            </w:pPr>
            <w:r>
              <w:rPr>
                <w:rFonts w:eastAsiaTheme="minorEastAsia"/>
                <w:bCs/>
                <w:kern w:val="28"/>
                <w:sz w:val="24"/>
              </w:rPr>
              <w:drawing>
                <wp:inline distT="0" distB="0" distL="0" distR="0">
                  <wp:extent cx="1352550" cy="438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352550" cy="438150"/>
                          </a:xfrm>
                          <a:prstGeom prst="rect">
                            <a:avLst/>
                          </a:prstGeom>
                          <a:noFill/>
                          <a:ln>
                            <a:noFill/>
                          </a:ln>
                        </pic:spPr>
                      </pic:pic>
                    </a:graphicData>
                  </a:graphic>
                </wp:inline>
              </w:drawing>
            </w:r>
          </w:p>
          <w:p>
            <w:pPr>
              <w:autoSpaceDE w:val="0"/>
              <w:autoSpaceDN w:val="0"/>
              <w:adjustRightInd w:val="0"/>
              <w:snapToGrid w:val="0"/>
              <w:spacing w:line="440" w:lineRule="atLeast"/>
              <w:ind w:firstLine="425"/>
              <w:textAlignment w:val="baseline"/>
              <w:rPr>
                <w:rFonts w:eastAsiaTheme="minorEastAsia"/>
                <w:bCs/>
                <w:kern w:val="28"/>
                <w:sz w:val="24"/>
              </w:rPr>
            </w:pPr>
            <w:r>
              <w:rPr>
                <w:rFonts w:eastAsiaTheme="minorEastAsia"/>
                <w:bCs/>
                <w:kern w:val="28"/>
                <w:sz w:val="24"/>
              </w:rPr>
              <w:t>式中：q1， q2， ...， qn —每种化学物质的最大存在总量，t；</w:t>
            </w:r>
          </w:p>
          <w:p>
            <w:pPr>
              <w:autoSpaceDE w:val="0"/>
              <w:autoSpaceDN w:val="0"/>
              <w:adjustRightInd w:val="0"/>
              <w:snapToGrid w:val="0"/>
              <w:spacing w:line="440" w:lineRule="atLeast"/>
              <w:ind w:firstLine="425"/>
              <w:textAlignment w:val="baseline"/>
              <w:rPr>
                <w:rFonts w:eastAsiaTheme="minorEastAsia"/>
                <w:bCs/>
                <w:kern w:val="28"/>
                <w:sz w:val="24"/>
              </w:rPr>
            </w:pPr>
            <w:r>
              <w:rPr>
                <w:rFonts w:eastAsiaTheme="minorEastAsia"/>
                <w:bCs/>
                <w:kern w:val="28"/>
                <w:sz w:val="24"/>
              </w:rPr>
              <w:t>Q1， Q2， ...， Qn —每种化学物质的临界量，t。</w:t>
            </w:r>
          </w:p>
          <w:p>
            <w:pPr>
              <w:autoSpaceDE w:val="0"/>
              <w:autoSpaceDN w:val="0"/>
              <w:adjustRightInd w:val="0"/>
              <w:snapToGrid w:val="0"/>
              <w:spacing w:line="360" w:lineRule="auto"/>
              <w:ind w:firstLine="425"/>
              <w:textAlignment w:val="baseline"/>
              <w:rPr>
                <w:rFonts w:eastAsiaTheme="minorEastAsia"/>
                <w:bCs/>
                <w:kern w:val="28"/>
                <w:sz w:val="24"/>
              </w:rPr>
            </w:pPr>
            <w:r>
              <w:rPr>
                <w:rFonts w:eastAsiaTheme="minorEastAsia"/>
                <w:bCs/>
                <w:kern w:val="28"/>
                <w:sz w:val="24"/>
              </w:rPr>
              <w:t>当Q&lt;1时，企业直接评为一般环境风险等级，以Q0表示，当Q≥1时，将Q值划分为：（1）1≤Q&lt;10，（2）10≤Q&lt;100，（3）Q≥100；分别以Q1、Q2和Q3表示。</w:t>
            </w:r>
          </w:p>
          <w:p>
            <w:pPr>
              <w:autoSpaceDE w:val="0"/>
              <w:autoSpaceDN w:val="0"/>
              <w:adjustRightInd w:val="0"/>
              <w:snapToGrid w:val="0"/>
              <w:spacing w:line="360" w:lineRule="auto"/>
              <w:ind w:firstLine="425"/>
              <w:textAlignment w:val="baseline"/>
              <w:rPr>
                <w:rFonts w:eastAsiaTheme="minorEastAsia"/>
                <w:bCs/>
                <w:kern w:val="28"/>
                <w:sz w:val="24"/>
              </w:rPr>
            </w:pPr>
            <w:r>
              <w:rPr>
                <w:rFonts w:eastAsiaTheme="minorEastAsia"/>
                <w:bCs/>
                <w:kern w:val="28"/>
                <w:sz w:val="24"/>
              </w:rPr>
              <w:t>经计算本公司q值为0.025＜1。</w:t>
            </w:r>
          </w:p>
          <w:p>
            <w:pPr>
              <w:snapToGrid w:val="0"/>
              <w:spacing w:line="360" w:lineRule="auto"/>
              <w:ind w:firstLine="480" w:firstLineChars="200"/>
              <w:rPr>
                <w:rFonts w:eastAsiaTheme="minorEastAsia"/>
                <w:snapToGrid w:val="0"/>
                <w:sz w:val="24"/>
              </w:rPr>
            </w:pPr>
            <w:bookmarkStart w:id="130" w:name="_Toc2569"/>
            <w:bookmarkStart w:id="131" w:name="_Toc15996"/>
            <w:bookmarkStart w:id="132" w:name="_Toc22795"/>
            <w:bookmarkStart w:id="133" w:name="_Toc17389"/>
            <w:bookmarkStart w:id="134" w:name="_Toc3155"/>
            <w:r>
              <w:rPr>
                <w:rFonts w:eastAsiaTheme="minorEastAsia"/>
                <w:snapToGrid w:val="0"/>
                <w:sz w:val="24"/>
              </w:rPr>
              <w:t>根据上表，对照《危险化学品重大危险源辨识（GB18218-2018）》可知，</w:t>
            </w:r>
            <w:bookmarkEnd w:id="127"/>
            <w:bookmarkEnd w:id="128"/>
            <w:r>
              <w:rPr>
                <w:rFonts w:eastAsiaTheme="minorEastAsia"/>
                <w:snapToGrid w:val="0"/>
                <w:sz w:val="24"/>
              </w:rPr>
              <w:t>厂区内废水等不属于《危险化学品重大危险源辨识表（GB18218-2018）》中的物质，盐酸的储量小于《危险化学品重大危险源辨识表（GB18218-2018）》内的临界量，因此项目储存的物料不构成重大危险源。</w:t>
            </w:r>
            <w:bookmarkEnd w:id="129"/>
            <w:bookmarkEnd w:id="130"/>
            <w:bookmarkEnd w:id="131"/>
            <w:bookmarkEnd w:id="132"/>
            <w:bookmarkEnd w:id="133"/>
            <w:bookmarkEnd w:id="134"/>
          </w:p>
          <w:p>
            <w:pPr>
              <w:adjustRightInd w:val="0"/>
              <w:snapToGrid w:val="0"/>
              <w:spacing w:line="360" w:lineRule="auto"/>
              <w:ind w:firstLine="560"/>
              <w:rPr>
                <w:rFonts w:eastAsiaTheme="minorEastAsia"/>
                <w:sz w:val="24"/>
                <w:szCs w:val="28"/>
              </w:rPr>
            </w:pPr>
            <w:r>
              <w:rPr>
                <w:rFonts w:eastAsiaTheme="minorEastAsia"/>
                <w:sz w:val="24"/>
                <w:szCs w:val="28"/>
              </w:rPr>
              <w:t>根据公司的工艺特征，并结合物质风险识别，存在的风险生产设施详见表4-10。</w:t>
            </w:r>
          </w:p>
          <w:p>
            <w:pPr>
              <w:adjustRightInd w:val="0"/>
              <w:snapToGrid w:val="0"/>
              <w:spacing w:line="360" w:lineRule="auto"/>
              <w:ind w:firstLine="2650" w:firstLineChars="1100"/>
              <w:rPr>
                <w:rFonts w:eastAsiaTheme="minorEastAsia"/>
                <w:b/>
                <w:sz w:val="24"/>
              </w:rPr>
            </w:pPr>
            <w:r>
              <w:rPr>
                <w:rFonts w:eastAsiaTheme="minorEastAsia"/>
                <w:b/>
                <w:sz w:val="24"/>
              </w:rPr>
              <w:t>表4-10 风险生产设施概况表</w:t>
            </w:r>
          </w:p>
          <w:tbl>
            <w:tblPr>
              <w:tblStyle w:val="44"/>
              <w:tblW w:w="73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2977"/>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76" w:type="dxa"/>
                  <w:vAlign w:val="center"/>
                </w:tcPr>
                <w:p>
                  <w:pPr>
                    <w:adjustRightInd w:val="0"/>
                    <w:snapToGrid w:val="0"/>
                    <w:spacing w:line="360" w:lineRule="auto"/>
                    <w:jc w:val="center"/>
                    <w:rPr>
                      <w:rFonts w:eastAsiaTheme="minorEastAsia"/>
                      <w:szCs w:val="21"/>
                    </w:rPr>
                  </w:pPr>
                  <w:r>
                    <w:rPr>
                      <w:rFonts w:eastAsiaTheme="minorEastAsia"/>
                      <w:szCs w:val="21"/>
                    </w:rPr>
                    <w:t>主要生产设施</w:t>
                  </w:r>
                </w:p>
              </w:tc>
              <w:tc>
                <w:tcPr>
                  <w:tcW w:w="2977" w:type="dxa"/>
                  <w:vAlign w:val="center"/>
                </w:tcPr>
                <w:p>
                  <w:pPr>
                    <w:adjustRightInd w:val="0"/>
                    <w:snapToGrid w:val="0"/>
                    <w:spacing w:line="360" w:lineRule="auto"/>
                    <w:jc w:val="center"/>
                    <w:rPr>
                      <w:rFonts w:eastAsiaTheme="minorEastAsia"/>
                      <w:szCs w:val="21"/>
                    </w:rPr>
                  </w:pPr>
                  <w:r>
                    <w:rPr>
                      <w:rFonts w:eastAsiaTheme="minorEastAsia"/>
                      <w:szCs w:val="21"/>
                    </w:rPr>
                    <w:t>所含风险物质</w:t>
                  </w:r>
                </w:p>
              </w:tc>
              <w:tc>
                <w:tcPr>
                  <w:tcW w:w="1985" w:type="dxa"/>
                  <w:vAlign w:val="center"/>
                </w:tcPr>
                <w:p>
                  <w:pPr>
                    <w:adjustRightInd w:val="0"/>
                    <w:snapToGrid w:val="0"/>
                    <w:spacing w:line="360" w:lineRule="auto"/>
                    <w:jc w:val="center"/>
                    <w:rPr>
                      <w:rFonts w:eastAsiaTheme="minorEastAsia"/>
                      <w:szCs w:val="21"/>
                    </w:rPr>
                  </w:pPr>
                  <w:r>
                    <w:rPr>
                      <w:rFonts w:eastAsiaTheme="minorEastAsia"/>
                      <w:szCs w:val="21"/>
                    </w:rPr>
                    <w:t>风险类型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2376" w:type="dxa"/>
                  <w:vAlign w:val="center"/>
                </w:tcPr>
                <w:p>
                  <w:pPr>
                    <w:tabs>
                      <w:tab w:val="left" w:pos="720"/>
                    </w:tabs>
                    <w:adjustRightInd w:val="0"/>
                    <w:snapToGrid w:val="0"/>
                    <w:spacing w:line="360" w:lineRule="auto"/>
                    <w:jc w:val="center"/>
                    <w:rPr>
                      <w:rFonts w:eastAsiaTheme="minorEastAsia"/>
                      <w:bCs/>
                      <w:szCs w:val="21"/>
                    </w:rPr>
                  </w:pPr>
                  <w:r>
                    <w:rPr>
                      <w:rFonts w:eastAsiaTheme="minorEastAsia"/>
                      <w:bCs/>
                      <w:szCs w:val="21"/>
                    </w:rPr>
                    <w:t>污水处理站</w:t>
                  </w:r>
                </w:p>
              </w:tc>
              <w:tc>
                <w:tcPr>
                  <w:tcW w:w="2977" w:type="dxa"/>
                  <w:vAlign w:val="center"/>
                </w:tcPr>
                <w:p>
                  <w:pPr>
                    <w:adjustRightInd w:val="0"/>
                    <w:snapToGrid w:val="0"/>
                    <w:spacing w:line="360" w:lineRule="auto"/>
                    <w:ind w:firstLine="420"/>
                    <w:jc w:val="center"/>
                    <w:rPr>
                      <w:rFonts w:eastAsiaTheme="minorEastAsia"/>
                      <w:szCs w:val="21"/>
                    </w:rPr>
                  </w:pPr>
                  <w:r>
                    <w:rPr>
                      <w:rFonts w:eastAsiaTheme="minorEastAsia"/>
                      <w:szCs w:val="21"/>
                    </w:rPr>
                    <w:t>废水、污泥</w:t>
                  </w:r>
                </w:p>
              </w:tc>
              <w:tc>
                <w:tcPr>
                  <w:tcW w:w="1985" w:type="dxa"/>
                  <w:vAlign w:val="center"/>
                </w:tcPr>
                <w:p>
                  <w:pPr>
                    <w:adjustRightInd w:val="0"/>
                    <w:snapToGrid w:val="0"/>
                    <w:spacing w:line="360" w:lineRule="auto"/>
                    <w:ind w:firstLine="420"/>
                    <w:jc w:val="center"/>
                    <w:rPr>
                      <w:rFonts w:eastAsiaTheme="minorEastAsia"/>
                      <w:szCs w:val="21"/>
                    </w:rPr>
                  </w:pPr>
                  <w:r>
                    <w:rPr>
                      <w:rFonts w:eastAsiaTheme="minorEastAsia"/>
                      <w:szCs w:val="21"/>
                    </w:rPr>
                    <w:t>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2376" w:type="dxa"/>
                  <w:vAlign w:val="center"/>
                </w:tcPr>
                <w:p>
                  <w:pPr>
                    <w:tabs>
                      <w:tab w:val="left" w:pos="720"/>
                    </w:tabs>
                    <w:adjustRightInd w:val="0"/>
                    <w:snapToGrid w:val="0"/>
                    <w:spacing w:line="360" w:lineRule="auto"/>
                    <w:jc w:val="center"/>
                    <w:rPr>
                      <w:rFonts w:eastAsiaTheme="minorEastAsia"/>
                      <w:bCs/>
                      <w:szCs w:val="21"/>
                    </w:rPr>
                  </w:pPr>
                  <w:r>
                    <w:rPr>
                      <w:rFonts w:eastAsiaTheme="minorEastAsia"/>
                      <w:bCs/>
                      <w:szCs w:val="21"/>
                    </w:rPr>
                    <w:t>原料库</w:t>
                  </w:r>
                </w:p>
              </w:tc>
              <w:tc>
                <w:tcPr>
                  <w:tcW w:w="2977" w:type="dxa"/>
                  <w:vAlign w:val="center"/>
                </w:tcPr>
                <w:p>
                  <w:pPr>
                    <w:adjustRightInd w:val="0"/>
                    <w:snapToGrid w:val="0"/>
                    <w:spacing w:line="360" w:lineRule="auto"/>
                    <w:ind w:firstLine="420"/>
                    <w:jc w:val="center"/>
                    <w:rPr>
                      <w:rFonts w:eastAsiaTheme="minorEastAsia"/>
                      <w:szCs w:val="21"/>
                    </w:rPr>
                  </w:pPr>
                  <w:r>
                    <w:rPr>
                      <w:rFonts w:eastAsiaTheme="minorEastAsia"/>
                      <w:szCs w:val="21"/>
                    </w:rPr>
                    <w:t>除锈液、中和液</w:t>
                  </w:r>
                </w:p>
              </w:tc>
              <w:tc>
                <w:tcPr>
                  <w:tcW w:w="1985" w:type="dxa"/>
                  <w:vAlign w:val="center"/>
                </w:tcPr>
                <w:p>
                  <w:pPr>
                    <w:adjustRightInd w:val="0"/>
                    <w:snapToGrid w:val="0"/>
                    <w:spacing w:line="360" w:lineRule="auto"/>
                    <w:ind w:firstLine="420"/>
                    <w:jc w:val="center"/>
                    <w:rPr>
                      <w:rFonts w:eastAsiaTheme="minorEastAsia"/>
                      <w:szCs w:val="21"/>
                    </w:rPr>
                  </w:pPr>
                  <w:r>
                    <w:rPr>
                      <w:rFonts w:eastAsiaTheme="minorEastAsia"/>
                      <w:szCs w:val="21"/>
                    </w:rPr>
                    <w:t>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76" w:type="dxa"/>
                  <w:vAlign w:val="center"/>
                </w:tcPr>
                <w:p>
                  <w:pPr>
                    <w:tabs>
                      <w:tab w:val="left" w:pos="720"/>
                    </w:tabs>
                    <w:adjustRightInd w:val="0"/>
                    <w:snapToGrid w:val="0"/>
                    <w:spacing w:line="360" w:lineRule="auto"/>
                    <w:jc w:val="center"/>
                    <w:rPr>
                      <w:rFonts w:eastAsiaTheme="minorEastAsia"/>
                      <w:bCs/>
                      <w:szCs w:val="21"/>
                    </w:rPr>
                  </w:pPr>
                  <w:r>
                    <w:rPr>
                      <w:rFonts w:eastAsiaTheme="minorEastAsia"/>
                      <w:bCs/>
                      <w:szCs w:val="21"/>
                    </w:rPr>
                    <w:t>危废暂存间</w:t>
                  </w:r>
                </w:p>
              </w:tc>
              <w:tc>
                <w:tcPr>
                  <w:tcW w:w="2977" w:type="dxa"/>
                  <w:vAlign w:val="center"/>
                </w:tcPr>
                <w:p>
                  <w:pPr>
                    <w:adjustRightInd w:val="0"/>
                    <w:snapToGrid w:val="0"/>
                    <w:spacing w:line="360" w:lineRule="auto"/>
                    <w:ind w:firstLine="420"/>
                    <w:jc w:val="center"/>
                    <w:rPr>
                      <w:rFonts w:eastAsiaTheme="minorEastAsia"/>
                      <w:szCs w:val="21"/>
                    </w:rPr>
                  </w:pPr>
                  <w:r>
                    <w:rPr>
                      <w:rFonts w:hint="eastAsia" w:eastAsiaTheme="minorEastAsia"/>
                      <w:szCs w:val="21"/>
                    </w:rPr>
                    <w:t>危废</w:t>
                  </w:r>
                </w:p>
              </w:tc>
              <w:tc>
                <w:tcPr>
                  <w:tcW w:w="1985" w:type="dxa"/>
                  <w:vAlign w:val="center"/>
                </w:tcPr>
                <w:p>
                  <w:pPr>
                    <w:adjustRightInd w:val="0"/>
                    <w:snapToGrid w:val="0"/>
                    <w:spacing w:line="360" w:lineRule="auto"/>
                    <w:ind w:firstLine="420"/>
                    <w:jc w:val="center"/>
                    <w:rPr>
                      <w:rFonts w:eastAsiaTheme="minorEastAsia"/>
                      <w:szCs w:val="21"/>
                    </w:rPr>
                  </w:pPr>
                  <w:r>
                    <w:rPr>
                      <w:rFonts w:eastAsiaTheme="minorEastAsia"/>
                      <w:szCs w:val="21"/>
                    </w:rPr>
                    <w:t>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76" w:type="dxa"/>
                  <w:vAlign w:val="center"/>
                </w:tcPr>
                <w:p>
                  <w:pPr>
                    <w:adjustRightInd w:val="0"/>
                    <w:snapToGrid w:val="0"/>
                    <w:spacing w:line="360" w:lineRule="auto"/>
                    <w:jc w:val="center"/>
                    <w:rPr>
                      <w:rFonts w:eastAsiaTheme="minorEastAsia"/>
                      <w:szCs w:val="21"/>
                    </w:rPr>
                  </w:pPr>
                  <w:r>
                    <w:rPr>
                      <w:rFonts w:eastAsiaTheme="minorEastAsia"/>
                      <w:szCs w:val="21"/>
                    </w:rPr>
                    <w:t>化粪池、污水管网、污水处理站</w:t>
                  </w:r>
                </w:p>
              </w:tc>
              <w:tc>
                <w:tcPr>
                  <w:tcW w:w="2977" w:type="dxa"/>
                  <w:vAlign w:val="center"/>
                </w:tcPr>
                <w:p>
                  <w:pPr>
                    <w:adjustRightInd w:val="0"/>
                    <w:snapToGrid w:val="0"/>
                    <w:spacing w:line="360" w:lineRule="auto"/>
                    <w:ind w:firstLine="420"/>
                    <w:jc w:val="center"/>
                    <w:rPr>
                      <w:rFonts w:eastAsiaTheme="minorEastAsia"/>
                      <w:szCs w:val="21"/>
                    </w:rPr>
                  </w:pPr>
                  <w:r>
                    <w:rPr>
                      <w:rFonts w:eastAsiaTheme="minorEastAsia"/>
                      <w:szCs w:val="21"/>
                    </w:rPr>
                    <w:t>污水</w:t>
                  </w:r>
                </w:p>
              </w:tc>
              <w:tc>
                <w:tcPr>
                  <w:tcW w:w="1985" w:type="dxa"/>
                  <w:vAlign w:val="center"/>
                </w:tcPr>
                <w:p>
                  <w:pPr>
                    <w:adjustRightInd w:val="0"/>
                    <w:snapToGrid w:val="0"/>
                    <w:spacing w:line="360" w:lineRule="auto"/>
                    <w:ind w:firstLine="420"/>
                    <w:jc w:val="center"/>
                    <w:rPr>
                      <w:rFonts w:eastAsiaTheme="minorEastAsia"/>
                      <w:szCs w:val="21"/>
                    </w:rPr>
                  </w:pPr>
                  <w:r>
                    <w:rPr>
                      <w:rFonts w:eastAsiaTheme="minorEastAsia"/>
                      <w:szCs w:val="21"/>
                    </w:rPr>
                    <w:t>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76" w:type="dxa"/>
                  <w:vAlign w:val="center"/>
                </w:tcPr>
                <w:p>
                  <w:pPr>
                    <w:adjustRightInd w:val="0"/>
                    <w:snapToGrid w:val="0"/>
                    <w:spacing w:line="360" w:lineRule="auto"/>
                    <w:jc w:val="center"/>
                    <w:rPr>
                      <w:rFonts w:eastAsiaTheme="minorEastAsia"/>
                      <w:szCs w:val="21"/>
                    </w:rPr>
                  </w:pPr>
                  <w:r>
                    <w:rPr>
                      <w:rFonts w:eastAsiaTheme="minorEastAsia"/>
                      <w:szCs w:val="21"/>
                    </w:rPr>
                    <w:t>办公生活区</w:t>
                  </w:r>
                </w:p>
              </w:tc>
              <w:tc>
                <w:tcPr>
                  <w:tcW w:w="2977" w:type="dxa"/>
                  <w:vAlign w:val="center"/>
                </w:tcPr>
                <w:p>
                  <w:pPr>
                    <w:adjustRightInd w:val="0"/>
                    <w:snapToGrid w:val="0"/>
                    <w:spacing w:line="360" w:lineRule="auto"/>
                    <w:jc w:val="center"/>
                    <w:rPr>
                      <w:rFonts w:eastAsiaTheme="minorEastAsia"/>
                      <w:szCs w:val="21"/>
                    </w:rPr>
                  </w:pPr>
                  <w:r>
                    <w:rPr>
                      <w:rFonts w:eastAsiaTheme="minorEastAsia"/>
                      <w:szCs w:val="21"/>
                    </w:rPr>
                    <w:t>办公用品</w:t>
                  </w:r>
                </w:p>
              </w:tc>
              <w:tc>
                <w:tcPr>
                  <w:tcW w:w="1985" w:type="dxa"/>
                  <w:vAlign w:val="center"/>
                </w:tcPr>
                <w:p>
                  <w:pPr>
                    <w:adjustRightInd w:val="0"/>
                    <w:snapToGrid w:val="0"/>
                    <w:spacing w:line="360" w:lineRule="auto"/>
                    <w:ind w:firstLine="420"/>
                    <w:jc w:val="center"/>
                    <w:rPr>
                      <w:rFonts w:eastAsiaTheme="minorEastAsia"/>
                      <w:szCs w:val="21"/>
                    </w:rPr>
                  </w:pPr>
                  <w:r>
                    <w:rPr>
                      <w:rFonts w:eastAsiaTheme="minorEastAsia"/>
                      <w:szCs w:val="21"/>
                    </w:rPr>
                    <w:t>火灾</w:t>
                  </w:r>
                </w:p>
              </w:tc>
            </w:tr>
          </w:tbl>
          <w:p>
            <w:pPr>
              <w:widowControl/>
              <w:adjustRightInd w:val="0"/>
              <w:snapToGrid w:val="0"/>
              <w:spacing w:line="360" w:lineRule="auto"/>
              <w:ind w:firstLine="482" w:firstLineChars="200"/>
              <w:jc w:val="left"/>
              <w:rPr>
                <w:b/>
                <w:kern w:val="0"/>
                <w:sz w:val="24"/>
              </w:rPr>
            </w:pPr>
            <w:r>
              <w:rPr>
                <w:b/>
                <w:kern w:val="0"/>
                <w:sz w:val="24"/>
              </w:rPr>
              <w:t>二、风险源环境影响分析</w:t>
            </w:r>
          </w:p>
          <w:p>
            <w:pPr>
              <w:widowControl/>
              <w:adjustRightInd w:val="0"/>
              <w:snapToGrid w:val="0"/>
              <w:spacing w:line="360" w:lineRule="auto"/>
              <w:ind w:firstLine="480" w:firstLineChars="200"/>
              <w:jc w:val="left"/>
              <w:rPr>
                <w:b/>
                <w:bCs/>
                <w:kern w:val="0"/>
                <w:sz w:val="24"/>
              </w:rPr>
            </w:pPr>
            <w:r>
              <w:rPr>
                <w:kern w:val="0"/>
                <w:sz w:val="24"/>
              </w:rPr>
              <w:t>1、</w:t>
            </w:r>
            <w:r>
              <w:rPr>
                <w:b/>
                <w:bCs/>
                <w:kern w:val="0"/>
                <w:sz w:val="24"/>
              </w:rPr>
              <w:t>环保设施故障风险影响分析</w:t>
            </w:r>
          </w:p>
          <w:p>
            <w:pPr>
              <w:widowControl/>
              <w:adjustRightInd w:val="0"/>
              <w:snapToGrid w:val="0"/>
              <w:spacing w:line="360" w:lineRule="auto"/>
              <w:ind w:firstLine="480" w:firstLineChars="200"/>
              <w:jc w:val="left"/>
              <w:rPr>
                <w:kern w:val="0"/>
                <w:sz w:val="24"/>
              </w:rPr>
            </w:pPr>
            <w:r>
              <w:rPr>
                <w:kern w:val="0"/>
                <w:sz w:val="24"/>
              </w:rPr>
              <w:t>项目环保设施故障的环境风险主要可能发生废气处理设施失效导致生产废气处理不达标排放的环境风险和污水处理站故障导致废水不能达标排放。</w:t>
            </w:r>
          </w:p>
          <w:p>
            <w:pPr>
              <w:widowControl/>
              <w:adjustRightInd w:val="0"/>
              <w:snapToGrid w:val="0"/>
              <w:spacing w:line="360" w:lineRule="auto"/>
              <w:ind w:firstLine="480" w:firstLineChars="200"/>
              <w:jc w:val="left"/>
              <w:rPr>
                <w:kern w:val="0"/>
                <w:sz w:val="24"/>
              </w:rPr>
            </w:pPr>
            <w:r>
              <w:rPr>
                <w:kern w:val="0"/>
                <w:sz w:val="24"/>
              </w:rPr>
              <w:t>项目</w:t>
            </w:r>
            <w:r>
              <w:rPr>
                <w:rFonts w:hint="eastAsia"/>
                <w:kern w:val="0"/>
                <w:sz w:val="24"/>
              </w:rPr>
              <w:t>废气</w:t>
            </w:r>
            <w:r>
              <w:rPr>
                <w:kern w:val="0"/>
                <w:sz w:val="24"/>
              </w:rPr>
              <w:t>经废气处理系统处理达标后外排，如废气处理系统发生故障导致废气处理不达标不能达标排放。企业废气排口定期接受专门监测单位进行废气监测，如发现废气不达标或废气处理系统设备故障，应立即停止前端作业进行维护，直到设备维护好。及时监督和巡查制度能保证废气处理系统如发生事件能第一时间处理保证废气达标排放。</w:t>
            </w:r>
          </w:p>
          <w:p>
            <w:pPr>
              <w:widowControl/>
              <w:adjustRightInd w:val="0"/>
              <w:snapToGrid w:val="0"/>
              <w:spacing w:line="360" w:lineRule="auto"/>
              <w:ind w:firstLine="480" w:firstLineChars="200"/>
              <w:jc w:val="left"/>
              <w:rPr>
                <w:kern w:val="0"/>
                <w:sz w:val="24"/>
              </w:rPr>
            </w:pPr>
            <w:r>
              <w:rPr>
                <w:kern w:val="0"/>
                <w:sz w:val="24"/>
              </w:rPr>
              <w:t>项目废水经过污水处理站处理后</w:t>
            </w:r>
            <w:r>
              <w:rPr>
                <w:rFonts w:hint="eastAsia"/>
                <w:kern w:val="0"/>
                <w:sz w:val="24"/>
              </w:rPr>
              <w:t>回用</w:t>
            </w:r>
            <w:r>
              <w:rPr>
                <w:kern w:val="0"/>
                <w:sz w:val="24"/>
              </w:rPr>
              <w:t>。项目应定期进行水质监测，若发现废水不能达标</w:t>
            </w:r>
            <w:r>
              <w:rPr>
                <w:rFonts w:hint="eastAsia"/>
                <w:kern w:val="0"/>
                <w:sz w:val="24"/>
              </w:rPr>
              <w:t>回用</w:t>
            </w:r>
            <w:r>
              <w:rPr>
                <w:kern w:val="0"/>
                <w:sz w:val="24"/>
              </w:rPr>
              <w:t>，应立刻将废水引入事故应急池暂存，对污水处理站进行维修。</w:t>
            </w:r>
          </w:p>
          <w:p>
            <w:pPr>
              <w:widowControl/>
              <w:adjustRightInd w:val="0"/>
              <w:snapToGrid w:val="0"/>
              <w:spacing w:line="360" w:lineRule="auto"/>
              <w:ind w:firstLine="482" w:firstLineChars="200"/>
              <w:jc w:val="left"/>
              <w:rPr>
                <w:b/>
                <w:kern w:val="0"/>
                <w:sz w:val="24"/>
              </w:rPr>
            </w:pPr>
            <w:r>
              <w:rPr>
                <w:b/>
                <w:kern w:val="0"/>
                <w:sz w:val="24"/>
              </w:rPr>
              <w:t>2、危废暂存间事故影响分析</w:t>
            </w:r>
          </w:p>
          <w:p>
            <w:pPr>
              <w:widowControl/>
              <w:adjustRightInd w:val="0"/>
              <w:snapToGrid w:val="0"/>
              <w:spacing w:line="360" w:lineRule="auto"/>
              <w:ind w:firstLine="480" w:firstLineChars="200"/>
              <w:jc w:val="left"/>
              <w:rPr>
                <w:kern w:val="0"/>
                <w:sz w:val="24"/>
              </w:rPr>
            </w:pPr>
            <w:r>
              <w:rPr>
                <w:kern w:val="0"/>
                <w:sz w:val="24"/>
              </w:rPr>
              <w:t>项目设置一间危废间，主要暂存的危废为废活性炭</w:t>
            </w:r>
            <w:r>
              <w:rPr>
                <w:rFonts w:hint="eastAsia"/>
                <w:kern w:val="0"/>
                <w:sz w:val="24"/>
              </w:rPr>
              <w:t>、</w:t>
            </w:r>
            <w:r>
              <w:rPr>
                <w:kern w:val="0"/>
                <w:sz w:val="24"/>
              </w:rPr>
              <w:t>打磨粉尘、隔油池废油、废机油等。若危险废物未按照环保要求收集，具有毒性、腐蚀性、感染性等，泄漏物进入场内硬化路面，排入周边环境。</w:t>
            </w:r>
          </w:p>
          <w:p>
            <w:pPr>
              <w:widowControl/>
              <w:adjustRightInd w:val="0"/>
              <w:snapToGrid w:val="0"/>
              <w:spacing w:line="360" w:lineRule="auto"/>
              <w:ind w:firstLine="482" w:firstLineChars="200"/>
              <w:jc w:val="left"/>
              <w:rPr>
                <w:b/>
                <w:bCs/>
                <w:kern w:val="0"/>
                <w:sz w:val="24"/>
              </w:rPr>
            </w:pPr>
            <w:r>
              <w:rPr>
                <w:b/>
                <w:kern w:val="0"/>
                <w:sz w:val="24"/>
              </w:rPr>
              <w:t>3、</w:t>
            </w:r>
            <w:r>
              <w:rPr>
                <w:b/>
                <w:bCs/>
                <w:kern w:val="0"/>
                <w:sz w:val="24"/>
              </w:rPr>
              <w:t>灾事故引起的次生/衍生环境污染事件</w:t>
            </w:r>
          </w:p>
          <w:p>
            <w:pPr>
              <w:widowControl/>
              <w:adjustRightInd w:val="0"/>
              <w:snapToGrid w:val="0"/>
              <w:spacing w:line="360" w:lineRule="auto"/>
              <w:ind w:firstLine="480" w:firstLineChars="200"/>
              <w:jc w:val="left"/>
              <w:rPr>
                <w:kern w:val="0"/>
                <w:sz w:val="24"/>
              </w:rPr>
            </w:pPr>
            <w:r>
              <w:rPr>
                <w:kern w:val="0"/>
                <w:sz w:val="24"/>
              </w:rPr>
              <w:t>项目所使用的办公用品，属于易燃物质，遇明火易发生火灾事故，产生的消防废水</w:t>
            </w:r>
            <w:r>
              <w:rPr>
                <w:bCs/>
                <w:kern w:val="0"/>
                <w:sz w:val="24"/>
              </w:rPr>
              <w:t>中含有部分未烧尽的原辅材料，</w:t>
            </w:r>
            <w:r>
              <w:rPr>
                <w:kern w:val="0"/>
                <w:sz w:val="24"/>
              </w:rPr>
              <w:t>无法收集时会排入</w:t>
            </w:r>
            <w:r>
              <w:rPr>
                <w:rFonts w:hint="eastAsia"/>
                <w:kern w:val="0"/>
                <w:sz w:val="24"/>
              </w:rPr>
              <w:t>淤泥河</w:t>
            </w:r>
            <w:r>
              <w:rPr>
                <w:kern w:val="0"/>
                <w:sz w:val="24"/>
              </w:rPr>
              <w:t>，污染其水质，若进入周边土地，影响土壤的通透性，破坏原有的土壤水、气和固的三相结构，影响土壤中微生物的生长，从而影响土壤中植物根系的呼吸及水分养料的吸收，甚至使植物根系腐烂坏死，危害植物的生长。</w:t>
            </w:r>
          </w:p>
          <w:p>
            <w:pPr>
              <w:widowControl/>
              <w:adjustRightInd w:val="0"/>
              <w:snapToGrid w:val="0"/>
              <w:spacing w:line="360" w:lineRule="auto"/>
              <w:ind w:firstLine="482" w:firstLineChars="200"/>
              <w:jc w:val="left"/>
              <w:rPr>
                <w:b/>
                <w:kern w:val="0"/>
                <w:sz w:val="24"/>
              </w:rPr>
            </w:pPr>
            <w:r>
              <w:rPr>
                <w:b/>
                <w:kern w:val="0"/>
                <w:sz w:val="24"/>
              </w:rPr>
              <w:t>三、风险事故管理措施</w:t>
            </w:r>
          </w:p>
          <w:p>
            <w:pPr>
              <w:widowControl/>
              <w:adjustRightInd w:val="0"/>
              <w:snapToGrid w:val="0"/>
              <w:spacing w:line="360" w:lineRule="auto"/>
              <w:ind w:firstLine="480" w:firstLineChars="200"/>
              <w:jc w:val="left"/>
              <w:rPr>
                <w:kern w:val="0"/>
                <w:sz w:val="24"/>
              </w:rPr>
            </w:pPr>
            <w:r>
              <w:rPr>
                <w:kern w:val="0"/>
                <w:sz w:val="24"/>
              </w:rPr>
              <w:t>（一）环保设施故障预防措施</w:t>
            </w:r>
          </w:p>
          <w:p>
            <w:pPr>
              <w:widowControl/>
              <w:adjustRightInd w:val="0"/>
              <w:snapToGrid w:val="0"/>
              <w:spacing w:line="360" w:lineRule="auto"/>
              <w:ind w:firstLine="480" w:firstLineChars="200"/>
              <w:jc w:val="left"/>
              <w:rPr>
                <w:kern w:val="0"/>
                <w:sz w:val="24"/>
              </w:rPr>
            </w:pPr>
            <w:r>
              <w:rPr>
                <w:kern w:val="0"/>
                <w:sz w:val="24"/>
              </w:rPr>
              <w:t>（1）加强</w:t>
            </w:r>
            <w:r>
              <w:rPr>
                <w:rFonts w:hint="eastAsia"/>
                <w:kern w:val="0"/>
                <w:sz w:val="24"/>
              </w:rPr>
              <w:t>废气处置</w:t>
            </w:r>
            <w:r>
              <w:rPr>
                <w:kern w:val="0"/>
                <w:sz w:val="24"/>
              </w:rPr>
              <w:t>系统的日常维护，保障正常运行；</w:t>
            </w:r>
          </w:p>
          <w:p>
            <w:pPr>
              <w:widowControl/>
              <w:adjustRightInd w:val="0"/>
              <w:snapToGrid w:val="0"/>
              <w:spacing w:line="360" w:lineRule="auto"/>
              <w:ind w:firstLine="480" w:firstLineChars="200"/>
              <w:jc w:val="left"/>
              <w:rPr>
                <w:kern w:val="0"/>
                <w:sz w:val="24"/>
              </w:rPr>
            </w:pPr>
            <w:r>
              <w:rPr>
                <w:kern w:val="0"/>
                <w:sz w:val="24"/>
              </w:rPr>
              <w:t>（2）加强对</w:t>
            </w:r>
            <w:r>
              <w:rPr>
                <w:rFonts w:hint="eastAsia"/>
                <w:kern w:val="0"/>
                <w:sz w:val="24"/>
              </w:rPr>
              <w:t>设备</w:t>
            </w:r>
            <w:r>
              <w:rPr>
                <w:kern w:val="0"/>
                <w:sz w:val="24"/>
              </w:rPr>
              <w:t>的检修维护。</w:t>
            </w:r>
          </w:p>
          <w:p>
            <w:pPr>
              <w:widowControl/>
              <w:adjustRightInd w:val="0"/>
              <w:snapToGrid w:val="0"/>
              <w:spacing w:line="360" w:lineRule="auto"/>
              <w:ind w:firstLine="480" w:firstLineChars="200"/>
              <w:jc w:val="left"/>
              <w:rPr>
                <w:kern w:val="0"/>
                <w:sz w:val="24"/>
              </w:rPr>
            </w:pPr>
            <w:r>
              <w:rPr>
                <w:kern w:val="0"/>
                <w:sz w:val="24"/>
              </w:rPr>
              <w:t>（二）火灾事故次生风险预防措施</w:t>
            </w:r>
          </w:p>
          <w:p>
            <w:pPr>
              <w:widowControl/>
              <w:adjustRightInd w:val="0"/>
              <w:snapToGrid w:val="0"/>
              <w:spacing w:line="360" w:lineRule="auto"/>
              <w:ind w:firstLine="480" w:firstLineChars="200"/>
              <w:jc w:val="left"/>
              <w:rPr>
                <w:kern w:val="0"/>
                <w:sz w:val="24"/>
              </w:rPr>
            </w:pPr>
            <w:r>
              <w:rPr>
                <w:kern w:val="0"/>
                <w:sz w:val="24"/>
              </w:rPr>
              <w:t>（1）办公区域按照消防要求设置干粉灭火器。</w:t>
            </w:r>
          </w:p>
          <w:p>
            <w:pPr>
              <w:widowControl/>
              <w:adjustRightInd w:val="0"/>
              <w:snapToGrid w:val="0"/>
              <w:spacing w:line="360" w:lineRule="auto"/>
              <w:ind w:firstLine="480" w:firstLineChars="200"/>
              <w:jc w:val="left"/>
              <w:rPr>
                <w:kern w:val="0"/>
                <w:sz w:val="24"/>
              </w:rPr>
            </w:pPr>
            <w:r>
              <w:rPr>
                <w:kern w:val="0"/>
                <w:sz w:val="24"/>
              </w:rPr>
              <w:t>（2）设置消防沙箱，其他区域发生火灾使用消防沙进行扑灭。</w:t>
            </w:r>
          </w:p>
          <w:p>
            <w:pPr>
              <w:widowControl/>
              <w:adjustRightInd w:val="0"/>
              <w:snapToGrid w:val="0"/>
              <w:spacing w:line="360" w:lineRule="auto"/>
              <w:ind w:firstLine="480" w:firstLineChars="200"/>
              <w:jc w:val="left"/>
              <w:rPr>
                <w:kern w:val="0"/>
                <w:sz w:val="24"/>
              </w:rPr>
            </w:pPr>
            <w:r>
              <w:rPr>
                <w:kern w:val="0"/>
                <w:sz w:val="24"/>
              </w:rPr>
              <w:t>（3）设置截排水沟，消防废水不外排。</w:t>
            </w:r>
          </w:p>
          <w:p>
            <w:pPr>
              <w:widowControl/>
              <w:adjustRightInd w:val="0"/>
              <w:snapToGrid w:val="0"/>
              <w:spacing w:line="360" w:lineRule="auto"/>
              <w:ind w:firstLine="480" w:firstLineChars="200"/>
              <w:jc w:val="left"/>
              <w:rPr>
                <w:kern w:val="0"/>
                <w:sz w:val="24"/>
              </w:rPr>
            </w:pPr>
            <w:r>
              <w:rPr>
                <w:kern w:val="0"/>
                <w:sz w:val="24"/>
              </w:rPr>
              <w:t>（4）定期开展防火检查，及时消除火灾隐患；严格执行操作规程，遵守安全规章制度，规范员工日常行为。</w:t>
            </w:r>
          </w:p>
          <w:p>
            <w:pPr>
              <w:widowControl/>
              <w:adjustRightInd w:val="0"/>
              <w:snapToGrid w:val="0"/>
              <w:spacing w:line="360" w:lineRule="auto"/>
              <w:ind w:firstLine="480" w:firstLineChars="200"/>
              <w:jc w:val="left"/>
              <w:rPr>
                <w:kern w:val="0"/>
                <w:sz w:val="24"/>
              </w:rPr>
            </w:pPr>
            <w:r>
              <w:rPr>
                <w:kern w:val="0"/>
                <w:sz w:val="24"/>
              </w:rPr>
              <w:t>（三）危废泄漏预防措施</w:t>
            </w:r>
          </w:p>
          <w:p>
            <w:pPr>
              <w:widowControl/>
              <w:adjustRightInd w:val="0"/>
              <w:snapToGrid w:val="0"/>
              <w:spacing w:line="360" w:lineRule="auto"/>
              <w:ind w:firstLine="480" w:firstLineChars="200"/>
              <w:jc w:val="left"/>
              <w:rPr>
                <w:kern w:val="0"/>
                <w:sz w:val="24"/>
              </w:rPr>
            </w:pPr>
            <w:r>
              <w:rPr>
                <w:kern w:val="0"/>
                <w:sz w:val="24"/>
              </w:rPr>
              <w:t>（1）设置1间危废间，危险废物统一收集储存于危废间内委托</w:t>
            </w:r>
            <w:r>
              <w:rPr>
                <w:rFonts w:hint="eastAsia"/>
                <w:kern w:val="0"/>
                <w:sz w:val="24"/>
              </w:rPr>
              <w:t>云南大地丰源环保有限公司</w:t>
            </w:r>
            <w:r>
              <w:rPr>
                <w:kern w:val="0"/>
                <w:sz w:val="24"/>
              </w:rPr>
              <w:t>清运处置。</w:t>
            </w:r>
          </w:p>
          <w:p>
            <w:pPr>
              <w:widowControl/>
              <w:adjustRightInd w:val="0"/>
              <w:snapToGrid w:val="0"/>
              <w:spacing w:line="360" w:lineRule="auto"/>
              <w:ind w:firstLine="480" w:firstLineChars="200"/>
              <w:jc w:val="left"/>
              <w:rPr>
                <w:kern w:val="0"/>
                <w:sz w:val="24"/>
              </w:rPr>
            </w:pPr>
            <w:r>
              <w:rPr>
                <w:kern w:val="0"/>
                <w:sz w:val="24"/>
              </w:rPr>
              <w:t>（2）危废间悬挂标识牌，地面做好防渗漏措施。</w:t>
            </w:r>
          </w:p>
          <w:p>
            <w:pPr>
              <w:widowControl/>
              <w:adjustRightInd w:val="0"/>
              <w:snapToGrid w:val="0"/>
              <w:spacing w:line="360" w:lineRule="auto"/>
              <w:ind w:firstLine="480" w:firstLineChars="200"/>
              <w:jc w:val="left"/>
              <w:rPr>
                <w:kern w:val="0"/>
                <w:sz w:val="24"/>
              </w:rPr>
            </w:pPr>
            <w:r>
              <w:rPr>
                <w:kern w:val="0"/>
                <w:sz w:val="24"/>
              </w:rPr>
              <w:t>（3）建立危废台帐登记制度，定期检查。</w:t>
            </w:r>
          </w:p>
          <w:p>
            <w:pPr>
              <w:spacing w:line="360" w:lineRule="auto"/>
              <w:ind w:firstLine="480" w:firstLineChars="200"/>
              <w:rPr>
                <w:rFonts w:eastAsiaTheme="minorEastAsia"/>
                <w:sz w:val="24"/>
              </w:rPr>
            </w:pPr>
            <w:r>
              <w:rPr>
                <w:kern w:val="0"/>
                <w:sz w:val="24"/>
              </w:rPr>
              <w:t>（4）危废间内需配备吸油毯和棉布吸附材料。</w:t>
            </w:r>
          </w:p>
          <w:p>
            <w:pPr>
              <w:spacing w:line="360" w:lineRule="auto"/>
              <w:ind w:firstLine="480" w:firstLineChars="200"/>
              <w:rPr>
                <w:rFonts w:eastAsiaTheme="minorEastAsia"/>
                <w:sz w:val="24"/>
              </w:rPr>
            </w:pPr>
            <w:r>
              <w:rPr>
                <w:rFonts w:eastAsiaTheme="minorEastAsia"/>
                <w:sz w:val="24"/>
              </w:rPr>
              <w:t>（四）应急处置措施</w:t>
            </w:r>
          </w:p>
          <w:p>
            <w:pPr>
              <w:spacing w:line="360" w:lineRule="auto"/>
              <w:ind w:firstLine="480" w:firstLineChars="200"/>
              <w:rPr>
                <w:rFonts w:eastAsiaTheme="minorEastAsia"/>
                <w:kern w:val="0"/>
                <w:sz w:val="24"/>
                <w:szCs w:val="20"/>
              </w:rPr>
            </w:pPr>
            <w:r>
              <w:rPr>
                <w:rFonts w:eastAsiaTheme="minorEastAsia"/>
                <w:kern w:val="0"/>
                <w:sz w:val="24"/>
                <w:szCs w:val="20"/>
              </w:rPr>
              <w:t>（1）设置一座事故应急池收集暂存污水处理站发生故障时污水和火灾消防废水。</w:t>
            </w:r>
          </w:p>
          <w:p>
            <w:pPr>
              <w:spacing w:line="360" w:lineRule="auto"/>
              <w:ind w:firstLine="480" w:firstLineChars="200"/>
              <w:rPr>
                <w:rFonts w:eastAsiaTheme="minorEastAsia"/>
                <w:kern w:val="0"/>
                <w:sz w:val="24"/>
                <w:szCs w:val="20"/>
              </w:rPr>
            </w:pPr>
            <w:r>
              <w:rPr>
                <w:rFonts w:eastAsiaTheme="minorEastAsia"/>
                <w:kern w:val="0"/>
                <w:sz w:val="24"/>
                <w:szCs w:val="20"/>
              </w:rPr>
              <w:t>根据项目实际情况，本项目和一期项目最大污水产生量为15.282m³/d。</w:t>
            </w:r>
          </w:p>
          <w:p>
            <w:pPr>
              <w:spacing w:line="360" w:lineRule="auto"/>
              <w:ind w:firstLine="480" w:firstLineChars="200"/>
              <w:rPr>
                <w:sz w:val="24"/>
              </w:rPr>
            </w:pPr>
            <w:r>
              <w:rPr>
                <w:sz w:val="24"/>
              </w:rPr>
              <w:t>根据《建筑设计防火规范》(GB50016-2014)和《消防给水及消防栓系统技术规范》(GB50974-2014)，查找项目对应的消防给水量和火灾延续时间，并计算消防用水量，详见下表。</w:t>
            </w:r>
          </w:p>
          <w:p>
            <w:pPr>
              <w:adjustRightInd w:val="0"/>
              <w:snapToGrid w:val="0"/>
              <w:spacing w:line="360" w:lineRule="auto"/>
              <w:jc w:val="center"/>
              <w:rPr>
                <w:rFonts w:eastAsiaTheme="minorEastAsia"/>
                <w:b/>
                <w:kern w:val="24"/>
                <w:sz w:val="24"/>
                <w:szCs w:val="20"/>
              </w:rPr>
            </w:pPr>
            <w:r>
              <w:rPr>
                <w:rFonts w:eastAsiaTheme="minorEastAsia"/>
                <w:b/>
                <w:sz w:val="24"/>
              </w:rPr>
              <w:t>表4-11  各单元室外消防给水量、火灾延续时间及消防用水总量</w:t>
            </w:r>
          </w:p>
          <w:tbl>
            <w:tblPr>
              <w:tblStyle w:val="45"/>
              <w:tblW w:w="39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2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0" w:hRule="atLeast"/>
                <w:jc w:val="center"/>
              </w:trPr>
              <w:tc>
                <w:tcPr>
                  <w:tcW w:w="1778" w:type="dxa"/>
                  <w:vAlign w:val="center"/>
                </w:tcPr>
                <w:p>
                  <w:pPr>
                    <w:jc w:val="center"/>
                    <w:rPr>
                      <w:szCs w:val="21"/>
                    </w:rPr>
                  </w:pPr>
                  <w:r>
                    <w:rPr>
                      <w:szCs w:val="21"/>
                    </w:rPr>
                    <w:t>分类</w:t>
                  </w:r>
                </w:p>
              </w:tc>
              <w:tc>
                <w:tcPr>
                  <w:tcW w:w="2172" w:type="dxa"/>
                  <w:vAlign w:val="center"/>
                </w:tcPr>
                <w:p>
                  <w:pPr>
                    <w:jc w:val="center"/>
                    <w:rPr>
                      <w:szCs w:val="21"/>
                    </w:rPr>
                  </w:pPr>
                  <w:r>
                    <w:rPr>
                      <w:rFonts w:hint="eastAsia"/>
                      <w:szCs w:val="21"/>
                    </w:rPr>
                    <w:t>工业建筑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78" w:type="dxa"/>
                  <w:vAlign w:val="center"/>
                </w:tcPr>
                <w:p>
                  <w:pPr>
                    <w:jc w:val="center"/>
                    <w:rPr>
                      <w:szCs w:val="21"/>
                    </w:rPr>
                  </w:pPr>
                  <w:r>
                    <w:rPr>
                      <w:szCs w:val="21"/>
                    </w:rPr>
                    <w:t>消防给水量（L/s）</w:t>
                  </w:r>
                </w:p>
              </w:tc>
              <w:tc>
                <w:tcPr>
                  <w:tcW w:w="2172" w:type="dxa"/>
                  <w:vAlign w:val="center"/>
                </w:tcPr>
                <w:p>
                  <w:pPr>
                    <w:jc w:val="center"/>
                    <w:rPr>
                      <w:szCs w:val="21"/>
                    </w:rPr>
                  </w:pPr>
                  <w:r>
                    <w:rPr>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778" w:type="dxa"/>
                  <w:vAlign w:val="center"/>
                </w:tcPr>
                <w:p>
                  <w:pPr>
                    <w:jc w:val="center"/>
                    <w:rPr>
                      <w:szCs w:val="21"/>
                    </w:rPr>
                  </w:pPr>
                  <w:r>
                    <w:rPr>
                      <w:szCs w:val="21"/>
                    </w:rPr>
                    <w:t>火灾持续时间（h）</w:t>
                  </w:r>
                </w:p>
              </w:tc>
              <w:tc>
                <w:tcPr>
                  <w:tcW w:w="2172" w:type="dxa"/>
                  <w:vAlign w:val="center"/>
                </w:tcPr>
                <w:p>
                  <w:pPr>
                    <w:jc w:val="center"/>
                    <w:rPr>
                      <w:szCs w:val="21"/>
                    </w:rPr>
                  </w:pPr>
                  <w:r>
                    <w:rPr>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78" w:type="dxa"/>
                  <w:vAlign w:val="center"/>
                </w:tcPr>
                <w:p>
                  <w:pPr>
                    <w:jc w:val="center"/>
                    <w:rPr>
                      <w:szCs w:val="21"/>
                    </w:rPr>
                  </w:pPr>
                  <w:r>
                    <w:rPr>
                      <w:szCs w:val="21"/>
                    </w:rPr>
                    <w:t>消防用水总量（m</w:t>
                  </w:r>
                  <w:r>
                    <w:rPr>
                      <w:szCs w:val="21"/>
                      <w:vertAlign w:val="superscript"/>
                    </w:rPr>
                    <w:t>3</w:t>
                  </w:r>
                  <w:r>
                    <w:rPr>
                      <w:szCs w:val="21"/>
                    </w:rPr>
                    <w:t>）</w:t>
                  </w:r>
                </w:p>
              </w:tc>
              <w:tc>
                <w:tcPr>
                  <w:tcW w:w="2172" w:type="dxa"/>
                  <w:vAlign w:val="center"/>
                </w:tcPr>
                <w:p>
                  <w:pPr>
                    <w:jc w:val="center"/>
                    <w:rPr>
                      <w:szCs w:val="21"/>
                    </w:rPr>
                  </w:pPr>
                  <w:r>
                    <w:rPr>
                      <w:szCs w:val="21"/>
                    </w:rPr>
                    <w:t>12</w:t>
                  </w:r>
                </w:p>
              </w:tc>
            </w:tr>
          </w:tbl>
          <w:p>
            <w:pPr>
              <w:adjustRightInd w:val="0"/>
              <w:snapToGrid w:val="0"/>
              <w:spacing w:line="360" w:lineRule="auto"/>
              <w:jc w:val="center"/>
              <w:rPr>
                <w:rFonts w:eastAsiaTheme="minorEastAsia"/>
                <w:b/>
                <w:sz w:val="24"/>
              </w:rPr>
            </w:pPr>
            <w:r>
              <w:rPr>
                <w:rFonts w:eastAsiaTheme="minorEastAsia"/>
                <w:b/>
                <w:sz w:val="24"/>
              </w:rPr>
              <w:t>表4-12各单元室内消防给水量、火灾延续时间及消防用水总量</w:t>
            </w:r>
          </w:p>
          <w:tbl>
            <w:tblPr>
              <w:tblStyle w:val="45"/>
              <w:tblW w:w="46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2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0" w:hRule="atLeast"/>
                <w:jc w:val="center"/>
              </w:trPr>
              <w:tc>
                <w:tcPr>
                  <w:tcW w:w="1780" w:type="dxa"/>
                  <w:vAlign w:val="center"/>
                </w:tcPr>
                <w:p>
                  <w:pPr>
                    <w:jc w:val="center"/>
                    <w:rPr>
                      <w:szCs w:val="21"/>
                    </w:rPr>
                  </w:pPr>
                  <w:r>
                    <w:rPr>
                      <w:szCs w:val="21"/>
                    </w:rPr>
                    <w:t>分类</w:t>
                  </w:r>
                </w:p>
              </w:tc>
              <w:tc>
                <w:tcPr>
                  <w:tcW w:w="2881" w:type="dxa"/>
                  <w:vAlign w:val="center"/>
                </w:tcPr>
                <w:p>
                  <w:pPr>
                    <w:jc w:val="center"/>
                    <w:rPr>
                      <w:szCs w:val="21"/>
                    </w:rPr>
                  </w:pPr>
                  <w:r>
                    <w:rPr>
                      <w:rFonts w:hint="eastAsia"/>
                      <w:szCs w:val="21"/>
                    </w:rPr>
                    <w:t>工业建筑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0" w:type="dxa"/>
                  <w:vAlign w:val="center"/>
                </w:tcPr>
                <w:p>
                  <w:pPr>
                    <w:jc w:val="center"/>
                    <w:rPr>
                      <w:szCs w:val="21"/>
                    </w:rPr>
                  </w:pPr>
                  <w:r>
                    <w:rPr>
                      <w:szCs w:val="21"/>
                    </w:rPr>
                    <w:t>消防给水量（L/s）</w:t>
                  </w:r>
                </w:p>
              </w:tc>
              <w:tc>
                <w:tcPr>
                  <w:tcW w:w="2881" w:type="dxa"/>
                  <w:vAlign w:val="center"/>
                </w:tcPr>
                <w:p>
                  <w:pPr>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0" w:type="dxa"/>
                  <w:vAlign w:val="center"/>
                </w:tcPr>
                <w:p>
                  <w:pPr>
                    <w:jc w:val="center"/>
                    <w:rPr>
                      <w:szCs w:val="21"/>
                    </w:rPr>
                  </w:pPr>
                  <w:r>
                    <w:rPr>
                      <w:szCs w:val="21"/>
                    </w:rPr>
                    <w:t>火灾持续时间（h）</w:t>
                  </w:r>
                </w:p>
              </w:tc>
              <w:tc>
                <w:tcPr>
                  <w:tcW w:w="2881" w:type="dxa"/>
                  <w:vAlign w:val="center"/>
                </w:tcPr>
                <w:p>
                  <w:pPr>
                    <w:jc w:val="center"/>
                    <w:rPr>
                      <w:szCs w:val="21"/>
                    </w:rPr>
                  </w:pPr>
                  <w:r>
                    <w:rPr>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80" w:type="dxa"/>
                  <w:vAlign w:val="center"/>
                </w:tcPr>
                <w:p>
                  <w:pPr>
                    <w:jc w:val="center"/>
                    <w:rPr>
                      <w:szCs w:val="21"/>
                    </w:rPr>
                  </w:pPr>
                  <w:r>
                    <w:rPr>
                      <w:szCs w:val="21"/>
                    </w:rPr>
                    <w:t>消防用水总量（m</w:t>
                  </w:r>
                  <w:r>
                    <w:rPr>
                      <w:szCs w:val="21"/>
                      <w:vertAlign w:val="superscript"/>
                    </w:rPr>
                    <w:t>3</w:t>
                  </w:r>
                  <w:r>
                    <w:rPr>
                      <w:szCs w:val="21"/>
                    </w:rPr>
                    <w:t>）</w:t>
                  </w:r>
                </w:p>
              </w:tc>
              <w:tc>
                <w:tcPr>
                  <w:tcW w:w="2881" w:type="dxa"/>
                  <w:vAlign w:val="center"/>
                </w:tcPr>
                <w:p>
                  <w:pPr>
                    <w:jc w:val="center"/>
                    <w:rPr>
                      <w:szCs w:val="21"/>
                    </w:rPr>
                  </w:pPr>
                  <w:r>
                    <w:rPr>
                      <w:szCs w:val="21"/>
                    </w:rPr>
                    <w:t>14</w:t>
                  </w:r>
                </w:p>
              </w:tc>
            </w:tr>
          </w:tbl>
          <w:p>
            <w:pPr>
              <w:spacing w:line="360" w:lineRule="auto"/>
              <w:ind w:firstLine="480" w:firstLineChars="200"/>
              <w:rPr>
                <w:rFonts w:eastAsiaTheme="minorEastAsia"/>
                <w:kern w:val="0"/>
                <w:sz w:val="24"/>
                <w:szCs w:val="20"/>
              </w:rPr>
            </w:pPr>
            <w:r>
              <w:rPr>
                <w:rFonts w:eastAsiaTheme="minorEastAsia"/>
                <w:kern w:val="0"/>
                <w:sz w:val="24"/>
                <w:szCs w:val="20"/>
              </w:rPr>
              <w:t>根据上表4-10和表4-11计算结果，项目室内、室外消防用水量总和最大为26m</w:t>
            </w:r>
            <w:r>
              <w:rPr>
                <w:rFonts w:eastAsiaTheme="minorEastAsia"/>
                <w:kern w:val="0"/>
                <w:sz w:val="24"/>
                <w:szCs w:val="20"/>
                <w:vertAlign w:val="superscript"/>
              </w:rPr>
              <w:t>3</w:t>
            </w:r>
            <w:r>
              <w:rPr>
                <w:rFonts w:eastAsiaTheme="minorEastAsia"/>
                <w:kern w:val="0"/>
                <w:sz w:val="24"/>
                <w:szCs w:val="20"/>
              </w:rPr>
              <w:t>。因此，消防水量为26m</w:t>
            </w:r>
            <w:r>
              <w:rPr>
                <w:rFonts w:eastAsiaTheme="minorEastAsia"/>
                <w:kern w:val="0"/>
                <w:sz w:val="24"/>
                <w:szCs w:val="20"/>
                <w:vertAlign w:val="superscript"/>
              </w:rPr>
              <w:t>3</w:t>
            </w:r>
            <w:r>
              <w:rPr>
                <w:rFonts w:eastAsiaTheme="minorEastAsia"/>
                <w:kern w:val="0"/>
                <w:sz w:val="24"/>
                <w:szCs w:val="20"/>
              </w:rPr>
              <w:t>。</w:t>
            </w:r>
          </w:p>
          <w:p>
            <w:pPr>
              <w:spacing w:line="360" w:lineRule="auto"/>
              <w:ind w:firstLine="480" w:firstLineChars="200"/>
              <w:rPr>
                <w:rFonts w:eastAsiaTheme="minorEastAsia"/>
                <w:kern w:val="0"/>
                <w:sz w:val="24"/>
                <w:szCs w:val="20"/>
              </w:rPr>
            </w:pPr>
            <w:r>
              <w:rPr>
                <w:rFonts w:eastAsiaTheme="minorEastAsia"/>
                <w:kern w:val="0"/>
                <w:sz w:val="24"/>
                <w:szCs w:val="20"/>
              </w:rPr>
              <w:t>因此项目事故应急池总有效容积应为41.282m³。根据HJ169-2018《建设项目环境风险评价技术导则》的要求，事故应急池尽可能以非动力自流方式收集事故废水，即，宜采用地下式，并应采取防渗、防腐、防洪、抗震等措施。</w:t>
            </w:r>
          </w:p>
          <w:p>
            <w:pPr>
              <w:spacing w:line="360" w:lineRule="auto"/>
              <w:ind w:firstLine="480" w:firstLineChars="200"/>
              <w:rPr>
                <w:rFonts w:eastAsiaTheme="minorEastAsia"/>
                <w:kern w:val="0"/>
                <w:sz w:val="24"/>
                <w:szCs w:val="20"/>
              </w:rPr>
            </w:pPr>
            <w:r>
              <w:rPr>
                <w:rFonts w:eastAsiaTheme="minorEastAsia"/>
                <w:kern w:val="0"/>
                <w:sz w:val="24"/>
                <w:szCs w:val="20"/>
              </w:rPr>
              <w:t>（2）编制应急预案并至主管部门进行备案，定期进行应急演练。</w:t>
            </w:r>
          </w:p>
          <w:p>
            <w:pPr>
              <w:spacing w:line="360" w:lineRule="auto"/>
              <w:rPr>
                <w:rFonts w:eastAsiaTheme="minorEastAsia"/>
                <w:b/>
                <w:kern w:val="0"/>
                <w:sz w:val="24"/>
                <w:szCs w:val="20"/>
              </w:rPr>
            </w:pPr>
            <w:r>
              <w:rPr>
                <w:rFonts w:eastAsiaTheme="minorEastAsia"/>
                <w:b/>
                <w:kern w:val="0"/>
                <w:sz w:val="24"/>
                <w:szCs w:val="20"/>
              </w:rPr>
              <w:t>二、运营期主要环境保护措施</w:t>
            </w:r>
          </w:p>
          <w:p>
            <w:pPr>
              <w:widowControl/>
              <w:spacing w:line="360" w:lineRule="auto"/>
              <w:ind w:firstLine="482" w:firstLineChars="200"/>
              <w:jc w:val="left"/>
              <w:rPr>
                <w:rFonts w:eastAsiaTheme="minorEastAsia"/>
                <w:b/>
                <w:kern w:val="0"/>
                <w:sz w:val="24"/>
              </w:rPr>
            </w:pPr>
            <w:r>
              <w:rPr>
                <w:rFonts w:eastAsiaTheme="minorEastAsia"/>
                <w:b/>
                <w:kern w:val="0"/>
                <w:sz w:val="24"/>
              </w:rPr>
              <w:t>（一）、</w:t>
            </w:r>
            <w:r>
              <w:rPr>
                <w:rFonts w:hint="eastAsia" w:eastAsiaTheme="minorEastAsia"/>
                <w:b/>
                <w:kern w:val="0"/>
                <w:sz w:val="24"/>
              </w:rPr>
              <w:t>依托</w:t>
            </w:r>
            <w:r>
              <w:rPr>
                <w:rFonts w:eastAsiaTheme="minorEastAsia"/>
                <w:b/>
                <w:kern w:val="0"/>
                <w:sz w:val="24"/>
              </w:rPr>
              <w:t>环保措施</w:t>
            </w:r>
          </w:p>
          <w:p>
            <w:pPr>
              <w:widowControl/>
              <w:spacing w:line="360" w:lineRule="auto"/>
              <w:ind w:firstLine="480" w:firstLineChars="200"/>
              <w:jc w:val="left"/>
              <w:rPr>
                <w:rFonts w:eastAsiaTheme="minorEastAsia"/>
                <w:kern w:val="0"/>
                <w:sz w:val="24"/>
              </w:rPr>
            </w:pPr>
            <w:r>
              <w:rPr>
                <w:rFonts w:eastAsiaTheme="minorEastAsia"/>
                <w:kern w:val="0"/>
                <w:sz w:val="24"/>
              </w:rPr>
              <w:t>项目已有环保措施主要为：</w:t>
            </w:r>
          </w:p>
          <w:p>
            <w:pPr>
              <w:widowControl/>
              <w:spacing w:line="360" w:lineRule="auto"/>
              <w:ind w:firstLine="480" w:firstLineChars="200"/>
              <w:jc w:val="left"/>
              <w:rPr>
                <w:rFonts w:eastAsiaTheme="minorEastAsia"/>
                <w:kern w:val="0"/>
                <w:sz w:val="24"/>
              </w:rPr>
            </w:pPr>
            <w:r>
              <w:rPr>
                <w:rFonts w:eastAsiaTheme="minorEastAsia"/>
                <w:kern w:val="0"/>
                <w:sz w:val="24"/>
              </w:rPr>
              <w:t>（1）废气</w:t>
            </w:r>
          </w:p>
          <w:p>
            <w:pPr>
              <w:widowControl/>
              <w:spacing w:line="360" w:lineRule="auto"/>
              <w:ind w:firstLine="480" w:firstLineChars="200"/>
              <w:jc w:val="left"/>
              <w:rPr>
                <w:rFonts w:eastAsiaTheme="minorEastAsia"/>
                <w:kern w:val="0"/>
                <w:sz w:val="24"/>
              </w:rPr>
            </w:pPr>
            <w:r>
              <w:rPr>
                <w:rFonts w:hint="eastAsia" w:ascii="宋体" w:hAnsi="宋体" w:cs="宋体"/>
                <w:kern w:val="0"/>
                <w:sz w:val="24"/>
              </w:rPr>
              <w:t>①</w:t>
            </w:r>
            <w:r>
              <w:rPr>
                <w:rFonts w:hint="eastAsia" w:eastAsiaTheme="minorEastAsia"/>
                <w:kern w:val="0"/>
                <w:sz w:val="24"/>
              </w:rPr>
              <w:t>基地</w:t>
            </w:r>
            <w:r>
              <w:rPr>
                <w:rFonts w:eastAsiaTheme="minorEastAsia"/>
                <w:kern w:val="0"/>
                <w:sz w:val="24"/>
              </w:rPr>
              <w:t>内设置绿化，扣除本项目占地后总绿化面积</w:t>
            </w:r>
            <w:r>
              <w:rPr>
                <w:rFonts w:hint="eastAsia" w:eastAsiaTheme="minorEastAsia"/>
                <w:kern w:val="0"/>
                <w:sz w:val="24"/>
              </w:rPr>
              <w:t>8</w:t>
            </w:r>
            <w:r>
              <w:rPr>
                <w:rFonts w:eastAsiaTheme="minorEastAsia"/>
                <w:kern w:val="0"/>
                <w:sz w:val="24"/>
              </w:rPr>
              <w:t>0000㎡；</w:t>
            </w:r>
          </w:p>
          <w:p>
            <w:pPr>
              <w:widowControl/>
              <w:spacing w:line="360" w:lineRule="auto"/>
              <w:ind w:firstLine="480" w:firstLineChars="200"/>
              <w:jc w:val="left"/>
              <w:rPr>
                <w:rFonts w:eastAsiaTheme="minorEastAsia"/>
                <w:kern w:val="0"/>
                <w:sz w:val="24"/>
              </w:rPr>
            </w:pPr>
            <w:r>
              <w:rPr>
                <w:rFonts w:hint="eastAsia" w:ascii="宋体" w:hAnsi="宋体" w:cs="宋体"/>
                <w:kern w:val="0"/>
                <w:sz w:val="24"/>
              </w:rPr>
              <w:t>②焊接烟尘依托一期</w:t>
            </w:r>
            <w:r>
              <w:rPr>
                <w:rFonts w:eastAsiaTheme="minorEastAsia"/>
                <w:kern w:val="0"/>
                <w:sz w:val="24"/>
              </w:rPr>
              <w:t>焊接车间设置2套移动式焊接烟尘净化装置，再通过车间设置2套除尘除湿系统处理，处理后的焊接废气在车间循环使用。</w:t>
            </w:r>
          </w:p>
          <w:p>
            <w:pPr>
              <w:widowControl/>
              <w:spacing w:line="360" w:lineRule="auto"/>
              <w:ind w:firstLine="480" w:firstLineChars="200"/>
              <w:jc w:val="left"/>
              <w:rPr>
                <w:rFonts w:eastAsiaTheme="minorEastAsia"/>
                <w:kern w:val="0"/>
                <w:sz w:val="24"/>
              </w:rPr>
            </w:pPr>
            <w:r>
              <w:rPr>
                <w:rFonts w:hint="eastAsia" w:eastAsiaTheme="minorEastAsia"/>
                <w:kern w:val="0"/>
                <w:sz w:val="24"/>
              </w:rPr>
              <w:t>③喷砂废气依托</w:t>
            </w:r>
            <w:r>
              <w:rPr>
                <w:rFonts w:eastAsiaTheme="minorEastAsia"/>
                <w:kern w:val="0"/>
                <w:sz w:val="24"/>
              </w:rPr>
              <w:t>喷砂车间内喷砂采用全自动封闭系统，并设置有砂回收装置，共设置2套滤筒干式过滤除尘装置（旋风除尘+滤筒除尘）收集处理喷砂过程粉尘，处理后通过2根16m高排气筒对空排放（1#、2#排气筒）。</w:t>
            </w:r>
          </w:p>
          <w:p>
            <w:pPr>
              <w:widowControl/>
              <w:spacing w:line="360" w:lineRule="auto"/>
              <w:ind w:firstLine="480" w:firstLineChars="200"/>
              <w:jc w:val="left"/>
              <w:rPr>
                <w:rFonts w:eastAsiaTheme="minorEastAsia"/>
                <w:kern w:val="0"/>
                <w:sz w:val="24"/>
              </w:rPr>
            </w:pPr>
            <w:r>
              <w:rPr>
                <w:rFonts w:hint="eastAsia" w:eastAsiaTheme="minorEastAsia"/>
                <w:kern w:val="0"/>
                <w:sz w:val="24"/>
              </w:rPr>
              <w:t>④</w:t>
            </w:r>
            <w:r>
              <w:rPr>
                <w:rFonts w:eastAsiaTheme="minorEastAsia"/>
                <w:kern w:val="0"/>
                <w:sz w:val="24"/>
              </w:rPr>
              <w:t>表面处理打磨废气依托一期已建成打磨房的</w:t>
            </w:r>
            <w:r>
              <w:rPr>
                <w:rFonts w:hint="eastAsia" w:eastAsiaTheme="minorEastAsia"/>
                <w:kern w:val="0"/>
                <w:sz w:val="24"/>
              </w:rPr>
              <w:t>8套</w:t>
            </w:r>
            <w:r>
              <w:rPr>
                <w:rFonts w:eastAsiaTheme="minorEastAsia"/>
                <w:kern w:val="0"/>
                <w:sz w:val="24"/>
              </w:rPr>
              <w:t>废气处置系统（旋风除尘+滤芯过滤+空气动力过滤）处理，处理后通过</w:t>
            </w:r>
            <w:r>
              <w:rPr>
                <w:rFonts w:hint="eastAsia" w:eastAsiaTheme="minorEastAsia"/>
                <w:kern w:val="0"/>
                <w:sz w:val="24"/>
              </w:rPr>
              <w:t>8根1</w:t>
            </w:r>
            <w:r>
              <w:rPr>
                <w:rFonts w:eastAsiaTheme="minorEastAsia"/>
                <w:kern w:val="0"/>
                <w:sz w:val="24"/>
              </w:rPr>
              <w:t>6m高排气筒对空排放。</w:t>
            </w:r>
          </w:p>
          <w:p>
            <w:pPr>
              <w:widowControl/>
              <w:spacing w:line="360" w:lineRule="auto"/>
              <w:ind w:firstLine="480" w:firstLineChars="200"/>
              <w:jc w:val="left"/>
              <w:rPr>
                <w:rFonts w:eastAsiaTheme="minorEastAsia"/>
                <w:kern w:val="0"/>
                <w:sz w:val="24"/>
              </w:rPr>
            </w:pPr>
            <w:r>
              <w:rPr>
                <w:rFonts w:hint="eastAsia" w:eastAsiaTheme="minorEastAsia"/>
                <w:kern w:val="0"/>
                <w:sz w:val="24"/>
              </w:rPr>
              <w:t>⑤喷漆废气依托一期已建成喷漆房</w:t>
            </w:r>
            <w:r>
              <w:rPr>
                <w:rFonts w:eastAsiaTheme="minorEastAsia"/>
                <w:kern w:val="0"/>
                <w:sz w:val="24"/>
              </w:rPr>
              <w:t>16套废气处置系统（过滤棉吸附+活性炭箱吸附）处理，处理后通过</w:t>
            </w:r>
            <w:r>
              <w:rPr>
                <w:rFonts w:hint="eastAsia" w:eastAsiaTheme="minorEastAsia"/>
                <w:kern w:val="0"/>
                <w:sz w:val="24"/>
              </w:rPr>
              <w:t>1</w:t>
            </w:r>
            <w:r>
              <w:rPr>
                <w:rFonts w:eastAsiaTheme="minorEastAsia"/>
                <w:kern w:val="0"/>
                <w:sz w:val="24"/>
              </w:rPr>
              <w:t>6根</w:t>
            </w:r>
            <w:r>
              <w:rPr>
                <w:rFonts w:hint="eastAsia" w:eastAsiaTheme="minorEastAsia"/>
                <w:kern w:val="0"/>
                <w:sz w:val="24"/>
              </w:rPr>
              <w:t>1</w:t>
            </w:r>
            <w:r>
              <w:rPr>
                <w:rFonts w:eastAsiaTheme="minorEastAsia"/>
                <w:kern w:val="0"/>
                <w:sz w:val="24"/>
              </w:rPr>
              <w:t>6m高排气筒对空排放。</w:t>
            </w:r>
          </w:p>
          <w:p>
            <w:pPr>
              <w:widowControl/>
              <w:spacing w:line="360" w:lineRule="auto"/>
              <w:ind w:firstLine="480" w:firstLineChars="200"/>
              <w:jc w:val="left"/>
              <w:rPr>
                <w:rFonts w:eastAsiaTheme="minorEastAsia"/>
                <w:kern w:val="0"/>
                <w:sz w:val="24"/>
              </w:rPr>
            </w:pPr>
            <w:r>
              <w:rPr>
                <w:rFonts w:hint="eastAsia" w:eastAsiaTheme="minorEastAsia"/>
                <w:kern w:val="0"/>
                <w:sz w:val="24"/>
              </w:rPr>
              <w:t>⑥</w:t>
            </w:r>
            <w:r>
              <w:rPr>
                <w:rFonts w:eastAsiaTheme="minorEastAsia"/>
                <w:kern w:val="0"/>
                <w:sz w:val="24"/>
              </w:rPr>
              <w:t>依托食堂已建成油烟净化器和排气筒，油烟净化器处置效率均为80%，油烟处理后通过高于倒班宿舍楼顶1.5m排气筒对空排放。</w:t>
            </w:r>
          </w:p>
          <w:p>
            <w:pPr>
              <w:widowControl/>
              <w:spacing w:line="360" w:lineRule="auto"/>
              <w:ind w:firstLine="480" w:firstLineChars="200"/>
              <w:jc w:val="left"/>
              <w:rPr>
                <w:rFonts w:eastAsiaTheme="minorEastAsia"/>
                <w:kern w:val="0"/>
                <w:sz w:val="24"/>
              </w:rPr>
            </w:pPr>
            <w:r>
              <w:rPr>
                <w:rFonts w:eastAsiaTheme="minorEastAsia"/>
                <w:kern w:val="0"/>
                <w:sz w:val="24"/>
              </w:rPr>
              <w:t>（2）废水</w:t>
            </w:r>
          </w:p>
          <w:p>
            <w:pPr>
              <w:widowControl/>
              <w:spacing w:line="360" w:lineRule="auto"/>
              <w:ind w:firstLine="480" w:firstLineChars="200"/>
              <w:jc w:val="left"/>
              <w:rPr>
                <w:rFonts w:eastAsiaTheme="minorEastAsia"/>
                <w:kern w:val="0"/>
                <w:sz w:val="24"/>
              </w:rPr>
            </w:pPr>
            <w:r>
              <w:rPr>
                <w:rFonts w:hint="eastAsia" w:ascii="宋体" w:hAnsi="宋体" w:cs="宋体"/>
                <w:kern w:val="0"/>
                <w:sz w:val="24"/>
              </w:rPr>
              <w:t>①</w:t>
            </w:r>
            <w:r>
              <w:rPr>
                <w:rFonts w:eastAsiaTheme="minorEastAsia"/>
                <w:kern w:val="0"/>
                <w:sz w:val="24"/>
              </w:rPr>
              <w:t>生产废水依托已建成1座85m³/d污水处理站，采用ICEAS工艺。</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②</w:t>
            </w:r>
            <w:r>
              <w:rPr>
                <w:rFonts w:ascii="宋体" w:hAnsi="宋体" w:cs="宋体"/>
                <w:kern w:val="0"/>
                <w:sz w:val="24"/>
              </w:rPr>
              <w:t>生活污水依托已建成1座25m³化粪池进行处理。</w:t>
            </w:r>
          </w:p>
          <w:p>
            <w:pPr>
              <w:widowControl/>
              <w:spacing w:line="360" w:lineRule="auto"/>
              <w:ind w:firstLine="480" w:firstLineChars="200"/>
              <w:jc w:val="left"/>
              <w:rPr>
                <w:rFonts w:eastAsiaTheme="minorEastAsia"/>
                <w:kern w:val="0"/>
                <w:sz w:val="24"/>
              </w:rPr>
            </w:pPr>
            <w:r>
              <w:rPr>
                <w:rFonts w:ascii="宋体" w:hAnsi="宋体" w:cs="宋体"/>
                <w:kern w:val="0"/>
                <w:sz w:val="24"/>
              </w:rPr>
              <w:t>③依托已建成食堂5m³隔油池处理食堂含油废水</w:t>
            </w:r>
            <w:r>
              <w:rPr>
                <w:rFonts w:eastAsiaTheme="minorEastAsia"/>
                <w:kern w:val="0"/>
                <w:sz w:val="24"/>
              </w:rPr>
              <w:t>。</w:t>
            </w:r>
          </w:p>
          <w:p>
            <w:pPr>
              <w:widowControl/>
              <w:spacing w:line="360" w:lineRule="auto"/>
              <w:ind w:firstLine="480" w:firstLineChars="200"/>
              <w:jc w:val="left"/>
              <w:rPr>
                <w:rFonts w:eastAsiaTheme="minorEastAsia"/>
                <w:kern w:val="0"/>
                <w:sz w:val="24"/>
              </w:rPr>
            </w:pPr>
            <w:r>
              <w:rPr>
                <w:rFonts w:hint="eastAsia" w:ascii="宋体" w:hAnsi="宋体" w:cs="宋体"/>
                <w:kern w:val="0"/>
                <w:sz w:val="24"/>
              </w:rPr>
              <w:t>④</w:t>
            </w:r>
            <w:r>
              <w:rPr>
                <w:rFonts w:ascii="宋体" w:hAnsi="宋体" w:cs="宋体"/>
                <w:kern w:val="0"/>
                <w:sz w:val="24"/>
              </w:rPr>
              <w:t>车辆清洗废水和地坪清洗水依托已建成一期项目18m³隔油池进行处理。</w:t>
            </w:r>
          </w:p>
          <w:p>
            <w:pPr>
              <w:widowControl/>
              <w:spacing w:line="360" w:lineRule="auto"/>
              <w:ind w:firstLine="480" w:firstLineChars="200"/>
              <w:jc w:val="left"/>
              <w:rPr>
                <w:rFonts w:eastAsiaTheme="minorEastAsia"/>
                <w:kern w:val="0"/>
                <w:sz w:val="24"/>
              </w:rPr>
            </w:pPr>
            <w:r>
              <w:rPr>
                <w:rFonts w:eastAsiaTheme="minorEastAsia"/>
                <w:kern w:val="0"/>
                <w:sz w:val="24"/>
              </w:rPr>
              <w:t>（3）固体废弃物</w:t>
            </w:r>
          </w:p>
          <w:p>
            <w:pPr>
              <w:widowControl/>
              <w:spacing w:line="360" w:lineRule="auto"/>
              <w:ind w:firstLine="480" w:firstLineChars="200"/>
              <w:jc w:val="left"/>
              <w:rPr>
                <w:rFonts w:eastAsiaTheme="minorEastAsia"/>
                <w:kern w:val="0"/>
                <w:sz w:val="24"/>
              </w:rPr>
            </w:pPr>
            <w:r>
              <w:rPr>
                <w:rFonts w:hint="eastAsia" w:ascii="宋体" w:hAnsi="宋体" w:cs="宋体"/>
                <w:kern w:val="0"/>
                <w:sz w:val="24"/>
              </w:rPr>
              <w:t>①</w:t>
            </w:r>
            <w:r>
              <w:rPr>
                <w:rFonts w:hint="eastAsia" w:eastAsiaTheme="minorEastAsia"/>
                <w:kern w:val="0"/>
                <w:sz w:val="24"/>
              </w:rPr>
              <w:t>依托一期</w:t>
            </w:r>
            <w:r>
              <w:rPr>
                <w:rFonts w:eastAsiaTheme="minorEastAsia"/>
                <w:kern w:val="0"/>
                <w:sz w:val="24"/>
              </w:rPr>
              <w:t>已建成的</w:t>
            </w:r>
            <w:r>
              <w:rPr>
                <w:rFonts w:hint="eastAsia" w:eastAsiaTheme="minorEastAsia"/>
                <w:kern w:val="0"/>
                <w:sz w:val="24"/>
              </w:rPr>
              <w:t>5</w:t>
            </w:r>
            <w:r>
              <w:rPr>
                <w:rFonts w:eastAsiaTheme="minorEastAsia"/>
                <w:kern w:val="0"/>
                <w:sz w:val="24"/>
              </w:rPr>
              <w:t>0㎡危废暂存间</w:t>
            </w:r>
            <w:r>
              <w:rPr>
                <w:rFonts w:hint="eastAsia" w:eastAsiaTheme="minorEastAsia"/>
                <w:kern w:val="0"/>
                <w:sz w:val="24"/>
              </w:rPr>
              <w:t>咱村本项目</w:t>
            </w:r>
            <w:r>
              <w:rPr>
                <w:rFonts w:eastAsiaTheme="minorEastAsia"/>
                <w:kern w:val="0"/>
                <w:sz w:val="24"/>
              </w:rPr>
              <w:t>危险废物，委托云南丰源大地环保有限公司清运处置。</w:t>
            </w:r>
          </w:p>
          <w:p>
            <w:pPr>
              <w:widowControl/>
              <w:spacing w:line="360" w:lineRule="auto"/>
              <w:ind w:firstLine="480" w:firstLineChars="200"/>
              <w:jc w:val="left"/>
              <w:rPr>
                <w:rFonts w:eastAsiaTheme="minorEastAsia"/>
                <w:kern w:val="0"/>
                <w:sz w:val="24"/>
              </w:rPr>
            </w:pPr>
            <w:r>
              <w:rPr>
                <w:rFonts w:eastAsiaTheme="minorEastAsia"/>
                <w:kern w:val="0"/>
                <w:sz w:val="24"/>
              </w:rPr>
              <w:t>项目目前已与</w:t>
            </w:r>
            <w:r>
              <w:rPr>
                <w:rFonts w:hint="eastAsia" w:eastAsiaTheme="minorEastAsia"/>
                <w:kern w:val="0"/>
                <w:sz w:val="24"/>
              </w:rPr>
              <w:t>云南丰源大地环保有限公司</w:t>
            </w:r>
            <w:r>
              <w:rPr>
                <w:rFonts w:eastAsiaTheme="minorEastAsia"/>
                <w:kern w:val="0"/>
                <w:sz w:val="24"/>
              </w:rPr>
              <w:t>签订了处置协议，并已</w:t>
            </w:r>
            <w:r>
              <w:rPr>
                <w:rFonts w:hint="eastAsia" w:eastAsiaTheme="minorEastAsia"/>
                <w:kern w:val="0"/>
                <w:sz w:val="24"/>
              </w:rPr>
              <w:t>按照要求</w:t>
            </w:r>
            <w:r>
              <w:rPr>
                <w:rFonts w:eastAsiaTheme="minorEastAsia"/>
                <w:kern w:val="0"/>
                <w:sz w:val="24"/>
              </w:rPr>
              <w:t>设置了危废暂存间和危废管理制度。</w:t>
            </w:r>
          </w:p>
          <w:p>
            <w:pPr>
              <w:widowControl/>
              <w:spacing w:line="360" w:lineRule="auto"/>
              <w:ind w:firstLine="480" w:firstLineChars="200"/>
              <w:jc w:val="left"/>
              <w:rPr>
                <w:rFonts w:eastAsiaTheme="minorEastAsia"/>
                <w:kern w:val="0"/>
                <w:sz w:val="24"/>
              </w:rPr>
            </w:pPr>
            <w:r>
              <w:rPr>
                <w:rFonts w:hint="eastAsia" w:ascii="宋体" w:hAnsi="宋体" w:cs="宋体"/>
                <w:kern w:val="0"/>
                <w:sz w:val="24"/>
              </w:rPr>
              <w:t>②</w:t>
            </w:r>
            <w:r>
              <w:rPr>
                <w:rFonts w:eastAsiaTheme="minorEastAsia"/>
                <w:kern w:val="0"/>
                <w:sz w:val="24"/>
              </w:rPr>
              <w:t>生活垃圾设置垃圾桶收集，收集后由环卫部门清运处置。</w:t>
            </w:r>
          </w:p>
          <w:p>
            <w:pPr>
              <w:widowControl/>
              <w:spacing w:line="360" w:lineRule="auto"/>
              <w:ind w:firstLine="482" w:firstLineChars="200"/>
              <w:jc w:val="left"/>
              <w:rPr>
                <w:rFonts w:eastAsiaTheme="minorEastAsia"/>
                <w:b/>
                <w:kern w:val="0"/>
                <w:sz w:val="24"/>
              </w:rPr>
            </w:pPr>
            <w:r>
              <w:rPr>
                <w:rFonts w:eastAsiaTheme="minorEastAsia"/>
                <w:b/>
                <w:kern w:val="0"/>
                <w:sz w:val="24"/>
              </w:rPr>
              <w:t>（二）、本次评价新增环保措施</w:t>
            </w:r>
          </w:p>
          <w:p>
            <w:pPr>
              <w:widowControl/>
              <w:spacing w:line="360" w:lineRule="auto"/>
              <w:ind w:firstLine="482" w:firstLineChars="200"/>
              <w:jc w:val="left"/>
              <w:rPr>
                <w:rFonts w:eastAsiaTheme="minorEastAsia"/>
                <w:b/>
                <w:kern w:val="0"/>
                <w:sz w:val="24"/>
              </w:rPr>
            </w:pPr>
            <w:r>
              <w:rPr>
                <w:rFonts w:eastAsiaTheme="minorEastAsia"/>
                <w:b/>
                <w:kern w:val="0"/>
                <w:sz w:val="24"/>
              </w:rPr>
              <w:t>（1）废气</w:t>
            </w:r>
          </w:p>
          <w:p>
            <w:pPr>
              <w:widowControl/>
              <w:spacing w:line="360" w:lineRule="auto"/>
              <w:ind w:firstLine="480" w:firstLineChars="200"/>
              <w:jc w:val="left"/>
              <w:rPr>
                <w:rFonts w:eastAsiaTheme="minorEastAsia"/>
                <w:kern w:val="0"/>
                <w:sz w:val="24"/>
              </w:rPr>
            </w:pPr>
            <w:r>
              <w:rPr>
                <w:rFonts w:eastAsiaTheme="minorEastAsia"/>
                <w:kern w:val="0"/>
                <w:sz w:val="24"/>
              </w:rPr>
              <w:t>（1）项目内</w:t>
            </w:r>
            <w:r>
              <w:rPr>
                <w:rFonts w:hint="eastAsia" w:eastAsiaTheme="minorEastAsia"/>
                <w:kern w:val="0"/>
                <w:sz w:val="24"/>
              </w:rPr>
              <w:t>绿化</w:t>
            </w:r>
            <w:r>
              <w:rPr>
                <w:rFonts w:eastAsiaTheme="minorEastAsia"/>
                <w:kern w:val="0"/>
                <w:sz w:val="24"/>
              </w:rPr>
              <w:t>以低矮草丛为主，应加强绿化</w:t>
            </w:r>
            <w:r>
              <w:rPr>
                <w:rFonts w:hint="eastAsia" w:eastAsiaTheme="minorEastAsia"/>
                <w:kern w:val="0"/>
                <w:sz w:val="24"/>
              </w:rPr>
              <w:t>，</w:t>
            </w:r>
            <w:r>
              <w:rPr>
                <w:rFonts w:eastAsiaTheme="minorEastAsia"/>
                <w:kern w:val="0"/>
                <w:sz w:val="24"/>
              </w:rPr>
              <w:t>注意绿化植物品种的多样性，利用植物吸收净化废气和异味。</w:t>
            </w:r>
          </w:p>
          <w:p>
            <w:pPr>
              <w:widowControl/>
              <w:spacing w:line="360" w:lineRule="auto"/>
              <w:ind w:firstLine="480" w:firstLineChars="200"/>
              <w:jc w:val="left"/>
              <w:rPr>
                <w:rFonts w:eastAsiaTheme="minorEastAsia"/>
                <w:kern w:val="0"/>
                <w:sz w:val="24"/>
              </w:rPr>
            </w:pPr>
            <w:r>
              <w:rPr>
                <w:rFonts w:eastAsiaTheme="minorEastAsia"/>
                <w:kern w:val="0"/>
                <w:sz w:val="24"/>
              </w:rPr>
              <w:t>（2）保持项目内的清洁卫生，减少地面扬尘污染对环境空气的影响。</w:t>
            </w:r>
          </w:p>
          <w:p>
            <w:pPr>
              <w:widowControl/>
              <w:spacing w:line="360" w:lineRule="auto"/>
              <w:ind w:firstLine="480" w:firstLineChars="200"/>
              <w:jc w:val="left"/>
              <w:rPr>
                <w:rFonts w:eastAsiaTheme="minorEastAsia"/>
                <w:kern w:val="0"/>
                <w:sz w:val="24"/>
                <w:szCs w:val="21"/>
              </w:rPr>
            </w:pPr>
            <w:r>
              <w:rPr>
                <w:rFonts w:eastAsiaTheme="minorEastAsia"/>
                <w:kern w:val="0"/>
                <w:sz w:val="24"/>
              </w:rPr>
              <w:t>（4）加强</w:t>
            </w:r>
            <w:r>
              <w:rPr>
                <w:rFonts w:hint="eastAsia" w:eastAsiaTheme="minorEastAsia"/>
                <w:kern w:val="0"/>
                <w:sz w:val="24"/>
              </w:rPr>
              <w:t>废气处置设施</w:t>
            </w:r>
            <w:r>
              <w:rPr>
                <w:rFonts w:eastAsiaTheme="minorEastAsia"/>
                <w:kern w:val="0"/>
                <w:sz w:val="24"/>
              </w:rPr>
              <w:t>日常维护管理</w:t>
            </w:r>
            <w:r>
              <w:rPr>
                <w:rFonts w:eastAsiaTheme="minorEastAsia"/>
                <w:kern w:val="0"/>
                <w:sz w:val="24"/>
                <w:szCs w:val="21"/>
              </w:rPr>
              <w:t>。</w:t>
            </w:r>
          </w:p>
          <w:p>
            <w:pPr>
              <w:widowControl/>
              <w:spacing w:line="360" w:lineRule="auto"/>
              <w:ind w:firstLine="482" w:firstLineChars="200"/>
              <w:jc w:val="left"/>
              <w:rPr>
                <w:rFonts w:eastAsiaTheme="minorEastAsia"/>
                <w:b/>
                <w:kern w:val="0"/>
                <w:sz w:val="24"/>
              </w:rPr>
            </w:pPr>
            <w:r>
              <w:rPr>
                <w:rFonts w:eastAsiaTheme="minorEastAsia"/>
                <w:b/>
                <w:kern w:val="0"/>
                <w:sz w:val="24"/>
              </w:rPr>
              <w:t>（2）废水</w:t>
            </w:r>
          </w:p>
          <w:p>
            <w:pPr>
              <w:widowControl/>
              <w:spacing w:line="360" w:lineRule="auto"/>
              <w:ind w:firstLine="480" w:firstLineChars="200"/>
              <w:jc w:val="left"/>
              <w:rPr>
                <w:rFonts w:eastAsiaTheme="minorEastAsia"/>
                <w:kern w:val="0"/>
                <w:sz w:val="24"/>
                <w:highlight w:val="yellow"/>
              </w:rPr>
            </w:pPr>
            <w:r>
              <w:rPr>
                <w:rFonts w:eastAsiaTheme="minorEastAsia"/>
                <w:kern w:val="0"/>
                <w:sz w:val="24"/>
              </w:rPr>
              <w:t>（1）项目后续运行必须严格按已有排水方案进行。保证运营期项目排水完全实现雨、污分流。</w:t>
            </w:r>
            <w:r>
              <w:rPr>
                <w:rFonts w:hint="eastAsia" w:eastAsiaTheme="minorEastAsia"/>
                <w:kern w:val="0"/>
                <w:sz w:val="24"/>
              </w:rPr>
              <w:t>生产废水通过一期已建隔油池处理后排入污水处理站，餐饮废水通过已建餐饮废水隔油池处理后同其他生活污水一同排入化粪池处理后排入污水处理站。近期处理后非雨天回用于厂区绿化，雨天在污水处理站暂存；远期处理后非雨天回用于厂区绿化，雨天通过总排口排入滇池南岸截污管网，最终进入淤泥河污水处理厂。回用水水质执行执行</w:t>
            </w:r>
            <w:r>
              <w:rPr>
                <w:rFonts w:eastAsiaTheme="minorEastAsia"/>
                <w:kern w:val="0"/>
                <w:sz w:val="24"/>
              </w:rPr>
              <w:t>GB/T 18920-2020《城市污水再生利用 城市杂用水水质》绿化标准</w:t>
            </w:r>
            <w:r>
              <w:rPr>
                <w:rFonts w:hint="eastAsia" w:eastAsiaTheme="minorEastAsia"/>
                <w:kern w:val="0"/>
                <w:sz w:val="24"/>
              </w:rPr>
              <w:t>，总排口水质执行</w:t>
            </w:r>
            <w:r>
              <w:rPr>
                <w:rFonts w:eastAsiaTheme="minorEastAsia"/>
                <w:kern w:val="0"/>
                <w:sz w:val="24"/>
              </w:rPr>
              <w:t>《污水排入城镇下水道水质标准》（GB/T 31962-2015）中A等级标准。</w:t>
            </w:r>
          </w:p>
          <w:p>
            <w:pPr>
              <w:widowControl/>
              <w:adjustRightInd w:val="0"/>
              <w:snapToGrid w:val="0"/>
              <w:spacing w:line="360" w:lineRule="auto"/>
              <w:ind w:firstLine="480" w:firstLineChars="200"/>
              <w:jc w:val="left"/>
              <w:rPr>
                <w:rFonts w:eastAsiaTheme="minorEastAsia"/>
                <w:kern w:val="0"/>
                <w:sz w:val="24"/>
              </w:rPr>
            </w:pPr>
            <w:r>
              <w:rPr>
                <w:rFonts w:eastAsiaTheme="minorEastAsia"/>
                <w:kern w:val="0"/>
                <w:sz w:val="24"/>
              </w:rPr>
              <w:t>（2）项目污水处理设施必须严格管理以保证其正常运行，避免噪声及异味扰民。</w:t>
            </w:r>
          </w:p>
          <w:p>
            <w:pPr>
              <w:widowControl/>
              <w:adjustRightInd w:val="0"/>
              <w:snapToGrid w:val="0"/>
              <w:spacing w:line="360" w:lineRule="auto"/>
              <w:ind w:firstLine="480" w:firstLineChars="200"/>
              <w:jc w:val="left"/>
              <w:rPr>
                <w:rFonts w:eastAsiaTheme="minorEastAsia"/>
                <w:kern w:val="0"/>
                <w:sz w:val="24"/>
              </w:rPr>
            </w:pPr>
            <w:r>
              <w:rPr>
                <w:rFonts w:eastAsiaTheme="minorEastAsia"/>
                <w:kern w:val="0"/>
                <w:sz w:val="24"/>
              </w:rPr>
              <w:t>（3）本环评要求建设方</w:t>
            </w:r>
            <w:r>
              <w:rPr>
                <w:rFonts w:hint="eastAsia" w:eastAsiaTheme="minorEastAsia"/>
                <w:kern w:val="0"/>
                <w:sz w:val="24"/>
              </w:rPr>
              <w:t>预留</w:t>
            </w:r>
            <w:r>
              <w:rPr>
                <w:rFonts w:eastAsiaTheme="minorEastAsia"/>
                <w:kern w:val="0"/>
                <w:sz w:val="24"/>
              </w:rPr>
              <w:t>排污口。</w:t>
            </w:r>
          </w:p>
          <w:p>
            <w:pPr>
              <w:widowControl/>
              <w:adjustRightInd w:val="0"/>
              <w:snapToGrid w:val="0"/>
              <w:spacing w:line="360" w:lineRule="auto"/>
              <w:ind w:firstLine="480" w:firstLineChars="200"/>
              <w:jc w:val="left"/>
              <w:rPr>
                <w:rFonts w:eastAsiaTheme="minorEastAsia"/>
                <w:kern w:val="0"/>
                <w:sz w:val="24"/>
              </w:rPr>
            </w:pPr>
            <w:r>
              <w:rPr>
                <w:rFonts w:eastAsiaTheme="minorEastAsia"/>
                <w:kern w:val="0"/>
                <w:sz w:val="24"/>
              </w:rPr>
              <w:t>（</w:t>
            </w:r>
            <w:r>
              <w:rPr>
                <w:rFonts w:hint="eastAsia" w:eastAsiaTheme="minorEastAsia"/>
                <w:kern w:val="0"/>
                <w:sz w:val="24"/>
              </w:rPr>
              <w:t>4</w:t>
            </w:r>
            <w:r>
              <w:rPr>
                <w:rFonts w:eastAsiaTheme="minorEastAsia"/>
                <w:kern w:val="0"/>
                <w:sz w:val="24"/>
              </w:rPr>
              <w:t>）原有污水处理站清水池不能满足储存需求，本次评价要求设置对其进行扩建，扩建后容积不小于</w:t>
            </w:r>
            <w:r>
              <w:rPr>
                <w:rFonts w:hint="eastAsia" w:eastAsiaTheme="minorEastAsia"/>
                <w:kern w:val="0"/>
                <w:sz w:val="24"/>
              </w:rPr>
              <w:t>1</w:t>
            </w:r>
            <w:r>
              <w:rPr>
                <w:rFonts w:eastAsiaTheme="minorEastAsia"/>
                <w:kern w:val="0"/>
                <w:sz w:val="24"/>
              </w:rPr>
              <w:t>07m³。</w:t>
            </w:r>
          </w:p>
          <w:p>
            <w:pPr>
              <w:widowControl/>
              <w:adjustRightInd w:val="0"/>
              <w:snapToGrid w:val="0"/>
              <w:spacing w:line="360" w:lineRule="auto"/>
              <w:ind w:firstLine="480" w:firstLineChars="200"/>
              <w:jc w:val="left"/>
              <w:rPr>
                <w:rFonts w:eastAsiaTheme="minorEastAsia"/>
                <w:kern w:val="0"/>
                <w:sz w:val="24"/>
              </w:rPr>
            </w:pPr>
            <w:r>
              <w:rPr>
                <w:rFonts w:eastAsiaTheme="minorEastAsia"/>
                <w:kern w:val="0"/>
                <w:sz w:val="24"/>
              </w:rPr>
              <w:t>（5）定期维修和清理污水处理系统，以保证处理效率。并应加强排水管道的检修，配备专职人员定期巡查，避免因管道堵塞导致污水外泄污染内外环境。</w:t>
            </w:r>
          </w:p>
          <w:p>
            <w:pPr>
              <w:widowControl/>
              <w:spacing w:line="360" w:lineRule="auto"/>
              <w:ind w:firstLine="482" w:firstLineChars="200"/>
              <w:jc w:val="left"/>
              <w:rPr>
                <w:rFonts w:eastAsiaTheme="minorEastAsia"/>
                <w:b/>
                <w:kern w:val="0"/>
                <w:sz w:val="24"/>
              </w:rPr>
            </w:pPr>
            <w:r>
              <w:rPr>
                <w:rFonts w:eastAsiaTheme="minorEastAsia"/>
                <w:b/>
                <w:kern w:val="0"/>
                <w:sz w:val="24"/>
              </w:rPr>
              <w:t>（3）噪声</w:t>
            </w:r>
          </w:p>
          <w:p>
            <w:pPr>
              <w:widowControl/>
              <w:tabs>
                <w:tab w:val="left" w:pos="1080"/>
              </w:tabs>
              <w:spacing w:line="360" w:lineRule="auto"/>
              <w:ind w:firstLine="480" w:firstLineChars="200"/>
              <w:jc w:val="left"/>
              <w:rPr>
                <w:rFonts w:eastAsiaTheme="minorEastAsia"/>
                <w:kern w:val="0"/>
                <w:sz w:val="24"/>
              </w:rPr>
            </w:pPr>
            <w:r>
              <w:rPr>
                <w:rFonts w:eastAsiaTheme="minorEastAsia"/>
                <w:kern w:val="0"/>
                <w:sz w:val="24"/>
              </w:rPr>
              <w:t>（1）进出车辆要减速慢行，一般情况下禁止鸣笛，以控制噪声。</w:t>
            </w:r>
          </w:p>
          <w:p>
            <w:pPr>
              <w:widowControl/>
              <w:spacing w:line="360" w:lineRule="auto"/>
              <w:ind w:firstLine="480" w:firstLineChars="200"/>
              <w:jc w:val="left"/>
              <w:rPr>
                <w:rFonts w:eastAsiaTheme="minorEastAsia"/>
                <w:kern w:val="0"/>
                <w:sz w:val="24"/>
              </w:rPr>
            </w:pPr>
            <w:r>
              <w:rPr>
                <w:rFonts w:eastAsiaTheme="minorEastAsia"/>
                <w:kern w:val="0"/>
                <w:sz w:val="24"/>
              </w:rPr>
              <w:t>（2）</w:t>
            </w:r>
            <w:r>
              <w:rPr>
                <w:rFonts w:hint="eastAsia" w:eastAsiaTheme="minorEastAsia"/>
                <w:kern w:val="0"/>
                <w:sz w:val="24"/>
              </w:rPr>
              <w:t>产噪较大的设备</w:t>
            </w:r>
            <w:r>
              <w:rPr>
                <w:rFonts w:eastAsiaTheme="minorEastAsia"/>
                <w:kern w:val="0"/>
                <w:sz w:val="24"/>
              </w:rPr>
              <w:t>安装在减震垫上，并对车间进行封闭。</w:t>
            </w:r>
          </w:p>
          <w:p>
            <w:pPr>
              <w:widowControl/>
              <w:adjustRightInd w:val="0"/>
              <w:snapToGrid w:val="0"/>
              <w:spacing w:line="360" w:lineRule="auto"/>
              <w:ind w:firstLine="480" w:firstLineChars="200"/>
              <w:jc w:val="left"/>
              <w:rPr>
                <w:rFonts w:eastAsiaTheme="minorEastAsia"/>
                <w:kern w:val="0"/>
                <w:sz w:val="24"/>
              </w:rPr>
            </w:pPr>
            <w:r>
              <w:rPr>
                <w:rFonts w:eastAsiaTheme="minorEastAsia"/>
                <w:kern w:val="0"/>
                <w:sz w:val="24"/>
              </w:rPr>
              <w:t>（3）加强绿化。</w:t>
            </w:r>
          </w:p>
          <w:p>
            <w:pPr>
              <w:widowControl/>
              <w:spacing w:line="360" w:lineRule="auto"/>
              <w:ind w:firstLine="482" w:firstLineChars="200"/>
              <w:jc w:val="left"/>
              <w:rPr>
                <w:rFonts w:eastAsiaTheme="minorEastAsia"/>
                <w:b/>
                <w:kern w:val="0"/>
                <w:sz w:val="24"/>
              </w:rPr>
            </w:pPr>
            <w:r>
              <w:rPr>
                <w:rFonts w:eastAsiaTheme="minorEastAsia"/>
                <w:b/>
                <w:kern w:val="0"/>
                <w:sz w:val="24"/>
              </w:rPr>
              <w:t>（4）固废</w:t>
            </w:r>
          </w:p>
          <w:p>
            <w:pPr>
              <w:spacing w:line="360" w:lineRule="auto"/>
              <w:ind w:firstLine="465"/>
              <w:rPr>
                <w:rFonts w:eastAsiaTheme="minorEastAsia"/>
                <w:sz w:val="24"/>
              </w:rPr>
            </w:pPr>
            <w:r>
              <w:rPr>
                <w:rFonts w:eastAsiaTheme="minorEastAsia"/>
                <w:sz w:val="24"/>
              </w:rPr>
              <w:t>（1）</w:t>
            </w:r>
            <w:r>
              <w:rPr>
                <w:rFonts w:hint="eastAsia" w:eastAsiaTheme="minorEastAsia"/>
                <w:sz w:val="24"/>
              </w:rPr>
              <w:t>一般固废</w:t>
            </w:r>
          </w:p>
          <w:p>
            <w:pPr>
              <w:spacing w:line="360" w:lineRule="auto"/>
              <w:ind w:firstLine="465"/>
              <w:rPr>
                <w:rFonts w:eastAsiaTheme="minorEastAsia"/>
                <w:sz w:val="24"/>
              </w:rPr>
            </w:pPr>
            <w:r>
              <w:rPr>
                <w:rFonts w:eastAsiaTheme="minorEastAsia"/>
                <w:sz w:val="24"/>
              </w:rPr>
              <w:t>项目</w:t>
            </w:r>
            <w:r>
              <w:rPr>
                <w:rFonts w:hint="eastAsia" w:eastAsiaTheme="minorEastAsia"/>
                <w:sz w:val="24"/>
              </w:rPr>
              <w:t>生活垃圾</w:t>
            </w:r>
            <w:r>
              <w:rPr>
                <w:rFonts w:eastAsiaTheme="minorEastAsia"/>
                <w:sz w:val="24"/>
              </w:rPr>
              <w:t>由环卫部门清运处置，泔水委托有资质的单位清运处置，维修替换部件、废砂</w:t>
            </w:r>
            <w:r>
              <w:rPr>
                <w:rFonts w:hint="eastAsia" w:eastAsiaTheme="minorEastAsia"/>
                <w:sz w:val="24"/>
              </w:rPr>
              <w:t>均由</w:t>
            </w:r>
            <w:r>
              <w:rPr>
                <w:rFonts w:eastAsiaTheme="minorEastAsia"/>
                <w:sz w:val="24"/>
              </w:rPr>
              <w:t>生产厂家回收，喷砂除尘灰和水性漆包装桶外售给物资回收单位。可以做到100%处置。</w:t>
            </w:r>
          </w:p>
          <w:p>
            <w:pPr>
              <w:spacing w:line="360" w:lineRule="auto"/>
              <w:ind w:firstLine="465"/>
              <w:rPr>
                <w:rFonts w:eastAsiaTheme="minorEastAsia"/>
                <w:sz w:val="24"/>
              </w:rPr>
            </w:pPr>
            <w:r>
              <w:rPr>
                <w:rFonts w:eastAsiaTheme="minorEastAsia"/>
                <w:sz w:val="24"/>
              </w:rPr>
              <w:t>（2）</w:t>
            </w:r>
            <w:r>
              <w:rPr>
                <w:rFonts w:hint="eastAsia" w:eastAsiaTheme="minorEastAsia"/>
                <w:sz w:val="24"/>
              </w:rPr>
              <w:t>危险废物</w:t>
            </w:r>
          </w:p>
          <w:p>
            <w:pPr>
              <w:spacing w:line="360" w:lineRule="auto"/>
              <w:ind w:firstLine="480" w:firstLineChars="200"/>
              <w:rPr>
                <w:rFonts w:eastAsiaTheme="minorEastAsia"/>
                <w:kern w:val="0"/>
                <w:sz w:val="24"/>
                <w:szCs w:val="20"/>
              </w:rPr>
            </w:pPr>
            <w:r>
              <w:rPr>
                <w:rFonts w:eastAsiaTheme="minorEastAsia"/>
                <w:sz w:val="24"/>
              </w:rPr>
              <w:t>项目危废主要为废过滤棉、废活性炭，隔油池废油、污泥，废机油，打磨废料，除锈废液，</w:t>
            </w:r>
            <w:r>
              <w:rPr>
                <w:rFonts w:hint="eastAsia" w:eastAsiaTheme="minorEastAsia"/>
                <w:sz w:val="24"/>
              </w:rPr>
              <w:t>分类收集</w:t>
            </w:r>
            <w:r>
              <w:rPr>
                <w:rFonts w:eastAsiaTheme="minorEastAsia"/>
                <w:sz w:val="24"/>
              </w:rPr>
              <w:t>，依托一期已建成危废暂存间。改危废暂存间位于联合厂房旁，与其它区域隔开，危废暂存间已进行三防措施，面积为</w:t>
            </w:r>
            <w:r>
              <w:rPr>
                <w:rFonts w:hint="eastAsia" w:eastAsiaTheme="minorEastAsia"/>
                <w:sz w:val="24"/>
              </w:rPr>
              <w:t>5</w:t>
            </w:r>
            <w:r>
              <w:rPr>
                <w:rFonts w:eastAsiaTheme="minorEastAsia"/>
                <w:sz w:val="24"/>
              </w:rPr>
              <w:t>0㎡，内部设置不同类型危废暂存区域并悬挂了标识牌，建设单位已与云南大地丰源环保有限公司签订了清运处置协议，并建立了台账管理制度。</w:t>
            </w:r>
          </w:p>
          <w:p>
            <w:pPr>
              <w:widowControl/>
              <w:adjustRightInd w:val="0"/>
              <w:snapToGrid w:val="0"/>
              <w:spacing w:line="360" w:lineRule="auto"/>
              <w:ind w:firstLine="480" w:firstLineChars="200"/>
              <w:rPr>
                <w:rFonts w:eastAsiaTheme="minorEastAsia"/>
                <w:kern w:val="0"/>
                <w:sz w:val="24"/>
              </w:rPr>
            </w:pPr>
          </w:p>
        </w:tc>
      </w:tr>
    </w:tbl>
    <w:p>
      <w:pPr>
        <w:adjustRightInd w:val="0"/>
        <w:snapToGrid w:val="0"/>
        <w:spacing w:line="360" w:lineRule="auto"/>
        <w:rPr>
          <w:b/>
          <w:kern w:val="0"/>
          <w:sz w:val="28"/>
          <w:szCs w:val="28"/>
        </w:rPr>
        <w:sectPr>
          <w:pgSz w:w="11907" w:h="16840"/>
          <w:pgMar w:top="1701" w:right="1531" w:bottom="2127" w:left="1531" w:header="851" w:footer="851" w:gutter="0"/>
          <w:cols w:space="720" w:num="1"/>
          <w:docGrid w:linePitch="312" w:charSpace="0"/>
        </w:sectPr>
      </w:pPr>
    </w:p>
    <w:p>
      <w:pPr>
        <w:pStyle w:val="39"/>
        <w:jc w:val="center"/>
        <w:outlineLvl w:val="0"/>
        <w:rPr>
          <w:rFonts w:ascii="Times New Roman" w:hAnsi="Times New Roman"/>
          <w:snapToGrid w:val="0"/>
          <w:sz w:val="30"/>
          <w:szCs w:val="30"/>
        </w:rPr>
      </w:pPr>
      <w:bookmarkStart w:id="135" w:name="_Toc69230301"/>
      <w:r>
        <w:rPr>
          <w:rFonts w:ascii="Times New Roman" w:hAnsi="Times New Roman"/>
          <w:snapToGrid w:val="0"/>
          <w:sz w:val="30"/>
          <w:szCs w:val="30"/>
        </w:rPr>
        <w:t>五、</w:t>
      </w:r>
      <w:bookmarkStart w:id="136" w:name="_Hlk54167917"/>
      <w:r>
        <w:rPr>
          <w:rFonts w:ascii="Times New Roman" w:hAnsi="Times New Roman"/>
          <w:snapToGrid w:val="0"/>
          <w:sz w:val="30"/>
          <w:szCs w:val="30"/>
        </w:rPr>
        <w:t>环境保护措施监督检查清单</w:t>
      </w:r>
      <w:bookmarkEnd w:id="135"/>
      <w:bookmarkEnd w:id="136"/>
    </w:p>
    <w:tbl>
      <w:tblPr>
        <w:tblStyle w:val="44"/>
        <w:tblW w:w="99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630"/>
        <w:gridCol w:w="1260"/>
        <w:gridCol w:w="1260"/>
        <w:gridCol w:w="4200"/>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jc w:val="center"/>
        </w:trPr>
        <w:tc>
          <w:tcPr>
            <w:tcW w:w="1155" w:type="dxa"/>
            <w:gridSpan w:val="2"/>
          </w:tcPr>
          <w:p>
            <w:pPr>
              <w:widowControl/>
              <w:jc w:val="left"/>
              <w:rPr>
                <w:color w:val="000000"/>
                <w:kern w:val="0"/>
                <w:szCs w:val="21"/>
              </w:rPr>
            </w:pPr>
            <w:r>
              <w:rPr>
                <w:b/>
                <w:color w:val="000000"/>
                <w:kern w:val="0"/>
                <w:szCs w:val="21"/>
              </w:rPr>
              <w:t>内容类型</w:t>
            </w:r>
          </w:p>
        </w:tc>
        <w:tc>
          <w:tcPr>
            <w:tcW w:w="1260" w:type="dxa"/>
            <w:vAlign w:val="center"/>
          </w:tcPr>
          <w:p>
            <w:pPr>
              <w:widowControl/>
              <w:jc w:val="center"/>
              <w:rPr>
                <w:b/>
                <w:color w:val="000000"/>
                <w:kern w:val="0"/>
                <w:szCs w:val="21"/>
              </w:rPr>
            </w:pPr>
            <w:r>
              <w:rPr>
                <w:b/>
                <w:snapToGrid w:val="0"/>
                <w:kern w:val="0"/>
                <w:szCs w:val="21"/>
              </w:rPr>
              <w:t>排放口</w:t>
            </w:r>
          </w:p>
        </w:tc>
        <w:tc>
          <w:tcPr>
            <w:tcW w:w="1260" w:type="dxa"/>
            <w:vAlign w:val="center"/>
          </w:tcPr>
          <w:p>
            <w:pPr>
              <w:widowControl/>
              <w:jc w:val="center"/>
              <w:rPr>
                <w:b/>
                <w:snapToGrid w:val="0"/>
                <w:kern w:val="0"/>
                <w:szCs w:val="21"/>
              </w:rPr>
            </w:pPr>
            <w:r>
              <w:rPr>
                <w:b/>
                <w:snapToGrid w:val="0"/>
                <w:kern w:val="0"/>
                <w:szCs w:val="21"/>
              </w:rPr>
              <w:t>污染物名称</w:t>
            </w:r>
          </w:p>
        </w:tc>
        <w:tc>
          <w:tcPr>
            <w:tcW w:w="4200" w:type="dxa"/>
            <w:vAlign w:val="center"/>
          </w:tcPr>
          <w:p>
            <w:pPr>
              <w:widowControl/>
              <w:jc w:val="center"/>
              <w:rPr>
                <w:b/>
                <w:snapToGrid w:val="0"/>
                <w:kern w:val="0"/>
                <w:szCs w:val="21"/>
              </w:rPr>
            </w:pPr>
            <w:r>
              <w:rPr>
                <w:b/>
                <w:color w:val="000000"/>
                <w:kern w:val="0"/>
                <w:szCs w:val="21"/>
              </w:rPr>
              <w:t>防治措施</w:t>
            </w:r>
          </w:p>
        </w:tc>
        <w:tc>
          <w:tcPr>
            <w:tcW w:w="2100" w:type="dxa"/>
            <w:vAlign w:val="center"/>
          </w:tcPr>
          <w:p>
            <w:pPr>
              <w:widowControl/>
              <w:jc w:val="center"/>
              <w:rPr>
                <w:b/>
                <w:color w:val="000000"/>
                <w:kern w:val="0"/>
                <w:szCs w:val="21"/>
              </w:rPr>
            </w:pPr>
            <w:r>
              <w:rPr>
                <w:b/>
                <w:color w:val="000000"/>
                <w:kern w:val="0"/>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1" w:hRule="atLeast"/>
          <w:jc w:val="center"/>
        </w:trPr>
        <w:tc>
          <w:tcPr>
            <w:tcW w:w="525" w:type="dxa"/>
            <w:vMerge w:val="restart"/>
            <w:vAlign w:val="center"/>
          </w:tcPr>
          <w:p>
            <w:pPr>
              <w:widowControl/>
              <w:overflowPunct w:val="0"/>
              <w:autoSpaceDE w:val="0"/>
              <w:autoSpaceDN w:val="0"/>
              <w:adjustRightInd w:val="0"/>
              <w:jc w:val="center"/>
              <w:textAlignment w:val="baseline"/>
              <w:rPr>
                <w:b/>
                <w:kern w:val="0"/>
                <w:szCs w:val="21"/>
              </w:rPr>
            </w:pPr>
            <w:r>
              <w:rPr>
                <w:b/>
                <w:kern w:val="0"/>
                <w:szCs w:val="21"/>
              </w:rPr>
              <w:t>大气</w:t>
            </w:r>
          </w:p>
          <w:p>
            <w:pPr>
              <w:widowControl/>
              <w:overflowPunct w:val="0"/>
              <w:autoSpaceDE w:val="0"/>
              <w:autoSpaceDN w:val="0"/>
              <w:adjustRightInd w:val="0"/>
              <w:jc w:val="center"/>
              <w:textAlignment w:val="baseline"/>
              <w:rPr>
                <w:b/>
                <w:kern w:val="0"/>
                <w:szCs w:val="21"/>
              </w:rPr>
            </w:pPr>
            <w:r>
              <w:rPr>
                <w:b/>
                <w:kern w:val="0"/>
                <w:szCs w:val="21"/>
              </w:rPr>
              <w:t>污</w:t>
            </w:r>
          </w:p>
          <w:p>
            <w:pPr>
              <w:widowControl/>
              <w:overflowPunct w:val="0"/>
              <w:autoSpaceDE w:val="0"/>
              <w:autoSpaceDN w:val="0"/>
              <w:adjustRightInd w:val="0"/>
              <w:jc w:val="center"/>
              <w:textAlignment w:val="baseline"/>
              <w:rPr>
                <w:b/>
                <w:kern w:val="0"/>
                <w:szCs w:val="21"/>
              </w:rPr>
            </w:pPr>
            <w:r>
              <w:rPr>
                <w:b/>
                <w:kern w:val="0"/>
                <w:szCs w:val="21"/>
              </w:rPr>
              <w:t>染</w:t>
            </w:r>
          </w:p>
          <w:p>
            <w:pPr>
              <w:widowControl/>
              <w:jc w:val="center"/>
              <w:rPr>
                <w:b/>
                <w:color w:val="000000"/>
                <w:kern w:val="0"/>
                <w:szCs w:val="21"/>
              </w:rPr>
            </w:pPr>
            <w:r>
              <w:rPr>
                <w:b/>
                <w:kern w:val="0"/>
                <w:szCs w:val="21"/>
              </w:rPr>
              <w:t>物</w:t>
            </w:r>
          </w:p>
        </w:tc>
        <w:tc>
          <w:tcPr>
            <w:tcW w:w="630" w:type="dxa"/>
            <w:vMerge w:val="restart"/>
            <w:vAlign w:val="center"/>
          </w:tcPr>
          <w:p>
            <w:pPr>
              <w:widowControl/>
              <w:jc w:val="center"/>
              <w:rPr>
                <w:color w:val="000000"/>
                <w:kern w:val="0"/>
                <w:szCs w:val="21"/>
              </w:rPr>
            </w:pPr>
            <w:r>
              <w:rPr>
                <w:color w:val="000000"/>
                <w:kern w:val="0"/>
                <w:szCs w:val="21"/>
              </w:rPr>
              <w:t>施工期</w:t>
            </w:r>
          </w:p>
        </w:tc>
        <w:tc>
          <w:tcPr>
            <w:tcW w:w="1260" w:type="dxa"/>
            <w:vAlign w:val="center"/>
          </w:tcPr>
          <w:p>
            <w:pPr>
              <w:widowControl/>
              <w:jc w:val="center"/>
              <w:rPr>
                <w:kern w:val="0"/>
                <w:szCs w:val="21"/>
              </w:rPr>
            </w:pPr>
            <w:r>
              <w:rPr>
                <w:color w:val="000000"/>
                <w:kern w:val="0"/>
                <w:szCs w:val="21"/>
              </w:rPr>
              <w:t>施工过程及建筑材料运送等</w:t>
            </w:r>
          </w:p>
        </w:tc>
        <w:tc>
          <w:tcPr>
            <w:tcW w:w="1260" w:type="dxa"/>
            <w:vAlign w:val="center"/>
          </w:tcPr>
          <w:p>
            <w:pPr>
              <w:widowControl/>
              <w:jc w:val="center"/>
              <w:rPr>
                <w:color w:val="000000"/>
                <w:kern w:val="0"/>
                <w:szCs w:val="21"/>
              </w:rPr>
            </w:pPr>
            <w:r>
              <w:rPr>
                <w:color w:val="000000"/>
                <w:kern w:val="0"/>
                <w:szCs w:val="21"/>
              </w:rPr>
              <w:t>粉尘</w:t>
            </w:r>
          </w:p>
        </w:tc>
        <w:tc>
          <w:tcPr>
            <w:tcW w:w="4200" w:type="dxa"/>
            <w:vAlign w:val="center"/>
          </w:tcPr>
          <w:p>
            <w:pPr>
              <w:widowControl/>
              <w:jc w:val="center"/>
              <w:rPr>
                <w:color w:val="000000"/>
                <w:kern w:val="0"/>
                <w:szCs w:val="21"/>
              </w:rPr>
            </w:pPr>
            <w:r>
              <w:rPr>
                <w:rFonts w:hint="eastAsia" w:ascii="宋体" w:hAnsi="宋体" w:cs="宋体"/>
                <w:kern w:val="0"/>
                <w:szCs w:val="21"/>
              </w:rPr>
              <w:t>①</w:t>
            </w:r>
            <w:r>
              <w:rPr>
                <w:kern w:val="0"/>
                <w:szCs w:val="21"/>
              </w:rPr>
              <w:t>减少粉尘的产生时间；</w:t>
            </w:r>
            <w:r>
              <w:rPr>
                <w:rFonts w:hint="eastAsia" w:ascii="宋体" w:hAnsi="宋体" w:cs="宋体"/>
                <w:kern w:val="0"/>
                <w:szCs w:val="21"/>
              </w:rPr>
              <w:t>②</w:t>
            </w:r>
            <w:r>
              <w:rPr>
                <w:kern w:val="0"/>
                <w:szCs w:val="21"/>
              </w:rPr>
              <w:t>施工场地应经常喷洒水，减少扬尘（或粉尘）的产生等。</w:t>
            </w:r>
          </w:p>
        </w:tc>
        <w:tc>
          <w:tcPr>
            <w:tcW w:w="2100" w:type="dxa"/>
            <w:vAlign w:val="center"/>
          </w:tcPr>
          <w:p>
            <w:pPr>
              <w:widowControl/>
              <w:jc w:val="center"/>
              <w:rPr>
                <w:color w:val="000000"/>
                <w:kern w:val="0"/>
                <w:szCs w:val="21"/>
              </w:rPr>
            </w:pPr>
            <w:r>
              <w:rPr>
                <w:color w:val="000000"/>
                <w:kern w:val="0"/>
                <w:szCs w:val="21"/>
              </w:rPr>
              <w:t>达到《大气污染物综合排放标准》（GB16297-1996）无组织排放监控浓度限值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525" w:type="dxa"/>
            <w:vMerge w:val="continue"/>
            <w:vAlign w:val="center"/>
          </w:tcPr>
          <w:p>
            <w:pPr>
              <w:widowControl/>
              <w:jc w:val="center"/>
              <w:rPr>
                <w:b/>
                <w:color w:val="000000"/>
                <w:kern w:val="0"/>
                <w:szCs w:val="21"/>
              </w:rPr>
            </w:pPr>
          </w:p>
        </w:tc>
        <w:tc>
          <w:tcPr>
            <w:tcW w:w="630" w:type="dxa"/>
            <w:vMerge w:val="continue"/>
            <w:vAlign w:val="center"/>
          </w:tcPr>
          <w:p>
            <w:pPr>
              <w:widowControl/>
              <w:jc w:val="center"/>
              <w:rPr>
                <w:color w:val="000000"/>
                <w:kern w:val="0"/>
                <w:szCs w:val="21"/>
              </w:rPr>
            </w:pPr>
          </w:p>
        </w:tc>
        <w:tc>
          <w:tcPr>
            <w:tcW w:w="1260" w:type="dxa"/>
            <w:vAlign w:val="center"/>
          </w:tcPr>
          <w:p>
            <w:pPr>
              <w:widowControl/>
              <w:jc w:val="center"/>
              <w:rPr>
                <w:kern w:val="0"/>
                <w:szCs w:val="21"/>
              </w:rPr>
            </w:pPr>
            <w:r>
              <w:rPr>
                <w:kern w:val="0"/>
                <w:szCs w:val="21"/>
              </w:rPr>
              <w:t>施工机械和运输车辆</w:t>
            </w:r>
          </w:p>
        </w:tc>
        <w:tc>
          <w:tcPr>
            <w:tcW w:w="1260" w:type="dxa"/>
            <w:vAlign w:val="center"/>
          </w:tcPr>
          <w:p>
            <w:pPr>
              <w:widowControl/>
              <w:ind w:firstLine="210" w:firstLineChars="100"/>
              <w:jc w:val="center"/>
              <w:rPr>
                <w:color w:val="000000"/>
                <w:kern w:val="0"/>
                <w:szCs w:val="21"/>
              </w:rPr>
            </w:pPr>
            <w:r>
              <w:rPr>
                <w:color w:val="000000"/>
                <w:kern w:val="0"/>
                <w:szCs w:val="21"/>
              </w:rPr>
              <w:t>尾气、扬尘</w:t>
            </w:r>
          </w:p>
        </w:tc>
        <w:tc>
          <w:tcPr>
            <w:tcW w:w="4200" w:type="dxa"/>
            <w:vAlign w:val="center"/>
          </w:tcPr>
          <w:p>
            <w:pPr>
              <w:widowControl/>
              <w:jc w:val="center"/>
              <w:rPr>
                <w:color w:val="000000"/>
                <w:kern w:val="0"/>
                <w:szCs w:val="21"/>
              </w:rPr>
            </w:pPr>
            <w:r>
              <w:rPr>
                <w:kern w:val="0"/>
                <w:szCs w:val="21"/>
              </w:rPr>
              <w:t>自然扩散、沉降，运输车辆减速行驶，严禁超载，物料应遮盖运输，施工区域临时堆放场地应使用土工布覆盖</w:t>
            </w:r>
          </w:p>
        </w:tc>
        <w:tc>
          <w:tcPr>
            <w:tcW w:w="2100" w:type="dxa"/>
            <w:vAlign w:val="center"/>
          </w:tcPr>
          <w:p>
            <w:pPr>
              <w:widowControl/>
              <w:jc w:val="center"/>
              <w:rPr>
                <w:color w:val="000000"/>
                <w:kern w:val="0"/>
                <w:szCs w:val="21"/>
              </w:rPr>
            </w:pPr>
            <w:r>
              <w:rPr>
                <w:color w:val="000000"/>
                <w:kern w:val="0"/>
                <w:szCs w:val="21"/>
              </w:rPr>
              <w:t>环境可以承受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jc w:val="center"/>
        </w:trPr>
        <w:tc>
          <w:tcPr>
            <w:tcW w:w="525" w:type="dxa"/>
            <w:vMerge w:val="continue"/>
            <w:vAlign w:val="center"/>
          </w:tcPr>
          <w:p>
            <w:pPr>
              <w:widowControl/>
              <w:jc w:val="center"/>
              <w:rPr>
                <w:b/>
                <w:color w:val="000000"/>
                <w:kern w:val="0"/>
                <w:szCs w:val="21"/>
              </w:rPr>
            </w:pPr>
          </w:p>
        </w:tc>
        <w:tc>
          <w:tcPr>
            <w:tcW w:w="630" w:type="dxa"/>
            <w:vMerge w:val="restart"/>
            <w:vAlign w:val="center"/>
          </w:tcPr>
          <w:p>
            <w:pPr>
              <w:widowControl/>
              <w:jc w:val="center"/>
              <w:rPr>
                <w:snapToGrid w:val="0"/>
                <w:kern w:val="0"/>
                <w:szCs w:val="21"/>
              </w:rPr>
            </w:pPr>
            <w:r>
              <w:rPr>
                <w:snapToGrid w:val="0"/>
                <w:kern w:val="0"/>
                <w:szCs w:val="21"/>
              </w:rPr>
              <w:t>营运</w:t>
            </w:r>
          </w:p>
          <w:p>
            <w:pPr>
              <w:widowControl/>
              <w:jc w:val="center"/>
              <w:rPr>
                <w:color w:val="000000"/>
                <w:kern w:val="0"/>
                <w:szCs w:val="21"/>
              </w:rPr>
            </w:pPr>
            <w:r>
              <w:rPr>
                <w:snapToGrid w:val="0"/>
                <w:kern w:val="0"/>
                <w:szCs w:val="21"/>
              </w:rPr>
              <w:t>期</w:t>
            </w:r>
          </w:p>
        </w:tc>
        <w:tc>
          <w:tcPr>
            <w:tcW w:w="1260" w:type="dxa"/>
            <w:vAlign w:val="center"/>
          </w:tcPr>
          <w:p>
            <w:pPr>
              <w:widowControl/>
              <w:overflowPunct w:val="0"/>
              <w:autoSpaceDE w:val="0"/>
              <w:autoSpaceDN w:val="0"/>
              <w:adjustRightInd w:val="0"/>
              <w:jc w:val="center"/>
              <w:textAlignment w:val="baseline"/>
              <w:rPr>
                <w:kern w:val="0"/>
                <w:szCs w:val="21"/>
              </w:rPr>
            </w:pPr>
            <w:r>
              <w:rPr>
                <w:rFonts w:hint="eastAsia"/>
                <w:kern w:val="0"/>
                <w:szCs w:val="21"/>
              </w:rPr>
              <w:t>生产过程</w:t>
            </w:r>
          </w:p>
        </w:tc>
        <w:tc>
          <w:tcPr>
            <w:tcW w:w="1260" w:type="dxa"/>
            <w:vAlign w:val="center"/>
          </w:tcPr>
          <w:p>
            <w:pPr>
              <w:widowControl/>
              <w:jc w:val="center"/>
              <w:rPr>
                <w:color w:val="000000"/>
                <w:kern w:val="0"/>
                <w:szCs w:val="21"/>
              </w:rPr>
            </w:pPr>
            <w:r>
              <w:rPr>
                <w:rFonts w:hint="eastAsia"/>
                <w:kern w:val="0"/>
                <w:szCs w:val="21"/>
              </w:rPr>
              <w:t>喷砂废气</w:t>
            </w:r>
          </w:p>
        </w:tc>
        <w:tc>
          <w:tcPr>
            <w:tcW w:w="4200" w:type="dxa"/>
            <w:vAlign w:val="center"/>
          </w:tcPr>
          <w:p>
            <w:pPr>
              <w:widowControl/>
              <w:ind w:firstLine="420" w:firstLineChars="200"/>
              <w:jc w:val="center"/>
              <w:rPr>
                <w:kern w:val="0"/>
                <w:szCs w:val="21"/>
              </w:rPr>
            </w:pPr>
            <w:r>
              <w:rPr>
                <w:kern w:val="0"/>
                <w:szCs w:val="21"/>
              </w:rPr>
              <w:t>依托一期项目已建成</w:t>
            </w:r>
            <w:r>
              <w:rPr>
                <w:rFonts w:hint="eastAsia"/>
                <w:kern w:val="0"/>
                <w:szCs w:val="21"/>
              </w:rPr>
              <w:t>2套</w:t>
            </w:r>
            <w:r>
              <w:rPr>
                <w:kern w:val="0"/>
                <w:szCs w:val="21"/>
              </w:rPr>
              <w:t>滤筒干式过滤除尘装置（旋风除尘+滤筒除尘）处理，处理后通过2根</w:t>
            </w:r>
            <w:r>
              <w:rPr>
                <w:rFonts w:hint="eastAsia"/>
                <w:kern w:val="0"/>
                <w:szCs w:val="21"/>
              </w:rPr>
              <w:t>1</w:t>
            </w:r>
            <w:r>
              <w:rPr>
                <w:kern w:val="0"/>
                <w:szCs w:val="21"/>
              </w:rPr>
              <w:t>6m高排气筒排放。</w:t>
            </w:r>
          </w:p>
        </w:tc>
        <w:tc>
          <w:tcPr>
            <w:tcW w:w="2100" w:type="dxa"/>
            <w:vAlign w:val="center"/>
          </w:tcPr>
          <w:p>
            <w:pPr>
              <w:widowControl/>
              <w:jc w:val="center"/>
              <w:rPr>
                <w:color w:val="000000"/>
                <w:kern w:val="0"/>
                <w:szCs w:val="21"/>
              </w:rPr>
            </w:pPr>
            <w:r>
              <w:rPr>
                <w:color w:val="000000"/>
                <w:kern w:val="0"/>
                <w:szCs w:val="21"/>
              </w:rPr>
              <w:t>达到《大气污染物综合排放标准》（GB16297-1996）表2二级标准中的颗粒物</w:t>
            </w:r>
            <w:r>
              <w:rPr>
                <w:rFonts w:hint="eastAsia"/>
                <w:color w:val="000000"/>
                <w:kern w:val="0"/>
                <w:szCs w:val="21"/>
              </w:rPr>
              <w:t>有</w:t>
            </w:r>
            <w:r>
              <w:rPr>
                <w:color w:val="000000"/>
                <w:kern w:val="0"/>
                <w:szCs w:val="21"/>
              </w:rPr>
              <w:t>组织排放浓度限值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jc w:val="center"/>
        </w:trPr>
        <w:tc>
          <w:tcPr>
            <w:tcW w:w="525" w:type="dxa"/>
            <w:vMerge w:val="continue"/>
            <w:vAlign w:val="center"/>
          </w:tcPr>
          <w:p>
            <w:pPr>
              <w:widowControl/>
              <w:jc w:val="center"/>
              <w:rPr>
                <w:b/>
                <w:color w:val="000000"/>
                <w:kern w:val="0"/>
                <w:szCs w:val="21"/>
              </w:rPr>
            </w:pPr>
          </w:p>
        </w:tc>
        <w:tc>
          <w:tcPr>
            <w:tcW w:w="630" w:type="dxa"/>
            <w:vMerge w:val="continue"/>
            <w:vAlign w:val="center"/>
          </w:tcPr>
          <w:p>
            <w:pPr>
              <w:widowControl/>
              <w:jc w:val="center"/>
              <w:rPr>
                <w:snapToGrid w:val="0"/>
                <w:kern w:val="0"/>
                <w:szCs w:val="21"/>
              </w:rPr>
            </w:pPr>
          </w:p>
        </w:tc>
        <w:tc>
          <w:tcPr>
            <w:tcW w:w="1260" w:type="dxa"/>
            <w:vAlign w:val="center"/>
          </w:tcPr>
          <w:p>
            <w:pPr>
              <w:widowControl/>
              <w:jc w:val="center"/>
              <w:rPr>
                <w:kern w:val="0"/>
                <w:szCs w:val="21"/>
              </w:rPr>
            </w:pPr>
            <w:r>
              <w:rPr>
                <w:rFonts w:hint="eastAsia"/>
                <w:kern w:val="0"/>
                <w:szCs w:val="21"/>
              </w:rPr>
              <w:t>生产过程</w:t>
            </w:r>
          </w:p>
        </w:tc>
        <w:tc>
          <w:tcPr>
            <w:tcW w:w="1260" w:type="dxa"/>
            <w:vAlign w:val="center"/>
          </w:tcPr>
          <w:p>
            <w:pPr>
              <w:widowControl/>
              <w:rPr>
                <w:color w:val="000000"/>
                <w:kern w:val="0"/>
                <w:szCs w:val="21"/>
              </w:rPr>
            </w:pPr>
            <w:r>
              <w:rPr>
                <w:rFonts w:hint="eastAsia"/>
                <w:color w:val="000000"/>
                <w:kern w:val="0"/>
                <w:szCs w:val="21"/>
              </w:rPr>
              <w:t>打磨废气</w:t>
            </w:r>
          </w:p>
        </w:tc>
        <w:tc>
          <w:tcPr>
            <w:tcW w:w="4200" w:type="dxa"/>
            <w:vAlign w:val="center"/>
          </w:tcPr>
          <w:p>
            <w:pPr>
              <w:widowControl/>
              <w:jc w:val="center"/>
              <w:rPr>
                <w:kern w:val="0"/>
                <w:szCs w:val="21"/>
              </w:rPr>
            </w:pPr>
            <w:r>
              <w:rPr>
                <w:kern w:val="0"/>
                <w:szCs w:val="21"/>
              </w:rPr>
              <w:t>依托一期已建成的</w:t>
            </w:r>
            <w:r>
              <w:rPr>
                <w:rFonts w:hint="eastAsia"/>
                <w:kern w:val="0"/>
                <w:szCs w:val="21"/>
              </w:rPr>
              <w:t>2个打磨房</w:t>
            </w:r>
            <w:r>
              <w:rPr>
                <w:kern w:val="0"/>
                <w:szCs w:val="21"/>
              </w:rPr>
              <w:t>8</w:t>
            </w:r>
            <w:r>
              <w:rPr>
                <w:rFonts w:hint="eastAsia"/>
                <w:kern w:val="0"/>
                <w:szCs w:val="21"/>
              </w:rPr>
              <w:t>套</w:t>
            </w:r>
            <w:r>
              <w:rPr>
                <w:kern w:val="0"/>
                <w:szCs w:val="21"/>
              </w:rPr>
              <w:t>滤筒干式过滤除尘装置（旋风除尘+滤芯过滤+空气动力过滤）收集打磨过程产生的粉尘，处理后通过</w:t>
            </w:r>
            <w:r>
              <w:rPr>
                <w:rFonts w:hint="eastAsia"/>
                <w:kern w:val="0"/>
                <w:szCs w:val="21"/>
              </w:rPr>
              <w:t>8根1</w:t>
            </w:r>
            <w:r>
              <w:rPr>
                <w:kern w:val="0"/>
                <w:szCs w:val="21"/>
              </w:rPr>
              <w:t>6m高排气筒对空排放。</w:t>
            </w:r>
          </w:p>
        </w:tc>
        <w:tc>
          <w:tcPr>
            <w:tcW w:w="2100" w:type="dxa"/>
            <w:vAlign w:val="center"/>
          </w:tcPr>
          <w:p>
            <w:pPr>
              <w:widowControl/>
              <w:jc w:val="center"/>
              <w:rPr>
                <w:kern w:val="0"/>
                <w:szCs w:val="21"/>
              </w:rPr>
            </w:pPr>
            <w:r>
              <w:rPr>
                <w:color w:val="000000"/>
                <w:kern w:val="0"/>
                <w:szCs w:val="21"/>
              </w:rPr>
              <w:t>达到《大气污染物综合排放标准》（GB16297-1996）表2二级标准中的颗粒物</w:t>
            </w:r>
            <w:r>
              <w:rPr>
                <w:rFonts w:hint="eastAsia"/>
                <w:color w:val="000000"/>
                <w:kern w:val="0"/>
                <w:szCs w:val="21"/>
              </w:rPr>
              <w:t>有</w:t>
            </w:r>
            <w:r>
              <w:rPr>
                <w:color w:val="000000"/>
                <w:kern w:val="0"/>
                <w:szCs w:val="21"/>
              </w:rPr>
              <w:t>组织排放浓度限值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525" w:type="dxa"/>
            <w:vMerge w:val="continue"/>
            <w:vAlign w:val="center"/>
          </w:tcPr>
          <w:p>
            <w:pPr>
              <w:widowControl/>
              <w:jc w:val="center"/>
              <w:rPr>
                <w:b/>
                <w:color w:val="000000"/>
                <w:kern w:val="0"/>
                <w:szCs w:val="21"/>
              </w:rPr>
            </w:pPr>
          </w:p>
        </w:tc>
        <w:tc>
          <w:tcPr>
            <w:tcW w:w="630" w:type="dxa"/>
            <w:vMerge w:val="continue"/>
            <w:vAlign w:val="center"/>
          </w:tcPr>
          <w:p>
            <w:pPr>
              <w:widowControl/>
              <w:jc w:val="center"/>
              <w:rPr>
                <w:snapToGrid w:val="0"/>
                <w:kern w:val="0"/>
                <w:szCs w:val="21"/>
              </w:rPr>
            </w:pPr>
          </w:p>
        </w:tc>
        <w:tc>
          <w:tcPr>
            <w:tcW w:w="1260" w:type="dxa"/>
            <w:vAlign w:val="center"/>
          </w:tcPr>
          <w:p>
            <w:pPr>
              <w:widowControl/>
              <w:jc w:val="left"/>
              <w:rPr>
                <w:kern w:val="0"/>
                <w:szCs w:val="21"/>
              </w:rPr>
            </w:pPr>
            <w:r>
              <w:rPr>
                <w:kern w:val="0"/>
                <w:szCs w:val="21"/>
              </w:rPr>
              <w:t>生产过程</w:t>
            </w:r>
          </w:p>
        </w:tc>
        <w:tc>
          <w:tcPr>
            <w:tcW w:w="1260" w:type="dxa"/>
            <w:vAlign w:val="center"/>
          </w:tcPr>
          <w:p>
            <w:pPr>
              <w:widowControl/>
              <w:rPr>
                <w:color w:val="000000"/>
                <w:kern w:val="0"/>
                <w:szCs w:val="21"/>
              </w:rPr>
            </w:pPr>
            <w:r>
              <w:rPr>
                <w:rFonts w:hint="eastAsia"/>
                <w:color w:val="000000"/>
                <w:kern w:val="0"/>
                <w:szCs w:val="21"/>
              </w:rPr>
              <w:t>喷漆废气</w:t>
            </w:r>
          </w:p>
        </w:tc>
        <w:tc>
          <w:tcPr>
            <w:tcW w:w="4200" w:type="dxa"/>
            <w:vAlign w:val="center"/>
          </w:tcPr>
          <w:p>
            <w:pPr>
              <w:widowControl/>
              <w:rPr>
                <w:kern w:val="0"/>
                <w:szCs w:val="21"/>
              </w:rPr>
            </w:pPr>
            <w:r>
              <w:rPr>
                <w:kern w:val="0"/>
                <w:szCs w:val="21"/>
              </w:rPr>
              <w:t>喷漆依托一期已建成的2</w:t>
            </w:r>
            <w:r>
              <w:rPr>
                <w:rFonts w:hint="eastAsia"/>
                <w:kern w:val="0"/>
                <w:szCs w:val="21"/>
              </w:rPr>
              <w:t>个底漆喷烘车间和</w:t>
            </w:r>
            <w:r>
              <w:rPr>
                <w:kern w:val="0"/>
                <w:szCs w:val="21"/>
              </w:rPr>
              <w:t>2</w:t>
            </w:r>
            <w:r>
              <w:rPr>
                <w:rFonts w:hint="eastAsia"/>
                <w:kern w:val="0"/>
                <w:szCs w:val="21"/>
              </w:rPr>
              <w:t>个面漆喷烘车间进行，一期项目每个喷烘车间均</w:t>
            </w:r>
            <w:r>
              <w:rPr>
                <w:kern w:val="0"/>
                <w:szCs w:val="21"/>
              </w:rPr>
              <w:t>分别设置4套处理设备，处理工艺为过滤棉吸附+活性炭箱吸附，处理后分别通过一根排气筒排放，4个喷漆房共设置16套处理设备和16根16m高排气筒</w:t>
            </w:r>
          </w:p>
        </w:tc>
        <w:tc>
          <w:tcPr>
            <w:tcW w:w="2100" w:type="dxa"/>
            <w:vAlign w:val="center"/>
          </w:tcPr>
          <w:p>
            <w:pPr>
              <w:widowControl/>
              <w:jc w:val="left"/>
              <w:rPr>
                <w:color w:val="000000"/>
                <w:kern w:val="0"/>
                <w:szCs w:val="21"/>
              </w:rPr>
            </w:pPr>
            <w:r>
              <w:rPr>
                <w:color w:val="000000"/>
                <w:kern w:val="0"/>
                <w:szCs w:val="21"/>
              </w:rPr>
              <w:t>达到《大气污染物综合排放标准》（GB16297-1996）表2二级标准中的</w:t>
            </w:r>
            <w:r>
              <w:rPr>
                <w:rFonts w:hint="eastAsia"/>
                <w:color w:val="000000"/>
                <w:kern w:val="0"/>
                <w:szCs w:val="21"/>
              </w:rPr>
              <w:t>非甲烷总烃</w:t>
            </w:r>
            <w:r>
              <w:rPr>
                <w:color w:val="000000"/>
                <w:kern w:val="0"/>
                <w:szCs w:val="21"/>
              </w:rPr>
              <w:t>有组织排放浓度限值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25" w:type="dxa"/>
            <w:vMerge w:val="continue"/>
            <w:vAlign w:val="center"/>
          </w:tcPr>
          <w:p>
            <w:pPr>
              <w:widowControl/>
              <w:jc w:val="center"/>
              <w:rPr>
                <w:b/>
                <w:color w:val="000000"/>
                <w:kern w:val="0"/>
                <w:szCs w:val="21"/>
              </w:rPr>
            </w:pPr>
          </w:p>
        </w:tc>
        <w:tc>
          <w:tcPr>
            <w:tcW w:w="630" w:type="dxa"/>
            <w:vMerge w:val="continue"/>
            <w:vAlign w:val="center"/>
          </w:tcPr>
          <w:p>
            <w:pPr>
              <w:widowControl/>
              <w:jc w:val="center"/>
              <w:rPr>
                <w:snapToGrid w:val="0"/>
                <w:kern w:val="0"/>
                <w:szCs w:val="21"/>
              </w:rPr>
            </w:pPr>
          </w:p>
        </w:tc>
        <w:tc>
          <w:tcPr>
            <w:tcW w:w="1260" w:type="dxa"/>
            <w:vAlign w:val="center"/>
          </w:tcPr>
          <w:p>
            <w:pPr>
              <w:widowControl/>
              <w:ind w:firstLine="420" w:firstLineChars="200"/>
              <w:jc w:val="left"/>
              <w:rPr>
                <w:kern w:val="0"/>
                <w:szCs w:val="21"/>
              </w:rPr>
            </w:pPr>
            <w:r>
              <w:rPr>
                <w:kern w:val="0"/>
                <w:szCs w:val="21"/>
              </w:rPr>
              <w:t>食堂</w:t>
            </w:r>
          </w:p>
        </w:tc>
        <w:tc>
          <w:tcPr>
            <w:tcW w:w="1260" w:type="dxa"/>
            <w:vAlign w:val="center"/>
          </w:tcPr>
          <w:p>
            <w:pPr>
              <w:widowControl/>
              <w:jc w:val="left"/>
              <w:rPr>
                <w:color w:val="000000"/>
                <w:kern w:val="0"/>
                <w:szCs w:val="21"/>
              </w:rPr>
            </w:pPr>
            <w:r>
              <w:rPr>
                <w:color w:val="000000"/>
                <w:kern w:val="0"/>
                <w:szCs w:val="21"/>
              </w:rPr>
              <w:t>油烟废气</w:t>
            </w:r>
          </w:p>
        </w:tc>
        <w:tc>
          <w:tcPr>
            <w:tcW w:w="4200" w:type="dxa"/>
            <w:vAlign w:val="center"/>
          </w:tcPr>
          <w:p>
            <w:pPr>
              <w:widowControl/>
              <w:rPr>
                <w:kern w:val="0"/>
                <w:szCs w:val="21"/>
              </w:rPr>
            </w:pPr>
            <w:r>
              <w:rPr>
                <w:rFonts w:hint="eastAsia"/>
                <w:kern w:val="0"/>
                <w:szCs w:val="21"/>
              </w:rPr>
              <w:t>依托一期</w:t>
            </w:r>
            <w:r>
              <w:rPr>
                <w:kern w:val="0"/>
                <w:szCs w:val="21"/>
              </w:rPr>
              <w:t>油烟净化器。净化器去除效率</w:t>
            </w:r>
            <w:r>
              <w:rPr>
                <w:rFonts w:hint="eastAsia"/>
                <w:kern w:val="0"/>
                <w:szCs w:val="21"/>
              </w:rPr>
              <w:t>为</w:t>
            </w:r>
            <w:r>
              <w:rPr>
                <w:kern w:val="0"/>
                <w:szCs w:val="21"/>
              </w:rPr>
              <w:t>85%，处理后通过一根高于倒班宿舍</w:t>
            </w:r>
            <w:r>
              <w:rPr>
                <w:rFonts w:hint="eastAsia"/>
                <w:kern w:val="0"/>
                <w:szCs w:val="21"/>
              </w:rPr>
              <w:t>1</w:t>
            </w:r>
            <w:r>
              <w:rPr>
                <w:kern w:val="0"/>
                <w:szCs w:val="21"/>
              </w:rPr>
              <w:t>.5m高排气筒对空排放</w:t>
            </w:r>
          </w:p>
        </w:tc>
        <w:tc>
          <w:tcPr>
            <w:tcW w:w="2100" w:type="dxa"/>
            <w:vAlign w:val="center"/>
          </w:tcPr>
          <w:p>
            <w:pPr>
              <w:widowControl/>
              <w:jc w:val="left"/>
              <w:rPr>
                <w:color w:val="000000"/>
                <w:kern w:val="0"/>
                <w:szCs w:val="21"/>
              </w:rPr>
            </w:pPr>
            <w:r>
              <w:rPr>
                <w:bCs/>
                <w:color w:val="000000"/>
                <w:kern w:val="0"/>
                <w:szCs w:val="21"/>
              </w:rPr>
              <w:t>达到《饮食业油烟排放标准》（GB18483-2001）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525" w:type="dxa"/>
            <w:vMerge w:val="restart"/>
            <w:vAlign w:val="center"/>
          </w:tcPr>
          <w:p>
            <w:pPr>
              <w:widowControl/>
              <w:overflowPunct w:val="0"/>
              <w:autoSpaceDE w:val="0"/>
              <w:autoSpaceDN w:val="0"/>
              <w:adjustRightInd w:val="0"/>
              <w:jc w:val="center"/>
              <w:textAlignment w:val="baseline"/>
              <w:rPr>
                <w:b/>
                <w:kern w:val="0"/>
                <w:szCs w:val="21"/>
              </w:rPr>
            </w:pPr>
            <w:r>
              <w:rPr>
                <w:b/>
                <w:kern w:val="0"/>
                <w:szCs w:val="21"/>
              </w:rPr>
              <w:t>水</w:t>
            </w:r>
          </w:p>
          <w:p>
            <w:pPr>
              <w:widowControl/>
              <w:overflowPunct w:val="0"/>
              <w:autoSpaceDE w:val="0"/>
              <w:autoSpaceDN w:val="0"/>
              <w:adjustRightInd w:val="0"/>
              <w:jc w:val="center"/>
              <w:textAlignment w:val="baseline"/>
              <w:rPr>
                <w:b/>
                <w:kern w:val="0"/>
                <w:szCs w:val="21"/>
              </w:rPr>
            </w:pPr>
            <w:r>
              <w:rPr>
                <w:b/>
                <w:kern w:val="0"/>
                <w:szCs w:val="21"/>
              </w:rPr>
              <w:t>污</w:t>
            </w:r>
          </w:p>
          <w:p>
            <w:pPr>
              <w:widowControl/>
              <w:overflowPunct w:val="0"/>
              <w:autoSpaceDE w:val="0"/>
              <w:autoSpaceDN w:val="0"/>
              <w:adjustRightInd w:val="0"/>
              <w:jc w:val="center"/>
              <w:textAlignment w:val="baseline"/>
              <w:rPr>
                <w:b/>
                <w:kern w:val="0"/>
                <w:szCs w:val="21"/>
              </w:rPr>
            </w:pPr>
            <w:r>
              <w:rPr>
                <w:b/>
                <w:kern w:val="0"/>
                <w:szCs w:val="21"/>
              </w:rPr>
              <w:t>染</w:t>
            </w:r>
          </w:p>
          <w:p>
            <w:pPr>
              <w:widowControl/>
              <w:jc w:val="center"/>
              <w:rPr>
                <w:b/>
                <w:color w:val="000000"/>
                <w:kern w:val="0"/>
                <w:szCs w:val="21"/>
              </w:rPr>
            </w:pPr>
            <w:r>
              <w:rPr>
                <w:b/>
                <w:kern w:val="0"/>
                <w:szCs w:val="21"/>
              </w:rPr>
              <w:t>物</w:t>
            </w:r>
          </w:p>
        </w:tc>
        <w:tc>
          <w:tcPr>
            <w:tcW w:w="630" w:type="dxa"/>
            <w:vAlign w:val="center"/>
          </w:tcPr>
          <w:p>
            <w:pPr>
              <w:widowControl/>
              <w:jc w:val="center"/>
              <w:rPr>
                <w:color w:val="000000"/>
                <w:kern w:val="0"/>
                <w:szCs w:val="21"/>
              </w:rPr>
            </w:pPr>
            <w:r>
              <w:rPr>
                <w:color w:val="000000"/>
                <w:kern w:val="0"/>
                <w:szCs w:val="21"/>
              </w:rPr>
              <w:t>施工期</w:t>
            </w:r>
          </w:p>
        </w:tc>
        <w:tc>
          <w:tcPr>
            <w:tcW w:w="1260" w:type="dxa"/>
            <w:vAlign w:val="center"/>
          </w:tcPr>
          <w:p>
            <w:pPr>
              <w:widowControl/>
              <w:jc w:val="center"/>
              <w:rPr>
                <w:color w:val="000000"/>
                <w:kern w:val="0"/>
                <w:szCs w:val="21"/>
              </w:rPr>
            </w:pPr>
            <w:r>
              <w:rPr>
                <w:color w:val="000000"/>
                <w:kern w:val="0"/>
                <w:szCs w:val="21"/>
              </w:rPr>
              <w:t>施工过程</w:t>
            </w:r>
          </w:p>
        </w:tc>
        <w:tc>
          <w:tcPr>
            <w:tcW w:w="1260" w:type="dxa"/>
            <w:vAlign w:val="center"/>
          </w:tcPr>
          <w:p>
            <w:pPr>
              <w:widowControl/>
              <w:jc w:val="center"/>
              <w:rPr>
                <w:color w:val="000000"/>
                <w:kern w:val="0"/>
                <w:szCs w:val="21"/>
              </w:rPr>
            </w:pPr>
            <w:r>
              <w:rPr>
                <w:color w:val="000000"/>
                <w:kern w:val="0"/>
                <w:szCs w:val="21"/>
              </w:rPr>
              <w:t>施工性</w:t>
            </w:r>
          </w:p>
          <w:p>
            <w:pPr>
              <w:widowControl/>
              <w:jc w:val="center"/>
              <w:rPr>
                <w:color w:val="000000"/>
                <w:kern w:val="0"/>
                <w:szCs w:val="21"/>
              </w:rPr>
            </w:pPr>
            <w:r>
              <w:rPr>
                <w:color w:val="000000"/>
                <w:kern w:val="0"/>
                <w:szCs w:val="21"/>
              </w:rPr>
              <w:t>废水</w:t>
            </w:r>
          </w:p>
        </w:tc>
        <w:tc>
          <w:tcPr>
            <w:tcW w:w="4200" w:type="dxa"/>
            <w:vAlign w:val="center"/>
          </w:tcPr>
          <w:p>
            <w:pPr>
              <w:widowControl/>
              <w:jc w:val="center"/>
              <w:rPr>
                <w:color w:val="000000"/>
                <w:kern w:val="0"/>
                <w:szCs w:val="21"/>
              </w:rPr>
            </w:pPr>
            <w:r>
              <w:rPr>
                <w:kern w:val="0"/>
                <w:szCs w:val="21"/>
              </w:rPr>
              <w:t>自然蒸发。</w:t>
            </w:r>
          </w:p>
        </w:tc>
        <w:tc>
          <w:tcPr>
            <w:tcW w:w="2100" w:type="dxa"/>
            <w:vAlign w:val="center"/>
          </w:tcPr>
          <w:p>
            <w:pPr>
              <w:widowControl/>
              <w:jc w:val="center"/>
              <w:rPr>
                <w:color w:val="000000"/>
                <w:kern w:val="0"/>
                <w:szCs w:val="21"/>
              </w:rPr>
            </w:pPr>
            <w:r>
              <w:rPr>
                <w:color w:val="000000"/>
                <w:kern w:val="0"/>
                <w:szCs w:val="21"/>
              </w:rPr>
              <w:t>对环境影响轻微，环境可以承受。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25" w:type="dxa"/>
            <w:vMerge w:val="continue"/>
            <w:vAlign w:val="center"/>
          </w:tcPr>
          <w:p>
            <w:pPr>
              <w:widowControl/>
              <w:jc w:val="center"/>
              <w:rPr>
                <w:b/>
                <w:color w:val="000000"/>
                <w:kern w:val="0"/>
                <w:szCs w:val="21"/>
              </w:rPr>
            </w:pPr>
          </w:p>
        </w:tc>
        <w:tc>
          <w:tcPr>
            <w:tcW w:w="630" w:type="dxa"/>
            <w:vMerge w:val="restart"/>
            <w:vAlign w:val="center"/>
          </w:tcPr>
          <w:p>
            <w:pPr>
              <w:widowControl/>
              <w:jc w:val="center"/>
              <w:rPr>
                <w:snapToGrid w:val="0"/>
                <w:kern w:val="0"/>
                <w:szCs w:val="21"/>
              </w:rPr>
            </w:pPr>
            <w:r>
              <w:rPr>
                <w:snapToGrid w:val="0"/>
                <w:kern w:val="0"/>
                <w:szCs w:val="21"/>
              </w:rPr>
              <w:t>营运</w:t>
            </w:r>
          </w:p>
          <w:p>
            <w:pPr>
              <w:widowControl/>
              <w:jc w:val="center"/>
              <w:rPr>
                <w:color w:val="000000"/>
                <w:kern w:val="0"/>
                <w:szCs w:val="21"/>
              </w:rPr>
            </w:pPr>
            <w:r>
              <w:rPr>
                <w:snapToGrid w:val="0"/>
                <w:kern w:val="0"/>
                <w:szCs w:val="21"/>
              </w:rPr>
              <w:t>期</w:t>
            </w:r>
          </w:p>
        </w:tc>
        <w:tc>
          <w:tcPr>
            <w:tcW w:w="1260" w:type="dxa"/>
            <w:vAlign w:val="center"/>
          </w:tcPr>
          <w:p>
            <w:pPr>
              <w:widowControl/>
              <w:jc w:val="center"/>
              <w:rPr>
                <w:kern w:val="0"/>
                <w:szCs w:val="21"/>
              </w:rPr>
            </w:pPr>
            <w:r>
              <w:rPr>
                <w:kern w:val="0"/>
                <w:szCs w:val="21"/>
              </w:rPr>
              <w:t>生产废水</w:t>
            </w:r>
          </w:p>
        </w:tc>
        <w:tc>
          <w:tcPr>
            <w:tcW w:w="1260" w:type="dxa"/>
            <w:shd w:val="clear" w:color="auto" w:fill="auto"/>
            <w:vAlign w:val="center"/>
          </w:tcPr>
          <w:p>
            <w:pPr>
              <w:widowControl/>
              <w:jc w:val="center"/>
              <w:rPr>
                <w:kern w:val="0"/>
                <w:szCs w:val="21"/>
              </w:rPr>
            </w:pPr>
            <w:r>
              <w:rPr>
                <w:rFonts w:hint="eastAsia"/>
                <w:kern w:val="0"/>
                <w:szCs w:val="21"/>
              </w:rPr>
              <w:t>清洗水</w:t>
            </w:r>
            <w:r>
              <w:rPr>
                <w:kern w:val="0"/>
                <w:szCs w:val="21"/>
              </w:rPr>
              <w:t>、</w:t>
            </w:r>
            <w:r>
              <w:rPr>
                <w:rFonts w:hint="eastAsia"/>
                <w:kern w:val="0"/>
                <w:szCs w:val="21"/>
              </w:rPr>
              <w:t>地坪</w:t>
            </w:r>
            <w:r>
              <w:rPr>
                <w:kern w:val="0"/>
                <w:szCs w:val="21"/>
              </w:rPr>
              <w:t>冲洗水</w:t>
            </w:r>
          </w:p>
        </w:tc>
        <w:tc>
          <w:tcPr>
            <w:tcW w:w="4200" w:type="dxa"/>
            <w:shd w:val="clear" w:color="auto" w:fill="auto"/>
            <w:vAlign w:val="center"/>
          </w:tcPr>
          <w:p>
            <w:pPr>
              <w:widowControl/>
              <w:jc w:val="center"/>
              <w:rPr>
                <w:kern w:val="0"/>
                <w:szCs w:val="21"/>
              </w:rPr>
            </w:pPr>
            <w:r>
              <w:rPr>
                <w:rFonts w:hint="eastAsia"/>
                <w:kern w:val="0"/>
                <w:szCs w:val="21"/>
              </w:rPr>
              <w:t>进入</w:t>
            </w:r>
            <w:r>
              <w:rPr>
                <w:kern w:val="0"/>
                <w:szCs w:val="21"/>
              </w:rPr>
              <w:t>一期已建成隔油池隔油后排入污水处理站处理。</w:t>
            </w:r>
          </w:p>
        </w:tc>
        <w:tc>
          <w:tcPr>
            <w:tcW w:w="2100" w:type="dxa"/>
            <w:vMerge w:val="restart"/>
            <w:shd w:val="clear" w:color="auto" w:fill="auto"/>
            <w:vAlign w:val="center"/>
          </w:tcPr>
          <w:p>
            <w:pPr>
              <w:widowControl/>
              <w:jc w:val="left"/>
              <w:rPr>
                <w:color w:val="000000"/>
                <w:kern w:val="0"/>
                <w:szCs w:val="21"/>
              </w:rPr>
            </w:pPr>
            <w:r>
              <w:rPr>
                <w:color w:val="000000"/>
                <w:kern w:val="0"/>
                <w:szCs w:val="21"/>
              </w:rPr>
              <w:t>近期处理达到《城市污水再生利用 城市杂用水水质》绿化标准回用于厂区绿化，远期</w:t>
            </w:r>
            <w:r>
              <w:rPr>
                <w:rFonts w:hint="eastAsia"/>
                <w:color w:val="000000"/>
                <w:kern w:val="0"/>
                <w:szCs w:val="21"/>
              </w:rPr>
              <w:t>排入</w:t>
            </w:r>
            <w:r>
              <w:rPr>
                <w:color w:val="000000"/>
                <w:kern w:val="0"/>
                <w:szCs w:val="21"/>
              </w:rPr>
              <w:t>滇池南岸截污管网最终进入淤泥河污水处理厂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jc w:val="center"/>
        </w:trPr>
        <w:tc>
          <w:tcPr>
            <w:tcW w:w="525" w:type="dxa"/>
            <w:vMerge w:val="continue"/>
            <w:vAlign w:val="center"/>
          </w:tcPr>
          <w:p>
            <w:pPr>
              <w:widowControl/>
              <w:jc w:val="center"/>
              <w:rPr>
                <w:b/>
                <w:color w:val="000000"/>
                <w:kern w:val="0"/>
                <w:szCs w:val="21"/>
              </w:rPr>
            </w:pPr>
          </w:p>
        </w:tc>
        <w:tc>
          <w:tcPr>
            <w:tcW w:w="630" w:type="dxa"/>
            <w:vMerge w:val="continue"/>
            <w:vAlign w:val="center"/>
          </w:tcPr>
          <w:p>
            <w:pPr>
              <w:widowControl/>
              <w:jc w:val="center"/>
              <w:rPr>
                <w:snapToGrid w:val="0"/>
                <w:kern w:val="0"/>
                <w:szCs w:val="21"/>
              </w:rPr>
            </w:pPr>
          </w:p>
        </w:tc>
        <w:tc>
          <w:tcPr>
            <w:tcW w:w="1260" w:type="dxa"/>
            <w:vAlign w:val="center"/>
          </w:tcPr>
          <w:p>
            <w:pPr>
              <w:widowControl/>
              <w:jc w:val="center"/>
              <w:rPr>
                <w:kern w:val="0"/>
                <w:szCs w:val="21"/>
              </w:rPr>
            </w:pPr>
            <w:r>
              <w:rPr>
                <w:kern w:val="0"/>
                <w:szCs w:val="21"/>
              </w:rPr>
              <w:t>办公人员</w:t>
            </w:r>
          </w:p>
        </w:tc>
        <w:tc>
          <w:tcPr>
            <w:tcW w:w="1260" w:type="dxa"/>
            <w:shd w:val="clear" w:color="auto" w:fill="auto"/>
            <w:vAlign w:val="center"/>
          </w:tcPr>
          <w:p>
            <w:pPr>
              <w:widowControl/>
              <w:jc w:val="center"/>
              <w:rPr>
                <w:kern w:val="0"/>
                <w:szCs w:val="21"/>
              </w:rPr>
            </w:pPr>
            <w:r>
              <w:rPr>
                <w:kern w:val="0"/>
                <w:szCs w:val="21"/>
              </w:rPr>
              <w:t>生活污水、食堂废水</w:t>
            </w:r>
          </w:p>
        </w:tc>
        <w:tc>
          <w:tcPr>
            <w:tcW w:w="4200" w:type="dxa"/>
            <w:shd w:val="clear" w:color="auto" w:fill="auto"/>
            <w:vAlign w:val="center"/>
          </w:tcPr>
          <w:p>
            <w:pPr>
              <w:widowControl/>
              <w:jc w:val="center"/>
              <w:rPr>
                <w:kern w:val="0"/>
                <w:szCs w:val="21"/>
              </w:rPr>
            </w:pPr>
            <w:r>
              <w:rPr>
                <w:kern w:val="0"/>
                <w:szCs w:val="21"/>
              </w:rPr>
              <w:t>食堂废水先由隔油池进行处理，处理后排入化粪池</w:t>
            </w:r>
            <w:r>
              <w:rPr>
                <w:rFonts w:hint="eastAsia"/>
                <w:kern w:val="0"/>
                <w:szCs w:val="21"/>
              </w:rPr>
              <w:t>处理，后排入污水处理站</w:t>
            </w:r>
          </w:p>
        </w:tc>
        <w:tc>
          <w:tcPr>
            <w:tcW w:w="2100" w:type="dxa"/>
            <w:vMerge w:val="continue"/>
            <w:shd w:val="clear" w:color="auto" w:fill="auto"/>
            <w:vAlign w:val="center"/>
          </w:tcPr>
          <w:p>
            <w:pPr>
              <w:widowControl/>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jc w:val="center"/>
        </w:trPr>
        <w:tc>
          <w:tcPr>
            <w:tcW w:w="525" w:type="dxa"/>
            <w:vMerge w:val="restart"/>
            <w:vAlign w:val="center"/>
          </w:tcPr>
          <w:p>
            <w:pPr>
              <w:widowControl/>
              <w:jc w:val="center"/>
              <w:rPr>
                <w:b/>
                <w:color w:val="000000"/>
                <w:kern w:val="0"/>
                <w:szCs w:val="21"/>
              </w:rPr>
            </w:pPr>
            <w:r>
              <w:rPr>
                <w:b/>
                <w:kern w:val="0"/>
                <w:szCs w:val="21"/>
              </w:rPr>
              <w:t>噪声</w:t>
            </w:r>
          </w:p>
        </w:tc>
        <w:tc>
          <w:tcPr>
            <w:tcW w:w="630" w:type="dxa"/>
            <w:vMerge w:val="restart"/>
            <w:vAlign w:val="center"/>
          </w:tcPr>
          <w:p>
            <w:pPr>
              <w:widowControl/>
              <w:jc w:val="center"/>
              <w:rPr>
                <w:color w:val="000000"/>
                <w:kern w:val="0"/>
                <w:szCs w:val="21"/>
              </w:rPr>
            </w:pPr>
            <w:r>
              <w:rPr>
                <w:color w:val="000000"/>
                <w:kern w:val="0"/>
                <w:szCs w:val="21"/>
              </w:rPr>
              <w:t>施工期</w:t>
            </w:r>
          </w:p>
        </w:tc>
        <w:tc>
          <w:tcPr>
            <w:tcW w:w="1260" w:type="dxa"/>
            <w:vAlign w:val="center"/>
          </w:tcPr>
          <w:p>
            <w:pPr>
              <w:widowControl/>
              <w:jc w:val="center"/>
              <w:rPr>
                <w:spacing w:val="24"/>
                <w:kern w:val="0"/>
                <w:szCs w:val="21"/>
              </w:rPr>
            </w:pPr>
            <w:r>
              <w:rPr>
                <w:spacing w:val="24"/>
                <w:kern w:val="0"/>
                <w:szCs w:val="21"/>
              </w:rPr>
              <w:t>机械</w:t>
            </w:r>
          </w:p>
          <w:p>
            <w:pPr>
              <w:widowControl/>
              <w:jc w:val="center"/>
              <w:rPr>
                <w:kern w:val="0"/>
                <w:szCs w:val="21"/>
              </w:rPr>
            </w:pPr>
            <w:r>
              <w:rPr>
                <w:spacing w:val="24"/>
                <w:kern w:val="0"/>
                <w:szCs w:val="21"/>
              </w:rPr>
              <w:t>设备</w:t>
            </w:r>
          </w:p>
        </w:tc>
        <w:tc>
          <w:tcPr>
            <w:tcW w:w="1260" w:type="dxa"/>
            <w:vAlign w:val="center"/>
          </w:tcPr>
          <w:p>
            <w:pPr>
              <w:widowControl/>
              <w:jc w:val="center"/>
              <w:rPr>
                <w:kern w:val="0"/>
                <w:szCs w:val="21"/>
              </w:rPr>
            </w:pPr>
            <w:r>
              <w:rPr>
                <w:kern w:val="0"/>
                <w:szCs w:val="21"/>
              </w:rPr>
              <w:t>机械噪声</w:t>
            </w:r>
          </w:p>
        </w:tc>
        <w:tc>
          <w:tcPr>
            <w:tcW w:w="4200" w:type="dxa"/>
            <w:vAlign w:val="center"/>
          </w:tcPr>
          <w:p>
            <w:pPr>
              <w:widowControl/>
              <w:jc w:val="center"/>
              <w:rPr>
                <w:kern w:val="0"/>
                <w:szCs w:val="21"/>
              </w:rPr>
            </w:pPr>
            <w:r>
              <w:rPr>
                <w:kern w:val="0"/>
                <w:szCs w:val="21"/>
              </w:rPr>
              <w:t>自然衰减</w:t>
            </w:r>
          </w:p>
        </w:tc>
        <w:tc>
          <w:tcPr>
            <w:tcW w:w="2100" w:type="dxa"/>
            <w:vAlign w:val="center"/>
          </w:tcPr>
          <w:p>
            <w:pPr>
              <w:widowControl/>
              <w:jc w:val="center"/>
              <w:rPr>
                <w:kern w:val="0"/>
                <w:szCs w:val="21"/>
              </w:rPr>
            </w:pPr>
            <w:r>
              <w:rPr>
                <w:color w:val="000000"/>
                <w:kern w:val="0"/>
                <w:szCs w:val="21"/>
              </w:rPr>
              <w:t>达到《建筑施工场界环境噪声排放标准》(GB12523-2011)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 w:hRule="atLeast"/>
          <w:jc w:val="center"/>
        </w:trPr>
        <w:tc>
          <w:tcPr>
            <w:tcW w:w="525" w:type="dxa"/>
            <w:vMerge w:val="continue"/>
            <w:vAlign w:val="center"/>
          </w:tcPr>
          <w:p>
            <w:pPr>
              <w:widowControl/>
              <w:jc w:val="center"/>
              <w:rPr>
                <w:b/>
                <w:kern w:val="0"/>
                <w:szCs w:val="21"/>
              </w:rPr>
            </w:pPr>
          </w:p>
        </w:tc>
        <w:tc>
          <w:tcPr>
            <w:tcW w:w="630" w:type="dxa"/>
            <w:vMerge w:val="continue"/>
            <w:vAlign w:val="center"/>
          </w:tcPr>
          <w:p>
            <w:pPr>
              <w:widowControl/>
              <w:jc w:val="center"/>
              <w:rPr>
                <w:color w:val="000000"/>
                <w:kern w:val="0"/>
                <w:szCs w:val="21"/>
              </w:rPr>
            </w:pPr>
          </w:p>
        </w:tc>
        <w:tc>
          <w:tcPr>
            <w:tcW w:w="1260" w:type="dxa"/>
            <w:vAlign w:val="center"/>
          </w:tcPr>
          <w:p>
            <w:pPr>
              <w:widowControl/>
              <w:jc w:val="center"/>
              <w:rPr>
                <w:spacing w:val="24"/>
                <w:kern w:val="0"/>
                <w:szCs w:val="21"/>
              </w:rPr>
            </w:pPr>
            <w:r>
              <w:rPr>
                <w:spacing w:val="24"/>
                <w:kern w:val="0"/>
                <w:szCs w:val="21"/>
              </w:rPr>
              <w:t>运输</w:t>
            </w:r>
          </w:p>
          <w:p>
            <w:pPr>
              <w:widowControl/>
              <w:jc w:val="center"/>
              <w:rPr>
                <w:kern w:val="0"/>
                <w:szCs w:val="21"/>
              </w:rPr>
            </w:pPr>
            <w:r>
              <w:rPr>
                <w:spacing w:val="24"/>
                <w:kern w:val="0"/>
                <w:szCs w:val="21"/>
              </w:rPr>
              <w:t>车辆</w:t>
            </w:r>
          </w:p>
        </w:tc>
        <w:tc>
          <w:tcPr>
            <w:tcW w:w="1260" w:type="dxa"/>
            <w:vAlign w:val="center"/>
          </w:tcPr>
          <w:p>
            <w:pPr>
              <w:widowControl/>
              <w:jc w:val="center"/>
              <w:rPr>
                <w:kern w:val="0"/>
                <w:szCs w:val="21"/>
              </w:rPr>
            </w:pPr>
            <w:r>
              <w:rPr>
                <w:kern w:val="0"/>
                <w:szCs w:val="21"/>
              </w:rPr>
              <w:t>机械噪声</w:t>
            </w:r>
          </w:p>
        </w:tc>
        <w:tc>
          <w:tcPr>
            <w:tcW w:w="4200" w:type="dxa"/>
            <w:vAlign w:val="center"/>
          </w:tcPr>
          <w:p>
            <w:pPr>
              <w:widowControl/>
              <w:jc w:val="center"/>
              <w:rPr>
                <w:kern w:val="0"/>
                <w:szCs w:val="21"/>
              </w:rPr>
            </w:pPr>
            <w:r>
              <w:rPr>
                <w:kern w:val="0"/>
                <w:szCs w:val="21"/>
              </w:rPr>
              <w:t>自然衰减</w:t>
            </w:r>
          </w:p>
        </w:tc>
        <w:tc>
          <w:tcPr>
            <w:tcW w:w="2100" w:type="dxa"/>
            <w:vAlign w:val="center"/>
          </w:tcPr>
          <w:p>
            <w:pPr>
              <w:widowControl/>
              <w:jc w:val="center"/>
              <w:rPr>
                <w:kern w:val="0"/>
                <w:szCs w:val="21"/>
              </w:rPr>
            </w:pPr>
            <w:r>
              <w:rPr>
                <w:kern w:val="0"/>
                <w:szCs w:val="21"/>
              </w:rPr>
              <w:t>环境可以承受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525" w:type="dxa"/>
            <w:vMerge w:val="continue"/>
            <w:vAlign w:val="center"/>
          </w:tcPr>
          <w:p>
            <w:pPr>
              <w:widowControl/>
              <w:jc w:val="center"/>
              <w:rPr>
                <w:b/>
                <w:kern w:val="0"/>
                <w:szCs w:val="21"/>
              </w:rPr>
            </w:pPr>
          </w:p>
        </w:tc>
        <w:tc>
          <w:tcPr>
            <w:tcW w:w="630" w:type="dxa"/>
            <w:vMerge w:val="restart"/>
            <w:vAlign w:val="center"/>
          </w:tcPr>
          <w:p>
            <w:pPr>
              <w:widowControl/>
              <w:jc w:val="center"/>
              <w:rPr>
                <w:snapToGrid w:val="0"/>
                <w:kern w:val="0"/>
                <w:szCs w:val="21"/>
              </w:rPr>
            </w:pPr>
            <w:r>
              <w:rPr>
                <w:snapToGrid w:val="0"/>
                <w:kern w:val="0"/>
                <w:szCs w:val="21"/>
              </w:rPr>
              <w:t>营运</w:t>
            </w:r>
          </w:p>
          <w:p>
            <w:pPr>
              <w:widowControl/>
              <w:jc w:val="center"/>
              <w:rPr>
                <w:color w:val="000000"/>
                <w:kern w:val="0"/>
                <w:szCs w:val="21"/>
              </w:rPr>
            </w:pPr>
            <w:r>
              <w:rPr>
                <w:snapToGrid w:val="0"/>
                <w:kern w:val="0"/>
                <w:szCs w:val="21"/>
              </w:rPr>
              <w:t>期</w:t>
            </w:r>
          </w:p>
        </w:tc>
        <w:tc>
          <w:tcPr>
            <w:tcW w:w="1260" w:type="dxa"/>
            <w:vAlign w:val="center"/>
          </w:tcPr>
          <w:p>
            <w:pPr>
              <w:widowControl/>
              <w:jc w:val="center"/>
              <w:rPr>
                <w:kern w:val="0"/>
                <w:szCs w:val="21"/>
              </w:rPr>
            </w:pPr>
            <w:r>
              <w:rPr>
                <w:kern w:val="0"/>
                <w:szCs w:val="21"/>
              </w:rPr>
              <w:t>生产过程</w:t>
            </w:r>
          </w:p>
        </w:tc>
        <w:tc>
          <w:tcPr>
            <w:tcW w:w="1260" w:type="dxa"/>
            <w:vAlign w:val="center"/>
          </w:tcPr>
          <w:p>
            <w:pPr>
              <w:widowControl/>
              <w:jc w:val="center"/>
              <w:rPr>
                <w:kern w:val="0"/>
                <w:szCs w:val="21"/>
              </w:rPr>
            </w:pPr>
            <w:r>
              <w:rPr>
                <w:kern w:val="0"/>
                <w:szCs w:val="21"/>
              </w:rPr>
              <w:t>机械噪声</w:t>
            </w:r>
          </w:p>
        </w:tc>
        <w:tc>
          <w:tcPr>
            <w:tcW w:w="4200" w:type="dxa"/>
            <w:vAlign w:val="center"/>
          </w:tcPr>
          <w:p>
            <w:pPr>
              <w:widowControl/>
              <w:jc w:val="center"/>
              <w:rPr>
                <w:kern w:val="0"/>
                <w:szCs w:val="21"/>
              </w:rPr>
            </w:pPr>
            <w:r>
              <w:rPr>
                <w:color w:val="000000"/>
                <w:kern w:val="0"/>
                <w:szCs w:val="21"/>
              </w:rPr>
              <w:t>尽可能选用功能好、噪音低的生产设备；加强生产机械的日常维护；科学合理布置生产机械；生产员工佩带耳塞，适当减少劳动时间和增加岗位轮换。在产噪较大的安装厂房与厂界围墙区域建立绿化带，以实现绿化降噪、降尘；产噪较大的设备应安装在密闭厂房内；</w:t>
            </w:r>
            <w:r>
              <w:rPr>
                <w:rFonts w:hint="eastAsia"/>
                <w:color w:val="000000"/>
                <w:kern w:val="0"/>
                <w:szCs w:val="21"/>
              </w:rPr>
              <w:t>产噪较大</w:t>
            </w:r>
            <w:r>
              <w:rPr>
                <w:color w:val="000000"/>
                <w:kern w:val="0"/>
                <w:szCs w:val="21"/>
              </w:rPr>
              <w:t>设备应安装在密封箱体内，箱体内壁设置消音材料，外面配置消音器，同时安装减震垫减少噪声和振动影响。</w:t>
            </w:r>
          </w:p>
        </w:tc>
        <w:tc>
          <w:tcPr>
            <w:tcW w:w="2100" w:type="dxa"/>
            <w:vAlign w:val="center"/>
          </w:tcPr>
          <w:p>
            <w:pPr>
              <w:widowControl/>
              <w:jc w:val="center"/>
              <w:rPr>
                <w:kern w:val="0"/>
                <w:szCs w:val="21"/>
              </w:rPr>
            </w:pPr>
            <w:r>
              <w:rPr>
                <w:color w:val="000000"/>
                <w:kern w:val="0"/>
                <w:szCs w:val="21"/>
              </w:rPr>
              <w:t>达到《</w:t>
            </w:r>
            <w:r>
              <w:fldChar w:fldCharType="begin"/>
            </w:r>
            <w:r>
              <w:instrText xml:space="preserve"> HYPERLINK "http://kjs.mep.gov.cn/hjbhbz/bzwb/wlhj/hjzspfbz/201112/W020111222566521145325.pdf" </w:instrText>
            </w:r>
            <w:r>
              <w:fldChar w:fldCharType="separate"/>
            </w:r>
            <w:r>
              <w:rPr>
                <w:color w:val="0268CD"/>
                <w:kern w:val="0"/>
                <w:szCs w:val="21"/>
              </w:rPr>
              <w:t>工业企业厂界环境噪声</w:t>
            </w:r>
            <w:r>
              <w:rPr>
                <w:color w:val="0268CD"/>
                <w:kern w:val="0"/>
                <w:szCs w:val="21"/>
              </w:rPr>
              <w:fldChar w:fldCharType="end"/>
            </w:r>
            <w:r>
              <w:rPr>
                <w:color w:val="000000"/>
                <w:kern w:val="0"/>
                <w:szCs w:val="21"/>
              </w:rPr>
              <w:t>排放标准》（GB12348-2008）标准3类区标准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 w:hRule="atLeast"/>
          <w:jc w:val="center"/>
        </w:trPr>
        <w:tc>
          <w:tcPr>
            <w:tcW w:w="525" w:type="dxa"/>
            <w:vMerge w:val="continue"/>
            <w:vAlign w:val="center"/>
          </w:tcPr>
          <w:p>
            <w:pPr>
              <w:widowControl/>
              <w:jc w:val="center"/>
              <w:rPr>
                <w:b/>
                <w:color w:val="000000"/>
                <w:kern w:val="0"/>
                <w:szCs w:val="21"/>
              </w:rPr>
            </w:pPr>
          </w:p>
        </w:tc>
        <w:tc>
          <w:tcPr>
            <w:tcW w:w="630" w:type="dxa"/>
            <w:vMerge w:val="continue"/>
            <w:vAlign w:val="center"/>
          </w:tcPr>
          <w:p>
            <w:pPr>
              <w:widowControl/>
              <w:jc w:val="center"/>
              <w:rPr>
                <w:snapToGrid w:val="0"/>
                <w:kern w:val="0"/>
                <w:szCs w:val="21"/>
              </w:rPr>
            </w:pPr>
          </w:p>
        </w:tc>
        <w:tc>
          <w:tcPr>
            <w:tcW w:w="1260" w:type="dxa"/>
            <w:vAlign w:val="center"/>
          </w:tcPr>
          <w:p>
            <w:pPr>
              <w:widowControl/>
              <w:jc w:val="center"/>
              <w:rPr>
                <w:kern w:val="0"/>
                <w:szCs w:val="21"/>
              </w:rPr>
            </w:pPr>
            <w:r>
              <w:rPr>
                <w:kern w:val="0"/>
                <w:szCs w:val="21"/>
              </w:rPr>
              <w:t>运输车辆</w:t>
            </w:r>
          </w:p>
        </w:tc>
        <w:tc>
          <w:tcPr>
            <w:tcW w:w="1260" w:type="dxa"/>
            <w:vAlign w:val="center"/>
          </w:tcPr>
          <w:p>
            <w:pPr>
              <w:widowControl/>
              <w:jc w:val="center"/>
              <w:rPr>
                <w:kern w:val="0"/>
                <w:szCs w:val="21"/>
              </w:rPr>
            </w:pPr>
            <w:r>
              <w:rPr>
                <w:kern w:val="0"/>
                <w:szCs w:val="21"/>
              </w:rPr>
              <w:t>机械噪声</w:t>
            </w:r>
          </w:p>
        </w:tc>
        <w:tc>
          <w:tcPr>
            <w:tcW w:w="4200" w:type="dxa"/>
            <w:vAlign w:val="center"/>
          </w:tcPr>
          <w:p>
            <w:pPr>
              <w:widowControl/>
              <w:jc w:val="center"/>
              <w:rPr>
                <w:kern w:val="0"/>
                <w:szCs w:val="21"/>
              </w:rPr>
            </w:pPr>
            <w:r>
              <w:rPr>
                <w:kern w:val="0"/>
                <w:szCs w:val="21"/>
              </w:rPr>
              <w:t>自然衰减</w:t>
            </w:r>
          </w:p>
        </w:tc>
        <w:tc>
          <w:tcPr>
            <w:tcW w:w="2100" w:type="dxa"/>
            <w:vAlign w:val="center"/>
          </w:tcPr>
          <w:p>
            <w:pPr>
              <w:widowControl/>
              <w:jc w:val="center"/>
              <w:rPr>
                <w:kern w:val="0"/>
                <w:szCs w:val="21"/>
              </w:rPr>
            </w:pPr>
            <w:r>
              <w:rPr>
                <w:color w:val="000000"/>
                <w:kern w:val="0"/>
                <w:szCs w:val="21"/>
              </w:rPr>
              <w:t>环境可以承受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 w:hRule="atLeast"/>
          <w:jc w:val="center"/>
        </w:trPr>
        <w:tc>
          <w:tcPr>
            <w:tcW w:w="1155" w:type="dxa"/>
            <w:gridSpan w:val="2"/>
            <w:vAlign w:val="center"/>
          </w:tcPr>
          <w:p>
            <w:pPr>
              <w:widowControl/>
              <w:adjustRightInd w:val="0"/>
              <w:snapToGrid w:val="0"/>
              <w:jc w:val="center"/>
              <w:rPr>
                <w:kern w:val="0"/>
                <w:sz w:val="24"/>
              </w:rPr>
            </w:pPr>
            <w:r>
              <w:rPr>
                <w:kern w:val="0"/>
                <w:sz w:val="24"/>
              </w:rPr>
              <w:t>电磁辐射</w:t>
            </w:r>
          </w:p>
        </w:tc>
        <w:tc>
          <w:tcPr>
            <w:tcW w:w="1260" w:type="dxa"/>
            <w:vAlign w:val="center"/>
          </w:tcPr>
          <w:p>
            <w:pPr>
              <w:widowControl/>
              <w:adjustRightInd w:val="0"/>
              <w:snapToGrid w:val="0"/>
              <w:jc w:val="center"/>
              <w:rPr>
                <w:kern w:val="0"/>
                <w:sz w:val="24"/>
              </w:rPr>
            </w:pPr>
            <w:r>
              <w:rPr>
                <w:kern w:val="0"/>
                <w:sz w:val="24"/>
              </w:rPr>
              <w:t>无</w:t>
            </w:r>
          </w:p>
        </w:tc>
        <w:tc>
          <w:tcPr>
            <w:tcW w:w="1260" w:type="dxa"/>
            <w:vAlign w:val="center"/>
          </w:tcPr>
          <w:p>
            <w:pPr>
              <w:widowControl/>
              <w:adjustRightInd w:val="0"/>
              <w:snapToGrid w:val="0"/>
              <w:jc w:val="center"/>
              <w:rPr>
                <w:kern w:val="0"/>
                <w:sz w:val="24"/>
              </w:rPr>
            </w:pPr>
            <w:r>
              <w:rPr>
                <w:kern w:val="0"/>
                <w:sz w:val="24"/>
              </w:rPr>
              <w:t>无</w:t>
            </w:r>
          </w:p>
        </w:tc>
        <w:tc>
          <w:tcPr>
            <w:tcW w:w="4200" w:type="dxa"/>
            <w:vAlign w:val="center"/>
          </w:tcPr>
          <w:p>
            <w:pPr>
              <w:widowControl/>
              <w:adjustRightInd w:val="0"/>
              <w:snapToGrid w:val="0"/>
              <w:jc w:val="center"/>
              <w:rPr>
                <w:kern w:val="0"/>
                <w:sz w:val="24"/>
              </w:rPr>
            </w:pPr>
            <w:r>
              <w:rPr>
                <w:kern w:val="0"/>
                <w:sz w:val="24"/>
              </w:rPr>
              <w:t>无</w:t>
            </w:r>
          </w:p>
        </w:tc>
        <w:tc>
          <w:tcPr>
            <w:tcW w:w="2100" w:type="dxa"/>
            <w:vAlign w:val="center"/>
          </w:tcPr>
          <w:p>
            <w:pPr>
              <w:widowControl/>
              <w:jc w:val="center"/>
              <w:rPr>
                <w:color w:val="000000"/>
                <w:kern w:val="0"/>
                <w:szCs w:val="21"/>
              </w:rPr>
            </w:pPr>
            <w:r>
              <w:rPr>
                <w:color w:val="000000"/>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1" w:hRule="atLeast"/>
          <w:jc w:val="center"/>
        </w:trPr>
        <w:tc>
          <w:tcPr>
            <w:tcW w:w="1155" w:type="dxa"/>
            <w:gridSpan w:val="2"/>
            <w:tcBorders>
              <w:bottom w:val="single" w:color="auto" w:sz="4" w:space="0"/>
            </w:tcBorders>
            <w:vAlign w:val="center"/>
          </w:tcPr>
          <w:p>
            <w:pPr>
              <w:widowControl/>
              <w:overflowPunct w:val="0"/>
              <w:autoSpaceDE w:val="0"/>
              <w:autoSpaceDN w:val="0"/>
              <w:adjustRightInd w:val="0"/>
              <w:jc w:val="center"/>
              <w:textAlignment w:val="baseline"/>
              <w:rPr>
                <w:kern w:val="0"/>
                <w:szCs w:val="21"/>
              </w:rPr>
            </w:pPr>
            <w:r>
              <w:rPr>
                <w:kern w:val="0"/>
                <w:szCs w:val="21"/>
              </w:rPr>
              <w:t>固体</w:t>
            </w:r>
          </w:p>
          <w:p>
            <w:pPr>
              <w:widowControl/>
              <w:jc w:val="center"/>
              <w:rPr>
                <w:color w:val="000000"/>
                <w:kern w:val="0"/>
                <w:szCs w:val="21"/>
              </w:rPr>
            </w:pPr>
            <w:r>
              <w:rPr>
                <w:kern w:val="0"/>
                <w:szCs w:val="21"/>
              </w:rPr>
              <w:t>废物</w:t>
            </w:r>
          </w:p>
        </w:tc>
        <w:tc>
          <w:tcPr>
            <w:tcW w:w="8820" w:type="dxa"/>
            <w:gridSpan w:val="4"/>
            <w:tcBorders>
              <w:bottom w:val="single" w:color="auto" w:sz="4" w:space="0"/>
            </w:tcBorders>
            <w:vAlign w:val="center"/>
          </w:tcPr>
          <w:p>
            <w:pPr>
              <w:widowControl/>
              <w:jc w:val="left"/>
              <w:rPr>
                <w:kern w:val="0"/>
                <w:szCs w:val="21"/>
              </w:rPr>
            </w:pPr>
            <w:r>
              <w:rPr>
                <w:rFonts w:hint="eastAsia" w:ascii="宋体" w:hAnsi="宋体" w:cs="宋体"/>
                <w:kern w:val="0"/>
                <w:szCs w:val="21"/>
              </w:rPr>
              <w:t>①</w:t>
            </w:r>
            <w:r>
              <w:rPr>
                <w:rFonts w:hint="eastAsia"/>
                <w:kern w:val="0"/>
                <w:szCs w:val="21"/>
              </w:rPr>
              <w:t>项目生活垃圾由环卫部门清运处置，泔水委托有资质的单位清运处置，维修替换部件、废砂均由生产厂家回收，喷砂除尘灰和水性漆包装桶外售给物资回收单位。可以做到100%处置。</w:t>
            </w:r>
          </w:p>
          <w:p>
            <w:pPr>
              <w:widowControl/>
              <w:jc w:val="left"/>
              <w:rPr>
                <w:kern w:val="0"/>
                <w:szCs w:val="21"/>
              </w:rPr>
            </w:pPr>
            <w:r>
              <w:rPr>
                <w:rFonts w:hint="eastAsia" w:ascii="宋体" w:hAnsi="宋体" w:cs="宋体"/>
                <w:kern w:val="0"/>
                <w:szCs w:val="21"/>
              </w:rPr>
              <w:t>②</w:t>
            </w:r>
            <w:r>
              <w:rPr>
                <w:kern w:val="0"/>
                <w:szCs w:val="21"/>
              </w:rPr>
              <w:t>工程危险废物均分别收集，除隔油池废油外均统一运至一期已建成危废暂存间分类暂存，委托云南大地丰源环保有限公司清运处置。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jc w:val="center"/>
        </w:trPr>
        <w:tc>
          <w:tcPr>
            <w:tcW w:w="1155" w:type="dxa"/>
            <w:gridSpan w:val="2"/>
            <w:vAlign w:val="center"/>
          </w:tcPr>
          <w:p>
            <w:pPr>
              <w:widowControl/>
              <w:adjustRightInd w:val="0"/>
              <w:snapToGrid w:val="0"/>
              <w:jc w:val="center"/>
              <w:rPr>
                <w:kern w:val="0"/>
                <w:sz w:val="24"/>
              </w:rPr>
            </w:pPr>
            <w:r>
              <w:rPr>
                <w:kern w:val="0"/>
                <w:sz w:val="24"/>
              </w:rPr>
              <w:t>土壤及地下水</w:t>
            </w:r>
          </w:p>
          <w:p>
            <w:pPr>
              <w:widowControl/>
              <w:adjustRightInd w:val="0"/>
              <w:snapToGrid w:val="0"/>
              <w:jc w:val="center"/>
              <w:rPr>
                <w:kern w:val="0"/>
                <w:sz w:val="24"/>
              </w:rPr>
            </w:pPr>
            <w:r>
              <w:rPr>
                <w:kern w:val="0"/>
                <w:sz w:val="24"/>
              </w:rPr>
              <w:t>污染防治措施</w:t>
            </w:r>
          </w:p>
        </w:tc>
        <w:tc>
          <w:tcPr>
            <w:tcW w:w="8820" w:type="dxa"/>
            <w:gridSpan w:val="4"/>
            <w:vAlign w:val="center"/>
          </w:tcPr>
          <w:p>
            <w:pPr>
              <w:widowControl/>
              <w:jc w:val="left"/>
              <w:rPr>
                <w:color w:val="000000"/>
                <w:kern w:val="0"/>
                <w:szCs w:val="21"/>
              </w:rPr>
            </w:pPr>
            <w:r>
              <w:rPr>
                <w:rFonts w:hint="eastAsia"/>
                <w:color w:val="000000"/>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jc w:val="center"/>
        </w:trPr>
        <w:tc>
          <w:tcPr>
            <w:tcW w:w="1155" w:type="dxa"/>
            <w:gridSpan w:val="2"/>
            <w:vAlign w:val="center"/>
          </w:tcPr>
          <w:p>
            <w:pPr>
              <w:widowControl/>
              <w:adjustRightInd w:val="0"/>
              <w:snapToGrid w:val="0"/>
              <w:jc w:val="center"/>
              <w:rPr>
                <w:kern w:val="0"/>
                <w:sz w:val="24"/>
              </w:rPr>
            </w:pPr>
            <w:r>
              <w:rPr>
                <w:kern w:val="0"/>
                <w:sz w:val="24"/>
              </w:rPr>
              <w:t>生态保护措施</w:t>
            </w:r>
          </w:p>
        </w:tc>
        <w:tc>
          <w:tcPr>
            <w:tcW w:w="8820" w:type="dxa"/>
            <w:gridSpan w:val="4"/>
            <w:vAlign w:val="center"/>
          </w:tcPr>
          <w:p>
            <w:pPr>
              <w:widowControl/>
              <w:jc w:val="left"/>
              <w:rPr>
                <w:color w:val="000000"/>
                <w:kern w:val="0"/>
                <w:szCs w:val="21"/>
              </w:rPr>
            </w:pPr>
            <w:r>
              <w:rPr>
                <w:rFonts w:hint="eastAsia" w:ascii="宋体" w:hAnsi="宋体" w:cs="宋体"/>
                <w:color w:val="000000"/>
                <w:kern w:val="0"/>
                <w:szCs w:val="21"/>
              </w:rPr>
              <w:t>①</w:t>
            </w:r>
            <w:r>
              <w:rPr>
                <w:color w:val="000000"/>
                <w:kern w:val="0"/>
                <w:szCs w:val="21"/>
              </w:rPr>
              <w:t>临时排水沟总长2103m</w:t>
            </w:r>
          </w:p>
          <w:p>
            <w:pPr>
              <w:widowControl/>
              <w:jc w:val="left"/>
              <w:rPr>
                <w:color w:val="000000"/>
                <w:kern w:val="0"/>
                <w:szCs w:val="21"/>
              </w:rPr>
            </w:pPr>
            <w:r>
              <w:rPr>
                <w:rFonts w:hint="eastAsia" w:ascii="宋体" w:hAnsi="宋体" w:cs="宋体"/>
                <w:color w:val="000000"/>
                <w:kern w:val="0"/>
                <w:szCs w:val="21"/>
              </w:rPr>
              <w:t>②</w:t>
            </w:r>
            <w:r>
              <w:rPr>
                <w:color w:val="000000"/>
                <w:kern w:val="0"/>
                <w:szCs w:val="21"/>
              </w:rPr>
              <w:t>设置临时抽排设施</w:t>
            </w:r>
          </w:p>
          <w:p>
            <w:pPr>
              <w:widowControl/>
              <w:jc w:val="left"/>
              <w:rPr>
                <w:color w:val="000000"/>
                <w:kern w:val="0"/>
                <w:szCs w:val="21"/>
              </w:rPr>
            </w:pPr>
            <w:r>
              <w:rPr>
                <w:rFonts w:hint="eastAsia" w:ascii="宋体" w:hAnsi="宋体" w:cs="宋体"/>
                <w:color w:val="000000"/>
                <w:kern w:val="0"/>
                <w:szCs w:val="21"/>
              </w:rPr>
              <w:t>③</w:t>
            </w:r>
            <w:r>
              <w:rPr>
                <w:color w:val="000000"/>
                <w:kern w:val="0"/>
                <w:szCs w:val="21"/>
              </w:rPr>
              <w:t>设置沉砂池4座</w:t>
            </w:r>
          </w:p>
          <w:p>
            <w:pPr>
              <w:widowControl/>
              <w:jc w:val="left"/>
              <w:rPr>
                <w:color w:val="000000"/>
                <w:kern w:val="0"/>
                <w:szCs w:val="21"/>
              </w:rPr>
            </w:pPr>
            <w:r>
              <w:rPr>
                <w:rFonts w:hint="eastAsia" w:ascii="宋体" w:hAnsi="宋体" w:cs="宋体"/>
                <w:color w:val="000000"/>
                <w:kern w:val="0"/>
                <w:szCs w:val="21"/>
              </w:rPr>
              <w:t>④</w:t>
            </w:r>
            <w:r>
              <w:rPr>
                <w:color w:val="000000"/>
                <w:kern w:val="0"/>
                <w:szCs w:val="21"/>
              </w:rPr>
              <w:t>水土保持管理措施：加快施工进度、尽早完成基坑开挖及建设，既是对基坑开挖边坡实施支护措施，避免因基坑裸露时间较长而发生坍塌等重力侵蚀；基坑建设完成后应及时回填；严格按照设计的施工工艺及工序施工，减少水土流失时间。</w:t>
            </w:r>
          </w:p>
          <w:p>
            <w:pPr>
              <w:widowControl/>
              <w:jc w:val="left"/>
              <w:rPr>
                <w:color w:val="000000"/>
                <w:kern w:val="0"/>
                <w:szCs w:val="21"/>
              </w:rPr>
            </w:pPr>
            <w:r>
              <w:rPr>
                <w:rFonts w:hint="eastAsia" w:ascii="宋体" w:hAnsi="宋体" w:cs="宋体"/>
                <w:color w:val="000000"/>
                <w:kern w:val="0"/>
                <w:szCs w:val="21"/>
              </w:rPr>
              <w:t>⑤</w:t>
            </w:r>
            <w:r>
              <w:rPr>
                <w:color w:val="000000"/>
                <w:kern w:val="0"/>
                <w:szCs w:val="21"/>
              </w:rPr>
              <w:t>施工场地和表土临时堆场及回填土临时堆放点应采用彩条布临时覆盖。及时对直接影响区进行洒水，减少施工过程中灰尘对该区域的污染。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1155" w:type="dxa"/>
            <w:gridSpan w:val="2"/>
            <w:vAlign w:val="center"/>
          </w:tcPr>
          <w:p>
            <w:pPr>
              <w:adjustRightInd w:val="0"/>
              <w:snapToGrid w:val="0"/>
              <w:jc w:val="center"/>
              <w:rPr>
                <w:spacing w:val="-8"/>
                <w:sz w:val="24"/>
              </w:rPr>
            </w:pPr>
            <w:r>
              <w:rPr>
                <w:spacing w:val="-8"/>
                <w:sz w:val="24"/>
              </w:rPr>
              <w:t>环境风险</w:t>
            </w:r>
          </w:p>
          <w:p>
            <w:pPr>
              <w:widowControl/>
              <w:jc w:val="left"/>
              <w:rPr>
                <w:snapToGrid w:val="0"/>
                <w:kern w:val="0"/>
                <w:szCs w:val="21"/>
              </w:rPr>
            </w:pPr>
            <w:r>
              <w:rPr>
                <w:spacing w:val="-8"/>
                <w:sz w:val="24"/>
              </w:rPr>
              <w:t>防范措施</w:t>
            </w:r>
          </w:p>
        </w:tc>
        <w:tc>
          <w:tcPr>
            <w:tcW w:w="8820" w:type="dxa"/>
            <w:gridSpan w:val="4"/>
            <w:vAlign w:val="center"/>
          </w:tcPr>
          <w:p>
            <w:pPr>
              <w:widowControl/>
              <w:jc w:val="left"/>
              <w:rPr>
                <w:color w:val="000000"/>
                <w:kern w:val="0"/>
                <w:szCs w:val="21"/>
              </w:rPr>
            </w:pPr>
            <w:r>
              <w:rPr>
                <w:color w:val="000000"/>
                <w:kern w:val="0"/>
                <w:szCs w:val="21"/>
              </w:rPr>
              <w:t>（一）环保设施故障预防措施</w:t>
            </w:r>
          </w:p>
          <w:p>
            <w:pPr>
              <w:widowControl/>
              <w:jc w:val="left"/>
              <w:rPr>
                <w:color w:val="000000"/>
                <w:kern w:val="0"/>
                <w:szCs w:val="21"/>
              </w:rPr>
            </w:pPr>
            <w:r>
              <w:rPr>
                <w:color w:val="000000"/>
                <w:kern w:val="0"/>
                <w:szCs w:val="21"/>
              </w:rPr>
              <w:t>（1）加强</w:t>
            </w:r>
            <w:r>
              <w:rPr>
                <w:rFonts w:hint="eastAsia"/>
                <w:color w:val="000000"/>
                <w:kern w:val="0"/>
                <w:szCs w:val="21"/>
              </w:rPr>
              <w:t>废气</w:t>
            </w:r>
            <w:r>
              <w:rPr>
                <w:color w:val="000000"/>
                <w:kern w:val="0"/>
                <w:szCs w:val="21"/>
              </w:rPr>
              <w:t>处置系统的日常维护，保障正常运行；</w:t>
            </w:r>
          </w:p>
          <w:p>
            <w:pPr>
              <w:widowControl/>
              <w:jc w:val="left"/>
              <w:rPr>
                <w:color w:val="000000"/>
                <w:kern w:val="0"/>
                <w:szCs w:val="21"/>
              </w:rPr>
            </w:pPr>
            <w:r>
              <w:rPr>
                <w:color w:val="000000"/>
                <w:kern w:val="0"/>
                <w:szCs w:val="21"/>
              </w:rPr>
              <w:t>（2）加强对</w:t>
            </w:r>
            <w:r>
              <w:rPr>
                <w:rFonts w:hint="eastAsia"/>
                <w:color w:val="000000"/>
                <w:kern w:val="0"/>
                <w:szCs w:val="21"/>
              </w:rPr>
              <w:t>机械</w:t>
            </w:r>
            <w:r>
              <w:rPr>
                <w:color w:val="000000"/>
                <w:kern w:val="0"/>
                <w:szCs w:val="21"/>
              </w:rPr>
              <w:t>设备的检修维护。</w:t>
            </w:r>
          </w:p>
          <w:p>
            <w:pPr>
              <w:widowControl/>
              <w:jc w:val="left"/>
              <w:rPr>
                <w:color w:val="000000"/>
                <w:kern w:val="0"/>
                <w:szCs w:val="21"/>
              </w:rPr>
            </w:pPr>
            <w:r>
              <w:rPr>
                <w:color w:val="000000"/>
                <w:kern w:val="0"/>
                <w:szCs w:val="21"/>
              </w:rPr>
              <w:t>（二）火灾事故次生风险预防措施</w:t>
            </w:r>
          </w:p>
          <w:p>
            <w:pPr>
              <w:widowControl/>
              <w:jc w:val="left"/>
              <w:rPr>
                <w:color w:val="000000"/>
                <w:kern w:val="0"/>
                <w:szCs w:val="21"/>
              </w:rPr>
            </w:pPr>
            <w:r>
              <w:rPr>
                <w:color w:val="000000"/>
                <w:kern w:val="0"/>
                <w:szCs w:val="21"/>
              </w:rPr>
              <w:t>（1）办公区域按照消防要求设置干粉灭火器。</w:t>
            </w:r>
          </w:p>
          <w:p>
            <w:pPr>
              <w:widowControl/>
              <w:jc w:val="left"/>
              <w:rPr>
                <w:color w:val="000000"/>
                <w:kern w:val="0"/>
                <w:szCs w:val="21"/>
              </w:rPr>
            </w:pPr>
            <w:r>
              <w:rPr>
                <w:color w:val="000000"/>
                <w:kern w:val="0"/>
                <w:szCs w:val="21"/>
              </w:rPr>
              <w:t>（2）设置消防沙箱，其他区域发生火灾使用消防沙进行扑灭。</w:t>
            </w:r>
          </w:p>
          <w:p>
            <w:pPr>
              <w:widowControl/>
              <w:jc w:val="left"/>
              <w:rPr>
                <w:color w:val="000000"/>
                <w:kern w:val="0"/>
                <w:szCs w:val="21"/>
              </w:rPr>
            </w:pPr>
            <w:r>
              <w:rPr>
                <w:color w:val="000000"/>
                <w:kern w:val="0"/>
                <w:szCs w:val="21"/>
              </w:rPr>
              <w:t>（3）设置截排水沟，消防废水不外排。</w:t>
            </w:r>
          </w:p>
          <w:p>
            <w:pPr>
              <w:widowControl/>
              <w:jc w:val="left"/>
              <w:rPr>
                <w:color w:val="000000"/>
                <w:kern w:val="0"/>
                <w:szCs w:val="21"/>
              </w:rPr>
            </w:pPr>
            <w:r>
              <w:rPr>
                <w:color w:val="000000"/>
                <w:kern w:val="0"/>
                <w:szCs w:val="21"/>
              </w:rPr>
              <w:t>（4）定期开展防火检查，及时消除火灾隐患；严格执行操作规程，遵守安全规章制度，规范员工日常行为。</w:t>
            </w:r>
          </w:p>
          <w:p>
            <w:pPr>
              <w:widowControl/>
              <w:jc w:val="left"/>
              <w:rPr>
                <w:color w:val="000000"/>
                <w:kern w:val="0"/>
                <w:szCs w:val="21"/>
              </w:rPr>
            </w:pPr>
            <w:r>
              <w:rPr>
                <w:color w:val="000000"/>
                <w:kern w:val="0"/>
                <w:szCs w:val="21"/>
              </w:rPr>
              <w:t>（三）危废泄漏预防措施</w:t>
            </w:r>
          </w:p>
          <w:p>
            <w:pPr>
              <w:widowControl/>
              <w:jc w:val="left"/>
              <w:rPr>
                <w:color w:val="000000"/>
                <w:kern w:val="0"/>
                <w:szCs w:val="21"/>
              </w:rPr>
            </w:pPr>
            <w:r>
              <w:rPr>
                <w:color w:val="000000"/>
                <w:kern w:val="0"/>
                <w:szCs w:val="21"/>
              </w:rPr>
              <w:t>（1）</w:t>
            </w:r>
            <w:r>
              <w:rPr>
                <w:rFonts w:hint="eastAsia"/>
                <w:color w:val="000000"/>
                <w:kern w:val="0"/>
                <w:szCs w:val="21"/>
              </w:rPr>
              <w:t>依托已设置的</w:t>
            </w:r>
            <w:r>
              <w:rPr>
                <w:color w:val="000000"/>
                <w:kern w:val="0"/>
                <w:szCs w:val="21"/>
              </w:rPr>
              <w:t>1间危废间，危险废物统一收集储存于危废间内委托</w:t>
            </w:r>
            <w:r>
              <w:rPr>
                <w:rFonts w:hint="eastAsia"/>
                <w:color w:val="000000"/>
                <w:kern w:val="0"/>
                <w:szCs w:val="21"/>
              </w:rPr>
              <w:t>云南大地丰源</w:t>
            </w:r>
            <w:r>
              <w:rPr>
                <w:color w:val="000000"/>
                <w:kern w:val="0"/>
                <w:szCs w:val="21"/>
              </w:rPr>
              <w:t>环保有限公司清运处置。</w:t>
            </w:r>
          </w:p>
          <w:p>
            <w:pPr>
              <w:widowControl/>
              <w:jc w:val="left"/>
              <w:rPr>
                <w:color w:val="000000"/>
                <w:kern w:val="0"/>
                <w:szCs w:val="21"/>
              </w:rPr>
            </w:pPr>
            <w:r>
              <w:rPr>
                <w:color w:val="000000"/>
                <w:kern w:val="0"/>
                <w:szCs w:val="21"/>
              </w:rPr>
              <w:t>（2）危废间悬挂标识牌，地面做好防渗漏措施。</w:t>
            </w:r>
          </w:p>
          <w:p>
            <w:pPr>
              <w:widowControl/>
              <w:jc w:val="left"/>
              <w:rPr>
                <w:color w:val="000000"/>
                <w:kern w:val="0"/>
                <w:szCs w:val="21"/>
              </w:rPr>
            </w:pPr>
            <w:r>
              <w:rPr>
                <w:color w:val="000000"/>
                <w:kern w:val="0"/>
                <w:szCs w:val="21"/>
              </w:rPr>
              <w:t>（3）建立危废台帐登记制度，定期检查。</w:t>
            </w:r>
          </w:p>
          <w:p>
            <w:pPr>
              <w:widowControl/>
              <w:jc w:val="left"/>
              <w:rPr>
                <w:color w:val="000000"/>
                <w:kern w:val="0"/>
                <w:szCs w:val="21"/>
              </w:rPr>
            </w:pPr>
            <w:r>
              <w:rPr>
                <w:color w:val="000000"/>
                <w:kern w:val="0"/>
                <w:szCs w:val="21"/>
              </w:rPr>
              <w:t>（4）危废间内需配备吸油毯和棉布吸附材料。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0" w:hRule="atLeast"/>
          <w:jc w:val="center"/>
        </w:trPr>
        <w:tc>
          <w:tcPr>
            <w:tcW w:w="9975" w:type="dxa"/>
            <w:gridSpan w:val="6"/>
          </w:tcPr>
          <w:p>
            <w:pPr>
              <w:widowControl/>
              <w:ind w:left="480" w:firstLine="482" w:firstLineChars="200"/>
              <w:rPr>
                <w:b/>
                <w:kern w:val="21"/>
                <w:sz w:val="24"/>
              </w:rPr>
            </w:pPr>
            <w:r>
              <w:rPr>
                <w:b/>
                <w:kern w:val="21"/>
                <w:sz w:val="24"/>
              </w:rPr>
              <w:t>一、环境监测</w:t>
            </w:r>
          </w:p>
          <w:p>
            <w:pPr>
              <w:widowControl/>
              <w:spacing w:line="360" w:lineRule="auto"/>
              <w:ind w:firstLine="480" w:firstLineChars="200"/>
              <w:jc w:val="left"/>
              <w:rPr>
                <w:color w:val="000000"/>
                <w:kern w:val="0"/>
                <w:sz w:val="24"/>
              </w:rPr>
            </w:pPr>
            <w:r>
              <w:rPr>
                <w:color w:val="000000"/>
                <w:kern w:val="0"/>
                <w:sz w:val="24"/>
              </w:rPr>
              <w:t>制定环境监测计划的目的，是对在环境影响评价过程中所识别、预测的不利影响进行跟踪监测，同时及时发现在环境影响评价过程中未预计到的，而实际发生的不利影响，便于建设单位采取补救措施。</w:t>
            </w:r>
          </w:p>
          <w:p>
            <w:pPr>
              <w:widowControl/>
              <w:spacing w:line="360" w:lineRule="auto"/>
              <w:ind w:firstLine="480" w:firstLineChars="200"/>
              <w:jc w:val="left"/>
              <w:rPr>
                <w:color w:val="000000"/>
                <w:kern w:val="0"/>
                <w:sz w:val="24"/>
              </w:rPr>
            </w:pPr>
            <w:r>
              <w:rPr>
                <w:color w:val="000000"/>
                <w:kern w:val="0"/>
                <w:sz w:val="24"/>
              </w:rPr>
              <w:t>本次评价按照《排污单位自行监测技术指南》（HJ819-2017）制定项目监测计划表。</w:t>
            </w:r>
          </w:p>
          <w:p>
            <w:pPr>
              <w:widowControl/>
              <w:spacing w:line="360" w:lineRule="auto"/>
              <w:ind w:firstLine="480" w:firstLineChars="200"/>
              <w:jc w:val="left"/>
              <w:rPr>
                <w:color w:val="000000"/>
                <w:kern w:val="0"/>
                <w:sz w:val="24"/>
              </w:rPr>
            </w:pPr>
            <w:r>
              <w:rPr>
                <w:color w:val="000000"/>
                <w:kern w:val="0"/>
                <w:sz w:val="24"/>
              </w:rPr>
              <w:t>环境监测任务由建设单位组建成立的工程环境管理部门组织实施。环境监测不设专用监测站，委托给有资质的环保监测单位进行监测。监测计划表如下：</w:t>
            </w:r>
          </w:p>
          <w:p>
            <w:pPr>
              <w:widowControl/>
              <w:ind w:firstLine="482" w:firstLineChars="200"/>
              <w:jc w:val="center"/>
              <w:rPr>
                <w:b/>
                <w:color w:val="000000"/>
                <w:kern w:val="0"/>
                <w:sz w:val="24"/>
              </w:rPr>
            </w:pPr>
            <w:r>
              <w:rPr>
                <w:b/>
                <w:color w:val="000000"/>
                <w:kern w:val="0"/>
                <w:sz w:val="24"/>
              </w:rPr>
              <w:t>表5</w:t>
            </w:r>
            <w:r>
              <w:rPr>
                <w:b/>
                <w:color w:val="000000"/>
                <w:kern w:val="0"/>
                <w:sz w:val="24"/>
                <w:lang w:val="zh-CN"/>
              </w:rPr>
              <w:t>-</w:t>
            </w:r>
            <w:r>
              <w:rPr>
                <w:b/>
                <w:color w:val="000000"/>
                <w:kern w:val="0"/>
                <w:sz w:val="24"/>
              </w:rPr>
              <w:t>1项目运营期环境监测计划表</w:t>
            </w:r>
          </w:p>
          <w:tbl>
            <w:tblPr>
              <w:tblStyle w:val="44"/>
              <w:tblW w:w="88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697"/>
              <w:gridCol w:w="943"/>
              <w:gridCol w:w="1023"/>
              <w:gridCol w:w="1894"/>
              <w:gridCol w:w="1701"/>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jc w:val="center"/>
              </w:trPr>
              <w:tc>
                <w:tcPr>
                  <w:tcW w:w="428" w:type="dxa"/>
                  <w:vAlign w:val="center"/>
                </w:tcPr>
                <w:p>
                  <w:pPr>
                    <w:widowControl/>
                    <w:jc w:val="center"/>
                    <w:rPr>
                      <w:color w:val="0000CC"/>
                      <w:kern w:val="0"/>
                      <w:szCs w:val="21"/>
                    </w:rPr>
                  </w:pPr>
                  <w:r>
                    <w:rPr>
                      <w:color w:val="0000CC"/>
                      <w:kern w:val="0"/>
                      <w:szCs w:val="21"/>
                    </w:rPr>
                    <w:t>——</w:t>
                  </w:r>
                </w:p>
              </w:tc>
              <w:tc>
                <w:tcPr>
                  <w:tcW w:w="697" w:type="dxa"/>
                  <w:vAlign w:val="center"/>
                </w:tcPr>
                <w:p>
                  <w:pPr>
                    <w:widowControl/>
                    <w:jc w:val="center"/>
                    <w:rPr>
                      <w:color w:val="0000CC"/>
                      <w:kern w:val="0"/>
                      <w:szCs w:val="21"/>
                    </w:rPr>
                  </w:pPr>
                  <w:r>
                    <w:rPr>
                      <w:color w:val="0000CC"/>
                      <w:kern w:val="0"/>
                      <w:szCs w:val="21"/>
                    </w:rPr>
                    <w:t>监测项目</w:t>
                  </w:r>
                </w:p>
              </w:tc>
              <w:tc>
                <w:tcPr>
                  <w:tcW w:w="943" w:type="dxa"/>
                  <w:vAlign w:val="center"/>
                </w:tcPr>
                <w:p>
                  <w:pPr>
                    <w:widowControl/>
                    <w:jc w:val="center"/>
                    <w:rPr>
                      <w:color w:val="0000CC"/>
                      <w:kern w:val="0"/>
                      <w:szCs w:val="21"/>
                    </w:rPr>
                  </w:pPr>
                  <w:r>
                    <w:rPr>
                      <w:color w:val="0000CC"/>
                      <w:kern w:val="0"/>
                      <w:szCs w:val="21"/>
                    </w:rPr>
                    <w:t>点位/断面</w:t>
                  </w:r>
                </w:p>
              </w:tc>
              <w:tc>
                <w:tcPr>
                  <w:tcW w:w="1023" w:type="dxa"/>
                  <w:vAlign w:val="center"/>
                </w:tcPr>
                <w:p>
                  <w:pPr>
                    <w:widowControl/>
                    <w:jc w:val="center"/>
                    <w:rPr>
                      <w:color w:val="0000CC"/>
                      <w:kern w:val="0"/>
                      <w:szCs w:val="21"/>
                    </w:rPr>
                  </w:pPr>
                  <w:r>
                    <w:rPr>
                      <w:color w:val="0000CC"/>
                      <w:kern w:val="0"/>
                      <w:szCs w:val="21"/>
                    </w:rPr>
                    <w:t>监测参数</w:t>
                  </w:r>
                </w:p>
              </w:tc>
              <w:tc>
                <w:tcPr>
                  <w:tcW w:w="1894" w:type="dxa"/>
                  <w:vAlign w:val="center"/>
                </w:tcPr>
                <w:p>
                  <w:pPr>
                    <w:widowControl/>
                    <w:jc w:val="center"/>
                    <w:rPr>
                      <w:color w:val="0000CC"/>
                      <w:kern w:val="0"/>
                      <w:szCs w:val="21"/>
                    </w:rPr>
                  </w:pPr>
                  <w:r>
                    <w:rPr>
                      <w:color w:val="0000CC"/>
                      <w:kern w:val="0"/>
                      <w:szCs w:val="21"/>
                    </w:rPr>
                    <w:t>监测频率</w:t>
                  </w:r>
                </w:p>
              </w:tc>
              <w:tc>
                <w:tcPr>
                  <w:tcW w:w="1701" w:type="dxa"/>
                  <w:vAlign w:val="center"/>
                </w:tcPr>
                <w:p>
                  <w:pPr>
                    <w:widowControl/>
                    <w:jc w:val="center"/>
                    <w:rPr>
                      <w:color w:val="0000CC"/>
                      <w:kern w:val="0"/>
                      <w:szCs w:val="21"/>
                    </w:rPr>
                  </w:pPr>
                  <w:r>
                    <w:rPr>
                      <w:color w:val="0000CC"/>
                      <w:kern w:val="0"/>
                      <w:szCs w:val="21"/>
                    </w:rPr>
                    <w:t>监测方法</w:t>
                  </w:r>
                </w:p>
              </w:tc>
              <w:tc>
                <w:tcPr>
                  <w:tcW w:w="2127" w:type="dxa"/>
                </w:tcPr>
                <w:p>
                  <w:pPr>
                    <w:widowControl/>
                    <w:jc w:val="center"/>
                    <w:rPr>
                      <w:color w:val="0000CC"/>
                      <w:kern w:val="0"/>
                      <w:szCs w:val="21"/>
                    </w:rPr>
                  </w:pPr>
                  <w:r>
                    <w:rPr>
                      <w:color w:val="0000CC"/>
                      <w:kern w:val="0"/>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45" w:hRule="atLeast"/>
                <w:jc w:val="center"/>
              </w:trPr>
              <w:tc>
                <w:tcPr>
                  <w:tcW w:w="428" w:type="dxa"/>
                  <w:vMerge w:val="restart"/>
                  <w:vAlign w:val="center"/>
                </w:tcPr>
                <w:p>
                  <w:pPr>
                    <w:widowControl/>
                    <w:jc w:val="center"/>
                    <w:rPr>
                      <w:color w:val="0000CC"/>
                      <w:kern w:val="0"/>
                      <w:szCs w:val="21"/>
                    </w:rPr>
                  </w:pPr>
                  <w:r>
                    <w:rPr>
                      <w:color w:val="0000CC"/>
                      <w:kern w:val="0"/>
                      <w:szCs w:val="21"/>
                    </w:rPr>
                    <w:t>运营期</w:t>
                  </w:r>
                </w:p>
              </w:tc>
              <w:tc>
                <w:tcPr>
                  <w:tcW w:w="697" w:type="dxa"/>
                  <w:vAlign w:val="center"/>
                </w:tcPr>
                <w:p>
                  <w:pPr>
                    <w:widowControl/>
                    <w:jc w:val="center"/>
                    <w:rPr>
                      <w:color w:val="0000CC"/>
                      <w:kern w:val="0"/>
                      <w:szCs w:val="21"/>
                    </w:rPr>
                  </w:pPr>
                  <w:r>
                    <w:rPr>
                      <w:color w:val="0000CC"/>
                      <w:kern w:val="0"/>
                      <w:szCs w:val="21"/>
                    </w:rPr>
                    <w:t>生活污水</w:t>
                  </w:r>
                </w:p>
              </w:tc>
              <w:tc>
                <w:tcPr>
                  <w:tcW w:w="943" w:type="dxa"/>
                  <w:vAlign w:val="center"/>
                </w:tcPr>
                <w:p>
                  <w:pPr>
                    <w:widowControl/>
                    <w:jc w:val="center"/>
                    <w:rPr>
                      <w:color w:val="0000CC"/>
                      <w:kern w:val="0"/>
                      <w:szCs w:val="21"/>
                    </w:rPr>
                  </w:pPr>
                  <w:r>
                    <w:rPr>
                      <w:color w:val="0000CC"/>
                      <w:kern w:val="0"/>
                      <w:szCs w:val="21"/>
                    </w:rPr>
                    <w:t>远期污水排放口</w:t>
                  </w:r>
                </w:p>
              </w:tc>
              <w:tc>
                <w:tcPr>
                  <w:tcW w:w="1023" w:type="dxa"/>
                  <w:vAlign w:val="center"/>
                </w:tcPr>
                <w:p>
                  <w:pPr>
                    <w:widowControl/>
                    <w:jc w:val="center"/>
                    <w:rPr>
                      <w:color w:val="0000CC"/>
                      <w:kern w:val="0"/>
                      <w:szCs w:val="21"/>
                    </w:rPr>
                  </w:pPr>
                  <w:r>
                    <w:rPr>
                      <w:color w:val="0000CC"/>
                      <w:kern w:val="0"/>
                      <w:szCs w:val="21"/>
                    </w:rPr>
                    <w:t>流量、CODCr、BOD5、氨氮、总氮、TP、SS</w:t>
                  </w:r>
                </w:p>
              </w:tc>
              <w:tc>
                <w:tcPr>
                  <w:tcW w:w="1894" w:type="dxa"/>
                  <w:vAlign w:val="center"/>
                </w:tcPr>
                <w:p>
                  <w:pPr>
                    <w:widowControl/>
                    <w:jc w:val="center"/>
                    <w:rPr>
                      <w:color w:val="0000CC"/>
                      <w:kern w:val="0"/>
                      <w:szCs w:val="21"/>
                    </w:rPr>
                  </w:pPr>
                  <w:r>
                    <w:rPr>
                      <w:rFonts w:hint="eastAsia"/>
                      <w:color w:val="0000CC"/>
                      <w:kern w:val="0"/>
                      <w:szCs w:val="21"/>
                    </w:rPr>
                    <w:t>远期</w:t>
                  </w:r>
                  <w:r>
                    <w:rPr>
                      <w:color w:val="0000CC"/>
                      <w:kern w:val="0"/>
                      <w:szCs w:val="21"/>
                    </w:rPr>
                    <w:t>接通至滇池南岸截污管网后每季度进行一次自行监测</w:t>
                  </w:r>
                </w:p>
              </w:tc>
              <w:tc>
                <w:tcPr>
                  <w:tcW w:w="1701" w:type="dxa"/>
                  <w:vAlign w:val="center"/>
                </w:tcPr>
                <w:p>
                  <w:pPr>
                    <w:widowControl/>
                    <w:jc w:val="center"/>
                    <w:rPr>
                      <w:color w:val="0000CC"/>
                      <w:kern w:val="0"/>
                      <w:szCs w:val="21"/>
                    </w:rPr>
                  </w:pPr>
                  <w:r>
                    <w:rPr>
                      <w:color w:val="0000CC"/>
                      <w:kern w:val="0"/>
                      <w:szCs w:val="21"/>
                    </w:rPr>
                    <w:t>按照《水和废水监测分析方法》进行</w:t>
                  </w:r>
                </w:p>
                <w:p>
                  <w:pPr>
                    <w:widowControl/>
                    <w:jc w:val="center"/>
                    <w:rPr>
                      <w:color w:val="0000CC"/>
                      <w:kern w:val="0"/>
                      <w:szCs w:val="21"/>
                    </w:rPr>
                  </w:pPr>
                  <w:r>
                    <w:rPr>
                      <w:color w:val="0000CC"/>
                      <w:kern w:val="0"/>
                      <w:szCs w:val="21"/>
                    </w:rPr>
                    <w:t>——</w:t>
                  </w:r>
                </w:p>
              </w:tc>
              <w:tc>
                <w:tcPr>
                  <w:tcW w:w="2127" w:type="dxa"/>
                </w:tcPr>
                <w:p>
                  <w:pPr>
                    <w:widowControl/>
                    <w:jc w:val="center"/>
                    <w:rPr>
                      <w:color w:val="0000CC"/>
                      <w:kern w:val="0"/>
                      <w:szCs w:val="21"/>
                    </w:rPr>
                  </w:pPr>
                  <w:r>
                    <w:rPr>
                      <w:color w:val="0000CC"/>
                      <w:kern w:val="0"/>
                      <w:szCs w:val="21"/>
                    </w:rPr>
                    <w:t>《污水排入城镇下水道水质标准》（GB/T 31962-2015）中A等级标准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8" w:hRule="atLeast"/>
                <w:jc w:val="center"/>
              </w:trPr>
              <w:tc>
                <w:tcPr>
                  <w:tcW w:w="428" w:type="dxa"/>
                  <w:vMerge w:val="continue"/>
                  <w:vAlign w:val="center"/>
                </w:tcPr>
                <w:p>
                  <w:pPr>
                    <w:widowControl/>
                    <w:jc w:val="center"/>
                    <w:rPr>
                      <w:color w:val="0000CC"/>
                      <w:kern w:val="0"/>
                      <w:szCs w:val="21"/>
                    </w:rPr>
                  </w:pPr>
                </w:p>
              </w:tc>
              <w:tc>
                <w:tcPr>
                  <w:tcW w:w="697" w:type="dxa"/>
                  <w:vAlign w:val="center"/>
                </w:tcPr>
                <w:p>
                  <w:pPr>
                    <w:widowControl/>
                    <w:jc w:val="center"/>
                    <w:rPr>
                      <w:color w:val="0000CC"/>
                      <w:kern w:val="0"/>
                      <w:szCs w:val="21"/>
                    </w:rPr>
                  </w:pPr>
                  <w:r>
                    <w:rPr>
                      <w:color w:val="0000CC"/>
                      <w:kern w:val="0"/>
                      <w:szCs w:val="21"/>
                    </w:rPr>
                    <w:t>噪声</w:t>
                  </w:r>
                </w:p>
              </w:tc>
              <w:tc>
                <w:tcPr>
                  <w:tcW w:w="943" w:type="dxa"/>
                  <w:vAlign w:val="center"/>
                </w:tcPr>
                <w:p>
                  <w:pPr>
                    <w:widowControl/>
                    <w:jc w:val="center"/>
                    <w:rPr>
                      <w:color w:val="0000CC"/>
                      <w:kern w:val="0"/>
                      <w:szCs w:val="21"/>
                    </w:rPr>
                  </w:pPr>
                  <w:r>
                    <w:rPr>
                      <w:color w:val="0000CC"/>
                      <w:kern w:val="0"/>
                      <w:szCs w:val="21"/>
                    </w:rPr>
                    <w:t>场界噪声</w:t>
                  </w:r>
                </w:p>
              </w:tc>
              <w:tc>
                <w:tcPr>
                  <w:tcW w:w="1023" w:type="dxa"/>
                  <w:vAlign w:val="center"/>
                </w:tcPr>
                <w:p>
                  <w:pPr>
                    <w:widowControl/>
                    <w:jc w:val="center"/>
                    <w:rPr>
                      <w:color w:val="0000CC"/>
                      <w:kern w:val="0"/>
                      <w:szCs w:val="21"/>
                    </w:rPr>
                  </w:pPr>
                  <w:r>
                    <w:rPr>
                      <w:color w:val="0000CC"/>
                      <w:kern w:val="0"/>
                      <w:szCs w:val="21"/>
                    </w:rPr>
                    <w:t>等效声级</w:t>
                  </w:r>
                </w:p>
              </w:tc>
              <w:tc>
                <w:tcPr>
                  <w:tcW w:w="1894" w:type="dxa"/>
                  <w:vAlign w:val="center"/>
                </w:tcPr>
                <w:p>
                  <w:pPr>
                    <w:widowControl/>
                    <w:jc w:val="center"/>
                    <w:rPr>
                      <w:color w:val="0000CC"/>
                      <w:kern w:val="0"/>
                      <w:szCs w:val="21"/>
                    </w:rPr>
                  </w:pPr>
                  <w:r>
                    <w:rPr>
                      <w:color w:val="0000CC"/>
                      <w:kern w:val="0"/>
                      <w:szCs w:val="21"/>
                    </w:rPr>
                    <w:t>验收时检测一次，验收后每季度进行一次自行监测</w:t>
                  </w:r>
                </w:p>
              </w:tc>
              <w:tc>
                <w:tcPr>
                  <w:tcW w:w="1701" w:type="dxa"/>
                  <w:vAlign w:val="center"/>
                </w:tcPr>
                <w:p>
                  <w:pPr>
                    <w:widowControl/>
                    <w:jc w:val="center"/>
                    <w:rPr>
                      <w:color w:val="0000CC"/>
                      <w:kern w:val="0"/>
                      <w:szCs w:val="21"/>
                    </w:rPr>
                  </w:pPr>
                  <w:r>
                    <w:rPr>
                      <w:bCs/>
                      <w:color w:val="0000CC"/>
                      <w:kern w:val="0"/>
                      <w:szCs w:val="21"/>
                    </w:rPr>
                    <w:t>按《声环境质量标准》（GB3096-2008）监测方法进行</w:t>
                  </w:r>
                </w:p>
              </w:tc>
              <w:tc>
                <w:tcPr>
                  <w:tcW w:w="2127" w:type="dxa"/>
                </w:tcPr>
                <w:p>
                  <w:pPr>
                    <w:widowControl/>
                    <w:jc w:val="center"/>
                    <w:rPr>
                      <w:bCs/>
                      <w:color w:val="0000CC"/>
                      <w:kern w:val="0"/>
                      <w:szCs w:val="21"/>
                    </w:rPr>
                  </w:pPr>
                  <w:r>
                    <w:rPr>
                      <w:bCs/>
                      <w:color w:val="0000CC"/>
                      <w:kern w:val="0"/>
                      <w:szCs w:val="21"/>
                    </w:rPr>
                    <w:t>场界噪声执行《工业企业厂界环境噪声排放标准 》类区标准</w:t>
                  </w:r>
                </w:p>
                <w:p>
                  <w:pPr>
                    <w:widowControl/>
                    <w:jc w:val="center"/>
                    <w:rPr>
                      <w:bCs/>
                      <w:color w:val="0000CC"/>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0" w:hRule="atLeast"/>
                <w:jc w:val="center"/>
              </w:trPr>
              <w:tc>
                <w:tcPr>
                  <w:tcW w:w="428" w:type="dxa"/>
                  <w:vMerge w:val="continue"/>
                  <w:vAlign w:val="center"/>
                </w:tcPr>
                <w:p>
                  <w:pPr>
                    <w:widowControl/>
                    <w:jc w:val="center"/>
                    <w:rPr>
                      <w:color w:val="0000CC"/>
                      <w:kern w:val="0"/>
                      <w:szCs w:val="21"/>
                    </w:rPr>
                  </w:pPr>
                </w:p>
              </w:tc>
              <w:tc>
                <w:tcPr>
                  <w:tcW w:w="697" w:type="dxa"/>
                  <w:vMerge w:val="restart"/>
                  <w:vAlign w:val="center"/>
                </w:tcPr>
                <w:p>
                  <w:pPr>
                    <w:widowControl/>
                    <w:jc w:val="center"/>
                    <w:rPr>
                      <w:color w:val="0000CC"/>
                      <w:kern w:val="0"/>
                      <w:szCs w:val="21"/>
                    </w:rPr>
                  </w:pPr>
                  <w:r>
                    <w:rPr>
                      <w:color w:val="0000CC"/>
                      <w:kern w:val="0"/>
                      <w:szCs w:val="21"/>
                    </w:rPr>
                    <w:t>废气</w:t>
                  </w:r>
                </w:p>
              </w:tc>
              <w:tc>
                <w:tcPr>
                  <w:tcW w:w="943" w:type="dxa"/>
                  <w:vAlign w:val="center"/>
                </w:tcPr>
                <w:p>
                  <w:pPr>
                    <w:widowControl/>
                    <w:jc w:val="center"/>
                    <w:rPr>
                      <w:color w:val="0000CC"/>
                      <w:kern w:val="0"/>
                      <w:szCs w:val="21"/>
                    </w:rPr>
                  </w:pPr>
                  <w:r>
                    <w:rPr>
                      <w:rFonts w:hint="eastAsia"/>
                      <w:color w:val="0000CC"/>
                      <w:kern w:val="0"/>
                      <w:szCs w:val="21"/>
                    </w:rPr>
                    <w:t>喷砂废气排气筒</w:t>
                  </w:r>
                </w:p>
              </w:tc>
              <w:tc>
                <w:tcPr>
                  <w:tcW w:w="1023" w:type="dxa"/>
                  <w:vAlign w:val="center"/>
                </w:tcPr>
                <w:p>
                  <w:pPr>
                    <w:widowControl/>
                    <w:jc w:val="center"/>
                    <w:rPr>
                      <w:color w:val="0000CC"/>
                      <w:kern w:val="0"/>
                      <w:szCs w:val="21"/>
                    </w:rPr>
                  </w:pPr>
                  <w:r>
                    <w:rPr>
                      <w:rFonts w:hint="eastAsia"/>
                      <w:bCs/>
                      <w:color w:val="0000CC"/>
                      <w:kern w:val="0"/>
                      <w:szCs w:val="21"/>
                    </w:rPr>
                    <w:t>颗粒物</w:t>
                  </w:r>
                </w:p>
              </w:tc>
              <w:tc>
                <w:tcPr>
                  <w:tcW w:w="1894" w:type="dxa"/>
                  <w:vAlign w:val="center"/>
                </w:tcPr>
                <w:p>
                  <w:pPr>
                    <w:widowControl/>
                    <w:jc w:val="center"/>
                    <w:rPr>
                      <w:color w:val="0000CC"/>
                      <w:kern w:val="0"/>
                      <w:szCs w:val="21"/>
                    </w:rPr>
                  </w:pPr>
                  <w:r>
                    <w:rPr>
                      <w:color w:val="0000CC"/>
                      <w:kern w:val="0"/>
                      <w:szCs w:val="21"/>
                    </w:rPr>
                    <w:t>每年进行1次监测</w:t>
                  </w:r>
                </w:p>
              </w:tc>
              <w:tc>
                <w:tcPr>
                  <w:tcW w:w="1701" w:type="dxa"/>
                  <w:vAlign w:val="center"/>
                </w:tcPr>
                <w:p>
                  <w:pPr>
                    <w:widowControl/>
                    <w:jc w:val="center"/>
                    <w:rPr>
                      <w:bCs/>
                      <w:color w:val="0000CC"/>
                      <w:kern w:val="0"/>
                      <w:szCs w:val="21"/>
                    </w:rPr>
                  </w:pPr>
                  <w:r>
                    <w:rPr>
                      <w:bCs/>
                      <w:color w:val="0000CC"/>
                      <w:kern w:val="0"/>
                      <w:szCs w:val="21"/>
                    </w:rPr>
                    <w:t>《大气污染物综合排放标准》（GB16297-1996）检测标准</w:t>
                  </w:r>
                </w:p>
              </w:tc>
              <w:tc>
                <w:tcPr>
                  <w:tcW w:w="2127" w:type="dxa"/>
                </w:tcPr>
                <w:p>
                  <w:pPr>
                    <w:widowControl/>
                    <w:jc w:val="center"/>
                    <w:rPr>
                      <w:bCs/>
                      <w:color w:val="0000CC"/>
                      <w:kern w:val="0"/>
                      <w:szCs w:val="21"/>
                    </w:rPr>
                  </w:pPr>
                  <w:r>
                    <w:rPr>
                      <w:color w:val="000000"/>
                      <w:kern w:val="0"/>
                      <w:szCs w:val="21"/>
                    </w:rPr>
                    <w:t>《大气污染物综合排放标准》（GB16297-1996）表2二级标准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43" w:hRule="atLeast"/>
                <w:jc w:val="center"/>
              </w:trPr>
              <w:tc>
                <w:tcPr>
                  <w:tcW w:w="428" w:type="dxa"/>
                  <w:vMerge w:val="continue"/>
                  <w:vAlign w:val="center"/>
                </w:tcPr>
                <w:p>
                  <w:pPr>
                    <w:widowControl/>
                    <w:jc w:val="center"/>
                    <w:rPr>
                      <w:color w:val="0000CC"/>
                      <w:kern w:val="0"/>
                      <w:szCs w:val="21"/>
                    </w:rPr>
                  </w:pPr>
                </w:p>
              </w:tc>
              <w:tc>
                <w:tcPr>
                  <w:tcW w:w="697" w:type="dxa"/>
                  <w:vMerge w:val="continue"/>
                  <w:vAlign w:val="center"/>
                </w:tcPr>
                <w:p>
                  <w:pPr>
                    <w:widowControl/>
                    <w:jc w:val="center"/>
                    <w:rPr>
                      <w:color w:val="0000CC"/>
                      <w:kern w:val="0"/>
                      <w:szCs w:val="21"/>
                    </w:rPr>
                  </w:pPr>
                </w:p>
              </w:tc>
              <w:tc>
                <w:tcPr>
                  <w:tcW w:w="943" w:type="dxa"/>
                  <w:vAlign w:val="center"/>
                </w:tcPr>
                <w:p>
                  <w:pPr>
                    <w:widowControl/>
                    <w:rPr>
                      <w:color w:val="0000CC"/>
                      <w:kern w:val="0"/>
                      <w:szCs w:val="21"/>
                    </w:rPr>
                  </w:pPr>
                  <w:r>
                    <w:rPr>
                      <w:color w:val="0000CC"/>
                      <w:kern w:val="0"/>
                      <w:szCs w:val="21"/>
                    </w:rPr>
                    <w:t>打磨系统排气筒</w:t>
                  </w:r>
                </w:p>
              </w:tc>
              <w:tc>
                <w:tcPr>
                  <w:tcW w:w="1023" w:type="dxa"/>
                  <w:vAlign w:val="center"/>
                </w:tcPr>
                <w:p>
                  <w:pPr>
                    <w:widowControl/>
                    <w:jc w:val="center"/>
                    <w:rPr>
                      <w:color w:val="0000CC"/>
                      <w:kern w:val="0"/>
                      <w:szCs w:val="21"/>
                    </w:rPr>
                  </w:pPr>
                  <w:r>
                    <w:rPr>
                      <w:rFonts w:hint="eastAsia"/>
                      <w:bCs/>
                      <w:color w:val="0000CC"/>
                      <w:kern w:val="0"/>
                      <w:szCs w:val="21"/>
                    </w:rPr>
                    <w:t>颗粒物</w:t>
                  </w:r>
                </w:p>
              </w:tc>
              <w:tc>
                <w:tcPr>
                  <w:tcW w:w="1894" w:type="dxa"/>
                  <w:vAlign w:val="center"/>
                </w:tcPr>
                <w:p>
                  <w:pPr>
                    <w:widowControl/>
                    <w:jc w:val="center"/>
                    <w:rPr>
                      <w:color w:val="0000CC"/>
                      <w:kern w:val="0"/>
                      <w:szCs w:val="21"/>
                    </w:rPr>
                  </w:pPr>
                  <w:r>
                    <w:rPr>
                      <w:color w:val="0000CC"/>
                      <w:kern w:val="0"/>
                      <w:szCs w:val="21"/>
                    </w:rPr>
                    <w:t>每年进行一次监测</w:t>
                  </w:r>
                </w:p>
              </w:tc>
              <w:tc>
                <w:tcPr>
                  <w:tcW w:w="1701" w:type="dxa"/>
                  <w:vAlign w:val="center"/>
                </w:tcPr>
                <w:p>
                  <w:pPr>
                    <w:widowControl/>
                    <w:jc w:val="center"/>
                    <w:rPr>
                      <w:bCs/>
                      <w:color w:val="0000CC"/>
                      <w:kern w:val="0"/>
                      <w:szCs w:val="21"/>
                    </w:rPr>
                  </w:pPr>
                  <w:r>
                    <w:rPr>
                      <w:color w:val="000000"/>
                      <w:kern w:val="0"/>
                      <w:szCs w:val="21"/>
                    </w:rPr>
                    <w:t>《大气污染物综合排放标准》（GB16297-1996）监测标准</w:t>
                  </w:r>
                </w:p>
              </w:tc>
              <w:tc>
                <w:tcPr>
                  <w:tcW w:w="2127" w:type="dxa"/>
                </w:tcPr>
                <w:p>
                  <w:pPr>
                    <w:widowControl/>
                    <w:jc w:val="center"/>
                    <w:rPr>
                      <w:bCs/>
                      <w:color w:val="0000CC"/>
                      <w:kern w:val="0"/>
                      <w:szCs w:val="21"/>
                    </w:rPr>
                  </w:pPr>
                  <w:r>
                    <w:rPr>
                      <w:bCs/>
                      <w:color w:val="0000CC"/>
                      <w:kern w:val="0"/>
                      <w:szCs w:val="21"/>
                    </w:rPr>
                    <w:t>《大气污染物综合排放标准》（GB16297-1996）表2二级标准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1" w:hRule="atLeast"/>
                <w:jc w:val="center"/>
              </w:trPr>
              <w:tc>
                <w:tcPr>
                  <w:tcW w:w="428" w:type="dxa"/>
                  <w:vMerge w:val="continue"/>
                  <w:vAlign w:val="center"/>
                </w:tcPr>
                <w:p>
                  <w:pPr>
                    <w:widowControl/>
                    <w:jc w:val="center"/>
                    <w:rPr>
                      <w:color w:val="0000CC"/>
                      <w:kern w:val="0"/>
                      <w:szCs w:val="21"/>
                    </w:rPr>
                  </w:pPr>
                </w:p>
              </w:tc>
              <w:tc>
                <w:tcPr>
                  <w:tcW w:w="697" w:type="dxa"/>
                  <w:vMerge w:val="continue"/>
                  <w:vAlign w:val="center"/>
                </w:tcPr>
                <w:p>
                  <w:pPr>
                    <w:widowControl/>
                    <w:jc w:val="center"/>
                    <w:rPr>
                      <w:color w:val="0000CC"/>
                      <w:kern w:val="0"/>
                      <w:szCs w:val="21"/>
                    </w:rPr>
                  </w:pPr>
                </w:p>
              </w:tc>
              <w:tc>
                <w:tcPr>
                  <w:tcW w:w="943" w:type="dxa"/>
                  <w:vAlign w:val="center"/>
                </w:tcPr>
                <w:p>
                  <w:pPr>
                    <w:widowControl/>
                    <w:rPr>
                      <w:color w:val="0000CC"/>
                      <w:kern w:val="0"/>
                      <w:szCs w:val="21"/>
                    </w:rPr>
                  </w:pPr>
                  <w:r>
                    <w:rPr>
                      <w:color w:val="0000CC"/>
                      <w:kern w:val="0"/>
                      <w:szCs w:val="21"/>
                    </w:rPr>
                    <w:t>喷漆废气排气筒</w:t>
                  </w:r>
                </w:p>
              </w:tc>
              <w:tc>
                <w:tcPr>
                  <w:tcW w:w="1023" w:type="dxa"/>
                  <w:vAlign w:val="center"/>
                </w:tcPr>
                <w:p>
                  <w:pPr>
                    <w:widowControl/>
                    <w:jc w:val="center"/>
                    <w:rPr>
                      <w:bCs/>
                      <w:color w:val="0000CC"/>
                      <w:kern w:val="0"/>
                      <w:szCs w:val="21"/>
                    </w:rPr>
                  </w:pPr>
                  <w:r>
                    <w:rPr>
                      <w:rFonts w:hint="eastAsia"/>
                      <w:bCs/>
                      <w:color w:val="0000CC"/>
                      <w:kern w:val="0"/>
                      <w:szCs w:val="21"/>
                    </w:rPr>
                    <w:t>非甲烷总烃</w:t>
                  </w:r>
                </w:p>
              </w:tc>
              <w:tc>
                <w:tcPr>
                  <w:tcW w:w="1894" w:type="dxa"/>
                  <w:vAlign w:val="center"/>
                </w:tcPr>
                <w:p>
                  <w:pPr>
                    <w:widowControl/>
                    <w:jc w:val="center"/>
                    <w:rPr>
                      <w:color w:val="0000CC"/>
                      <w:kern w:val="0"/>
                      <w:szCs w:val="21"/>
                    </w:rPr>
                  </w:pPr>
                  <w:r>
                    <w:rPr>
                      <w:color w:val="0000CC"/>
                      <w:kern w:val="0"/>
                      <w:szCs w:val="21"/>
                    </w:rPr>
                    <w:t>每年进行一次监测</w:t>
                  </w:r>
                </w:p>
              </w:tc>
              <w:tc>
                <w:tcPr>
                  <w:tcW w:w="1701" w:type="dxa"/>
                  <w:vAlign w:val="center"/>
                </w:tcPr>
                <w:p>
                  <w:pPr>
                    <w:widowControl/>
                    <w:jc w:val="center"/>
                    <w:rPr>
                      <w:color w:val="000000"/>
                      <w:kern w:val="0"/>
                      <w:szCs w:val="21"/>
                    </w:rPr>
                  </w:pPr>
                  <w:r>
                    <w:rPr>
                      <w:color w:val="000000"/>
                      <w:kern w:val="0"/>
                      <w:szCs w:val="21"/>
                    </w:rPr>
                    <w:t>《大气污染物综合排放标准》（GB16297-1996）</w:t>
                  </w:r>
                  <w:r>
                    <w:rPr>
                      <w:rFonts w:hint="eastAsia"/>
                      <w:color w:val="000000"/>
                      <w:kern w:val="0"/>
                      <w:szCs w:val="21"/>
                    </w:rPr>
                    <w:t>监测标准</w:t>
                  </w:r>
                </w:p>
              </w:tc>
              <w:tc>
                <w:tcPr>
                  <w:tcW w:w="2127" w:type="dxa"/>
                </w:tcPr>
                <w:p>
                  <w:pPr>
                    <w:widowControl/>
                    <w:jc w:val="center"/>
                    <w:rPr>
                      <w:bCs/>
                      <w:color w:val="0000CC"/>
                      <w:kern w:val="0"/>
                      <w:szCs w:val="21"/>
                    </w:rPr>
                  </w:pPr>
                  <w:r>
                    <w:rPr>
                      <w:color w:val="000000"/>
                      <w:kern w:val="0"/>
                      <w:szCs w:val="21"/>
                    </w:rPr>
                    <w:t>《大气污染物综合排放标准》（GB16297-1996）表2二级标准</w:t>
                  </w:r>
                </w:p>
              </w:tc>
            </w:tr>
          </w:tbl>
          <w:p>
            <w:pPr>
              <w:widowControl/>
              <w:rPr>
                <w:b/>
                <w:kern w:val="21"/>
                <w:sz w:val="24"/>
              </w:rPr>
            </w:pPr>
            <w:r>
              <w:rPr>
                <w:b/>
                <w:kern w:val="21"/>
                <w:sz w:val="24"/>
              </w:rPr>
              <w:t>二、环境监理</w:t>
            </w:r>
          </w:p>
          <w:p>
            <w:pPr>
              <w:widowControl/>
              <w:ind w:left="480" w:firstLine="482" w:firstLineChars="200"/>
              <w:jc w:val="center"/>
              <w:rPr>
                <w:b/>
                <w:kern w:val="21"/>
                <w:sz w:val="24"/>
              </w:rPr>
            </w:pPr>
            <w:r>
              <w:rPr>
                <w:b/>
                <w:kern w:val="21"/>
                <w:sz w:val="24"/>
              </w:rPr>
              <w:t>表5-2 环境监理计划表</w:t>
            </w:r>
          </w:p>
          <w:tbl>
            <w:tblPr>
              <w:tblStyle w:val="44"/>
              <w:tblW w:w="9749"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1653"/>
              <w:gridCol w:w="1488"/>
              <w:gridCol w:w="524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61" w:type="dxa"/>
                  <w:tcBorders>
                    <w:left w:val="single" w:color="auto" w:sz="4" w:space="0"/>
                  </w:tcBorders>
                  <w:vAlign w:val="center"/>
                </w:tcPr>
                <w:p>
                  <w:pPr>
                    <w:widowControl/>
                    <w:jc w:val="center"/>
                    <w:rPr>
                      <w:color w:val="0000CC"/>
                      <w:kern w:val="0"/>
                      <w:szCs w:val="21"/>
                    </w:rPr>
                  </w:pPr>
                  <w:r>
                    <w:rPr>
                      <w:color w:val="0000CC"/>
                      <w:kern w:val="0"/>
                      <w:szCs w:val="21"/>
                    </w:rPr>
                    <w:t>监理阶段</w:t>
                  </w:r>
                </w:p>
              </w:tc>
              <w:tc>
                <w:tcPr>
                  <w:tcW w:w="1653" w:type="dxa"/>
                  <w:vAlign w:val="center"/>
                </w:tcPr>
                <w:p>
                  <w:pPr>
                    <w:widowControl/>
                    <w:jc w:val="center"/>
                    <w:rPr>
                      <w:color w:val="0000CC"/>
                      <w:kern w:val="0"/>
                      <w:szCs w:val="21"/>
                    </w:rPr>
                  </w:pPr>
                  <w:r>
                    <w:rPr>
                      <w:color w:val="0000CC"/>
                      <w:kern w:val="0"/>
                      <w:szCs w:val="21"/>
                    </w:rPr>
                    <w:t>责任人</w:t>
                  </w:r>
                </w:p>
              </w:tc>
              <w:tc>
                <w:tcPr>
                  <w:tcW w:w="1488" w:type="dxa"/>
                  <w:vAlign w:val="center"/>
                </w:tcPr>
                <w:p>
                  <w:pPr>
                    <w:widowControl/>
                    <w:jc w:val="center"/>
                    <w:rPr>
                      <w:color w:val="0000CC"/>
                      <w:kern w:val="0"/>
                      <w:szCs w:val="21"/>
                    </w:rPr>
                  </w:pPr>
                  <w:r>
                    <w:rPr>
                      <w:color w:val="0000CC"/>
                      <w:kern w:val="0"/>
                      <w:szCs w:val="21"/>
                    </w:rPr>
                    <w:t>监督单位</w:t>
                  </w:r>
                </w:p>
              </w:tc>
              <w:tc>
                <w:tcPr>
                  <w:tcW w:w="5247" w:type="dxa"/>
                  <w:tcBorders>
                    <w:right w:val="single" w:color="auto" w:sz="4" w:space="0"/>
                  </w:tcBorders>
                  <w:vAlign w:val="center"/>
                </w:tcPr>
                <w:p>
                  <w:pPr>
                    <w:widowControl/>
                    <w:jc w:val="center"/>
                    <w:rPr>
                      <w:color w:val="0000CC"/>
                      <w:kern w:val="0"/>
                      <w:szCs w:val="21"/>
                    </w:rPr>
                  </w:pPr>
                  <w:r>
                    <w:rPr>
                      <w:color w:val="0000CC"/>
                      <w:kern w:val="0"/>
                      <w:szCs w:val="21"/>
                    </w:rPr>
                    <w:t>监理内容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1" w:type="dxa"/>
                  <w:tcBorders>
                    <w:left w:val="single" w:color="auto" w:sz="4" w:space="0"/>
                  </w:tcBorders>
                  <w:vAlign w:val="center"/>
                </w:tcPr>
                <w:p>
                  <w:pPr>
                    <w:widowControl/>
                    <w:jc w:val="center"/>
                    <w:rPr>
                      <w:color w:val="0000CC"/>
                      <w:kern w:val="0"/>
                      <w:szCs w:val="21"/>
                    </w:rPr>
                  </w:pPr>
                  <w:r>
                    <w:rPr>
                      <w:color w:val="0000CC"/>
                      <w:kern w:val="0"/>
                      <w:szCs w:val="21"/>
                    </w:rPr>
                    <w:t>环评阶段</w:t>
                  </w:r>
                </w:p>
              </w:tc>
              <w:tc>
                <w:tcPr>
                  <w:tcW w:w="1653" w:type="dxa"/>
                  <w:vAlign w:val="center"/>
                </w:tcPr>
                <w:p>
                  <w:pPr>
                    <w:widowControl/>
                    <w:jc w:val="center"/>
                    <w:rPr>
                      <w:color w:val="0000CC"/>
                      <w:kern w:val="0"/>
                      <w:szCs w:val="21"/>
                    </w:rPr>
                  </w:pPr>
                  <w:r>
                    <w:rPr>
                      <w:color w:val="0000CC"/>
                      <w:kern w:val="0"/>
                      <w:szCs w:val="21"/>
                    </w:rPr>
                    <w:t>环评人员</w:t>
                  </w:r>
                </w:p>
              </w:tc>
              <w:tc>
                <w:tcPr>
                  <w:tcW w:w="1488" w:type="dxa"/>
                  <w:vAlign w:val="center"/>
                </w:tcPr>
                <w:p>
                  <w:pPr>
                    <w:widowControl/>
                    <w:jc w:val="center"/>
                    <w:rPr>
                      <w:color w:val="0000CC"/>
                      <w:kern w:val="0"/>
                      <w:szCs w:val="21"/>
                    </w:rPr>
                  </w:pPr>
                  <w:r>
                    <w:rPr>
                      <w:rFonts w:hint="eastAsia"/>
                      <w:color w:val="0000CC"/>
                      <w:kern w:val="0"/>
                      <w:szCs w:val="21"/>
                    </w:rPr>
                    <w:t>昆明市</w:t>
                  </w:r>
                  <w:r>
                    <w:rPr>
                      <w:color w:val="0000CC"/>
                      <w:kern w:val="0"/>
                      <w:szCs w:val="21"/>
                    </w:rPr>
                    <w:t>生态环境局</w:t>
                  </w:r>
                  <w:r>
                    <w:rPr>
                      <w:rFonts w:hint="eastAsia"/>
                      <w:color w:val="0000CC"/>
                      <w:kern w:val="0"/>
                      <w:szCs w:val="21"/>
                    </w:rPr>
                    <w:t>晋宁</w:t>
                  </w:r>
                  <w:r>
                    <w:rPr>
                      <w:color w:val="0000CC"/>
                      <w:kern w:val="0"/>
                      <w:szCs w:val="21"/>
                    </w:rPr>
                    <w:t>分局</w:t>
                  </w:r>
                </w:p>
              </w:tc>
              <w:tc>
                <w:tcPr>
                  <w:tcW w:w="5247" w:type="dxa"/>
                  <w:tcBorders>
                    <w:right w:val="single" w:color="auto" w:sz="4" w:space="0"/>
                  </w:tcBorders>
                  <w:vAlign w:val="center"/>
                </w:tcPr>
                <w:p>
                  <w:pPr>
                    <w:widowControl/>
                    <w:jc w:val="center"/>
                    <w:rPr>
                      <w:color w:val="0000CC"/>
                      <w:kern w:val="0"/>
                      <w:szCs w:val="21"/>
                    </w:rPr>
                  </w:pPr>
                  <w:r>
                    <w:rPr>
                      <w:color w:val="0000CC"/>
                      <w:kern w:val="0"/>
                      <w:szCs w:val="21"/>
                    </w:rPr>
                    <w:t>审核、审批项目环境影响报告表。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90" w:hRule="atLeast"/>
                <w:jc w:val="center"/>
              </w:trPr>
              <w:tc>
                <w:tcPr>
                  <w:tcW w:w="1361" w:type="dxa"/>
                  <w:tcBorders>
                    <w:left w:val="single" w:color="auto" w:sz="4" w:space="0"/>
                  </w:tcBorders>
                  <w:vAlign w:val="center"/>
                </w:tcPr>
                <w:p>
                  <w:pPr>
                    <w:widowControl/>
                    <w:jc w:val="center"/>
                    <w:rPr>
                      <w:color w:val="0000CC"/>
                      <w:kern w:val="0"/>
                      <w:szCs w:val="21"/>
                    </w:rPr>
                  </w:pPr>
                  <w:r>
                    <w:rPr>
                      <w:color w:val="0000CC"/>
                      <w:kern w:val="0"/>
                      <w:szCs w:val="21"/>
                    </w:rPr>
                    <w:t>设计阶段</w:t>
                  </w:r>
                </w:p>
              </w:tc>
              <w:tc>
                <w:tcPr>
                  <w:tcW w:w="1653" w:type="dxa"/>
                  <w:vAlign w:val="center"/>
                </w:tcPr>
                <w:p>
                  <w:pPr>
                    <w:widowControl/>
                    <w:jc w:val="center"/>
                    <w:rPr>
                      <w:color w:val="0000CC"/>
                      <w:kern w:val="0"/>
                      <w:szCs w:val="21"/>
                    </w:rPr>
                  </w:pPr>
                  <w:r>
                    <w:rPr>
                      <w:color w:val="0000CC"/>
                      <w:kern w:val="0"/>
                      <w:szCs w:val="21"/>
                    </w:rPr>
                    <w:t>设计人员</w:t>
                  </w:r>
                </w:p>
              </w:tc>
              <w:tc>
                <w:tcPr>
                  <w:tcW w:w="1488" w:type="dxa"/>
                  <w:vAlign w:val="center"/>
                </w:tcPr>
                <w:p>
                  <w:pPr>
                    <w:widowControl/>
                    <w:jc w:val="center"/>
                    <w:rPr>
                      <w:color w:val="0000CC"/>
                      <w:kern w:val="0"/>
                      <w:szCs w:val="21"/>
                    </w:rPr>
                  </w:pPr>
                  <w:r>
                    <w:rPr>
                      <w:color w:val="0000CC"/>
                      <w:kern w:val="0"/>
                      <w:szCs w:val="21"/>
                    </w:rPr>
                    <w:t>设计审批机构</w:t>
                  </w:r>
                </w:p>
              </w:tc>
              <w:tc>
                <w:tcPr>
                  <w:tcW w:w="5247" w:type="dxa"/>
                  <w:tcBorders>
                    <w:right w:val="single" w:color="auto" w:sz="4" w:space="0"/>
                  </w:tcBorders>
                  <w:vAlign w:val="center"/>
                </w:tcPr>
                <w:p>
                  <w:pPr>
                    <w:widowControl/>
                    <w:jc w:val="center"/>
                    <w:rPr>
                      <w:color w:val="0000CC"/>
                      <w:kern w:val="0"/>
                      <w:szCs w:val="21"/>
                    </w:rPr>
                  </w:pPr>
                  <w:r>
                    <w:rPr>
                      <w:color w:val="0000CC"/>
                      <w:kern w:val="0"/>
                      <w:szCs w:val="21"/>
                    </w:rPr>
                    <w:t>采纳环评报告表的环境保护对策措施。</w:t>
                  </w:r>
                </w:p>
                <w:p>
                  <w:pPr>
                    <w:widowControl/>
                    <w:jc w:val="center"/>
                    <w:rPr>
                      <w:color w:val="0000CC"/>
                      <w:kern w:val="0"/>
                      <w:szCs w:val="21"/>
                    </w:rPr>
                  </w:pPr>
                  <w:r>
                    <w:rPr>
                      <w:color w:val="0000CC"/>
                      <w:kern w:val="0"/>
                      <w:szCs w:val="21"/>
                    </w:rPr>
                    <w:t>预算环境保护投资。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1" w:type="dxa"/>
                  <w:tcBorders>
                    <w:left w:val="single" w:color="auto" w:sz="4" w:space="0"/>
                  </w:tcBorders>
                  <w:vAlign w:val="center"/>
                </w:tcPr>
                <w:p>
                  <w:pPr>
                    <w:widowControl/>
                    <w:jc w:val="center"/>
                    <w:rPr>
                      <w:color w:val="0000CC"/>
                      <w:kern w:val="0"/>
                      <w:szCs w:val="21"/>
                    </w:rPr>
                  </w:pPr>
                  <w:r>
                    <w:rPr>
                      <w:color w:val="0000CC"/>
                      <w:kern w:val="0"/>
                      <w:szCs w:val="21"/>
                    </w:rPr>
                    <w:t>施工阶段</w:t>
                  </w:r>
                </w:p>
              </w:tc>
              <w:tc>
                <w:tcPr>
                  <w:tcW w:w="1653" w:type="dxa"/>
                  <w:vAlign w:val="center"/>
                </w:tcPr>
                <w:p>
                  <w:pPr>
                    <w:widowControl/>
                    <w:jc w:val="center"/>
                    <w:rPr>
                      <w:color w:val="0000CC"/>
                      <w:kern w:val="0"/>
                      <w:szCs w:val="21"/>
                    </w:rPr>
                  </w:pPr>
                  <w:r>
                    <w:rPr>
                      <w:color w:val="0000CC"/>
                      <w:kern w:val="0"/>
                      <w:szCs w:val="21"/>
                    </w:rPr>
                    <w:t>建设单位聘请的环境监理人员</w:t>
                  </w:r>
                </w:p>
              </w:tc>
              <w:tc>
                <w:tcPr>
                  <w:tcW w:w="1488" w:type="dxa"/>
                  <w:vAlign w:val="center"/>
                </w:tcPr>
                <w:p>
                  <w:pPr>
                    <w:widowControl/>
                    <w:jc w:val="center"/>
                    <w:rPr>
                      <w:color w:val="0000CC"/>
                      <w:kern w:val="0"/>
                      <w:szCs w:val="21"/>
                    </w:rPr>
                  </w:pPr>
                  <w:r>
                    <w:rPr>
                      <w:color w:val="0000CC"/>
                      <w:kern w:val="0"/>
                      <w:szCs w:val="21"/>
                    </w:rPr>
                    <w:t>昆明市生态环境局晋宁分局、建设单位</w:t>
                  </w:r>
                </w:p>
              </w:tc>
              <w:tc>
                <w:tcPr>
                  <w:tcW w:w="5247" w:type="dxa"/>
                  <w:tcBorders>
                    <w:right w:val="single" w:color="auto" w:sz="4" w:space="0"/>
                  </w:tcBorders>
                  <w:vAlign w:val="center"/>
                </w:tcPr>
                <w:p>
                  <w:pPr>
                    <w:widowControl/>
                    <w:jc w:val="center"/>
                    <w:rPr>
                      <w:color w:val="0000CC"/>
                      <w:kern w:val="0"/>
                      <w:szCs w:val="21"/>
                    </w:rPr>
                  </w:pPr>
                  <w:r>
                    <w:rPr>
                      <w:color w:val="0000CC"/>
                      <w:kern w:val="0"/>
                      <w:szCs w:val="21"/>
                    </w:rPr>
                    <w:t>制定环境监理计划，拟定项目施工期环境监理的项目和内容，并进行监理。</w:t>
                  </w:r>
                </w:p>
                <w:p>
                  <w:pPr>
                    <w:widowControl/>
                    <w:jc w:val="center"/>
                    <w:rPr>
                      <w:color w:val="0000CC"/>
                      <w:kern w:val="0"/>
                      <w:szCs w:val="21"/>
                    </w:rPr>
                  </w:pPr>
                  <w:r>
                    <w:rPr>
                      <w:color w:val="0000CC"/>
                      <w:kern w:val="0"/>
                      <w:szCs w:val="21"/>
                    </w:rPr>
                    <w:t>对承包商施工进行监理，避免或减轻施工作业引起的环境污染。</w:t>
                  </w:r>
                </w:p>
                <w:p>
                  <w:pPr>
                    <w:widowControl/>
                    <w:jc w:val="center"/>
                    <w:rPr>
                      <w:color w:val="0000CC"/>
                      <w:kern w:val="0"/>
                      <w:szCs w:val="21"/>
                    </w:rPr>
                  </w:pPr>
                  <w:r>
                    <w:rPr>
                      <w:color w:val="0000CC"/>
                      <w:kern w:val="0"/>
                      <w:szCs w:val="21"/>
                    </w:rPr>
                    <w:t>全面监督和检查各施工阶段环境保护措施实施情况和实际效果，及时处理和解决临时出现的环境污染事件。</w:t>
                  </w:r>
                </w:p>
                <w:p>
                  <w:pPr>
                    <w:widowControl/>
                    <w:jc w:val="center"/>
                    <w:rPr>
                      <w:color w:val="0000CC"/>
                      <w:kern w:val="0"/>
                      <w:szCs w:val="21"/>
                    </w:rPr>
                  </w:pPr>
                  <w:r>
                    <w:rPr>
                      <w:color w:val="0000CC"/>
                      <w:kern w:val="0"/>
                      <w:szCs w:val="21"/>
                    </w:rPr>
                    <w:t>在日常工作中做好监理记录及监理报告，参与竣工验收。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1" w:type="dxa"/>
                  <w:tcBorders>
                    <w:left w:val="single" w:color="auto" w:sz="4" w:space="0"/>
                  </w:tcBorders>
                  <w:vAlign w:val="center"/>
                </w:tcPr>
                <w:p>
                  <w:pPr>
                    <w:widowControl/>
                    <w:jc w:val="center"/>
                    <w:rPr>
                      <w:color w:val="0000CC"/>
                      <w:kern w:val="0"/>
                      <w:szCs w:val="21"/>
                    </w:rPr>
                  </w:pPr>
                  <w:r>
                    <w:rPr>
                      <w:color w:val="0000CC"/>
                      <w:kern w:val="0"/>
                      <w:szCs w:val="21"/>
                    </w:rPr>
                    <w:t>运营阶段</w:t>
                  </w:r>
                </w:p>
              </w:tc>
              <w:tc>
                <w:tcPr>
                  <w:tcW w:w="1653" w:type="dxa"/>
                  <w:vAlign w:val="center"/>
                </w:tcPr>
                <w:p>
                  <w:pPr>
                    <w:widowControl/>
                    <w:jc w:val="center"/>
                    <w:rPr>
                      <w:color w:val="0000CC"/>
                      <w:kern w:val="0"/>
                      <w:szCs w:val="21"/>
                    </w:rPr>
                  </w:pPr>
                  <w:r>
                    <w:rPr>
                      <w:color w:val="0000CC"/>
                      <w:kern w:val="0"/>
                      <w:szCs w:val="21"/>
                    </w:rPr>
                    <w:t>建设单位聘请的环境监理人员</w:t>
                  </w:r>
                </w:p>
              </w:tc>
              <w:tc>
                <w:tcPr>
                  <w:tcW w:w="1488" w:type="dxa"/>
                  <w:vAlign w:val="center"/>
                </w:tcPr>
                <w:p>
                  <w:pPr>
                    <w:widowControl/>
                    <w:jc w:val="center"/>
                    <w:rPr>
                      <w:color w:val="0000CC"/>
                      <w:kern w:val="0"/>
                      <w:szCs w:val="21"/>
                    </w:rPr>
                  </w:pPr>
                  <w:r>
                    <w:rPr>
                      <w:color w:val="0000CC"/>
                      <w:kern w:val="0"/>
                      <w:szCs w:val="21"/>
                    </w:rPr>
                    <w:t>昆明市生态环境局晋宁分局、建设单位</w:t>
                  </w:r>
                </w:p>
                <w:p>
                  <w:pPr>
                    <w:widowControl/>
                    <w:jc w:val="center"/>
                    <w:rPr>
                      <w:color w:val="0000CC"/>
                      <w:kern w:val="0"/>
                      <w:szCs w:val="21"/>
                    </w:rPr>
                  </w:pPr>
                </w:p>
              </w:tc>
              <w:tc>
                <w:tcPr>
                  <w:tcW w:w="5247" w:type="dxa"/>
                  <w:tcBorders>
                    <w:right w:val="single" w:color="auto" w:sz="4" w:space="0"/>
                  </w:tcBorders>
                  <w:vAlign w:val="center"/>
                </w:tcPr>
                <w:p>
                  <w:pPr>
                    <w:widowControl/>
                    <w:jc w:val="center"/>
                    <w:rPr>
                      <w:color w:val="0000CC"/>
                      <w:kern w:val="0"/>
                      <w:szCs w:val="21"/>
                    </w:rPr>
                  </w:pPr>
                  <w:r>
                    <w:rPr>
                      <w:color w:val="0000CC"/>
                      <w:kern w:val="0"/>
                      <w:szCs w:val="21"/>
                    </w:rPr>
                    <w:t>制定项目运营期的环境监理计划，根据项目的环境保护设施，拟定项目运营期环境监理的项目和内容。</w:t>
                  </w:r>
                </w:p>
                <w:p>
                  <w:pPr>
                    <w:widowControl/>
                    <w:jc w:val="center"/>
                    <w:rPr>
                      <w:color w:val="0000CC"/>
                      <w:kern w:val="0"/>
                      <w:szCs w:val="21"/>
                    </w:rPr>
                  </w:pPr>
                  <w:r>
                    <w:rPr>
                      <w:color w:val="0000CC"/>
                      <w:kern w:val="0"/>
                      <w:szCs w:val="21"/>
                    </w:rPr>
                    <w:t>全面监理各个环保措施的运行情况和实际效果，以及污染物达标排放情况；及时处理和解决临时出现的环境污染事件和环保设施故障。</w:t>
                  </w:r>
                </w:p>
                <w:p>
                  <w:pPr>
                    <w:widowControl/>
                    <w:jc w:val="center"/>
                    <w:rPr>
                      <w:color w:val="0000CC"/>
                      <w:kern w:val="0"/>
                      <w:szCs w:val="21"/>
                    </w:rPr>
                  </w:pPr>
                  <w:r>
                    <w:rPr>
                      <w:color w:val="0000CC"/>
                      <w:kern w:val="0"/>
                      <w:szCs w:val="21"/>
                    </w:rPr>
                    <w:t>全面监督和检查建设单位在运营期间是否存在漏排、偷排的情况。</w:t>
                  </w:r>
                </w:p>
                <w:p>
                  <w:pPr>
                    <w:widowControl/>
                    <w:jc w:val="center"/>
                    <w:rPr>
                      <w:color w:val="0000CC"/>
                      <w:kern w:val="0"/>
                      <w:szCs w:val="21"/>
                    </w:rPr>
                  </w:pPr>
                  <w:r>
                    <w:rPr>
                      <w:color w:val="0000CC"/>
                      <w:kern w:val="0"/>
                      <w:szCs w:val="21"/>
                    </w:rPr>
                    <w:t>在运营期间，做好监理记录及监理报告，落实环境监测的实施，审核有关环境监测报告等。</w:t>
                  </w:r>
                </w:p>
              </w:tc>
            </w:tr>
          </w:tbl>
          <w:p>
            <w:pPr>
              <w:widowControl/>
              <w:rPr>
                <w:b/>
                <w:kern w:val="21"/>
                <w:sz w:val="24"/>
              </w:rPr>
            </w:pPr>
            <w:r>
              <w:rPr>
                <w:b/>
                <w:kern w:val="21"/>
                <w:sz w:val="24"/>
              </w:rPr>
              <w:t>三、环保设施竣工验收</w:t>
            </w:r>
          </w:p>
          <w:p>
            <w:pPr>
              <w:widowControl/>
              <w:ind w:left="420" w:leftChars="200" w:firstLine="480" w:firstLineChars="200"/>
              <w:rPr>
                <w:kern w:val="0"/>
                <w:sz w:val="24"/>
              </w:rPr>
            </w:pPr>
            <w:r>
              <w:rPr>
                <w:kern w:val="0"/>
                <w:sz w:val="24"/>
              </w:rPr>
              <w:t>项目环保设施竣工验收应包括以下主要内容：</w:t>
            </w:r>
          </w:p>
          <w:p>
            <w:pPr>
              <w:widowControl/>
              <w:ind w:left="420" w:leftChars="200" w:firstLine="482" w:firstLineChars="200"/>
              <w:jc w:val="center"/>
              <w:rPr>
                <w:b/>
                <w:kern w:val="0"/>
                <w:sz w:val="24"/>
              </w:rPr>
            </w:pPr>
            <w:r>
              <w:rPr>
                <w:b/>
                <w:kern w:val="0"/>
                <w:sz w:val="24"/>
              </w:rPr>
              <w:t>表5-3竣工环保设施验收一览表</w:t>
            </w:r>
          </w:p>
          <w:tbl>
            <w:tblPr>
              <w:tblStyle w:val="44"/>
              <w:tblW w:w="86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1601"/>
              <w:gridCol w:w="1878"/>
              <w:gridCol w:w="3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5" w:type="dxa"/>
                  <w:vAlign w:val="center"/>
                </w:tcPr>
                <w:p>
                  <w:pPr>
                    <w:widowControl/>
                    <w:jc w:val="left"/>
                    <w:rPr>
                      <w:color w:val="FF0000"/>
                      <w:kern w:val="0"/>
                      <w:szCs w:val="21"/>
                      <w:lang w:val="zh-CN"/>
                    </w:rPr>
                  </w:pPr>
                  <w:r>
                    <w:rPr>
                      <w:color w:val="FF0000"/>
                      <w:kern w:val="0"/>
                      <w:szCs w:val="21"/>
                      <w:lang w:val="zh-CN"/>
                    </w:rPr>
                    <w:t>环保设施名称</w:t>
                  </w:r>
                </w:p>
              </w:tc>
              <w:tc>
                <w:tcPr>
                  <w:tcW w:w="1601" w:type="dxa"/>
                  <w:vAlign w:val="center"/>
                </w:tcPr>
                <w:p>
                  <w:pPr>
                    <w:widowControl/>
                    <w:jc w:val="left"/>
                    <w:rPr>
                      <w:color w:val="FF0000"/>
                      <w:kern w:val="0"/>
                      <w:szCs w:val="21"/>
                      <w:lang w:val="zh-CN"/>
                    </w:rPr>
                  </w:pPr>
                  <w:r>
                    <w:rPr>
                      <w:color w:val="FF0000"/>
                      <w:kern w:val="0"/>
                      <w:szCs w:val="21"/>
                      <w:lang w:val="zh-CN"/>
                    </w:rPr>
                    <w:t>内容及规模</w:t>
                  </w:r>
                </w:p>
              </w:tc>
              <w:tc>
                <w:tcPr>
                  <w:tcW w:w="1878" w:type="dxa"/>
                  <w:vAlign w:val="center"/>
                </w:tcPr>
                <w:p>
                  <w:pPr>
                    <w:widowControl/>
                    <w:ind w:firstLine="199" w:firstLineChars="95"/>
                    <w:jc w:val="left"/>
                    <w:rPr>
                      <w:color w:val="FF0000"/>
                      <w:kern w:val="0"/>
                      <w:szCs w:val="21"/>
                      <w:lang w:val="zh-CN"/>
                    </w:rPr>
                  </w:pPr>
                  <w:r>
                    <w:rPr>
                      <w:color w:val="FF0000"/>
                      <w:kern w:val="0"/>
                      <w:szCs w:val="21"/>
                      <w:lang w:val="zh-CN"/>
                    </w:rPr>
                    <w:t>环保措施</w:t>
                  </w:r>
                </w:p>
              </w:tc>
              <w:tc>
                <w:tcPr>
                  <w:tcW w:w="3922" w:type="dxa"/>
                  <w:vAlign w:val="center"/>
                </w:tcPr>
                <w:p>
                  <w:pPr>
                    <w:widowControl/>
                    <w:ind w:firstLine="199" w:firstLineChars="95"/>
                    <w:jc w:val="left"/>
                    <w:rPr>
                      <w:color w:val="FF0000"/>
                      <w:kern w:val="0"/>
                      <w:szCs w:val="21"/>
                      <w:lang w:val="zh-CN"/>
                    </w:rPr>
                  </w:pPr>
                  <w:r>
                    <w:rPr>
                      <w:color w:val="FF0000"/>
                      <w:kern w:val="0"/>
                      <w:szCs w:val="21"/>
                      <w:lang w:val="zh-CN"/>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0" w:hRule="atLeast"/>
                <w:jc w:val="center"/>
              </w:trPr>
              <w:tc>
                <w:tcPr>
                  <w:tcW w:w="1255" w:type="dxa"/>
                  <w:vAlign w:val="center"/>
                </w:tcPr>
                <w:p>
                  <w:pPr>
                    <w:widowControl/>
                    <w:rPr>
                      <w:color w:val="FF0000"/>
                      <w:kern w:val="0"/>
                      <w:szCs w:val="21"/>
                      <w:lang w:val="zh-CN"/>
                    </w:rPr>
                  </w:pPr>
                  <w:r>
                    <w:rPr>
                      <w:color w:val="FF0000"/>
                      <w:kern w:val="0"/>
                      <w:szCs w:val="21"/>
                      <w:lang w:val="zh-CN"/>
                    </w:rPr>
                    <w:t>污水</w:t>
                  </w:r>
                </w:p>
              </w:tc>
              <w:tc>
                <w:tcPr>
                  <w:tcW w:w="1601" w:type="dxa"/>
                  <w:vAlign w:val="center"/>
                </w:tcPr>
                <w:p>
                  <w:pPr>
                    <w:widowControl/>
                    <w:ind w:firstLine="199" w:firstLineChars="95"/>
                    <w:jc w:val="left"/>
                    <w:rPr>
                      <w:color w:val="FF0000"/>
                      <w:kern w:val="0"/>
                      <w:szCs w:val="21"/>
                      <w:lang w:val="zh-CN"/>
                    </w:rPr>
                  </w:pPr>
                  <w:r>
                    <w:rPr>
                      <w:color w:val="FF0000"/>
                      <w:kern w:val="0"/>
                      <w:szCs w:val="21"/>
                      <w:lang w:val="zh-CN"/>
                    </w:rPr>
                    <w:t>总排口</w:t>
                  </w:r>
                </w:p>
              </w:tc>
              <w:tc>
                <w:tcPr>
                  <w:tcW w:w="1878" w:type="dxa"/>
                  <w:vAlign w:val="center"/>
                </w:tcPr>
                <w:p>
                  <w:pPr>
                    <w:widowControl/>
                    <w:jc w:val="left"/>
                    <w:rPr>
                      <w:color w:val="FF0000"/>
                      <w:kern w:val="0"/>
                      <w:szCs w:val="21"/>
                      <w:lang w:val="zh-CN"/>
                    </w:rPr>
                  </w:pPr>
                  <w:r>
                    <w:rPr>
                      <w:color w:val="FF0000"/>
                      <w:kern w:val="0"/>
                      <w:szCs w:val="21"/>
                      <w:lang w:val="zh-CN"/>
                    </w:rPr>
                    <w:t>预留一个总排口，设置规范化排污口，清水池容积能满足</w:t>
                  </w:r>
                  <w:r>
                    <w:rPr>
                      <w:rFonts w:hint="eastAsia"/>
                      <w:color w:val="FF0000"/>
                      <w:kern w:val="0"/>
                      <w:szCs w:val="21"/>
                      <w:lang w:val="zh-CN"/>
                    </w:rPr>
                    <w:t>7天暂存需求</w:t>
                  </w:r>
                </w:p>
              </w:tc>
              <w:tc>
                <w:tcPr>
                  <w:tcW w:w="3922" w:type="dxa"/>
                  <w:vAlign w:val="center"/>
                </w:tcPr>
                <w:p>
                  <w:pPr>
                    <w:widowControl/>
                    <w:jc w:val="left"/>
                    <w:rPr>
                      <w:color w:val="FF0000"/>
                      <w:kern w:val="0"/>
                      <w:szCs w:val="21"/>
                      <w:lang w:val="zh-CN"/>
                    </w:rPr>
                  </w:pPr>
                  <w:r>
                    <w:rPr>
                      <w:color w:val="FF0000"/>
                      <w:kern w:val="0"/>
                      <w:szCs w:val="21"/>
                      <w:lang w:val="zh-CN"/>
                    </w:rPr>
                    <w:t>远期总排口接入</w:t>
                  </w:r>
                  <w:r>
                    <w:rPr>
                      <w:rFonts w:hint="eastAsia"/>
                      <w:color w:val="FF0000"/>
                      <w:kern w:val="0"/>
                      <w:szCs w:val="21"/>
                      <w:lang w:val="zh-CN"/>
                    </w:rPr>
                    <w:t>滇池南岸截污管网</w:t>
                  </w:r>
                  <w:r>
                    <w:rPr>
                      <w:color w:val="FF0000"/>
                      <w:kern w:val="0"/>
                      <w:szCs w:val="21"/>
                      <w:lang w:val="zh-CN"/>
                    </w:rPr>
                    <w:t>，出水水质满足《污水排入城镇下水道水质标准》（GB/T31962-2015）A等级标准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jc w:val="center"/>
              </w:trPr>
              <w:tc>
                <w:tcPr>
                  <w:tcW w:w="1255" w:type="dxa"/>
                  <w:vMerge w:val="restart"/>
                  <w:vAlign w:val="center"/>
                </w:tcPr>
                <w:p>
                  <w:pPr>
                    <w:widowControl/>
                    <w:rPr>
                      <w:color w:val="FF0000"/>
                      <w:kern w:val="0"/>
                      <w:szCs w:val="21"/>
                      <w:lang w:val="zh-CN"/>
                    </w:rPr>
                  </w:pPr>
                  <w:r>
                    <w:rPr>
                      <w:color w:val="FF0000"/>
                      <w:kern w:val="0"/>
                      <w:szCs w:val="21"/>
                      <w:lang w:val="zh-CN"/>
                    </w:rPr>
                    <w:t>废气</w:t>
                  </w:r>
                </w:p>
              </w:tc>
              <w:tc>
                <w:tcPr>
                  <w:tcW w:w="1601" w:type="dxa"/>
                  <w:vAlign w:val="center"/>
                </w:tcPr>
                <w:p>
                  <w:pPr>
                    <w:widowControl/>
                    <w:jc w:val="left"/>
                    <w:rPr>
                      <w:color w:val="FF0000"/>
                      <w:kern w:val="0"/>
                      <w:szCs w:val="21"/>
                      <w:lang w:val="zh-CN"/>
                    </w:rPr>
                  </w:pPr>
                  <w:r>
                    <w:rPr>
                      <w:color w:val="FF0000"/>
                      <w:kern w:val="0"/>
                      <w:szCs w:val="21"/>
                      <w:lang w:val="zh-CN"/>
                    </w:rPr>
                    <w:t>打磨废气排气筒</w:t>
                  </w:r>
                </w:p>
              </w:tc>
              <w:tc>
                <w:tcPr>
                  <w:tcW w:w="1878" w:type="dxa"/>
                  <w:vAlign w:val="center"/>
                </w:tcPr>
                <w:p>
                  <w:pPr>
                    <w:widowControl/>
                    <w:jc w:val="left"/>
                    <w:rPr>
                      <w:color w:val="FF0000"/>
                      <w:kern w:val="0"/>
                      <w:szCs w:val="21"/>
                      <w:lang w:val="zh-CN"/>
                    </w:rPr>
                  </w:pPr>
                  <w:r>
                    <w:rPr>
                      <w:color w:val="FF0000"/>
                      <w:kern w:val="0"/>
                      <w:szCs w:val="21"/>
                      <w:lang w:val="zh-CN"/>
                    </w:rPr>
                    <w:t>依托一期已有打磨废气排气筒</w:t>
                  </w:r>
                </w:p>
              </w:tc>
              <w:tc>
                <w:tcPr>
                  <w:tcW w:w="3922" w:type="dxa"/>
                  <w:vAlign w:val="center"/>
                </w:tcPr>
                <w:p>
                  <w:pPr>
                    <w:widowControl/>
                    <w:jc w:val="left"/>
                    <w:rPr>
                      <w:color w:val="FF0000"/>
                      <w:kern w:val="0"/>
                      <w:szCs w:val="21"/>
                      <w:lang w:val="zh-CN"/>
                    </w:rPr>
                  </w:pPr>
                  <w:r>
                    <w:rPr>
                      <w:rFonts w:hint="eastAsia"/>
                      <w:color w:val="FF0000"/>
                      <w:kern w:val="0"/>
                      <w:szCs w:val="21"/>
                    </w:rPr>
                    <w:t>《大气污染物综合排放标准》（GB</w:t>
                  </w:r>
                  <w:r>
                    <w:rPr>
                      <w:color w:val="FF0000"/>
                      <w:kern w:val="0"/>
                      <w:szCs w:val="21"/>
                    </w:rPr>
                    <w:t>16297-1996</w:t>
                  </w:r>
                  <w:r>
                    <w:rPr>
                      <w:rFonts w:hint="eastAsia"/>
                      <w:color w:val="FF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 w:hRule="atLeast"/>
                <w:jc w:val="center"/>
              </w:trPr>
              <w:tc>
                <w:tcPr>
                  <w:tcW w:w="1255" w:type="dxa"/>
                  <w:vMerge w:val="continue"/>
                  <w:vAlign w:val="center"/>
                </w:tcPr>
                <w:p>
                  <w:pPr>
                    <w:widowControl/>
                    <w:rPr>
                      <w:color w:val="FF0000"/>
                      <w:kern w:val="0"/>
                      <w:szCs w:val="21"/>
                      <w:lang w:val="zh-CN"/>
                    </w:rPr>
                  </w:pPr>
                </w:p>
              </w:tc>
              <w:tc>
                <w:tcPr>
                  <w:tcW w:w="1601" w:type="dxa"/>
                  <w:vAlign w:val="center"/>
                </w:tcPr>
                <w:p>
                  <w:pPr>
                    <w:widowControl/>
                    <w:ind w:firstLine="199" w:firstLineChars="95"/>
                    <w:jc w:val="left"/>
                    <w:rPr>
                      <w:color w:val="FF0000"/>
                      <w:kern w:val="0"/>
                      <w:szCs w:val="21"/>
                      <w:lang w:val="zh-CN"/>
                    </w:rPr>
                  </w:pPr>
                  <w:r>
                    <w:rPr>
                      <w:color w:val="FF0000"/>
                      <w:kern w:val="0"/>
                      <w:szCs w:val="21"/>
                      <w:lang w:val="zh-CN"/>
                    </w:rPr>
                    <w:t>喷砂废气排气筒</w:t>
                  </w:r>
                </w:p>
              </w:tc>
              <w:tc>
                <w:tcPr>
                  <w:tcW w:w="1878" w:type="dxa"/>
                  <w:vAlign w:val="center"/>
                </w:tcPr>
                <w:p>
                  <w:pPr>
                    <w:widowControl/>
                    <w:jc w:val="left"/>
                    <w:rPr>
                      <w:color w:val="FF0000"/>
                      <w:kern w:val="0"/>
                      <w:szCs w:val="21"/>
                      <w:lang w:val="zh-CN"/>
                    </w:rPr>
                  </w:pPr>
                  <w:r>
                    <w:rPr>
                      <w:color w:val="FF0000"/>
                      <w:kern w:val="0"/>
                      <w:szCs w:val="21"/>
                      <w:lang w:val="zh-CN"/>
                    </w:rPr>
                    <w:t>依托一期已有喷砂废气排气筒</w:t>
                  </w:r>
                </w:p>
              </w:tc>
              <w:tc>
                <w:tcPr>
                  <w:tcW w:w="3922" w:type="dxa"/>
                  <w:vAlign w:val="center"/>
                </w:tcPr>
                <w:p>
                  <w:pPr>
                    <w:widowControl/>
                    <w:jc w:val="left"/>
                    <w:rPr>
                      <w:color w:val="FF0000"/>
                      <w:kern w:val="0"/>
                      <w:szCs w:val="21"/>
                      <w:lang w:val="zh-CN"/>
                    </w:rPr>
                  </w:pPr>
                  <w:r>
                    <w:rPr>
                      <w:rFonts w:hint="eastAsia"/>
                      <w:color w:val="FF0000"/>
                      <w:kern w:val="0"/>
                      <w:szCs w:val="21"/>
                    </w:rPr>
                    <w:t>《大气污染物综合排放标准》（GB</w:t>
                  </w:r>
                  <w:r>
                    <w:rPr>
                      <w:color w:val="FF0000"/>
                      <w:kern w:val="0"/>
                      <w:szCs w:val="21"/>
                    </w:rPr>
                    <w:t>16297-1996</w:t>
                  </w:r>
                  <w:r>
                    <w:rPr>
                      <w:rFonts w:hint="eastAsia"/>
                      <w:color w:val="FF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jc w:val="center"/>
              </w:trPr>
              <w:tc>
                <w:tcPr>
                  <w:tcW w:w="1255" w:type="dxa"/>
                  <w:vMerge w:val="continue"/>
                  <w:vAlign w:val="center"/>
                </w:tcPr>
                <w:p>
                  <w:pPr>
                    <w:widowControl/>
                    <w:rPr>
                      <w:color w:val="FF0000"/>
                      <w:kern w:val="0"/>
                      <w:szCs w:val="21"/>
                      <w:lang w:val="zh-CN"/>
                    </w:rPr>
                  </w:pPr>
                </w:p>
              </w:tc>
              <w:tc>
                <w:tcPr>
                  <w:tcW w:w="1601" w:type="dxa"/>
                  <w:vAlign w:val="center"/>
                </w:tcPr>
                <w:p>
                  <w:pPr>
                    <w:widowControl/>
                    <w:ind w:firstLine="199" w:firstLineChars="95"/>
                    <w:jc w:val="left"/>
                    <w:rPr>
                      <w:color w:val="FF0000"/>
                      <w:kern w:val="0"/>
                      <w:szCs w:val="21"/>
                      <w:lang w:val="zh-CN"/>
                    </w:rPr>
                  </w:pPr>
                  <w:r>
                    <w:rPr>
                      <w:color w:val="FF0000"/>
                      <w:kern w:val="0"/>
                      <w:szCs w:val="21"/>
                      <w:lang w:val="zh-CN"/>
                    </w:rPr>
                    <w:t>喷漆排气筒</w:t>
                  </w:r>
                </w:p>
              </w:tc>
              <w:tc>
                <w:tcPr>
                  <w:tcW w:w="1878" w:type="dxa"/>
                  <w:vAlign w:val="center"/>
                </w:tcPr>
                <w:p>
                  <w:pPr>
                    <w:widowControl/>
                    <w:jc w:val="left"/>
                    <w:rPr>
                      <w:color w:val="FF0000"/>
                      <w:kern w:val="0"/>
                      <w:szCs w:val="21"/>
                      <w:lang w:val="zh-CN"/>
                    </w:rPr>
                  </w:pPr>
                  <w:r>
                    <w:rPr>
                      <w:color w:val="FF0000"/>
                      <w:kern w:val="0"/>
                      <w:szCs w:val="21"/>
                      <w:lang w:val="zh-CN"/>
                    </w:rPr>
                    <w:t>依托一期已有喷漆排气筒</w:t>
                  </w:r>
                </w:p>
              </w:tc>
              <w:tc>
                <w:tcPr>
                  <w:tcW w:w="3922" w:type="dxa"/>
                  <w:vAlign w:val="center"/>
                </w:tcPr>
                <w:p>
                  <w:pPr>
                    <w:widowControl/>
                    <w:jc w:val="left"/>
                    <w:rPr>
                      <w:color w:val="FF0000"/>
                      <w:kern w:val="0"/>
                      <w:szCs w:val="21"/>
                      <w:lang w:val="zh-CN"/>
                    </w:rPr>
                  </w:pPr>
                  <w:r>
                    <w:rPr>
                      <w:rFonts w:hint="eastAsia"/>
                      <w:color w:val="FF0000"/>
                      <w:kern w:val="0"/>
                      <w:szCs w:val="21"/>
                    </w:rPr>
                    <w:t>《大气污染物综合排放标准》（GB</w:t>
                  </w:r>
                  <w:r>
                    <w:rPr>
                      <w:color w:val="FF0000"/>
                      <w:kern w:val="0"/>
                      <w:szCs w:val="21"/>
                    </w:rPr>
                    <w:t>16297-1996</w:t>
                  </w:r>
                  <w:r>
                    <w:rPr>
                      <w:rFonts w:hint="eastAsia"/>
                      <w:color w:val="FF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255" w:type="dxa"/>
                  <w:vMerge w:val="restart"/>
                </w:tcPr>
                <w:p>
                  <w:pPr>
                    <w:widowControl/>
                    <w:jc w:val="left"/>
                    <w:rPr>
                      <w:color w:val="FF0000"/>
                      <w:kern w:val="0"/>
                      <w:szCs w:val="21"/>
                      <w:lang w:val="zh-CN"/>
                    </w:rPr>
                  </w:pPr>
                  <w:r>
                    <w:rPr>
                      <w:color w:val="FF0000"/>
                      <w:kern w:val="0"/>
                      <w:szCs w:val="21"/>
                      <w:lang w:val="zh-CN"/>
                    </w:rPr>
                    <w:t>固体废物处置措施</w:t>
                  </w:r>
                </w:p>
              </w:tc>
              <w:tc>
                <w:tcPr>
                  <w:tcW w:w="1601" w:type="dxa"/>
                </w:tcPr>
                <w:p>
                  <w:pPr>
                    <w:widowControl/>
                    <w:jc w:val="left"/>
                    <w:rPr>
                      <w:color w:val="FF0000"/>
                      <w:kern w:val="0"/>
                      <w:szCs w:val="21"/>
                      <w:lang w:val="zh-CN"/>
                    </w:rPr>
                  </w:pPr>
                  <w:r>
                    <w:rPr>
                      <w:color w:val="FF0000"/>
                      <w:kern w:val="0"/>
                      <w:szCs w:val="21"/>
                      <w:lang w:val="zh-CN"/>
                    </w:rPr>
                    <w:t>一般生产固废</w:t>
                  </w:r>
                </w:p>
              </w:tc>
              <w:tc>
                <w:tcPr>
                  <w:tcW w:w="1878" w:type="dxa"/>
                  <w:vAlign w:val="center"/>
                </w:tcPr>
                <w:p>
                  <w:pPr>
                    <w:widowControl/>
                    <w:ind w:firstLine="199" w:firstLineChars="95"/>
                    <w:jc w:val="left"/>
                    <w:rPr>
                      <w:color w:val="FF0000"/>
                      <w:kern w:val="0"/>
                      <w:szCs w:val="21"/>
                      <w:lang w:val="zh-CN"/>
                    </w:rPr>
                  </w:pPr>
                  <w:r>
                    <w:rPr>
                      <w:color w:val="FF0000"/>
                      <w:kern w:val="0"/>
                      <w:szCs w:val="21"/>
                      <w:lang w:val="zh-CN"/>
                    </w:rPr>
                    <w:t>无害化处理</w:t>
                  </w:r>
                </w:p>
              </w:tc>
              <w:tc>
                <w:tcPr>
                  <w:tcW w:w="3922" w:type="dxa"/>
                </w:tcPr>
                <w:p>
                  <w:pPr>
                    <w:widowControl/>
                    <w:ind w:firstLine="420" w:firstLineChars="200"/>
                    <w:jc w:val="center"/>
                    <w:rPr>
                      <w:color w:val="FF0000"/>
                      <w:kern w:val="0"/>
                      <w:szCs w:val="21"/>
                      <w:lang w:val="zh-CN"/>
                    </w:rPr>
                  </w:pPr>
                  <w:r>
                    <w:rPr>
                      <w:color w:val="FF0000"/>
                      <w:kern w:val="0"/>
                      <w:szCs w:val="21"/>
                      <w:lang w:val="zh-CN"/>
                    </w:rPr>
                    <w:t>全部处理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1255" w:type="dxa"/>
                  <w:vMerge w:val="continue"/>
                </w:tcPr>
                <w:p>
                  <w:pPr>
                    <w:widowControl/>
                    <w:ind w:firstLine="420" w:firstLineChars="200"/>
                    <w:jc w:val="center"/>
                    <w:rPr>
                      <w:color w:val="FF0000"/>
                      <w:kern w:val="0"/>
                      <w:szCs w:val="21"/>
                      <w:lang w:val="zh-CN"/>
                    </w:rPr>
                  </w:pPr>
                </w:p>
              </w:tc>
              <w:tc>
                <w:tcPr>
                  <w:tcW w:w="1601" w:type="dxa"/>
                </w:tcPr>
                <w:p>
                  <w:pPr>
                    <w:widowControl/>
                    <w:ind w:firstLine="199" w:firstLineChars="95"/>
                    <w:jc w:val="left"/>
                    <w:rPr>
                      <w:color w:val="FF0000"/>
                      <w:kern w:val="0"/>
                      <w:szCs w:val="21"/>
                      <w:lang w:val="zh-CN"/>
                    </w:rPr>
                  </w:pPr>
                  <w:r>
                    <w:rPr>
                      <w:color w:val="FF0000"/>
                      <w:kern w:val="0"/>
                      <w:szCs w:val="21"/>
                      <w:lang w:val="zh-CN"/>
                    </w:rPr>
                    <w:t>危险废物</w:t>
                  </w:r>
                </w:p>
              </w:tc>
              <w:tc>
                <w:tcPr>
                  <w:tcW w:w="1878" w:type="dxa"/>
                  <w:vAlign w:val="center"/>
                </w:tcPr>
                <w:p>
                  <w:pPr>
                    <w:widowControl/>
                    <w:ind w:firstLine="199" w:firstLineChars="95"/>
                    <w:jc w:val="left"/>
                    <w:rPr>
                      <w:color w:val="FF0000"/>
                      <w:kern w:val="0"/>
                      <w:szCs w:val="21"/>
                      <w:lang w:val="zh-CN"/>
                    </w:rPr>
                  </w:pPr>
                  <w:r>
                    <w:rPr>
                      <w:color w:val="FF0000"/>
                      <w:kern w:val="0"/>
                      <w:szCs w:val="21"/>
                      <w:lang w:val="zh-CN"/>
                    </w:rPr>
                    <w:t>全部处置</w:t>
                  </w:r>
                </w:p>
              </w:tc>
              <w:tc>
                <w:tcPr>
                  <w:tcW w:w="3922" w:type="dxa"/>
                </w:tcPr>
                <w:p>
                  <w:pPr>
                    <w:widowControl/>
                    <w:jc w:val="left"/>
                    <w:rPr>
                      <w:color w:val="FF0000"/>
                      <w:kern w:val="0"/>
                      <w:szCs w:val="21"/>
                      <w:lang w:val="zh-CN"/>
                    </w:rPr>
                  </w:pPr>
                  <w:r>
                    <w:rPr>
                      <w:rFonts w:hint="eastAsia"/>
                      <w:color w:val="FF0000"/>
                      <w:kern w:val="0"/>
                      <w:szCs w:val="21"/>
                      <w:lang w:val="zh-CN"/>
                    </w:rPr>
                    <w:t>依托已有</w:t>
                  </w:r>
                  <w:r>
                    <w:rPr>
                      <w:color w:val="FF0000"/>
                      <w:kern w:val="0"/>
                      <w:szCs w:val="21"/>
                      <w:lang w:val="zh-CN"/>
                    </w:rPr>
                    <w:t>危废暂存间，危废暂存间进行三防处理，设立明显标示牌，并委托有资质的单位清运处置</w:t>
                  </w:r>
                </w:p>
              </w:tc>
            </w:tr>
          </w:tbl>
          <w:p>
            <w:pPr>
              <w:widowControl/>
              <w:ind w:firstLine="420" w:firstLineChars="200"/>
              <w:jc w:val="left"/>
              <w:rPr>
                <w:kern w:val="0"/>
                <w:szCs w:val="21"/>
              </w:rPr>
            </w:pPr>
          </w:p>
          <w:p>
            <w:pPr>
              <w:widowControl/>
              <w:ind w:firstLine="315" w:firstLineChars="150"/>
              <w:jc w:val="center"/>
              <w:rPr>
                <w:kern w:val="0"/>
                <w:szCs w:val="21"/>
              </w:rPr>
            </w:pPr>
          </w:p>
          <w:p>
            <w:pPr>
              <w:widowControl/>
              <w:jc w:val="center"/>
              <w:rPr>
                <w:color w:val="000000"/>
                <w:kern w:val="0"/>
                <w:szCs w:val="21"/>
              </w:rPr>
            </w:pPr>
          </w:p>
        </w:tc>
      </w:tr>
    </w:tbl>
    <w:p>
      <w:pPr>
        <w:pStyle w:val="39"/>
        <w:jc w:val="center"/>
        <w:outlineLvl w:val="0"/>
        <w:rPr>
          <w:rFonts w:ascii="Times New Roman" w:hAnsi="Times New Roman"/>
          <w:snapToGrid w:val="0"/>
          <w:sz w:val="30"/>
          <w:szCs w:val="30"/>
        </w:rPr>
      </w:pPr>
      <w:r>
        <w:rPr>
          <w:rFonts w:ascii="Times New Roman" w:hAnsi="Times New Roman"/>
          <w:snapToGrid w:val="0"/>
        </w:rPr>
        <w:br w:type="page"/>
      </w:r>
      <w:bookmarkStart w:id="137" w:name="_Toc69230302"/>
      <w:r>
        <w:rPr>
          <w:rFonts w:ascii="Times New Roman" w:hAnsi="Times New Roman"/>
          <w:snapToGrid w:val="0"/>
          <w:sz w:val="30"/>
          <w:szCs w:val="30"/>
        </w:rPr>
        <w:t>六、结论</w:t>
      </w:r>
      <w:bookmarkEnd w:id="137"/>
    </w:p>
    <w:tbl>
      <w:tblPr>
        <w:tblStyle w:val="44"/>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vAlign w:val="center"/>
          </w:tcPr>
          <w:p>
            <w:pPr>
              <w:widowControl/>
              <w:spacing w:line="360" w:lineRule="auto"/>
              <w:ind w:firstLine="480" w:firstLineChars="200"/>
              <w:jc w:val="left"/>
              <w:rPr>
                <w:kern w:val="0"/>
                <w:sz w:val="24"/>
              </w:rPr>
            </w:pPr>
            <w:r>
              <w:rPr>
                <w:kern w:val="0"/>
                <w:sz w:val="24"/>
              </w:rPr>
              <w:t>一、建设项目概况</w:t>
            </w:r>
          </w:p>
          <w:p>
            <w:pPr>
              <w:widowControl/>
              <w:spacing w:line="360" w:lineRule="auto"/>
              <w:ind w:firstLine="480" w:firstLineChars="200"/>
              <w:outlineLvl w:val="1"/>
              <w:rPr>
                <w:kern w:val="0"/>
                <w:sz w:val="24"/>
              </w:rPr>
            </w:pPr>
            <w:r>
              <w:rPr>
                <w:kern w:val="0"/>
                <w:sz w:val="24"/>
              </w:rPr>
              <w:t>根据《昆明南车城市轨道装备基地项目项目建议书》，昆明南车城市轨道装备基地项目全面建成投产后将形成年新造200辆、架修200辆、大修150辆城轨车辆的生产能力。</w:t>
            </w:r>
          </w:p>
          <w:p>
            <w:pPr>
              <w:spacing w:line="360" w:lineRule="auto"/>
              <w:ind w:firstLine="480" w:firstLineChars="200"/>
              <w:rPr>
                <w:sz w:val="24"/>
              </w:rPr>
            </w:pPr>
            <w:r>
              <w:rPr>
                <w:sz w:val="24"/>
              </w:rPr>
              <w:t>一期项目于2011年4月开工建设，至2011年底土建及主体工程安装完工。2012年10月12日，昆明市环境保护局以昆环保复[2012]462号文《关于昆明南车城市轨道车辆有限公司城轨装备基地建设项目试运行申请的批复》同意一期项目进行试生产。2012年3月27日，玉溪市环境保护局以玉环试[2012]14号文《关于昆明南车城市轨道车辆有限公司城轨装备基地建设项目延期试生产的批复》同意该项目试生产延期。</w:t>
            </w:r>
          </w:p>
          <w:p>
            <w:pPr>
              <w:spacing w:line="360" w:lineRule="auto"/>
              <w:ind w:firstLine="480" w:firstLineChars="200"/>
              <w:rPr>
                <w:sz w:val="24"/>
              </w:rPr>
            </w:pPr>
            <w:r>
              <w:rPr>
                <w:sz w:val="24"/>
              </w:rPr>
              <w:t>项目实施过程中，在整个项目产能及工艺条件不变的情况下，对部分尾气排放设施进行了部分变更，2014年6月5日，云南省环境保护厅以云环审[2014]134号文对该项目补充报告进行了批复，同意一期项目变更。一期项目项目于2015年2月26日通过了原云南省环境保护厅组织的竣工环境保护验收。根据《昆明南车城市轨道车辆有限公司城轨装备基地建设项目竣工环保验收监测报告》，该项目总占地面积272673.64㎡（409.01亩），包含二期项目预留用地，项目年产城轨车辆200。</w:t>
            </w:r>
          </w:p>
          <w:p>
            <w:pPr>
              <w:spacing w:line="360" w:lineRule="auto"/>
              <w:ind w:firstLine="480" w:firstLineChars="200"/>
              <w:rPr>
                <w:kern w:val="0"/>
                <w:sz w:val="24"/>
              </w:rPr>
            </w:pPr>
            <w:r>
              <w:rPr>
                <w:sz w:val="24"/>
              </w:rPr>
              <w:t>2016年5月18日，昆明南车城市轨道车辆有限公司变更公司名称为昆明中车轨道交通装备有限公司。</w:t>
            </w:r>
          </w:p>
          <w:p>
            <w:pPr>
              <w:widowControl/>
              <w:spacing w:line="360" w:lineRule="auto"/>
              <w:ind w:firstLine="480" w:firstLineChars="200"/>
              <w:outlineLvl w:val="1"/>
              <w:rPr>
                <w:kern w:val="0"/>
                <w:sz w:val="24"/>
              </w:rPr>
            </w:pPr>
            <w:r>
              <w:rPr>
                <w:kern w:val="0"/>
                <w:sz w:val="24"/>
              </w:rPr>
              <w:t>随着2009 年昆明市第一轮轨道交通建设规划获得国务院批复后，轨道交通建设如火如荼展开，目前已有首期工程和6 号线一期、3 号线、4 号线投入运营，5号线2022 年投入运营， 7 号线、8 号线、9 号线和安宁、嵩明线拟纳入近期建设规划。其中，6 号线1 期工程车辆,于2021 年5 月份进入架修阶段；1、2 号线首期工程于2013 年5 月20 日开通，在2017 年至2019 年期间陆续完成总计40 列车首轮架修任务，在2023 年即将陆续进入车辆大修期；1 号线支线、3 号线车辆于2023 年进入架修期。昆明轨道交通线网大架修需求预计将在2024 年迎来首轮高峰。结合昆明地铁运行情况预测及客户工作计划，昆明地铁首期工程车辆240 辆车将于2023 年3 月左右开始大修。3 号线、6 号线已于2016 年底投入运营，4 号线于2020年7 月份投入运营，5 号线于2022 年投入运营，加上昆明地铁1、2 号线首期工程拆分独立运营车辆已增购以及1 号线支线2023 年架修等情况，昆明地铁将有1000 余辆车的架大修市场。同时随着云南省各州市新型轨道交通的陆续建成运营，将有127 辆有轨电车的架大修市场。结合未来市场预测，预计至2024 年，昆明中车新造业务逐步退出，主营业务由车辆新造向架大修业务转变，2030 年后昆明地铁总体架大修车辆将超过300 辆/年。昆明中车既有设施已经不能满足未来车辆架大修市场需要。因此昆明中车轨道交通装备有限公司拟在城轨装备基地建设项目预留二期用地上新建城轨装备基地架大修建设项目。</w:t>
            </w:r>
          </w:p>
          <w:p>
            <w:pPr>
              <w:widowControl/>
              <w:spacing w:line="360" w:lineRule="auto"/>
              <w:ind w:firstLine="480" w:firstLineChars="200"/>
              <w:jc w:val="left"/>
              <w:rPr>
                <w:kern w:val="0"/>
                <w:sz w:val="24"/>
              </w:rPr>
            </w:pPr>
            <w:r>
              <w:rPr>
                <w:bCs/>
                <w:kern w:val="0"/>
                <w:sz w:val="24"/>
              </w:rPr>
              <w:t>项目项目地块总面积10000㎡，为城轨装备基地建设项目预留二期用地，用地性质为工业用地，总建筑面积9374㎡。总投资8194.66万元。设计规模为200辆/年架大修。项目新建1栋8064㎡单层部件修厂房，1栋1176㎡单层材料库，1栋135㎡蓄电池间，改造3264㎡原有一期部件联合厂房中架修车间为二期项目解体车间。新建总建筑面积9375㎡，改造已有建筑3264㎡，二期项目不新增绿化用地，厂区内绿化用地均为一期建成。</w:t>
            </w:r>
          </w:p>
          <w:p>
            <w:pPr>
              <w:widowControl/>
              <w:spacing w:line="360" w:lineRule="auto"/>
              <w:ind w:firstLine="480" w:firstLineChars="200"/>
              <w:jc w:val="left"/>
              <w:rPr>
                <w:kern w:val="0"/>
                <w:sz w:val="24"/>
              </w:rPr>
            </w:pPr>
            <w:r>
              <w:rPr>
                <w:kern w:val="0"/>
                <w:sz w:val="24"/>
              </w:rPr>
              <w:t>二、符合性分析结论</w:t>
            </w:r>
          </w:p>
          <w:p>
            <w:pPr>
              <w:widowControl/>
              <w:spacing w:line="360" w:lineRule="auto"/>
              <w:ind w:firstLine="472" w:firstLineChars="197"/>
              <w:jc w:val="left"/>
              <w:rPr>
                <w:kern w:val="0"/>
                <w:sz w:val="24"/>
              </w:rPr>
            </w:pPr>
            <w:r>
              <w:rPr>
                <w:kern w:val="0"/>
                <w:sz w:val="24"/>
              </w:rPr>
              <w:t>（1）本项目不属于为国家产业政策淘汰类、限制类项目。</w:t>
            </w:r>
          </w:p>
          <w:p>
            <w:pPr>
              <w:spacing w:line="360" w:lineRule="auto"/>
              <w:ind w:firstLine="480" w:firstLineChars="200"/>
              <w:rPr>
                <w:sz w:val="24"/>
              </w:rPr>
            </w:pPr>
            <w:r>
              <w:rPr>
                <w:sz w:val="24"/>
              </w:rPr>
              <w:t>（2）</w:t>
            </w:r>
            <w:r>
              <w:rPr>
                <w:kern w:val="52"/>
                <w:sz w:val="24"/>
              </w:rPr>
              <w:t>项目符合《</w:t>
            </w:r>
            <w:r>
              <w:rPr>
                <w:rFonts w:hint="eastAsia"/>
                <w:kern w:val="52"/>
                <w:sz w:val="24"/>
              </w:rPr>
              <w:t>云南晋宁工业园区总体规划修编（2012-2030）</w:t>
            </w:r>
            <w:r>
              <w:rPr>
                <w:kern w:val="52"/>
                <w:sz w:val="24"/>
              </w:rPr>
              <w:t>》、</w:t>
            </w:r>
            <w:r>
              <w:rPr>
                <w:rFonts w:hint="eastAsia"/>
                <w:sz w:val="24"/>
              </w:rPr>
              <w:t>《云南晋宁工业园区总体规划修编（2012-2030）环境影响报告书》及审查意见</w:t>
            </w:r>
            <w:r>
              <w:rPr>
                <w:sz w:val="24"/>
              </w:rPr>
              <w:t>的要求。</w:t>
            </w:r>
          </w:p>
          <w:p>
            <w:pPr>
              <w:widowControl/>
              <w:spacing w:line="360" w:lineRule="auto"/>
              <w:ind w:firstLine="480" w:firstLineChars="200"/>
              <w:rPr>
                <w:kern w:val="0"/>
                <w:sz w:val="24"/>
              </w:rPr>
            </w:pPr>
            <w:r>
              <w:rPr>
                <w:kern w:val="0"/>
                <w:sz w:val="24"/>
              </w:rPr>
              <w:t>（3）总的来说，本项目的功能布局上是合理可行的。</w:t>
            </w:r>
          </w:p>
          <w:p>
            <w:pPr>
              <w:widowControl/>
              <w:spacing w:line="360" w:lineRule="auto"/>
              <w:ind w:firstLine="480" w:firstLineChars="200"/>
              <w:rPr>
                <w:kern w:val="0"/>
                <w:sz w:val="24"/>
              </w:rPr>
            </w:pPr>
            <w:r>
              <w:rPr>
                <w:kern w:val="0"/>
                <w:sz w:val="24"/>
              </w:rPr>
              <w:t>三、环境质量现状结论</w:t>
            </w:r>
          </w:p>
          <w:p>
            <w:pPr>
              <w:widowControl/>
              <w:spacing w:line="360" w:lineRule="auto"/>
              <w:ind w:firstLine="480" w:firstLineChars="200"/>
              <w:rPr>
                <w:kern w:val="0"/>
                <w:sz w:val="24"/>
              </w:rPr>
            </w:pPr>
            <w:r>
              <w:rPr>
                <w:rFonts w:hint="eastAsia"/>
                <w:kern w:val="0"/>
                <w:sz w:val="24"/>
              </w:rPr>
              <w:t>项目位于晋宁区，为环境空气质量二类区。根据昆明市生态环境局晋宁分局发布的晋宁区环境空气常规监测，2021年1月-2021年12月近一年内，晋宁区环境空气优良率分别为：100%，96.67%，100%，100%，96.77%，100%，100%，100%，100%，100%，100%，96.77%，96.77%，属于达标区域。</w:t>
            </w:r>
          </w:p>
          <w:p>
            <w:pPr>
              <w:widowControl/>
              <w:spacing w:line="360" w:lineRule="auto"/>
              <w:ind w:firstLine="480" w:firstLineChars="200"/>
              <w:rPr>
                <w:kern w:val="0"/>
                <w:sz w:val="24"/>
              </w:rPr>
            </w:pPr>
            <w:r>
              <w:rPr>
                <w:kern w:val="0"/>
                <w:sz w:val="24"/>
              </w:rPr>
              <w:t>项目所在地最近地表水体为西</w:t>
            </w:r>
            <w:r>
              <w:rPr>
                <w:rFonts w:hint="eastAsia"/>
                <w:kern w:val="0"/>
                <w:sz w:val="24"/>
              </w:rPr>
              <w:t>侧</w:t>
            </w:r>
            <w:r>
              <w:rPr>
                <w:kern w:val="0"/>
                <w:sz w:val="24"/>
              </w:rPr>
              <w:t>2.94km</w:t>
            </w:r>
            <w:r>
              <w:rPr>
                <w:rFonts w:hint="eastAsia"/>
                <w:kern w:val="0"/>
                <w:sz w:val="24"/>
              </w:rPr>
              <w:t>处淤泥河和北侧2</w:t>
            </w:r>
            <w:r>
              <w:rPr>
                <w:kern w:val="0"/>
                <w:sz w:val="24"/>
              </w:rPr>
              <w:t>.28km南冲河。根据《云南省水功能区划》（</w:t>
            </w:r>
            <w:r>
              <w:rPr>
                <w:rFonts w:hint="eastAsia"/>
                <w:kern w:val="0"/>
                <w:sz w:val="24"/>
              </w:rPr>
              <w:t>2</w:t>
            </w:r>
            <w:r>
              <w:rPr>
                <w:kern w:val="0"/>
                <w:sz w:val="24"/>
              </w:rPr>
              <w:t>014年修订），项目所在区域区划属于</w:t>
            </w:r>
            <w:r>
              <w:rPr>
                <w:rFonts w:hint="eastAsia"/>
                <w:kern w:val="0"/>
                <w:sz w:val="24"/>
              </w:rPr>
              <w:t>大河晋宁</w:t>
            </w:r>
            <w:r>
              <w:rPr>
                <w:kern w:val="0"/>
                <w:sz w:val="24"/>
              </w:rPr>
              <w:t>开发利用区</w:t>
            </w:r>
            <w:r>
              <w:rPr>
                <w:rFonts w:hint="eastAsia"/>
                <w:kern w:val="0"/>
                <w:sz w:val="24"/>
              </w:rPr>
              <w:t>-</w:t>
            </w:r>
            <w:r>
              <w:rPr>
                <w:kern w:val="0"/>
                <w:sz w:val="24"/>
              </w:rPr>
              <w:t>大河晋宁农业、工业用水区，按《地表水环境质量标准》（GB3838-2002）</w:t>
            </w:r>
            <w:r>
              <w:rPr>
                <w:rFonts w:hint="eastAsia"/>
                <w:kern w:val="0"/>
                <w:sz w:val="24"/>
              </w:rPr>
              <w:t>III</w:t>
            </w:r>
            <w:r>
              <w:rPr>
                <w:kern w:val="0"/>
                <w:sz w:val="24"/>
              </w:rPr>
              <w:t>类标准进行保护。南冲河为滇池一级支流，未进行区划，项目区域滇池属于滇池昆明开发利用区</w:t>
            </w:r>
            <w:r>
              <w:rPr>
                <w:rFonts w:hint="eastAsia"/>
                <w:kern w:val="0"/>
                <w:sz w:val="24"/>
              </w:rPr>
              <w:t>-滇池南部工业、农业用水区，水质按</w:t>
            </w:r>
            <w:r>
              <w:rPr>
                <w:kern w:val="0"/>
                <w:sz w:val="24"/>
              </w:rPr>
              <w:t>《地表水环境质量标准》（GB3838-2002）</w:t>
            </w:r>
            <w:r>
              <w:rPr>
                <w:rFonts w:hint="eastAsia"/>
                <w:kern w:val="0"/>
                <w:sz w:val="24"/>
              </w:rPr>
              <w:t>III</w:t>
            </w:r>
            <w:r>
              <w:rPr>
                <w:kern w:val="0"/>
                <w:sz w:val="24"/>
              </w:rPr>
              <w:t>类标准进行保护，根据支流不低于干流进行保护的原则，南冲河按《地表水环境质量标准》（GB3838-2002）</w:t>
            </w:r>
            <w:r>
              <w:rPr>
                <w:rFonts w:hint="eastAsia"/>
                <w:kern w:val="0"/>
                <w:sz w:val="24"/>
              </w:rPr>
              <w:t>III</w:t>
            </w:r>
            <w:r>
              <w:rPr>
                <w:kern w:val="0"/>
                <w:sz w:val="24"/>
              </w:rPr>
              <w:t>类标准进行保护。</w:t>
            </w:r>
            <w:r>
              <w:rPr>
                <w:rFonts w:hint="eastAsia"/>
                <w:kern w:val="0"/>
                <w:sz w:val="24"/>
              </w:rPr>
              <w:t>淤泥河为大河水库下游，20</w:t>
            </w:r>
            <w:r>
              <w:rPr>
                <w:kern w:val="0"/>
                <w:sz w:val="24"/>
              </w:rPr>
              <w:t>21年</w:t>
            </w:r>
            <w:r>
              <w:rPr>
                <w:rFonts w:hint="eastAsia"/>
                <w:kern w:val="0"/>
                <w:sz w:val="24"/>
              </w:rPr>
              <w:t>1月-</w:t>
            </w:r>
            <w:r>
              <w:rPr>
                <w:kern w:val="0"/>
                <w:sz w:val="24"/>
              </w:rPr>
              <w:t>2021年</w:t>
            </w:r>
            <w:r>
              <w:rPr>
                <w:rFonts w:hint="eastAsia"/>
                <w:kern w:val="0"/>
                <w:sz w:val="24"/>
              </w:rPr>
              <w:t>1</w:t>
            </w:r>
            <w:r>
              <w:rPr>
                <w:kern w:val="0"/>
                <w:sz w:val="24"/>
              </w:rPr>
              <w:t>2月</w:t>
            </w:r>
            <w:r>
              <w:rPr>
                <w:rFonts w:hint="eastAsia"/>
                <w:kern w:val="0"/>
                <w:sz w:val="24"/>
              </w:rPr>
              <w:t>，大河水库断面水质可以满足功能区划要求，属于达标区域。</w:t>
            </w:r>
          </w:p>
          <w:p>
            <w:pPr>
              <w:widowControl/>
              <w:spacing w:line="360" w:lineRule="auto"/>
              <w:ind w:firstLine="480" w:firstLineChars="200"/>
              <w:rPr>
                <w:kern w:val="0"/>
                <w:sz w:val="24"/>
              </w:rPr>
            </w:pPr>
            <w:r>
              <w:rPr>
                <w:kern w:val="0"/>
                <w:sz w:val="24"/>
              </w:rPr>
              <w:t>项目所在周边为</w:t>
            </w:r>
            <w:r>
              <w:rPr>
                <w:rFonts w:hint="eastAsia"/>
                <w:kern w:val="0"/>
                <w:sz w:val="24"/>
              </w:rPr>
              <w:t>工业区</w:t>
            </w:r>
            <w:r>
              <w:rPr>
                <w:kern w:val="0"/>
                <w:sz w:val="24"/>
              </w:rPr>
              <w:t>，项目所在区域噪声功能划分为GB3096-2008《声环境质量标准》3类区，执行标准为昼间≤65dB(A)，夜间≤55dB(A)。根据《2021年</w:t>
            </w:r>
            <w:r>
              <w:rPr>
                <w:rFonts w:hint="eastAsia"/>
                <w:kern w:val="0"/>
                <w:sz w:val="24"/>
              </w:rPr>
              <w:t>昆明市</w:t>
            </w:r>
            <w:r>
              <w:rPr>
                <w:kern w:val="0"/>
                <w:sz w:val="24"/>
              </w:rPr>
              <w:t>环境质量公报》，2021年</w:t>
            </w:r>
            <w:r>
              <w:rPr>
                <w:rFonts w:hint="eastAsia"/>
                <w:kern w:val="0"/>
                <w:sz w:val="24"/>
              </w:rPr>
              <w:t>晋宁区</w:t>
            </w:r>
            <w:r>
              <w:rPr>
                <w:kern w:val="0"/>
                <w:sz w:val="24"/>
              </w:rPr>
              <w:t>区域噪声</w:t>
            </w:r>
            <w:r>
              <w:rPr>
                <w:rFonts w:hint="eastAsia"/>
                <w:kern w:val="0"/>
                <w:sz w:val="24"/>
              </w:rPr>
              <w:t>满足规划要求</w:t>
            </w:r>
            <w:r>
              <w:rPr>
                <w:kern w:val="0"/>
                <w:sz w:val="24"/>
              </w:rPr>
              <w:t>，</w:t>
            </w:r>
            <w:r>
              <w:rPr>
                <w:rFonts w:hint="eastAsia"/>
                <w:kern w:val="0"/>
                <w:sz w:val="24"/>
              </w:rPr>
              <w:t>属于达标区域。</w:t>
            </w:r>
          </w:p>
          <w:p>
            <w:pPr>
              <w:widowControl/>
              <w:spacing w:line="360" w:lineRule="auto"/>
              <w:ind w:firstLine="480" w:firstLineChars="200"/>
              <w:rPr>
                <w:kern w:val="0"/>
                <w:sz w:val="24"/>
              </w:rPr>
            </w:pPr>
            <w:r>
              <w:rPr>
                <w:kern w:val="0"/>
                <w:sz w:val="24"/>
              </w:rPr>
              <w:t>四、施工期环境影响评价结论</w:t>
            </w:r>
          </w:p>
          <w:p>
            <w:pPr>
              <w:widowControl/>
              <w:spacing w:line="360" w:lineRule="auto"/>
              <w:ind w:firstLine="480" w:firstLineChars="200"/>
              <w:rPr>
                <w:kern w:val="0"/>
                <w:sz w:val="24"/>
              </w:rPr>
            </w:pPr>
            <w:r>
              <w:rPr>
                <w:kern w:val="0"/>
                <w:sz w:val="24"/>
              </w:rPr>
              <w:t>本施工期产生的环境影响主要是噪声和扬尘，项目方</w:t>
            </w:r>
            <w:r>
              <w:rPr>
                <w:rFonts w:hint="eastAsia"/>
                <w:kern w:val="0"/>
                <w:sz w:val="24"/>
              </w:rPr>
              <w:t>应</w:t>
            </w:r>
            <w:r>
              <w:rPr>
                <w:kern w:val="0"/>
                <w:sz w:val="24"/>
              </w:rPr>
              <w:t>采取一定的措施如高噪声设备安置在封闭的工棚内、选用低噪声设备、在施工区边界设置2.5m挡墙</w:t>
            </w:r>
            <w:r>
              <w:rPr>
                <w:rFonts w:hint="eastAsia"/>
                <w:kern w:val="0"/>
                <w:sz w:val="24"/>
              </w:rPr>
              <w:t>、</w:t>
            </w:r>
            <w:r>
              <w:rPr>
                <w:kern w:val="0"/>
                <w:sz w:val="24"/>
              </w:rPr>
              <w:t>洒水降尘等，对周围环境的影响很小。</w:t>
            </w:r>
          </w:p>
          <w:p>
            <w:pPr>
              <w:widowControl/>
              <w:spacing w:line="360" w:lineRule="auto"/>
              <w:ind w:firstLine="480" w:firstLineChars="200"/>
              <w:rPr>
                <w:kern w:val="0"/>
                <w:sz w:val="24"/>
              </w:rPr>
            </w:pPr>
            <w:r>
              <w:rPr>
                <w:kern w:val="0"/>
                <w:sz w:val="24"/>
              </w:rPr>
              <w:t>五、运行期环境影响评价结论</w:t>
            </w:r>
          </w:p>
          <w:p>
            <w:pPr>
              <w:tabs>
                <w:tab w:val="center" w:pos="4746"/>
              </w:tabs>
              <w:autoSpaceDE w:val="0"/>
              <w:autoSpaceDN w:val="0"/>
              <w:adjustRightInd w:val="0"/>
              <w:spacing w:line="360" w:lineRule="auto"/>
              <w:ind w:firstLine="480" w:firstLineChars="200"/>
              <w:rPr>
                <w:rFonts w:hAnsi="宋体"/>
                <w:kern w:val="0"/>
                <w:sz w:val="24"/>
              </w:rPr>
            </w:pPr>
            <w:r>
              <w:rPr>
                <w:rFonts w:ascii="宋体" w:hAnsi="宋体"/>
                <w:sz w:val="24"/>
              </w:rPr>
              <w:t>①</w:t>
            </w:r>
            <w:r>
              <w:rPr>
                <w:rFonts w:hAnsi="宋体"/>
                <w:sz w:val="24"/>
              </w:rPr>
              <w:t>大气环境：</w:t>
            </w:r>
            <w:r>
              <w:rPr>
                <w:rFonts w:hint="eastAsia" w:hAnsi="宋体"/>
                <w:kern w:val="0"/>
                <w:sz w:val="24"/>
              </w:rPr>
              <w:t>喷砂废气</w:t>
            </w:r>
            <w:r>
              <w:rPr>
                <w:rFonts w:hint="eastAsia" w:hAnsi="宋体"/>
                <w:kern w:val="0"/>
                <w:sz w:val="24"/>
              </w:rPr>
              <w:tab/>
            </w:r>
            <w:r>
              <w:rPr>
                <w:rFonts w:hint="eastAsia" w:hAnsi="宋体"/>
                <w:kern w:val="0"/>
                <w:sz w:val="24"/>
              </w:rPr>
              <w:t>依托一期项目已建成2套滤筒干式过滤除尘装置（旋风除尘+滤筒除尘）处理，处理后通过2根16m高排气筒排放。打磨废气</w:t>
            </w:r>
            <w:r>
              <w:rPr>
                <w:rFonts w:hint="eastAsia" w:hAnsi="宋体"/>
                <w:kern w:val="0"/>
                <w:sz w:val="24"/>
              </w:rPr>
              <w:tab/>
            </w:r>
            <w:r>
              <w:rPr>
                <w:rFonts w:hint="eastAsia" w:hAnsi="宋体"/>
                <w:kern w:val="0"/>
                <w:sz w:val="24"/>
              </w:rPr>
              <w:t>依托一期已建成的2个打磨房8套滤筒干式过滤除尘装置（旋风除尘+滤芯过滤+空气动力过滤）收集打磨过程产生的粉尘，处理后通过8根16m高排气筒对空排放。喷漆废气</w:t>
            </w:r>
            <w:r>
              <w:rPr>
                <w:rFonts w:hint="eastAsia" w:hAnsi="宋体"/>
                <w:kern w:val="0"/>
                <w:sz w:val="24"/>
              </w:rPr>
              <w:tab/>
            </w:r>
            <w:r>
              <w:rPr>
                <w:rFonts w:hint="eastAsia" w:hAnsi="宋体"/>
                <w:kern w:val="0"/>
                <w:sz w:val="24"/>
              </w:rPr>
              <w:t>喷漆依托一期已建成的2个底漆喷烘车间和2个面漆喷烘车间进行，一期项目每个喷烘车间均分别设置4套处理设备，处理工艺为过滤棉吸附+活性炭箱吸附，处理后分别通过一根排气筒排放，4个喷漆房共设置16套处理设备和16根16m高排气筒。油烟废气</w:t>
            </w:r>
            <w:r>
              <w:rPr>
                <w:rFonts w:hint="eastAsia" w:hAnsi="宋体"/>
                <w:kern w:val="0"/>
                <w:sz w:val="24"/>
              </w:rPr>
              <w:tab/>
            </w:r>
            <w:r>
              <w:rPr>
                <w:rFonts w:hint="eastAsia" w:hAnsi="宋体"/>
                <w:kern w:val="0"/>
                <w:sz w:val="24"/>
              </w:rPr>
              <w:t>依托一期油烟净化器。净化器去除效率为85%，处理后通过一根高于倒班宿舍1.5m高排气筒对空排放</w:t>
            </w:r>
            <w:r>
              <w:rPr>
                <w:bCs/>
                <w:sz w:val="24"/>
              </w:rPr>
              <w:t>。</w:t>
            </w:r>
            <w:r>
              <w:rPr>
                <w:sz w:val="24"/>
              </w:rPr>
              <w:t>项目运行期间采取上述措施后，对周围大气环境的影响不大。</w:t>
            </w:r>
          </w:p>
          <w:p>
            <w:pPr>
              <w:autoSpaceDE w:val="0"/>
              <w:autoSpaceDN w:val="0"/>
              <w:adjustRightInd w:val="0"/>
              <w:spacing w:line="360" w:lineRule="auto"/>
              <w:ind w:firstLine="480" w:firstLineChars="200"/>
              <w:rPr>
                <w:sz w:val="24"/>
              </w:rPr>
            </w:pPr>
            <w:r>
              <w:rPr>
                <w:rFonts w:ascii="宋体" w:hAnsi="宋体"/>
                <w:sz w:val="24"/>
              </w:rPr>
              <w:t>②</w:t>
            </w:r>
            <w:r>
              <w:rPr>
                <w:rFonts w:hAnsi="宋体"/>
                <w:sz w:val="24"/>
              </w:rPr>
              <w:t>水环境：</w:t>
            </w:r>
            <w:r>
              <w:rPr>
                <w:rFonts w:hint="eastAsia" w:eastAsiaTheme="minorEastAsia"/>
                <w:kern w:val="0"/>
                <w:sz w:val="24"/>
              </w:rPr>
              <w:t>本项目废水主要为生活废水和生产废水，生产废水主要来自于地坪冲洗和车体清洗水，生产废水通过一期已建隔油池处理后排入污水处理站，餐饮废水通过已建餐饮废水隔油池处理后同其他生活污水一同排入化粪池处理后排入污水处理站。近期处理后非雨天回用于厂区绿化，雨天在污水处理站暂存；远期处理后非雨天回用于厂区绿化，雨天通过总排口排入滇池南岸截污管网，最终进入淤泥河污水处理厂。回用水水质执行执行</w:t>
            </w:r>
            <w:r>
              <w:rPr>
                <w:rFonts w:eastAsiaTheme="minorEastAsia"/>
                <w:kern w:val="0"/>
                <w:sz w:val="24"/>
              </w:rPr>
              <w:t>GB/T 18920-2020《城市污水再生利用 城市杂用水水质》绿化标准</w:t>
            </w:r>
            <w:r>
              <w:rPr>
                <w:rFonts w:hint="eastAsia" w:eastAsiaTheme="minorEastAsia"/>
                <w:kern w:val="0"/>
                <w:sz w:val="24"/>
              </w:rPr>
              <w:t>，总排口水质执行</w:t>
            </w:r>
            <w:r>
              <w:rPr>
                <w:rFonts w:eastAsiaTheme="minorEastAsia"/>
                <w:kern w:val="0"/>
                <w:sz w:val="24"/>
              </w:rPr>
              <w:t>《污水排入城镇下水道水质标准》（GB/T 31962-2015）中A等级标准。</w:t>
            </w:r>
            <w:r>
              <w:rPr>
                <w:rFonts w:hAnsi="宋体"/>
                <w:sz w:val="24"/>
              </w:rPr>
              <w:t>运营期</w:t>
            </w:r>
            <w:r>
              <w:rPr>
                <w:rFonts w:hint="eastAsia" w:hAnsi="宋体"/>
                <w:sz w:val="24"/>
              </w:rPr>
              <w:t>污水能做到达标排放，</w:t>
            </w:r>
            <w:r>
              <w:rPr>
                <w:rFonts w:hAnsi="宋体"/>
                <w:sz w:val="24"/>
              </w:rPr>
              <w:t>对水环境影响不大。</w:t>
            </w:r>
          </w:p>
          <w:p>
            <w:pPr>
              <w:autoSpaceDE w:val="0"/>
              <w:autoSpaceDN w:val="0"/>
              <w:adjustRightInd w:val="0"/>
              <w:spacing w:line="360" w:lineRule="auto"/>
              <w:ind w:firstLine="480" w:firstLineChars="200"/>
              <w:rPr>
                <w:sz w:val="24"/>
              </w:rPr>
            </w:pPr>
            <w:r>
              <w:rPr>
                <w:rFonts w:ascii="宋体" w:hAnsi="宋体"/>
                <w:sz w:val="24"/>
              </w:rPr>
              <w:t>③</w:t>
            </w:r>
            <w:r>
              <w:rPr>
                <w:sz w:val="24"/>
              </w:rPr>
              <w:t>声环境：项目运营期在采取隔音减振等措施后，</w:t>
            </w:r>
            <w:r>
              <w:rPr>
                <w:rFonts w:hint="eastAsia"/>
                <w:sz w:val="24"/>
              </w:rPr>
              <w:t>厂界噪声</w:t>
            </w:r>
            <w:r>
              <w:rPr>
                <w:sz w:val="24"/>
              </w:rPr>
              <w:t xml:space="preserve">可以满足《工业企业厂界噪声排放标准》中的3类标准，即昼间≤65dB(A)，夜间≤55dB(A)。 </w:t>
            </w:r>
          </w:p>
          <w:p>
            <w:pPr>
              <w:widowControl/>
              <w:tabs>
                <w:tab w:val="left" w:pos="-1320"/>
              </w:tabs>
              <w:spacing w:line="360" w:lineRule="auto"/>
              <w:ind w:firstLine="480" w:firstLineChars="200"/>
              <w:rPr>
                <w:sz w:val="24"/>
                <w:lang w:val="zh-CN"/>
              </w:rPr>
            </w:pPr>
            <w:r>
              <w:rPr>
                <w:rFonts w:ascii="宋体" w:hAnsi="宋体"/>
                <w:sz w:val="24"/>
              </w:rPr>
              <w:t>④</w:t>
            </w:r>
            <w:r>
              <w:rPr>
                <w:sz w:val="24"/>
              </w:rPr>
              <w:t>固体废弃物：</w:t>
            </w:r>
            <w:r>
              <w:rPr>
                <w:rFonts w:hint="eastAsia"/>
                <w:sz w:val="24"/>
              </w:rPr>
              <w:t>项目生活垃圾由环卫部门清运处置，泔水委托有资质的单位清运处置，维修替换部件、废砂均由生产厂家回收，喷砂除尘灰和水性漆包装桶外售给物资回收单位。可以做到100%处置。</w:t>
            </w:r>
            <w:r>
              <w:rPr>
                <w:sz w:val="24"/>
              </w:rPr>
              <w:t>工程危险废物均分别收集，除隔油池废油外均统一运至一期已建成危废暂存间分类暂存，委托云南大地丰源环保有限公司清运处置。。</w:t>
            </w:r>
            <w:r>
              <w:rPr>
                <w:rFonts w:hint="eastAsia"/>
                <w:sz w:val="24"/>
              </w:rPr>
              <w:t>在采取上述措施后，</w:t>
            </w:r>
            <w:r>
              <w:rPr>
                <w:sz w:val="24"/>
              </w:rPr>
              <w:t>运营过程中产生的</w:t>
            </w:r>
            <w:r>
              <w:rPr>
                <w:rFonts w:hint="eastAsia"/>
                <w:sz w:val="24"/>
              </w:rPr>
              <w:t>固体</w:t>
            </w:r>
            <w:r>
              <w:rPr>
                <w:sz w:val="24"/>
              </w:rPr>
              <w:t>废物不会对周围环境产生大的不良影响。</w:t>
            </w:r>
          </w:p>
          <w:p>
            <w:pPr>
              <w:widowControl/>
              <w:tabs>
                <w:tab w:val="left" w:pos="-1320"/>
              </w:tabs>
              <w:spacing w:line="360" w:lineRule="auto"/>
              <w:ind w:firstLine="480" w:firstLineChars="200"/>
              <w:rPr>
                <w:kern w:val="0"/>
                <w:sz w:val="24"/>
              </w:rPr>
            </w:pPr>
            <w:r>
              <w:rPr>
                <w:kern w:val="0"/>
                <w:sz w:val="24"/>
              </w:rPr>
              <w:t>六、评价总结论</w:t>
            </w:r>
          </w:p>
          <w:p>
            <w:pPr>
              <w:widowControl/>
              <w:tabs>
                <w:tab w:val="left" w:pos="-1320"/>
              </w:tabs>
              <w:spacing w:line="360" w:lineRule="auto"/>
              <w:ind w:firstLine="480" w:firstLineChars="200"/>
              <w:rPr>
                <w:kern w:val="0"/>
                <w:sz w:val="24"/>
              </w:rPr>
            </w:pPr>
            <w:r>
              <w:rPr>
                <w:kern w:val="52"/>
                <w:sz w:val="24"/>
              </w:rPr>
              <w:t>分析评价表明，</w:t>
            </w:r>
            <w:r>
              <w:rPr>
                <w:kern w:val="0"/>
                <w:sz w:val="24"/>
              </w:rPr>
              <w:t>只要建设方认真落实环保措施，做到废气、废水达标排放，固体废物合理处置，噪声不扰民，项目的建设和运行不会改变片区环境功能，在环境上是可行的。</w:t>
            </w:r>
          </w:p>
          <w:p>
            <w:pPr>
              <w:spacing w:line="360" w:lineRule="auto"/>
              <w:rPr>
                <w:sz w:val="24"/>
              </w:rPr>
            </w:pPr>
          </w:p>
        </w:tc>
      </w:tr>
    </w:tbl>
    <w:p>
      <w:pPr>
        <w:sectPr>
          <w:pgSz w:w="11906" w:h="16838"/>
          <w:pgMar w:top="1701" w:right="1531" w:bottom="1701" w:left="1531" w:header="851" w:footer="851" w:gutter="0"/>
          <w:cols w:space="720" w:num="1"/>
          <w:docGrid w:linePitch="312" w:charSpace="0"/>
        </w:sectPr>
      </w:pPr>
    </w:p>
    <w:p>
      <w:pPr>
        <w:pStyle w:val="88"/>
        <w:ind w:firstLine="720"/>
        <w:rPr>
          <w:rFonts w:ascii="Times New Roman"/>
          <w:snapToGrid w:val="0"/>
          <w:sz w:val="36"/>
          <w:szCs w:val="36"/>
        </w:rPr>
      </w:pPr>
      <w:r>
        <w:rPr>
          <w:rFonts w:ascii="Times New Roman"/>
          <w:snapToGrid w:val="0"/>
          <w:sz w:val="36"/>
          <w:szCs w:val="36"/>
        </w:rPr>
        <w:t>附表</w:t>
      </w:r>
    </w:p>
    <w:p>
      <w:pPr>
        <w:pStyle w:val="88"/>
        <w:ind w:firstLine="720"/>
        <w:jc w:val="center"/>
        <w:rPr>
          <w:rFonts w:ascii="Times New Roman"/>
          <w:snapToGrid w:val="0"/>
          <w:sz w:val="36"/>
          <w:szCs w:val="36"/>
        </w:rPr>
      </w:pPr>
      <w:r>
        <w:rPr>
          <w:rFonts w:ascii="Times New Roman"/>
          <w:snapToGrid w:val="0"/>
          <w:sz w:val="36"/>
          <w:szCs w:val="36"/>
        </w:rPr>
        <w:t>建设项目污染物排放量汇总表</w:t>
      </w:r>
    </w:p>
    <w:tbl>
      <w:tblPr>
        <w:tblStyle w:val="44"/>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60"/>
              <w:spacing w:beforeLines="0" w:afterLines="0" w:line="240" w:lineRule="auto"/>
              <w:jc w:val="right"/>
              <w:rPr>
                <w:rFonts w:ascii="Times New Roman"/>
                <w:snapToGrid w:val="0"/>
                <w:color w:val="000000"/>
                <w:spacing w:val="-6"/>
                <w:kern w:val="21"/>
                <w:szCs w:val="21"/>
              </w:rPr>
            </w:pPr>
            <w:r>
              <w:rPr>
                <w:rFonts w:ascii="Times New Roman"/>
                <w:snapToGrid w:val="0"/>
                <w:color w:val="000000"/>
                <w:spacing w:val="-6"/>
                <w:kern w:val="21"/>
                <w:szCs w:val="21"/>
              </w:rPr>
              <w:t>项目</w:t>
            </w:r>
          </w:p>
          <w:p>
            <w:pPr>
              <w:pStyle w:val="60"/>
              <w:spacing w:beforeLines="0" w:afterLines="0" w:line="240" w:lineRule="auto"/>
              <w:jc w:val="left"/>
              <w:rPr>
                <w:rFonts w:ascii="Times New Roman"/>
                <w:snapToGrid w:val="0"/>
                <w:color w:val="000000"/>
                <w:spacing w:val="-6"/>
                <w:kern w:val="21"/>
                <w:szCs w:val="21"/>
              </w:rPr>
            </w:pPr>
            <w:r>
              <w:rPr>
                <w:rFonts w:ascii="Times New Roman"/>
                <w:snapToGrid w:val="0"/>
                <w:color w:val="000000"/>
                <w:spacing w:val="-6"/>
                <w:kern w:val="21"/>
                <w:szCs w:val="21"/>
              </w:rPr>
              <w:t>分类</w:t>
            </w:r>
          </w:p>
        </w:tc>
        <w:tc>
          <w:tcPr>
            <w:tcW w:w="1417" w:type="dxa"/>
            <w:tcMar>
              <w:left w:w="28" w:type="dxa"/>
              <w:right w:w="28" w:type="dxa"/>
            </w:tcMar>
            <w:vAlign w:val="center"/>
          </w:tcPr>
          <w:p>
            <w:pPr>
              <w:pStyle w:val="60"/>
              <w:spacing w:beforeLines="0" w:afterLines="0" w:line="240" w:lineRule="auto"/>
              <w:rPr>
                <w:rFonts w:ascii="Times New Roman"/>
                <w:snapToGrid w:val="0"/>
                <w:color w:val="000000"/>
                <w:spacing w:val="-6"/>
                <w:kern w:val="21"/>
                <w:szCs w:val="21"/>
              </w:rPr>
            </w:pPr>
            <w:r>
              <w:rPr>
                <w:rFonts w:ascii="Times New Roman"/>
                <w:snapToGrid w:val="0"/>
                <w:color w:val="000000"/>
                <w:spacing w:val="-6"/>
                <w:kern w:val="21"/>
                <w:szCs w:val="21"/>
              </w:rPr>
              <w:t>污染物名称</w:t>
            </w:r>
          </w:p>
        </w:tc>
        <w:tc>
          <w:tcPr>
            <w:tcW w:w="1701" w:type="dxa"/>
            <w:tcMar>
              <w:left w:w="28" w:type="dxa"/>
              <w:right w:w="28" w:type="dxa"/>
            </w:tcMar>
            <w:vAlign w:val="center"/>
          </w:tcPr>
          <w:p>
            <w:pPr>
              <w:pStyle w:val="60"/>
              <w:spacing w:beforeLines="0" w:afterLines="0" w:line="240" w:lineRule="auto"/>
              <w:rPr>
                <w:rFonts w:ascii="Times New Roman"/>
                <w:snapToGrid w:val="0"/>
                <w:color w:val="000000"/>
                <w:spacing w:val="-6"/>
                <w:kern w:val="21"/>
                <w:szCs w:val="21"/>
              </w:rPr>
            </w:pPr>
            <w:r>
              <w:rPr>
                <w:rFonts w:ascii="Times New Roman"/>
                <w:snapToGrid w:val="0"/>
                <w:color w:val="000000"/>
                <w:spacing w:val="-6"/>
                <w:kern w:val="21"/>
                <w:szCs w:val="21"/>
              </w:rPr>
              <w:t>现有工程</w:t>
            </w:r>
          </w:p>
          <w:p>
            <w:pPr>
              <w:pStyle w:val="60"/>
              <w:spacing w:beforeLines="0" w:afterLines="0" w:line="240" w:lineRule="auto"/>
              <w:rPr>
                <w:rFonts w:ascii="Times New Roman"/>
                <w:snapToGrid w:val="0"/>
                <w:color w:val="000000"/>
                <w:spacing w:val="-6"/>
                <w:kern w:val="21"/>
                <w:szCs w:val="21"/>
              </w:rPr>
            </w:pPr>
            <w:r>
              <w:rPr>
                <w:rFonts w:ascii="Times New Roman"/>
                <w:snapToGrid w:val="0"/>
                <w:color w:val="000000"/>
                <w:spacing w:val="-6"/>
                <w:kern w:val="21"/>
                <w:szCs w:val="21"/>
              </w:rPr>
              <w:t>排放量（固体废物产生量）</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hint="eastAsia" w:hAnsi="宋体" w:cs="宋体"/>
                <w:kern w:val="2"/>
                <w:szCs w:val="21"/>
              </w:rPr>
              <w:t>①</w:t>
            </w:r>
            <w:r>
              <w:rPr>
                <w:rFonts w:ascii="Times New Roman"/>
                <w:snapToGrid w:val="0"/>
                <w:color w:val="000000"/>
                <w:spacing w:val="-6"/>
                <w:kern w:val="21"/>
                <w:szCs w:val="21"/>
              </w:rPr>
              <w:fldChar w:fldCharType="end"/>
            </w:r>
          </w:p>
        </w:tc>
        <w:tc>
          <w:tcPr>
            <w:tcW w:w="1276" w:type="dxa"/>
            <w:tcMar>
              <w:left w:w="28" w:type="dxa"/>
              <w:right w:w="28" w:type="dxa"/>
            </w:tcMar>
            <w:vAlign w:val="center"/>
          </w:tcPr>
          <w:p>
            <w:pPr>
              <w:pStyle w:val="60"/>
              <w:spacing w:beforeLines="0" w:afterLines="0" w:line="240" w:lineRule="auto"/>
              <w:rPr>
                <w:rFonts w:ascii="Times New Roman"/>
                <w:snapToGrid w:val="0"/>
                <w:color w:val="000000"/>
                <w:spacing w:val="-6"/>
                <w:kern w:val="21"/>
                <w:szCs w:val="21"/>
              </w:rPr>
            </w:pPr>
            <w:r>
              <w:rPr>
                <w:rFonts w:ascii="Times New Roman"/>
                <w:snapToGrid w:val="0"/>
                <w:color w:val="000000"/>
                <w:spacing w:val="-6"/>
                <w:kern w:val="21"/>
                <w:szCs w:val="21"/>
              </w:rPr>
              <w:t>现有工程</w:t>
            </w:r>
          </w:p>
          <w:p>
            <w:pPr>
              <w:pStyle w:val="60"/>
              <w:spacing w:beforeLines="0" w:afterLines="0" w:line="240" w:lineRule="auto"/>
              <w:rPr>
                <w:rFonts w:ascii="Times New Roman"/>
                <w:snapToGrid w:val="0"/>
                <w:color w:val="000000"/>
                <w:spacing w:val="-6"/>
                <w:kern w:val="21"/>
                <w:szCs w:val="21"/>
              </w:rPr>
            </w:pPr>
            <w:r>
              <w:rPr>
                <w:rFonts w:ascii="Times New Roman"/>
                <w:snapToGrid w:val="0"/>
                <w:color w:val="000000"/>
                <w:spacing w:val="-6"/>
                <w:kern w:val="21"/>
                <w:szCs w:val="21"/>
              </w:rPr>
              <w:t>许可排放量</w:t>
            </w:r>
          </w:p>
          <w:p>
            <w:pPr>
              <w:pStyle w:val="60"/>
              <w:spacing w:beforeLines="0" w:afterLines="0"/>
              <w:rPr>
                <w:rFonts w:ascii="Times New Roman"/>
                <w:snapToGrid w:val="0"/>
                <w:color w:val="000000"/>
                <w:spacing w:val="-6"/>
                <w:kern w:val="21"/>
                <w:szCs w:val="21"/>
              </w:rPr>
            </w:pP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2 \* GB3 \* MERGEFORMAT </w:instrText>
            </w:r>
            <w:r>
              <w:rPr>
                <w:rFonts w:ascii="Times New Roman"/>
                <w:snapToGrid w:val="0"/>
                <w:color w:val="000000"/>
                <w:spacing w:val="-6"/>
                <w:kern w:val="21"/>
                <w:szCs w:val="21"/>
              </w:rPr>
              <w:fldChar w:fldCharType="separate"/>
            </w:r>
            <w:r>
              <w:rPr>
                <w:rFonts w:hint="eastAsia" w:hAnsi="宋体" w:cs="宋体"/>
                <w:snapToGrid w:val="0"/>
                <w:color w:val="000000"/>
                <w:spacing w:val="-6"/>
                <w:kern w:val="21"/>
                <w:szCs w:val="21"/>
              </w:rPr>
              <w:t>②</w:t>
            </w:r>
            <w:r>
              <w:rPr>
                <w:rFonts w:ascii="Times New Roman"/>
                <w:snapToGrid w:val="0"/>
                <w:color w:val="000000"/>
                <w:spacing w:val="-6"/>
                <w:kern w:val="21"/>
                <w:szCs w:val="21"/>
              </w:rPr>
              <w:fldChar w:fldCharType="end"/>
            </w:r>
          </w:p>
        </w:tc>
        <w:tc>
          <w:tcPr>
            <w:tcW w:w="1701" w:type="dxa"/>
            <w:tcMar>
              <w:left w:w="28" w:type="dxa"/>
              <w:right w:w="28" w:type="dxa"/>
            </w:tcMar>
            <w:vAlign w:val="center"/>
          </w:tcPr>
          <w:p>
            <w:pPr>
              <w:pStyle w:val="60"/>
              <w:spacing w:beforeLines="0" w:afterLines="0" w:line="240" w:lineRule="auto"/>
              <w:rPr>
                <w:rFonts w:ascii="Times New Roman"/>
                <w:snapToGrid w:val="0"/>
                <w:color w:val="000000"/>
                <w:spacing w:val="-6"/>
                <w:kern w:val="21"/>
                <w:szCs w:val="21"/>
              </w:rPr>
            </w:pPr>
            <w:r>
              <w:rPr>
                <w:rFonts w:ascii="Times New Roman"/>
                <w:snapToGrid w:val="0"/>
                <w:color w:val="000000"/>
                <w:spacing w:val="-6"/>
                <w:kern w:val="21"/>
                <w:szCs w:val="21"/>
              </w:rPr>
              <w:t>在建工程</w:t>
            </w:r>
          </w:p>
          <w:p>
            <w:pPr>
              <w:pStyle w:val="60"/>
              <w:spacing w:beforeLines="0" w:afterLines="0" w:line="240" w:lineRule="auto"/>
              <w:rPr>
                <w:rFonts w:ascii="Times New Roman"/>
                <w:snapToGrid w:val="0"/>
                <w:color w:val="000000"/>
                <w:spacing w:val="-6"/>
                <w:kern w:val="21"/>
                <w:szCs w:val="21"/>
              </w:rPr>
            </w:pPr>
            <w:r>
              <w:rPr>
                <w:rFonts w:ascii="Times New Roman"/>
                <w:snapToGrid w:val="0"/>
                <w:color w:val="000000"/>
                <w:spacing w:val="-6"/>
                <w:kern w:val="21"/>
                <w:szCs w:val="21"/>
              </w:rPr>
              <w:t>排放量（固体废物产生量）</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3 \* GB3 \* MERGEFORMAT </w:instrText>
            </w:r>
            <w:r>
              <w:rPr>
                <w:rFonts w:ascii="Times New Roman"/>
                <w:snapToGrid w:val="0"/>
                <w:color w:val="000000"/>
                <w:spacing w:val="-6"/>
                <w:kern w:val="21"/>
                <w:szCs w:val="21"/>
              </w:rPr>
              <w:fldChar w:fldCharType="separate"/>
            </w:r>
            <w:r>
              <w:rPr>
                <w:rFonts w:hint="eastAsia" w:hAnsi="宋体" w:cs="宋体"/>
                <w:kern w:val="2"/>
                <w:szCs w:val="21"/>
              </w:rPr>
              <w:t>③</w:t>
            </w:r>
            <w:r>
              <w:rPr>
                <w:rFonts w:ascii="Times New Roman"/>
                <w:snapToGrid w:val="0"/>
                <w:color w:val="000000"/>
                <w:spacing w:val="-6"/>
                <w:kern w:val="21"/>
                <w:szCs w:val="21"/>
              </w:rPr>
              <w:fldChar w:fldCharType="end"/>
            </w:r>
          </w:p>
        </w:tc>
        <w:tc>
          <w:tcPr>
            <w:tcW w:w="1559" w:type="dxa"/>
            <w:tcMar>
              <w:left w:w="28" w:type="dxa"/>
              <w:right w:w="28" w:type="dxa"/>
            </w:tcMar>
            <w:vAlign w:val="center"/>
          </w:tcPr>
          <w:p>
            <w:pPr>
              <w:pStyle w:val="60"/>
              <w:spacing w:beforeLines="0" w:afterLines="0" w:line="240" w:lineRule="auto"/>
              <w:rPr>
                <w:rFonts w:ascii="Times New Roman"/>
                <w:snapToGrid w:val="0"/>
                <w:color w:val="000000"/>
                <w:spacing w:val="-6"/>
                <w:kern w:val="21"/>
                <w:szCs w:val="21"/>
              </w:rPr>
            </w:pPr>
            <w:r>
              <w:rPr>
                <w:rFonts w:ascii="Times New Roman"/>
                <w:snapToGrid w:val="0"/>
                <w:color w:val="000000"/>
                <w:spacing w:val="-6"/>
                <w:kern w:val="21"/>
                <w:szCs w:val="21"/>
              </w:rPr>
              <w:t>本项目</w:t>
            </w:r>
          </w:p>
          <w:p>
            <w:pPr>
              <w:pStyle w:val="60"/>
              <w:spacing w:beforeLines="0" w:afterLines="0" w:line="240" w:lineRule="auto"/>
              <w:rPr>
                <w:rFonts w:ascii="Times New Roman"/>
                <w:snapToGrid w:val="0"/>
                <w:color w:val="000000"/>
                <w:spacing w:val="-6"/>
                <w:kern w:val="21"/>
                <w:szCs w:val="21"/>
              </w:rPr>
            </w:pPr>
            <w:r>
              <w:rPr>
                <w:rFonts w:ascii="Times New Roman"/>
                <w:snapToGrid w:val="0"/>
                <w:color w:val="000000"/>
                <w:spacing w:val="-6"/>
                <w:kern w:val="21"/>
                <w:szCs w:val="21"/>
              </w:rPr>
              <w:t>排放量（固体废物产生量）</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4 \* GB3 \* MERGEFORMAT </w:instrText>
            </w:r>
            <w:r>
              <w:rPr>
                <w:rFonts w:ascii="Times New Roman"/>
                <w:snapToGrid w:val="0"/>
                <w:color w:val="000000"/>
                <w:spacing w:val="-6"/>
                <w:kern w:val="21"/>
                <w:szCs w:val="21"/>
              </w:rPr>
              <w:fldChar w:fldCharType="separate"/>
            </w:r>
            <w:r>
              <w:rPr>
                <w:rFonts w:hint="eastAsia" w:hAnsi="宋体" w:cs="宋体"/>
                <w:kern w:val="2"/>
                <w:szCs w:val="21"/>
              </w:rPr>
              <w:t>④</w:t>
            </w:r>
            <w:r>
              <w:rPr>
                <w:rFonts w:ascii="Times New Roman"/>
                <w:snapToGrid w:val="0"/>
                <w:color w:val="000000"/>
                <w:spacing w:val="-6"/>
                <w:kern w:val="21"/>
                <w:szCs w:val="21"/>
              </w:rPr>
              <w:fldChar w:fldCharType="end"/>
            </w:r>
          </w:p>
        </w:tc>
        <w:tc>
          <w:tcPr>
            <w:tcW w:w="1761" w:type="dxa"/>
            <w:tcMar>
              <w:left w:w="28" w:type="dxa"/>
              <w:right w:w="28" w:type="dxa"/>
            </w:tcMar>
            <w:vAlign w:val="center"/>
          </w:tcPr>
          <w:p>
            <w:pPr>
              <w:pStyle w:val="60"/>
              <w:spacing w:beforeLines="0" w:afterLines="0" w:line="240" w:lineRule="auto"/>
              <w:rPr>
                <w:rFonts w:ascii="Times New Roman"/>
                <w:snapToGrid w:val="0"/>
                <w:color w:val="000000"/>
                <w:spacing w:val="-16"/>
                <w:kern w:val="21"/>
                <w:szCs w:val="21"/>
              </w:rPr>
            </w:pPr>
            <w:r>
              <w:rPr>
                <w:rFonts w:ascii="Times New Roman"/>
                <w:snapToGrid w:val="0"/>
                <w:color w:val="000000"/>
                <w:spacing w:val="-16"/>
                <w:kern w:val="21"/>
                <w:szCs w:val="21"/>
              </w:rPr>
              <w:t>以新带老削减量</w:t>
            </w:r>
          </w:p>
          <w:p>
            <w:pPr>
              <w:pStyle w:val="60"/>
              <w:spacing w:beforeLines="0" w:afterLines="0" w:line="240" w:lineRule="auto"/>
              <w:rPr>
                <w:rFonts w:ascii="Times New Roman"/>
                <w:snapToGrid w:val="0"/>
                <w:color w:val="000000"/>
                <w:spacing w:val="-16"/>
                <w:kern w:val="21"/>
                <w:szCs w:val="21"/>
              </w:rPr>
            </w:pPr>
            <w:r>
              <w:rPr>
                <w:rFonts w:ascii="Times New Roman"/>
                <w:snapToGrid w:val="0"/>
                <w:color w:val="000000"/>
                <w:spacing w:val="-16"/>
                <w:kern w:val="21"/>
                <w:szCs w:val="21"/>
              </w:rPr>
              <w:t>（新建项目不填）</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5 \* GB3 \* MERGEFORMAT </w:instrText>
            </w:r>
            <w:r>
              <w:rPr>
                <w:rFonts w:ascii="Times New Roman"/>
                <w:snapToGrid w:val="0"/>
                <w:color w:val="000000"/>
                <w:spacing w:val="-16"/>
                <w:kern w:val="21"/>
                <w:szCs w:val="21"/>
              </w:rPr>
              <w:fldChar w:fldCharType="separate"/>
            </w:r>
            <w:r>
              <w:rPr>
                <w:rFonts w:hint="eastAsia" w:hAnsi="宋体" w:cs="宋体"/>
                <w:kern w:val="2"/>
                <w:szCs w:val="21"/>
              </w:rPr>
              <w:t>⑤</w:t>
            </w:r>
            <w:r>
              <w:rPr>
                <w:rFonts w:ascii="Times New Roman"/>
                <w:snapToGrid w:val="0"/>
                <w:color w:val="000000"/>
                <w:spacing w:val="-16"/>
                <w:kern w:val="21"/>
                <w:szCs w:val="21"/>
              </w:rPr>
              <w:fldChar w:fldCharType="end"/>
            </w:r>
          </w:p>
        </w:tc>
        <w:tc>
          <w:tcPr>
            <w:tcW w:w="1959" w:type="dxa"/>
            <w:tcMar>
              <w:left w:w="28" w:type="dxa"/>
              <w:right w:w="28" w:type="dxa"/>
            </w:tcMar>
            <w:vAlign w:val="center"/>
          </w:tcPr>
          <w:p>
            <w:pPr>
              <w:pStyle w:val="60"/>
              <w:spacing w:beforeLines="0" w:afterLines="0" w:line="240" w:lineRule="auto"/>
              <w:rPr>
                <w:rFonts w:ascii="Times New Roman"/>
                <w:snapToGrid w:val="0"/>
                <w:color w:val="000000"/>
                <w:spacing w:val="-16"/>
                <w:kern w:val="21"/>
                <w:szCs w:val="21"/>
              </w:rPr>
            </w:pPr>
            <w:r>
              <w:rPr>
                <w:rFonts w:ascii="Times New Roman"/>
                <w:snapToGrid w:val="0"/>
                <w:color w:val="000000"/>
                <w:spacing w:val="-16"/>
                <w:kern w:val="21"/>
                <w:szCs w:val="21"/>
              </w:rPr>
              <w:t>本项目建成后</w:t>
            </w:r>
          </w:p>
          <w:p>
            <w:pPr>
              <w:pStyle w:val="60"/>
              <w:spacing w:beforeLines="0" w:afterLines="0" w:line="240" w:lineRule="auto"/>
              <w:rPr>
                <w:rFonts w:ascii="Times New Roman"/>
                <w:snapToGrid w:val="0"/>
                <w:color w:val="000000"/>
                <w:spacing w:val="-16"/>
                <w:kern w:val="21"/>
                <w:szCs w:val="21"/>
              </w:rPr>
            </w:pPr>
            <w:r>
              <w:rPr>
                <w:rFonts w:ascii="Times New Roman"/>
                <w:snapToGrid w:val="0"/>
                <w:color w:val="000000"/>
                <w:spacing w:val="-16"/>
                <w:kern w:val="21"/>
                <w:szCs w:val="21"/>
              </w:rPr>
              <w:t>全厂排放量（固体废物产生量）</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hint="eastAsia" w:hAnsi="宋体" w:cs="宋体"/>
                <w:kern w:val="2"/>
                <w:szCs w:val="21"/>
              </w:rPr>
              <w:t>⑥</w:t>
            </w:r>
            <w:r>
              <w:rPr>
                <w:rFonts w:ascii="Times New Roman"/>
                <w:snapToGrid w:val="0"/>
                <w:color w:val="000000"/>
                <w:spacing w:val="-16"/>
                <w:kern w:val="21"/>
                <w:szCs w:val="21"/>
              </w:rPr>
              <w:fldChar w:fldCharType="end"/>
            </w:r>
          </w:p>
        </w:tc>
        <w:tc>
          <w:tcPr>
            <w:tcW w:w="826" w:type="dxa"/>
            <w:tcMar>
              <w:left w:w="28" w:type="dxa"/>
              <w:right w:w="28" w:type="dxa"/>
            </w:tcMar>
            <w:vAlign w:val="center"/>
          </w:tcPr>
          <w:p>
            <w:pPr>
              <w:pStyle w:val="60"/>
              <w:spacing w:beforeLines="0" w:afterLines="0" w:line="240" w:lineRule="auto"/>
              <w:rPr>
                <w:rFonts w:ascii="Times New Roman"/>
                <w:snapToGrid w:val="0"/>
                <w:color w:val="000000"/>
                <w:spacing w:val="-6"/>
                <w:kern w:val="21"/>
                <w:szCs w:val="21"/>
              </w:rPr>
            </w:pPr>
            <w:r>
              <w:rPr>
                <w:rFonts w:ascii="Times New Roman"/>
                <w:snapToGrid w:val="0"/>
                <w:color w:val="000000"/>
                <w:spacing w:val="-6"/>
                <w:kern w:val="21"/>
                <w:szCs w:val="21"/>
              </w:rPr>
              <w:t>变化量</w:t>
            </w:r>
          </w:p>
          <w:p>
            <w:pPr>
              <w:pStyle w:val="60"/>
              <w:spacing w:beforeLines="0" w:afterLines="0" w:line="240" w:lineRule="auto"/>
              <w:rPr>
                <w:rFonts w:ascii="Times New Roman"/>
                <w:snapToGrid w:val="0"/>
                <w:color w:val="000000"/>
                <w:spacing w:val="-6"/>
                <w:kern w:val="21"/>
                <w:szCs w:val="21"/>
              </w:rPr>
            </w:pP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7 \* GB3 \* MERGEFORMAT </w:instrText>
            </w:r>
            <w:r>
              <w:rPr>
                <w:rFonts w:ascii="Times New Roman"/>
                <w:snapToGrid w:val="0"/>
                <w:color w:val="000000"/>
                <w:spacing w:val="-6"/>
                <w:kern w:val="21"/>
                <w:szCs w:val="21"/>
              </w:rPr>
              <w:fldChar w:fldCharType="separate"/>
            </w:r>
            <w:r>
              <w:rPr>
                <w:rFonts w:hint="eastAsia" w:hAnsi="宋体" w:cs="宋体"/>
                <w:kern w:val="2"/>
                <w:szCs w:val="21"/>
              </w:rPr>
              <w:t>⑦</w:t>
            </w:r>
            <w:r>
              <w:rPr>
                <w:rFonts w:ascii="Times New Roman"/>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restart"/>
            <w:vAlign w:val="center"/>
          </w:tcPr>
          <w:p>
            <w:pPr>
              <w:pStyle w:val="60"/>
              <w:spacing w:beforeLines="0" w:afterLines="0" w:line="240" w:lineRule="auto"/>
              <w:rPr>
                <w:rFonts w:ascii="Times New Roman"/>
                <w:snapToGrid w:val="0"/>
                <w:color w:val="000000"/>
                <w:kern w:val="21"/>
                <w:szCs w:val="21"/>
              </w:rPr>
            </w:pPr>
            <w:r>
              <w:rPr>
                <w:rFonts w:ascii="Times New Roman"/>
                <w:snapToGrid w:val="0"/>
                <w:color w:val="000000"/>
                <w:kern w:val="21"/>
                <w:szCs w:val="21"/>
              </w:rPr>
              <w:t>废气</w:t>
            </w:r>
          </w:p>
        </w:tc>
        <w:tc>
          <w:tcPr>
            <w:tcW w:w="1417" w:type="dxa"/>
            <w:vAlign w:val="center"/>
          </w:tcPr>
          <w:p>
            <w:pPr>
              <w:pStyle w:val="60"/>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颗粒物</w:t>
            </w:r>
          </w:p>
        </w:tc>
        <w:tc>
          <w:tcPr>
            <w:tcW w:w="1701" w:type="dxa"/>
            <w:vAlign w:val="center"/>
          </w:tcPr>
          <w:p>
            <w:pPr>
              <w:pStyle w:val="60"/>
              <w:spacing w:beforeLines="0" w:afterLines="0" w:line="240" w:lineRule="auto"/>
              <w:rPr>
                <w:rFonts w:ascii="Times New Roman"/>
                <w:snapToGrid w:val="0"/>
                <w:color w:val="000000"/>
                <w:kern w:val="21"/>
                <w:szCs w:val="21"/>
              </w:rPr>
            </w:pPr>
          </w:p>
        </w:tc>
        <w:tc>
          <w:tcPr>
            <w:tcW w:w="1276" w:type="dxa"/>
            <w:vAlign w:val="center"/>
          </w:tcPr>
          <w:p>
            <w:pPr>
              <w:pStyle w:val="60"/>
              <w:spacing w:beforeLines="0" w:afterLines="0" w:line="240" w:lineRule="auto"/>
              <w:rPr>
                <w:rFonts w:ascii="Times New Roman"/>
                <w:snapToGrid w:val="0"/>
                <w:color w:val="000000"/>
                <w:kern w:val="21"/>
                <w:szCs w:val="21"/>
              </w:rPr>
            </w:pPr>
          </w:p>
        </w:tc>
        <w:tc>
          <w:tcPr>
            <w:tcW w:w="1701" w:type="dxa"/>
            <w:vAlign w:val="center"/>
          </w:tcPr>
          <w:p>
            <w:pPr>
              <w:pStyle w:val="60"/>
              <w:spacing w:beforeLines="0" w:afterLines="0" w:line="240" w:lineRule="auto"/>
              <w:rPr>
                <w:rFonts w:ascii="Times New Roman"/>
                <w:snapToGrid w:val="0"/>
                <w:color w:val="000000"/>
                <w:kern w:val="21"/>
                <w:szCs w:val="21"/>
              </w:rPr>
            </w:pPr>
          </w:p>
        </w:tc>
        <w:tc>
          <w:tcPr>
            <w:tcW w:w="1559" w:type="dxa"/>
            <w:vAlign w:val="center"/>
          </w:tcPr>
          <w:p>
            <w:pPr>
              <w:pStyle w:val="60"/>
              <w:spacing w:beforeLines="0" w:afterLines="0" w:line="240" w:lineRule="auto"/>
              <w:rPr>
                <w:rFonts w:ascii="Times New Roman"/>
                <w:snapToGrid w:val="0"/>
                <w:color w:val="000000"/>
                <w:kern w:val="21"/>
                <w:szCs w:val="21"/>
              </w:rPr>
            </w:pPr>
            <w:r>
              <w:rPr>
                <w:rFonts w:ascii="Times New Roman"/>
                <w:snapToGrid w:val="0"/>
                <w:color w:val="000000"/>
                <w:kern w:val="21"/>
                <w:szCs w:val="21"/>
              </w:rPr>
              <w:t>0.0195</w:t>
            </w:r>
            <w:r>
              <w:rPr>
                <w:rFonts w:hint="eastAsia" w:ascii="Times New Roman"/>
                <w:snapToGrid w:val="0"/>
                <w:color w:val="000000"/>
                <w:kern w:val="21"/>
                <w:szCs w:val="21"/>
              </w:rPr>
              <w:t>t</w:t>
            </w:r>
            <w:r>
              <w:rPr>
                <w:rFonts w:ascii="Times New Roman"/>
                <w:snapToGrid w:val="0"/>
                <w:color w:val="000000"/>
                <w:kern w:val="21"/>
                <w:szCs w:val="21"/>
              </w:rPr>
              <w:t>/a</w:t>
            </w:r>
          </w:p>
        </w:tc>
        <w:tc>
          <w:tcPr>
            <w:tcW w:w="1761" w:type="dxa"/>
            <w:vAlign w:val="center"/>
          </w:tcPr>
          <w:p>
            <w:pPr>
              <w:pStyle w:val="60"/>
              <w:spacing w:beforeLines="0" w:afterLines="0" w:line="240" w:lineRule="auto"/>
              <w:rPr>
                <w:rFonts w:ascii="Times New Roman"/>
                <w:snapToGrid w:val="0"/>
                <w:color w:val="000000"/>
                <w:kern w:val="21"/>
                <w:szCs w:val="21"/>
              </w:rPr>
            </w:pPr>
          </w:p>
        </w:tc>
        <w:tc>
          <w:tcPr>
            <w:tcW w:w="1959" w:type="dxa"/>
            <w:vAlign w:val="center"/>
          </w:tcPr>
          <w:p>
            <w:pPr>
              <w:pStyle w:val="60"/>
              <w:spacing w:beforeLines="0" w:afterLines="0" w:line="240" w:lineRule="auto"/>
              <w:rPr>
                <w:rFonts w:ascii="Times New Roman"/>
                <w:snapToGrid w:val="0"/>
                <w:color w:val="000000"/>
                <w:kern w:val="21"/>
                <w:szCs w:val="21"/>
              </w:rPr>
            </w:pPr>
            <w:r>
              <w:rPr>
                <w:rFonts w:ascii="Times New Roman"/>
                <w:snapToGrid w:val="0"/>
                <w:color w:val="000000"/>
                <w:kern w:val="21"/>
                <w:szCs w:val="21"/>
              </w:rPr>
              <w:t>0.0195</w:t>
            </w:r>
            <w:r>
              <w:rPr>
                <w:rFonts w:hint="eastAsia" w:ascii="Times New Roman"/>
                <w:snapToGrid w:val="0"/>
                <w:color w:val="000000"/>
                <w:kern w:val="21"/>
                <w:szCs w:val="21"/>
              </w:rPr>
              <w:t>t</w:t>
            </w:r>
            <w:r>
              <w:rPr>
                <w:rFonts w:ascii="Times New Roman"/>
                <w:snapToGrid w:val="0"/>
                <w:color w:val="000000"/>
                <w:kern w:val="21"/>
                <w:szCs w:val="21"/>
              </w:rPr>
              <w:t>/a</w:t>
            </w:r>
          </w:p>
        </w:tc>
        <w:tc>
          <w:tcPr>
            <w:tcW w:w="826" w:type="dxa"/>
            <w:vAlign w:val="center"/>
          </w:tcPr>
          <w:p>
            <w:pPr>
              <w:pStyle w:val="60"/>
              <w:spacing w:beforeLines="0" w:afterLines="0" w:line="240" w:lineRule="auto"/>
              <w:rPr>
                <w:rFonts w:ascii="Times New Roman"/>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vAlign w:val="center"/>
          </w:tcPr>
          <w:p>
            <w:pPr>
              <w:pStyle w:val="60"/>
              <w:spacing w:beforeLines="0" w:afterLines="0" w:line="240" w:lineRule="auto"/>
              <w:rPr>
                <w:rFonts w:ascii="Times New Roman"/>
                <w:snapToGrid w:val="0"/>
                <w:color w:val="000000"/>
                <w:kern w:val="21"/>
                <w:szCs w:val="21"/>
              </w:rPr>
            </w:pPr>
          </w:p>
        </w:tc>
        <w:tc>
          <w:tcPr>
            <w:tcW w:w="1417" w:type="dxa"/>
            <w:vAlign w:val="center"/>
          </w:tcPr>
          <w:p>
            <w:pPr>
              <w:pStyle w:val="60"/>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非甲烷总烃</w:t>
            </w:r>
          </w:p>
        </w:tc>
        <w:tc>
          <w:tcPr>
            <w:tcW w:w="1701" w:type="dxa"/>
            <w:vAlign w:val="center"/>
          </w:tcPr>
          <w:p>
            <w:pPr>
              <w:pStyle w:val="60"/>
              <w:spacing w:beforeLines="0" w:afterLines="0" w:line="240" w:lineRule="auto"/>
              <w:rPr>
                <w:rFonts w:ascii="Times New Roman"/>
                <w:snapToGrid w:val="0"/>
                <w:color w:val="000000"/>
                <w:kern w:val="21"/>
                <w:szCs w:val="21"/>
              </w:rPr>
            </w:pPr>
          </w:p>
        </w:tc>
        <w:tc>
          <w:tcPr>
            <w:tcW w:w="1276" w:type="dxa"/>
            <w:vAlign w:val="center"/>
          </w:tcPr>
          <w:p>
            <w:pPr>
              <w:pStyle w:val="60"/>
              <w:spacing w:beforeLines="0" w:afterLines="0" w:line="240" w:lineRule="auto"/>
              <w:rPr>
                <w:rFonts w:ascii="Times New Roman"/>
                <w:snapToGrid w:val="0"/>
                <w:color w:val="000000"/>
                <w:kern w:val="21"/>
                <w:szCs w:val="21"/>
              </w:rPr>
            </w:pPr>
          </w:p>
        </w:tc>
        <w:tc>
          <w:tcPr>
            <w:tcW w:w="1701" w:type="dxa"/>
            <w:vAlign w:val="center"/>
          </w:tcPr>
          <w:p>
            <w:pPr>
              <w:pStyle w:val="60"/>
              <w:spacing w:beforeLines="0" w:afterLines="0" w:line="240" w:lineRule="auto"/>
              <w:rPr>
                <w:rFonts w:ascii="Times New Roman"/>
                <w:snapToGrid w:val="0"/>
                <w:color w:val="000000"/>
                <w:kern w:val="21"/>
                <w:szCs w:val="21"/>
              </w:rPr>
            </w:pPr>
          </w:p>
        </w:tc>
        <w:tc>
          <w:tcPr>
            <w:tcW w:w="1559" w:type="dxa"/>
            <w:vAlign w:val="center"/>
          </w:tcPr>
          <w:p>
            <w:pPr>
              <w:pStyle w:val="60"/>
              <w:spacing w:beforeLines="0" w:afterLines="0" w:line="240" w:lineRule="auto"/>
              <w:rPr>
                <w:rFonts w:ascii="Times New Roman"/>
                <w:snapToGrid w:val="0"/>
                <w:color w:val="000000"/>
                <w:kern w:val="21"/>
                <w:szCs w:val="21"/>
              </w:rPr>
            </w:pPr>
            <w:r>
              <w:rPr>
                <w:rFonts w:ascii="Times New Roman"/>
                <w:snapToGrid w:val="0"/>
                <w:color w:val="000000"/>
                <w:kern w:val="21"/>
                <w:szCs w:val="21"/>
              </w:rPr>
              <w:t>0.125t/a</w:t>
            </w:r>
          </w:p>
        </w:tc>
        <w:tc>
          <w:tcPr>
            <w:tcW w:w="1761" w:type="dxa"/>
            <w:vAlign w:val="center"/>
          </w:tcPr>
          <w:p>
            <w:pPr>
              <w:pStyle w:val="60"/>
              <w:spacing w:beforeLines="0" w:afterLines="0" w:line="240" w:lineRule="auto"/>
              <w:rPr>
                <w:rFonts w:ascii="Times New Roman"/>
                <w:snapToGrid w:val="0"/>
                <w:color w:val="000000"/>
                <w:kern w:val="21"/>
                <w:szCs w:val="21"/>
              </w:rPr>
            </w:pPr>
          </w:p>
        </w:tc>
        <w:tc>
          <w:tcPr>
            <w:tcW w:w="1959" w:type="dxa"/>
            <w:vAlign w:val="center"/>
          </w:tcPr>
          <w:p>
            <w:pPr>
              <w:pStyle w:val="60"/>
              <w:spacing w:beforeLines="0" w:afterLines="0" w:line="240" w:lineRule="auto"/>
              <w:rPr>
                <w:rFonts w:ascii="Times New Roman"/>
                <w:snapToGrid w:val="0"/>
                <w:color w:val="000000"/>
                <w:kern w:val="21"/>
                <w:szCs w:val="21"/>
              </w:rPr>
            </w:pPr>
            <w:r>
              <w:rPr>
                <w:rFonts w:ascii="Times New Roman"/>
                <w:snapToGrid w:val="0"/>
                <w:color w:val="000000"/>
                <w:kern w:val="21"/>
                <w:szCs w:val="21"/>
              </w:rPr>
              <w:t>0.125t/a</w:t>
            </w:r>
          </w:p>
        </w:tc>
        <w:tc>
          <w:tcPr>
            <w:tcW w:w="826" w:type="dxa"/>
            <w:vAlign w:val="center"/>
          </w:tcPr>
          <w:p>
            <w:pPr>
              <w:pStyle w:val="60"/>
              <w:spacing w:beforeLines="0" w:afterLines="0" w:line="240" w:lineRule="auto"/>
              <w:rPr>
                <w:rFonts w:ascii="Times New Roman"/>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trPr>
        <w:tc>
          <w:tcPr>
            <w:tcW w:w="1588" w:type="dxa"/>
            <w:vMerge w:val="restart"/>
            <w:vAlign w:val="center"/>
          </w:tcPr>
          <w:p>
            <w:pPr>
              <w:pStyle w:val="60"/>
              <w:spacing w:beforeLines="0" w:afterLines="0" w:line="240" w:lineRule="auto"/>
              <w:rPr>
                <w:rFonts w:ascii="Times New Roman"/>
                <w:snapToGrid w:val="0"/>
                <w:color w:val="000000"/>
                <w:kern w:val="21"/>
                <w:szCs w:val="21"/>
              </w:rPr>
            </w:pPr>
            <w:r>
              <w:rPr>
                <w:rFonts w:ascii="Times New Roman"/>
                <w:snapToGrid w:val="0"/>
                <w:color w:val="000000"/>
                <w:kern w:val="21"/>
                <w:szCs w:val="21"/>
              </w:rPr>
              <w:t>废水</w:t>
            </w:r>
          </w:p>
        </w:tc>
        <w:tc>
          <w:tcPr>
            <w:tcW w:w="1417" w:type="dxa"/>
            <w:vAlign w:val="center"/>
          </w:tcPr>
          <w:p>
            <w:pPr>
              <w:jc w:val="center"/>
              <w:rPr>
                <w:rFonts w:eastAsiaTheme="minorEastAsia"/>
                <w:szCs w:val="21"/>
              </w:rPr>
            </w:pPr>
            <w:r>
              <w:rPr>
                <w:rFonts w:eastAsiaTheme="minorEastAsia"/>
                <w:szCs w:val="21"/>
              </w:rPr>
              <w:t>COD</w:t>
            </w:r>
            <w:r>
              <w:rPr>
                <w:rFonts w:eastAsiaTheme="minorEastAsia"/>
                <w:szCs w:val="21"/>
                <w:vertAlign w:val="subscript"/>
              </w:rPr>
              <w:t>Cr</w:t>
            </w:r>
            <w:r>
              <w:rPr>
                <w:rFonts w:eastAsiaTheme="minorEastAsia"/>
                <w:szCs w:val="21"/>
              </w:rPr>
              <w:t xml:space="preserve"> (t/a)</w:t>
            </w:r>
          </w:p>
        </w:tc>
        <w:tc>
          <w:tcPr>
            <w:tcW w:w="1701" w:type="dxa"/>
            <w:vAlign w:val="center"/>
          </w:tcPr>
          <w:p>
            <w:pPr>
              <w:jc w:val="center"/>
              <w:rPr>
                <w:rFonts w:eastAsiaTheme="minorEastAsia"/>
                <w:szCs w:val="21"/>
              </w:rPr>
            </w:pPr>
          </w:p>
        </w:tc>
        <w:tc>
          <w:tcPr>
            <w:tcW w:w="1276" w:type="dxa"/>
            <w:vAlign w:val="center"/>
          </w:tcPr>
          <w:p>
            <w:pPr>
              <w:pStyle w:val="60"/>
              <w:spacing w:beforeLines="0" w:afterLines="0" w:line="240" w:lineRule="auto"/>
              <w:rPr>
                <w:rFonts w:ascii="Times New Roman"/>
                <w:snapToGrid w:val="0"/>
                <w:color w:val="000000"/>
                <w:kern w:val="21"/>
                <w:szCs w:val="21"/>
              </w:rPr>
            </w:pPr>
          </w:p>
        </w:tc>
        <w:tc>
          <w:tcPr>
            <w:tcW w:w="1701" w:type="dxa"/>
            <w:vAlign w:val="center"/>
          </w:tcPr>
          <w:p>
            <w:pPr>
              <w:pStyle w:val="60"/>
              <w:spacing w:beforeLines="0" w:afterLines="0" w:line="240" w:lineRule="auto"/>
              <w:rPr>
                <w:rFonts w:ascii="Times New Roman"/>
                <w:snapToGrid w:val="0"/>
                <w:color w:val="000000"/>
                <w:kern w:val="21"/>
                <w:szCs w:val="21"/>
              </w:rPr>
            </w:pPr>
          </w:p>
        </w:tc>
        <w:tc>
          <w:tcPr>
            <w:tcW w:w="1559" w:type="dxa"/>
            <w:vAlign w:val="center"/>
          </w:tcPr>
          <w:p>
            <w:pPr>
              <w:jc w:val="center"/>
              <w:rPr>
                <w:rFonts w:eastAsiaTheme="minorEastAsia"/>
                <w:szCs w:val="21"/>
              </w:rPr>
            </w:pPr>
            <w:r>
              <w:rPr>
                <w:rFonts w:hint="eastAsia" w:eastAsiaTheme="minorEastAsia"/>
                <w:szCs w:val="21"/>
              </w:rPr>
              <w:t>0</w:t>
            </w:r>
            <w:r>
              <w:rPr>
                <w:rFonts w:eastAsiaTheme="minorEastAsia"/>
                <w:szCs w:val="21"/>
              </w:rPr>
              <w:t>.182</w:t>
            </w:r>
          </w:p>
        </w:tc>
        <w:tc>
          <w:tcPr>
            <w:tcW w:w="1761" w:type="dxa"/>
            <w:vAlign w:val="center"/>
          </w:tcPr>
          <w:p>
            <w:pPr>
              <w:pStyle w:val="60"/>
              <w:spacing w:beforeLines="0" w:afterLines="0" w:line="240" w:lineRule="auto"/>
              <w:rPr>
                <w:rFonts w:ascii="Times New Roman"/>
                <w:snapToGrid w:val="0"/>
                <w:color w:val="000000"/>
                <w:kern w:val="21"/>
                <w:szCs w:val="21"/>
              </w:rPr>
            </w:pPr>
          </w:p>
        </w:tc>
        <w:tc>
          <w:tcPr>
            <w:tcW w:w="1959" w:type="dxa"/>
            <w:vAlign w:val="center"/>
          </w:tcPr>
          <w:p>
            <w:pPr>
              <w:jc w:val="center"/>
              <w:rPr>
                <w:rFonts w:eastAsiaTheme="minorEastAsia"/>
                <w:szCs w:val="21"/>
              </w:rPr>
            </w:pPr>
            <w:r>
              <w:rPr>
                <w:rFonts w:hint="eastAsia" w:eastAsiaTheme="minorEastAsia"/>
                <w:szCs w:val="21"/>
              </w:rPr>
              <w:t>0</w:t>
            </w:r>
            <w:r>
              <w:rPr>
                <w:rFonts w:eastAsiaTheme="minorEastAsia"/>
                <w:szCs w:val="21"/>
              </w:rPr>
              <w:t>.182</w:t>
            </w:r>
          </w:p>
        </w:tc>
        <w:tc>
          <w:tcPr>
            <w:tcW w:w="826" w:type="dxa"/>
            <w:vAlign w:val="center"/>
          </w:tcPr>
          <w:p>
            <w:pPr>
              <w:pStyle w:val="60"/>
              <w:spacing w:beforeLines="0" w:afterLines="0" w:line="240" w:lineRule="auto"/>
              <w:rPr>
                <w:rFonts w:ascii="Times New Roman"/>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6" w:hRule="atLeast"/>
        </w:trPr>
        <w:tc>
          <w:tcPr>
            <w:tcW w:w="1588" w:type="dxa"/>
            <w:vMerge w:val="continue"/>
            <w:vAlign w:val="center"/>
          </w:tcPr>
          <w:p>
            <w:pPr>
              <w:pStyle w:val="60"/>
              <w:spacing w:beforeLines="0" w:afterLines="0" w:line="240" w:lineRule="auto"/>
              <w:rPr>
                <w:rFonts w:ascii="Times New Roman"/>
                <w:snapToGrid w:val="0"/>
                <w:color w:val="000000"/>
                <w:kern w:val="21"/>
                <w:szCs w:val="21"/>
              </w:rPr>
            </w:pPr>
          </w:p>
        </w:tc>
        <w:tc>
          <w:tcPr>
            <w:tcW w:w="1417" w:type="dxa"/>
            <w:vAlign w:val="center"/>
          </w:tcPr>
          <w:p>
            <w:pPr>
              <w:jc w:val="center"/>
              <w:rPr>
                <w:rFonts w:eastAsiaTheme="minorEastAsia"/>
                <w:szCs w:val="21"/>
                <w:vertAlign w:val="subscript"/>
              </w:rPr>
            </w:pPr>
            <w:r>
              <w:rPr>
                <w:rFonts w:eastAsiaTheme="minorEastAsia"/>
                <w:szCs w:val="21"/>
              </w:rPr>
              <w:t>BOD</w:t>
            </w:r>
            <w:r>
              <w:rPr>
                <w:rFonts w:eastAsiaTheme="minorEastAsia"/>
                <w:szCs w:val="21"/>
                <w:vertAlign w:val="subscript"/>
              </w:rPr>
              <w:t>5</w:t>
            </w:r>
            <w:r>
              <w:rPr>
                <w:rFonts w:eastAsiaTheme="minorEastAsia"/>
                <w:szCs w:val="21"/>
              </w:rPr>
              <w:t xml:space="preserve"> (t/a)</w:t>
            </w:r>
          </w:p>
        </w:tc>
        <w:tc>
          <w:tcPr>
            <w:tcW w:w="1701" w:type="dxa"/>
            <w:vAlign w:val="center"/>
          </w:tcPr>
          <w:p>
            <w:pPr>
              <w:jc w:val="center"/>
              <w:rPr>
                <w:rFonts w:eastAsiaTheme="minorEastAsia"/>
                <w:szCs w:val="21"/>
              </w:rPr>
            </w:pPr>
          </w:p>
        </w:tc>
        <w:tc>
          <w:tcPr>
            <w:tcW w:w="1276" w:type="dxa"/>
            <w:vAlign w:val="center"/>
          </w:tcPr>
          <w:p>
            <w:pPr>
              <w:pStyle w:val="60"/>
              <w:spacing w:beforeLines="0" w:afterLines="0" w:line="240" w:lineRule="auto"/>
              <w:rPr>
                <w:rFonts w:ascii="Times New Roman"/>
                <w:snapToGrid w:val="0"/>
                <w:color w:val="000000"/>
                <w:kern w:val="21"/>
                <w:szCs w:val="21"/>
              </w:rPr>
            </w:pPr>
          </w:p>
        </w:tc>
        <w:tc>
          <w:tcPr>
            <w:tcW w:w="1701" w:type="dxa"/>
            <w:vAlign w:val="center"/>
          </w:tcPr>
          <w:p>
            <w:pPr>
              <w:pStyle w:val="60"/>
              <w:spacing w:beforeLines="0" w:afterLines="0" w:line="240" w:lineRule="auto"/>
              <w:rPr>
                <w:rFonts w:ascii="Times New Roman"/>
                <w:snapToGrid w:val="0"/>
                <w:color w:val="000000"/>
                <w:kern w:val="21"/>
                <w:szCs w:val="21"/>
              </w:rPr>
            </w:pPr>
          </w:p>
        </w:tc>
        <w:tc>
          <w:tcPr>
            <w:tcW w:w="1559" w:type="dxa"/>
            <w:vAlign w:val="center"/>
          </w:tcPr>
          <w:p>
            <w:pPr>
              <w:jc w:val="center"/>
              <w:rPr>
                <w:rFonts w:eastAsiaTheme="minorEastAsia"/>
                <w:szCs w:val="21"/>
              </w:rPr>
            </w:pPr>
            <w:r>
              <w:rPr>
                <w:rFonts w:hint="eastAsia" w:eastAsiaTheme="minorEastAsia"/>
                <w:szCs w:val="21"/>
              </w:rPr>
              <w:t>0</w:t>
            </w:r>
            <w:r>
              <w:rPr>
                <w:rFonts w:eastAsiaTheme="minorEastAsia"/>
                <w:szCs w:val="21"/>
              </w:rPr>
              <w:t>.048</w:t>
            </w:r>
          </w:p>
        </w:tc>
        <w:tc>
          <w:tcPr>
            <w:tcW w:w="1761" w:type="dxa"/>
            <w:vAlign w:val="center"/>
          </w:tcPr>
          <w:p>
            <w:pPr>
              <w:pStyle w:val="60"/>
              <w:spacing w:beforeLines="0" w:afterLines="0" w:line="240" w:lineRule="auto"/>
              <w:rPr>
                <w:rFonts w:ascii="Times New Roman"/>
                <w:snapToGrid w:val="0"/>
                <w:color w:val="000000"/>
                <w:kern w:val="21"/>
                <w:szCs w:val="21"/>
              </w:rPr>
            </w:pPr>
          </w:p>
        </w:tc>
        <w:tc>
          <w:tcPr>
            <w:tcW w:w="1959" w:type="dxa"/>
            <w:vAlign w:val="center"/>
          </w:tcPr>
          <w:p>
            <w:pPr>
              <w:jc w:val="center"/>
              <w:rPr>
                <w:rFonts w:eastAsiaTheme="minorEastAsia"/>
                <w:szCs w:val="21"/>
              </w:rPr>
            </w:pPr>
            <w:r>
              <w:rPr>
                <w:rFonts w:hint="eastAsia" w:eastAsiaTheme="minorEastAsia"/>
                <w:szCs w:val="21"/>
              </w:rPr>
              <w:t>0</w:t>
            </w:r>
            <w:r>
              <w:rPr>
                <w:rFonts w:eastAsiaTheme="minorEastAsia"/>
                <w:szCs w:val="21"/>
              </w:rPr>
              <w:t>.048</w:t>
            </w:r>
          </w:p>
        </w:tc>
        <w:tc>
          <w:tcPr>
            <w:tcW w:w="826" w:type="dxa"/>
            <w:vAlign w:val="center"/>
          </w:tcPr>
          <w:p>
            <w:pPr>
              <w:pStyle w:val="60"/>
              <w:spacing w:beforeLines="0" w:afterLines="0" w:line="240" w:lineRule="auto"/>
              <w:rPr>
                <w:rFonts w:ascii="Times New Roman"/>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588" w:type="dxa"/>
            <w:vMerge w:val="continue"/>
            <w:vAlign w:val="center"/>
          </w:tcPr>
          <w:p>
            <w:pPr>
              <w:pStyle w:val="60"/>
              <w:spacing w:beforeLines="0" w:afterLines="0" w:line="240" w:lineRule="auto"/>
              <w:rPr>
                <w:rFonts w:ascii="Times New Roman"/>
                <w:snapToGrid w:val="0"/>
                <w:color w:val="000000"/>
                <w:kern w:val="21"/>
                <w:szCs w:val="21"/>
              </w:rPr>
            </w:pPr>
          </w:p>
        </w:tc>
        <w:tc>
          <w:tcPr>
            <w:tcW w:w="1417" w:type="dxa"/>
            <w:vAlign w:val="center"/>
          </w:tcPr>
          <w:p>
            <w:pPr>
              <w:jc w:val="center"/>
              <w:rPr>
                <w:rFonts w:eastAsiaTheme="minorEastAsia"/>
                <w:szCs w:val="21"/>
              </w:rPr>
            </w:pPr>
            <w:r>
              <w:rPr>
                <w:rFonts w:eastAsiaTheme="minorEastAsia"/>
                <w:szCs w:val="21"/>
              </w:rPr>
              <w:t>氨氮 (t/a)</w:t>
            </w:r>
          </w:p>
        </w:tc>
        <w:tc>
          <w:tcPr>
            <w:tcW w:w="1701" w:type="dxa"/>
            <w:vAlign w:val="center"/>
          </w:tcPr>
          <w:p>
            <w:pPr>
              <w:jc w:val="center"/>
              <w:rPr>
                <w:rFonts w:eastAsiaTheme="minorEastAsia"/>
                <w:szCs w:val="21"/>
              </w:rPr>
            </w:pPr>
          </w:p>
        </w:tc>
        <w:tc>
          <w:tcPr>
            <w:tcW w:w="1276" w:type="dxa"/>
            <w:vAlign w:val="center"/>
          </w:tcPr>
          <w:p>
            <w:pPr>
              <w:pStyle w:val="60"/>
              <w:spacing w:beforeLines="0" w:afterLines="0" w:line="240" w:lineRule="auto"/>
              <w:rPr>
                <w:rFonts w:ascii="Times New Roman"/>
                <w:snapToGrid w:val="0"/>
                <w:color w:val="000000"/>
                <w:kern w:val="21"/>
                <w:szCs w:val="21"/>
              </w:rPr>
            </w:pPr>
          </w:p>
        </w:tc>
        <w:tc>
          <w:tcPr>
            <w:tcW w:w="1701" w:type="dxa"/>
            <w:vAlign w:val="center"/>
          </w:tcPr>
          <w:p>
            <w:pPr>
              <w:pStyle w:val="60"/>
              <w:spacing w:beforeLines="0" w:afterLines="0" w:line="240" w:lineRule="auto"/>
              <w:rPr>
                <w:rFonts w:ascii="Times New Roman"/>
                <w:snapToGrid w:val="0"/>
                <w:color w:val="000000"/>
                <w:kern w:val="21"/>
                <w:szCs w:val="21"/>
              </w:rPr>
            </w:pPr>
          </w:p>
        </w:tc>
        <w:tc>
          <w:tcPr>
            <w:tcW w:w="1559" w:type="dxa"/>
            <w:vAlign w:val="center"/>
          </w:tcPr>
          <w:p>
            <w:pPr>
              <w:jc w:val="center"/>
              <w:rPr>
                <w:rFonts w:eastAsiaTheme="minorEastAsia"/>
                <w:szCs w:val="21"/>
              </w:rPr>
            </w:pPr>
            <w:r>
              <w:rPr>
                <w:rFonts w:hint="eastAsia" w:eastAsiaTheme="minorEastAsia"/>
                <w:szCs w:val="21"/>
              </w:rPr>
              <w:t>0</w:t>
            </w:r>
            <w:r>
              <w:rPr>
                <w:rFonts w:eastAsiaTheme="minorEastAsia"/>
                <w:szCs w:val="21"/>
              </w:rPr>
              <w:t>.02</w:t>
            </w:r>
          </w:p>
        </w:tc>
        <w:tc>
          <w:tcPr>
            <w:tcW w:w="1761" w:type="dxa"/>
            <w:vAlign w:val="center"/>
          </w:tcPr>
          <w:p>
            <w:pPr>
              <w:pStyle w:val="60"/>
              <w:spacing w:beforeLines="0" w:afterLines="0" w:line="240" w:lineRule="auto"/>
              <w:rPr>
                <w:rFonts w:ascii="Times New Roman"/>
                <w:snapToGrid w:val="0"/>
                <w:color w:val="000000"/>
                <w:kern w:val="21"/>
                <w:szCs w:val="21"/>
              </w:rPr>
            </w:pPr>
          </w:p>
        </w:tc>
        <w:tc>
          <w:tcPr>
            <w:tcW w:w="1959" w:type="dxa"/>
            <w:vAlign w:val="center"/>
          </w:tcPr>
          <w:p>
            <w:pPr>
              <w:jc w:val="center"/>
              <w:rPr>
                <w:rFonts w:eastAsiaTheme="minorEastAsia"/>
                <w:szCs w:val="21"/>
              </w:rPr>
            </w:pPr>
            <w:r>
              <w:rPr>
                <w:rFonts w:hint="eastAsia" w:eastAsiaTheme="minorEastAsia"/>
                <w:szCs w:val="21"/>
              </w:rPr>
              <w:t>0</w:t>
            </w:r>
            <w:r>
              <w:rPr>
                <w:rFonts w:eastAsiaTheme="minorEastAsia"/>
                <w:szCs w:val="21"/>
              </w:rPr>
              <w:t>.02</w:t>
            </w:r>
          </w:p>
        </w:tc>
        <w:tc>
          <w:tcPr>
            <w:tcW w:w="826" w:type="dxa"/>
            <w:vAlign w:val="center"/>
          </w:tcPr>
          <w:p>
            <w:pPr>
              <w:pStyle w:val="60"/>
              <w:spacing w:beforeLines="0" w:afterLines="0" w:line="240" w:lineRule="auto"/>
              <w:rPr>
                <w:rFonts w:ascii="Times New Roman"/>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7" w:hRule="atLeast"/>
        </w:trPr>
        <w:tc>
          <w:tcPr>
            <w:tcW w:w="1588" w:type="dxa"/>
            <w:vMerge w:val="continue"/>
            <w:vAlign w:val="center"/>
          </w:tcPr>
          <w:p>
            <w:pPr>
              <w:pStyle w:val="60"/>
              <w:spacing w:beforeLines="0" w:afterLines="0" w:line="240" w:lineRule="auto"/>
              <w:rPr>
                <w:rFonts w:ascii="Times New Roman"/>
                <w:snapToGrid w:val="0"/>
                <w:color w:val="000000"/>
                <w:kern w:val="21"/>
                <w:szCs w:val="21"/>
              </w:rPr>
            </w:pPr>
          </w:p>
        </w:tc>
        <w:tc>
          <w:tcPr>
            <w:tcW w:w="1417" w:type="dxa"/>
            <w:vAlign w:val="center"/>
          </w:tcPr>
          <w:p>
            <w:pPr>
              <w:jc w:val="center"/>
              <w:rPr>
                <w:rFonts w:eastAsiaTheme="minorEastAsia"/>
                <w:szCs w:val="21"/>
              </w:rPr>
            </w:pPr>
            <w:r>
              <w:rPr>
                <w:rFonts w:eastAsiaTheme="minorEastAsia"/>
                <w:szCs w:val="21"/>
              </w:rPr>
              <w:t>动植物油 (t/a)</w:t>
            </w:r>
          </w:p>
        </w:tc>
        <w:tc>
          <w:tcPr>
            <w:tcW w:w="1701" w:type="dxa"/>
            <w:vAlign w:val="center"/>
          </w:tcPr>
          <w:p>
            <w:pPr>
              <w:jc w:val="center"/>
              <w:rPr>
                <w:rFonts w:eastAsiaTheme="minorEastAsia"/>
                <w:szCs w:val="21"/>
              </w:rPr>
            </w:pPr>
          </w:p>
        </w:tc>
        <w:tc>
          <w:tcPr>
            <w:tcW w:w="1276" w:type="dxa"/>
            <w:vAlign w:val="center"/>
          </w:tcPr>
          <w:p>
            <w:pPr>
              <w:pStyle w:val="60"/>
              <w:spacing w:beforeLines="0" w:afterLines="0" w:line="240" w:lineRule="auto"/>
              <w:rPr>
                <w:rFonts w:ascii="Times New Roman"/>
                <w:snapToGrid w:val="0"/>
                <w:color w:val="000000"/>
                <w:kern w:val="21"/>
                <w:szCs w:val="21"/>
              </w:rPr>
            </w:pPr>
          </w:p>
        </w:tc>
        <w:tc>
          <w:tcPr>
            <w:tcW w:w="1701" w:type="dxa"/>
            <w:vAlign w:val="center"/>
          </w:tcPr>
          <w:p>
            <w:pPr>
              <w:pStyle w:val="60"/>
              <w:spacing w:beforeLines="0" w:afterLines="0" w:line="240" w:lineRule="auto"/>
              <w:rPr>
                <w:rFonts w:ascii="Times New Roman"/>
                <w:snapToGrid w:val="0"/>
                <w:color w:val="000000"/>
                <w:kern w:val="21"/>
                <w:szCs w:val="21"/>
              </w:rPr>
            </w:pPr>
          </w:p>
        </w:tc>
        <w:tc>
          <w:tcPr>
            <w:tcW w:w="1559" w:type="dxa"/>
            <w:vAlign w:val="center"/>
          </w:tcPr>
          <w:p>
            <w:pPr>
              <w:jc w:val="center"/>
              <w:rPr>
                <w:rFonts w:eastAsiaTheme="minorEastAsia"/>
                <w:szCs w:val="21"/>
              </w:rPr>
            </w:pPr>
            <w:r>
              <w:rPr>
                <w:rFonts w:hint="eastAsia" w:eastAsiaTheme="minorEastAsia"/>
                <w:szCs w:val="21"/>
              </w:rPr>
              <w:t>0</w:t>
            </w:r>
            <w:r>
              <w:rPr>
                <w:rFonts w:eastAsiaTheme="minorEastAsia"/>
                <w:szCs w:val="21"/>
              </w:rPr>
              <w:t>.034</w:t>
            </w:r>
          </w:p>
        </w:tc>
        <w:tc>
          <w:tcPr>
            <w:tcW w:w="1761" w:type="dxa"/>
            <w:vAlign w:val="center"/>
          </w:tcPr>
          <w:p>
            <w:pPr>
              <w:pStyle w:val="60"/>
              <w:spacing w:beforeLines="0" w:afterLines="0" w:line="240" w:lineRule="auto"/>
              <w:rPr>
                <w:rFonts w:ascii="Times New Roman"/>
                <w:snapToGrid w:val="0"/>
                <w:color w:val="000000"/>
                <w:kern w:val="21"/>
                <w:szCs w:val="21"/>
              </w:rPr>
            </w:pPr>
          </w:p>
        </w:tc>
        <w:tc>
          <w:tcPr>
            <w:tcW w:w="1959" w:type="dxa"/>
            <w:vAlign w:val="center"/>
          </w:tcPr>
          <w:p>
            <w:pPr>
              <w:jc w:val="center"/>
              <w:rPr>
                <w:rFonts w:eastAsiaTheme="minorEastAsia"/>
                <w:szCs w:val="21"/>
              </w:rPr>
            </w:pPr>
            <w:r>
              <w:rPr>
                <w:rFonts w:hint="eastAsia" w:eastAsiaTheme="minorEastAsia"/>
                <w:szCs w:val="21"/>
              </w:rPr>
              <w:t>0</w:t>
            </w:r>
            <w:r>
              <w:rPr>
                <w:rFonts w:eastAsiaTheme="minorEastAsia"/>
                <w:szCs w:val="21"/>
              </w:rPr>
              <w:t>.034</w:t>
            </w:r>
          </w:p>
        </w:tc>
        <w:tc>
          <w:tcPr>
            <w:tcW w:w="826" w:type="dxa"/>
            <w:vAlign w:val="center"/>
          </w:tcPr>
          <w:p>
            <w:pPr>
              <w:pStyle w:val="60"/>
              <w:spacing w:beforeLines="0" w:afterLines="0" w:line="240" w:lineRule="auto"/>
              <w:rPr>
                <w:rFonts w:ascii="Times New Roman"/>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1588" w:type="dxa"/>
            <w:vMerge w:val="continue"/>
            <w:vAlign w:val="center"/>
          </w:tcPr>
          <w:p>
            <w:pPr>
              <w:pStyle w:val="60"/>
              <w:spacing w:beforeLines="0" w:afterLines="0" w:line="240" w:lineRule="auto"/>
              <w:rPr>
                <w:rFonts w:ascii="Times New Roman"/>
                <w:snapToGrid w:val="0"/>
                <w:color w:val="000000"/>
                <w:kern w:val="21"/>
                <w:szCs w:val="21"/>
              </w:rPr>
            </w:pPr>
          </w:p>
        </w:tc>
        <w:tc>
          <w:tcPr>
            <w:tcW w:w="1417" w:type="dxa"/>
            <w:vAlign w:val="center"/>
          </w:tcPr>
          <w:p>
            <w:pPr>
              <w:jc w:val="center"/>
              <w:rPr>
                <w:rFonts w:eastAsiaTheme="minorEastAsia"/>
                <w:szCs w:val="21"/>
              </w:rPr>
            </w:pPr>
            <w:r>
              <w:rPr>
                <w:rFonts w:eastAsiaTheme="minorEastAsia"/>
                <w:szCs w:val="21"/>
              </w:rPr>
              <w:t>SS（t/a）</w:t>
            </w:r>
          </w:p>
        </w:tc>
        <w:tc>
          <w:tcPr>
            <w:tcW w:w="1701" w:type="dxa"/>
            <w:vAlign w:val="center"/>
          </w:tcPr>
          <w:p>
            <w:pPr>
              <w:jc w:val="center"/>
              <w:rPr>
                <w:rFonts w:eastAsiaTheme="minorEastAsia"/>
                <w:szCs w:val="21"/>
              </w:rPr>
            </w:pPr>
          </w:p>
        </w:tc>
        <w:tc>
          <w:tcPr>
            <w:tcW w:w="1276" w:type="dxa"/>
            <w:vAlign w:val="center"/>
          </w:tcPr>
          <w:p>
            <w:pPr>
              <w:pStyle w:val="60"/>
              <w:spacing w:beforeLines="0" w:afterLines="0" w:line="240" w:lineRule="auto"/>
              <w:rPr>
                <w:rFonts w:ascii="Times New Roman"/>
                <w:snapToGrid w:val="0"/>
                <w:color w:val="000000"/>
                <w:kern w:val="21"/>
                <w:szCs w:val="21"/>
              </w:rPr>
            </w:pPr>
          </w:p>
        </w:tc>
        <w:tc>
          <w:tcPr>
            <w:tcW w:w="1701" w:type="dxa"/>
            <w:vAlign w:val="center"/>
          </w:tcPr>
          <w:p>
            <w:pPr>
              <w:pStyle w:val="60"/>
              <w:spacing w:beforeLines="0" w:afterLines="0" w:line="240" w:lineRule="auto"/>
              <w:rPr>
                <w:rFonts w:ascii="Times New Roman"/>
                <w:snapToGrid w:val="0"/>
                <w:color w:val="000000"/>
                <w:kern w:val="21"/>
                <w:szCs w:val="21"/>
              </w:rPr>
            </w:pPr>
          </w:p>
        </w:tc>
        <w:tc>
          <w:tcPr>
            <w:tcW w:w="1559" w:type="dxa"/>
            <w:vAlign w:val="center"/>
          </w:tcPr>
          <w:p>
            <w:pPr>
              <w:jc w:val="center"/>
              <w:rPr>
                <w:rFonts w:eastAsiaTheme="minorEastAsia"/>
                <w:szCs w:val="21"/>
              </w:rPr>
            </w:pPr>
            <w:r>
              <w:rPr>
                <w:rFonts w:hint="eastAsia" w:eastAsiaTheme="minorEastAsia"/>
                <w:szCs w:val="21"/>
              </w:rPr>
              <w:t>0</w:t>
            </w:r>
            <w:r>
              <w:rPr>
                <w:rFonts w:eastAsiaTheme="minorEastAsia"/>
                <w:szCs w:val="21"/>
              </w:rPr>
              <w:t>.038</w:t>
            </w:r>
          </w:p>
        </w:tc>
        <w:tc>
          <w:tcPr>
            <w:tcW w:w="1761" w:type="dxa"/>
            <w:vAlign w:val="center"/>
          </w:tcPr>
          <w:p>
            <w:pPr>
              <w:pStyle w:val="60"/>
              <w:spacing w:beforeLines="0" w:afterLines="0" w:line="240" w:lineRule="auto"/>
              <w:rPr>
                <w:rFonts w:ascii="Times New Roman"/>
                <w:snapToGrid w:val="0"/>
                <w:color w:val="000000"/>
                <w:kern w:val="21"/>
                <w:szCs w:val="21"/>
              </w:rPr>
            </w:pPr>
          </w:p>
        </w:tc>
        <w:tc>
          <w:tcPr>
            <w:tcW w:w="1959" w:type="dxa"/>
            <w:vAlign w:val="center"/>
          </w:tcPr>
          <w:p>
            <w:pPr>
              <w:jc w:val="center"/>
              <w:rPr>
                <w:rFonts w:eastAsiaTheme="minorEastAsia"/>
                <w:szCs w:val="21"/>
              </w:rPr>
            </w:pPr>
            <w:r>
              <w:rPr>
                <w:rFonts w:hint="eastAsia" w:eastAsiaTheme="minorEastAsia"/>
                <w:szCs w:val="21"/>
              </w:rPr>
              <w:t>0</w:t>
            </w:r>
            <w:r>
              <w:rPr>
                <w:rFonts w:eastAsiaTheme="minorEastAsia"/>
                <w:szCs w:val="21"/>
              </w:rPr>
              <w:t>.038</w:t>
            </w:r>
          </w:p>
        </w:tc>
        <w:tc>
          <w:tcPr>
            <w:tcW w:w="826" w:type="dxa"/>
            <w:vAlign w:val="center"/>
          </w:tcPr>
          <w:p>
            <w:pPr>
              <w:pStyle w:val="60"/>
              <w:spacing w:beforeLines="0" w:afterLines="0" w:line="240" w:lineRule="auto"/>
              <w:rPr>
                <w:rFonts w:ascii="Times New Roman"/>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588" w:type="dxa"/>
            <w:vMerge w:val="continue"/>
            <w:vAlign w:val="center"/>
          </w:tcPr>
          <w:p>
            <w:pPr>
              <w:pStyle w:val="60"/>
              <w:spacing w:beforeLines="0" w:afterLines="0" w:line="240" w:lineRule="auto"/>
              <w:rPr>
                <w:rFonts w:ascii="Times New Roman"/>
                <w:snapToGrid w:val="0"/>
                <w:color w:val="000000"/>
                <w:kern w:val="21"/>
                <w:szCs w:val="21"/>
              </w:rPr>
            </w:pPr>
          </w:p>
        </w:tc>
        <w:tc>
          <w:tcPr>
            <w:tcW w:w="1417" w:type="dxa"/>
            <w:vAlign w:val="center"/>
          </w:tcPr>
          <w:p>
            <w:pPr>
              <w:jc w:val="center"/>
              <w:rPr>
                <w:rFonts w:eastAsiaTheme="minorEastAsia"/>
                <w:szCs w:val="21"/>
              </w:rPr>
            </w:pPr>
            <w:r>
              <w:rPr>
                <w:rFonts w:eastAsiaTheme="minorEastAsia"/>
                <w:kern w:val="0"/>
                <w:szCs w:val="21"/>
              </w:rPr>
              <w:t>磷酸盐（t/a）</w:t>
            </w:r>
          </w:p>
        </w:tc>
        <w:tc>
          <w:tcPr>
            <w:tcW w:w="1701" w:type="dxa"/>
            <w:vAlign w:val="center"/>
          </w:tcPr>
          <w:p>
            <w:pPr>
              <w:jc w:val="center"/>
              <w:rPr>
                <w:rFonts w:eastAsiaTheme="minorEastAsia"/>
                <w:szCs w:val="21"/>
              </w:rPr>
            </w:pPr>
          </w:p>
        </w:tc>
        <w:tc>
          <w:tcPr>
            <w:tcW w:w="1276" w:type="dxa"/>
            <w:vAlign w:val="center"/>
          </w:tcPr>
          <w:p>
            <w:pPr>
              <w:pStyle w:val="60"/>
              <w:spacing w:beforeLines="0" w:afterLines="0" w:line="240" w:lineRule="auto"/>
              <w:rPr>
                <w:rFonts w:ascii="Times New Roman"/>
                <w:snapToGrid w:val="0"/>
                <w:color w:val="000000"/>
                <w:kern w:val="21"/>
                <w:szCs w:val="21"/>
              </w:rPr>
            </w:pPr>
          </w:p>
        </w:tc>
        <w:tc>
          <w:tcPr>
            <w:tcW w:w="1701" w:type="dxa"/>
            <w:vAlign w:val="center"/>
          </w:tcPr>
          <w:p>
            <w:pPr>
              <w:pStyle w:val="60"/>
              <w:spacing w:beforeLines="0" w:afterLines="0" w:line="240" w:lineRule="auto"/>
              <w:rPr>
                <w:rFonts w:ascii="Times New Roman"/>
                <w:snapToGrid w:val="0"/>
                <w:color w:val="000000"/>
                <w:kern w:val="21"/>
                <w:szCs w:val="21"/>
              </w:rPr>
            </w:pPr>
          </w:p>
        </w:tc>
        <w:tc>
          <w:tcPr>
            <w:tcW w:w="1559" w:type="dxa"/>
            <w:vAlign w:val="center"/>
          </w:tcPr>
          <w:p>
            <w:pPr>
              <w:jc w:val="center"/>
              <w:rPr>
                <w:rFonts w:eastAsiaTheme="minorEastAsia"/>
                <w:szCs w:val="21"/>
              </w:rPr>
            </w:pPr>
            <w:r>
              <w:rPr>
                <w:rFonts w:hint="eastAsia" w:eastAsiaTheme="minorEastAsia"/>
                <w:szCs w:val="21"/>
              </w:rPr>
              <w:t>0</w:t>
            </w:r>
            <w:r>
              <w:rPr>
                <w:rFonts w:eastAsiaTheme="minorEastAsia"/>
                <w:szCs w:val="21"/>
              </w:rPr>
              <w:t>.014</w:t>
            </w:r>
          </w:p>
        </w:tc>
        <w:tc>
          <w:tcPr>
            <w:tcW w:w="1761" w:type="dxa"/>
            <w:vAlign w:val="center"/>
          </w:tcPr>
          <w:p>
            <w:pPr>
              <w:pStyle w:val="60"/>
              <w:spacing w:beforeLines="0" w:afterLines="0" w:line="240" w:lineRule="auto"/>
              <w:rPr>
                <w:rFonts w:ascii="Times New Roman"/>
                <w:snapToGrid w:val="0"/>
                <w:color w:val="000000"/>
                <w:kern w:val="21"/>
                <w:szCs w:val="21"/>
              </w:rPr>
            </w:pPr>
          </w:p>
        </w:tc>
        <w:tc>
          <w:tcPr>
            <w:tcW w:w="1959" w:type="dxa"/>
            <w:vAlign w:val="center"/>
          </w:tcPr>
          <w:p>
            <w:pPr>
              <w:jc w:val="center"/>
              <w:rPr>
                <w:rFonts w:eastAsiaTheme="minorEastAsia"/>
                <w:szCs w:val="21"/>
              </w:rPr>
            </w:pPr>
            <w:r>
              <w:rPr>
                <w:rFonts w:hint="eastAsia" w:eastAsiaTheme="minorEastAsia"/>
                <w:szCs w:val="21"/>
              </w:rPr>
              <w:t>0</w:t>
            </w:r>
            <w:r>
              <w:rPr>
                <w:rFonts w:eastAsiaTheme="minorEastAsia"/>
                <w:szCs w:val="21"/>
              </w:rPr>
              <w:t>.014</w:t>
            </w:r>
          </w:p>
        </w:tc>
        <w:tc>
          <w:tcPr>
            <w:tcW w:w="826" w:type="dxa"/>
            <w:vAlign w:val="center"/>
          </w:tcPr>
          <w:p>
            <w:pPr>
              <w:pStyle w:val="60"/>
              <w:spacing w:beforeLines="0" w:afterLines="0" w:line="240" w:lineRule="auto"/>
              <w:rPr>
                <w:rFonts w:ascii="Times New Roman"/>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Align w:val="center"/>
          </w:tcPr>
          <w:p>
            <w:pPr>
              <w:pStyle w:val="60"/>
              <w:spacing w:beforeLines="0" w:afterLines="0" w:line="240" w:lineRule="auto"/>
              <w:rPr>
                <w:rFonts w:ascii="Times New Roman"/>
                <w:snapToGrid w:val="0"/>
                <w:color w:val="000000"/>
                <w:kern w:val="21"/>
                <w:szCs w:val="21"/>
              </w:rPr>
            </w:pPr>
            <w:r>
              <w:rPr>
                <w:rFonts w:ascii="Times New Roman"/>
                <w:snapToGrid w:val="0"/>
                <w:color w:val="000000"/>
                <w:kern w:val="21"/>
                <w:szCs w:val="21"/>
              </w:rPr>
              <w:t>一般工业</w:t>
            </w:r>
          </w:p>
          <w:p>
            <w:pPr>
              <w:pStyle w:val="60"/>
              <w:spacing w:beforeLines="0" w:afterLines="0" w:line="240" w:lineRule="auto"/>
              <w:rPr>
                <w:rFonts w:ascii="Times New Roman"/>
                <w:snapToGrid w:val="0"/>
                <w:color w:val="000000"/>
                <w:kern w:val="21"/>
                <w:szCs w:val="21"/>
              </w:rPr>
            </w:pPr>
            <w:r>
              <w:rPr>
                <w:rFonts w:ascii="Times New Roman"/>
                <w:snapToGrid w:val="0"/>
                <w:color w:val="000000"/>
                <w:kern w:val="21"/>
                <w:szCs w:val="21"/>
              </w:rPr>
              <w:t>固体废物</w:t>
            </w:r>
          </w:p>
        </w:tc>
        <w:tc>
          <w:tcPr>
            <w:tcW w:w="1417" w:type="dxa"/>
            <w:vAlign w:val="center"/>
          </w:tcPr>
          <w:p>
            <w:pPr>
              <w:pStyle w:val="60"/>
              <w:spacing w:beforeLines="0" w:afterLines="0" w:line="240" w:lineRule="auto"/>
              <w:rPr>
                <w:rFonts w:ascii="Times New Roman"/>
                <w:snapToGrid w:val="0"/>
                <w:color w:val="000000"/>
                <w:kern w:val="21"/>
                <w:szCs w:val="21"/>
              </w:rPr>
            </w:pPr>
          </w:p>
        </w:tc>
        <w:tc>
          <w:tcPr>
            <w:tcW w:w="1701" w:type="dxa"/>
            <w:vAlign w:val="center"/>
          </w:tcPr>
          <w:p>
            <w:pPr>
              <w:pStyle w:val="60"/>
              <w:spacing w:beforeLines="0" w:afterLines="0" w:line="240" w:lineRule="auto"/>
              <w:rPr>
                <w:rFonts w:ascii="Times New Roman"/>
                <w:snapToGrid w:val="0"/>
                <w:color w:val="000000"/>
                <w:kern w:val="21"/>
                <w:szCs w:val="21"/>
              </w:rPr>
            </w:pPr>
          </w:p>
        </w:tc>
        <w:tc>
          <w:tcPr>
            <w:tcW w:w="1276" w:type="dxa"/>
            <w:vAlign w:val="center"/>
          </w:tcPr>
          <w:p>
            <w:pPr>
              <w:pStyle w:val="60"/>
              <w:spacing w:beforeLines="0" w:afterLines="0" w:line="240" w:lineRule="auto"/>
              <w:rPr>
                <w:rFonts w:ascii="Times New Roman"/>
                <w:snapToGrid w:val="0"/>
                <w:color w:val="000000"/>
                <w:kern w:val="21"/>
                <w:szCs w:val="21"/>
              </w:rPr>
            </w:pPr>
          </w:p>
        </w:tc>
        <w:tc>
          <w:tcPr>
            <w:tcW w:w="1701" w:type="dxa"/>
            <w:vAlign w:val="center"/>
          </w:tcPr>
          <w:p>
            <w:pPr>
              <w:pStyle w:val="60"/>
              <w:spacing w:beforeLines="0" w:afterLines="0" w:line="240" w:lineRule="auto"/>
              <w:rPr>
                <w:rFonts w:ascii="Times New Roman"/>
                <w:snapToGrid w:val="0"/>
                <w:color w:val="000000"/>
                <w:kern w:val="21"/>
                <w:szCs w:val="21"/>
              </w:rPr>
            </w:pPr>
          </w:p>
        </w:tc>
        <w:tc>
          <w:tcPr>
            <w:tcW w:w="1559" w:type="dxa"/>
            <w:vAlign w:val="center"/>
          </w:tcPr>
          <w:p>
            <w:pPr>
              <w:pStyle w:val="60"/>
              <w:spacing w:beforeLines="0" w:afterLines="0" w:line="240" w:lineRule="auto"/>
              <w:rPr>
                <w:rFonts w:ascii="Times New Roman"/>
                <w:snapToGrid w:val="0"/>
                <w:color w:val="000000"/>
                <w:kern w:val="21"/>
                <w:szCs w:val="21"/>
              </w:rPr>
            </w:pPr>
          </w:p>
        </w:tc>
        <w:tc>
          <w:tcPr>
            <w:tcW w:w="1761" w:type="dxa"/>
            <w:vAlign w:val="center"/>
          </w:tcPr>
          <w:p>
            <w:pPr>
              <w:pStyle w:val="60"/>
              <w:spacing w:beforeLines="0" w:afterLines="0" w:line="240" w:lineRule="auto"/>
              <w:rPr>
                <w:rFonts w:ascii="Times New Roman"/>
                <w:snapToGrid w:val="0"/>
                <w:color w:val="000000"/>
                <w:kern w:val="21"/>
                <w:szCs w:val="21"/>
              </w:rPr>
            </w:pPr>
          </w:p>
        </w:tc>
        <w:tc>
          <w:tcPr>
            <w:tcW w:w="1959" w:type="dxa"/>
            <w:vAlign w:val="center"/>
          </w:tcPr>
          <w:p>
            <w:pPr>
              <w:pStyle w:val="60"/>
              <w:spacing w:beforeLines="0" w:afterLines="0" w:line="240" w:lineRule="auto"/>
              <w:rPr>
                <w:rFonts w:ascii="Times New Roman"/>
                <w:snapToGrid w:val="0"/>
                <w:color w:val="000000"/>
                <w:kern w:val="21"/>
                <w:szCs w:val="21"/>
              </w:rPr>
            </w:pPr>
          </w:p>
        </w:tc>
        <w:tc>
          <w:tcPr>
            <w:tcW w:w="826" w:type="dxa"/>
            <w:vAlign w:val="center"/>
          </w:tcPr>
          <w:p>
            <w:pPr>
              <w:pStyle w:val="60"/>
              <w:spacing w:beforeLines="0" w:afterLines="0" w:line="240" w:lineRule="auto"/>
              <w:rPr>
                <w:rFonts w:ascii="Times New Roman"/>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restart"/>
            <w:vAlign w:val="center"/>
          </w:tcPr>
          <w:p>
            <w:pPr>
              <w:pStyle w:val="60"/>
              <w:spacing w:beforeLines="0" w:afterLines="0" w:line="240" w:lineRule="auto"/>
              <w:rPr>
                <w:rFonts w:ascii="Times New Roman"/>
                <w:snapToGrid w:val="0"/>
                <w:color w:val="000000"/>
                <w:kern w:val="21"/>
                <w:szCs w:val="21"/>
              </w:rPr>
            </w:pPr>
            <w:r>
              <w:rPr>
                <w:rFonts w:ascii="Times New Roman"/>
                <w:snapToGrid w:val="0"/>
                <w:color w:val="000000"/>
                <w:kern w:val="21"/>
                <w:szCs w:val="21"/>
              </w:rPr>
              <w:t>危险废物</w:t>
            </w:r>
          </w:p>
        </w:tc>
        <w:tc>
          <w:tcPr>
            <w:tcW w:w="1417" w:type="dxa"/>
            <w:vAlign w:val="center"/>
          </w:tcPr>
          <w:p>
            <w:pPr>
              <w:pStyle w:val="60"/>
              <w:spacing w:beforeLines="0" w:afterLines="0" w:line="240" w:lineRule="auto"/>
              <w:rPr>
                <w:rFonts w:ascii="Times New Roman"/>
                <w:snapToGrid w:val="0"/>
                <w:color w:val="000000"/>
                <w:kern w:val="21"/>
                <w:szCs w:val="21"/>
              </w:rPr>
            </w:pPr>
            <w:r>
              <w:rPr>
                <w:rFonts w:ascii="Times New Roman"/>
                <w:snapToGrid w:val="0"/>
                <w:color w:val="000000"/>
                <w:kern w:val="21"/>
                <w:szCs w:val="21"/>
              </w:rPr>
              <w:t>废活性炭</w:t>
            </w:r>
          </w:p>
        </w:tc>
        <w:tc>
          <w:tcPr>
            <w:tcW w:w="1701" w:type="dxa"/>
            <w:vAlign w:val="center"/>
          </w:tcPr>
          <w:p>
            <w:pPr>
              <w:pStyle w:val="60"/>
              <w:spacing w:beforeLines="0" w:afterLines="0" w:line="240" w:lineRule="auto"/>
              <w:rPr>
                <w:rFonts w:ascii="Times New Roman"/>
                <w:snapToGrid w:val="0"/>
                <w:color w:val="000000"/>
                <w:kern w:val="21"/>
                <w:szCs w:val="21"/>
              </w:rPr>
            </w:pPr>
          </w:p>
        </w:tc>
        <w:tc>
          <w:tcPr>
            <w:tcW w:w="1276" w:type="dxa"/>
            <w:vAlign w:val="center"/>
          </w:tcPr>
          <w:p>
            <w:pPr>
              <w:pStyle w:val="60"/>
              <w:spacing w:beforeLines="0" w:afterLines="0" w:line="240" w:lineRule="auto"/>
              <w:rPr>
                <w:rFonts w:ascii="Times New Roman"/>
                <w:snapToGrid w:val="0"/>
                <w:color w:val="000000"/>
                <w:kern w:val="21"/>
                <w:szCs w:val="21"/>
              </w:rPr>
            </w:pPr>
          </w:p>
        </w:tc>
        <w:tc>
          <w:tcPr>
            <w:tcW w:w="1701" w:type="dxa"/>
            <w:vAlign w:val="center"/>
          </w:tcPr>
          <w:p>
            <w:pPr>
              <w:pStyle w:val="60"/>
              <w:spacing w:beforeLines="0" w:afterLines="0" w:line="240" w:lineRule="auto"/>
              <w:rPr>
                <w:rFonts w:ascii="Times New Roman"/>
                <w:snapToGrid w:val="0"/>
                <w:color w:val="000000"/>
                <w:kern w:val="21"/>
                <w:szCs w:val="21"/>
              </w:rPr>
            </w:pPr>
          </w:p>
        </w:tc>
        <w:tc>
          <w:tcPr>
            <w:tcW w:w="1559" w:type="dxa"/>
            <w:vAlign w:val="center"/>
          </w:tcPr>
          <w:p>
            <w:pPr>
              <w:pStyle w:val="60"/>
              <w:spacing w:beforeLines="0" w:afterLines="0" w:line="240" w:lineRule="auto"/>
              <w:rPr>
                <w:rFonts w:ascii="Times New Roman"/>
                <w:snapToGrid w:val="0"/>
                <w:color w:val="000000"/>
                <w:kern w:val="21"/>
                <w:szCs w:val="21"/>
              </w:rPr>
            </w:pPr>
            <w:r>
              <w:rPr>
                <w:rFonts w:ascii="Times New Roman"/>
                <w:snapToGrid w:val="0"/>
                <w:color w:val="000000"/>
                <w:kern w:val="21"/>
                <w:szCs w:val="21"/>
              </w:rPr>
              <w:t>2t/a</w:t>
            </w:r>
          </w:p>
        </w:tc>
        <w:tc>
          <w:tcPr>
            <w:tcW w:w="1761" w:type="dxa"/>
            <w:vAlign w:val="center"/>
          </w:tcPr>
          <w:p>
            <w:pPr>
              <w:pStyle w:val="60"/>
              <w:spacing w:beforeLines="0" w:afterLines="0" w:line="240" w:lineRule="auto"/>
              <w:rPr>
                <w:rFonts w:ascii="Times New Roman"/>
                <w:snapToGrid w:val="0"/>
                <w:color w:val="000000"/>
                <w:kern w:val="21"/>
                <w:szCs w:val="21"/>
              </w:rPr>
            </w:pPr>
          </w:p>
        </w:tc>
        <w:tc>
          <w:tcPr>
            <w:tcW w:w="1959" w:type="dxa"/>
            <w:vAlign w:val="center"/>
          </w:tcPr>
          <w:p>
            <w:pPr>
              <w:pStyle w:val="60"/>
              <w:spacing w:beforeLines="0" w:afterLines="0" w:line="240" w:lineRule="auto"/>
              <w:rPr>
                <w:rFonts w:ascii="Times New Roman"/>
                <w:snapToGrid w:val="0"/>
                <w:color w:val="000000"/>
                <w:kern w:val="21"/>
                <w:szCs w:val="21"/>
              </w:rPr>
            </w:pPr>
            <w:r>
              <w:rPr>
                <w:rFonts w:ascii="Times New Roman"/>
                <w:snapToGrid w:val="0"/>
                <w:color w:val="000000"/>
                <w:kern w:val="21"/>
                <w:szCs w:val="21"/>
              </w:rPr>
              <w:t>2t/a</w:t>
            </w:r>
          </w:p>
        </w:tc>
        <w:tc>
          <w:tcPr>
            <w:tcW w:w="826" w:type="dxa"/>
            <w:vAlign w:val="center"/>
          </w:tcPr>
          <w:p>
            <w:pPr>
              <w:pStyle w:val="60"/>
              <w:spacing w:beforeLines="0" w:afterLines="0" w:line="240" w:lineRule="auto"/>
              <w:rPr>
                <w:rFonts w:ascii="Times New Roman"/>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1" w:hRule="atLeast"/>
        </w:trPr>
        <w:tc>
          <w:tcPr>
            <w:tcW w:w="1588" w:type="dxa"/>
            <w:vMerge w:val="continue"/>
            <w:vAlign w:val="center"/>
          </w:tcPr>
          <w:p>
            <w:pPr>
              <w:pStyle w:val="60"/>
              <w:spacing w:beforeLines="0" w:afterLines="0" w:line="240" w:lineRule="auto"/>
              <w:rPr>
                <w:rFonts w:ascii="Times New Roman"/>
                <w:snapToGrid w:val="0"/>
                <w:color w:val="000000"/>
                <w:kern w:val="21"/>
                <w:szCs w:val="21"/>
              </w:rPr>
            </w:pPr>
          </w:p>
        </w:tc>
        <w:tc>
          <w:tcPr>
            <w:tcW w:w="1417" w:type="dxa"/>
            <w:vAlign w:val="center"/>
          </w:tcPr>
          <w:p>
            <w:pPr>
              <w:pStyle w:val="60"/>
              <w:spacing w:beforeLines="0" w:afterLines="0" w:line="240" w:lineRule="auto"/>
              <w:rPr>
                <w:rFonts w:ascii="Times New Roman"/>
                <w:snapToGrid w:val="0"/>
                <w:color w:val="000000"/>
                <w:kern w:val="21"/>
                <w:szCs w:val="21"/>
              </w:rPr>
            </w:pPr>
            <w:r>
              <w:rPr>
                <w:rFonts w:ascii="Times New Roman"/>
                <w:snapToGrid w:val="0"/>
                <w:color w:val="000000"/>
                <w:kern w:val="21"/>
                <w:szCs w:val="21"/>
              </w:rPr>
              <w:t>隔油池废油</w:t>
            </w:r>
          </w:p>
        </w:tc>
        <w:tc>
          <w:tcPr>
            <w:tcW w:w="1701" w:type="dxa"/>
            <w:vAlign w:val="center"/>
          </w:tcPr>
          <w:p>
            <w:pPr>
              <w:pStyle w:val="60"/>
              <w:spacing w:beforeLines="0" w:afterLines="0" w:line="240" w:lineRule="auto"/>
              <w:rPr>
                <w:rFonts w:ascii="Times New Roman"/>
                <w:snapToGrid w:val="0"/>
                <w:color w:val="000000"/>
                <w:kern w:val="21"/>
                <w:szCs w:val="21"/>
              </w:rPr>
            </w:pPr>
          </w:p>
        </w:tc>
        <w:tc>
          <w:tcPr>
            <w:tcW w:w="1276" w:type="dxa"/>
            <w:vAlign w:val="center"/>
          </w:tcPr>
          <w:p>
            <w:pPr>
              <w:pStyle w:val="60"/>
              <w:spacing w:beforeLines="0" w:afterLines="0" w:line="240" w:lineRule="auto"/>
              <w:rPr>
                <w:rFonts w:ascii="Times New Roman"/>
                <w:snapToGrid w:val="0"/>
                <w:color w:val="000000"/>
                <w:kern w:val="21"/>
                <w:szCs w:val="21"/>
              </w:rPr>
            </w:pPr>
          </w:p>
        </w:tc>
        <w:tc>
          <w:tcPr>
            <w:tcW w:w="1701" w:type="dxa"/>
            <w:vAlign w:val="center"/>
          </w:tcPr>
          <w:p>
            <w:pPr>
              <w:pStyle w:val="60"/>
              <w:spacing w:beforeLines="0" w:afterLines="0" w:line="240" w:lineRule="auto"/>
              <w:rPr>
                <w:rFonts w:ascii="Times New Roman"/>
                <w:snapToGrid w:val="0"/>
                <w:color w:val="000000"/>
                <w:kern w:val="21"/>
                <w:szCs w:val="21"/>
              </w:rPr>
            </w:pPr>
          </w:p>
        </w:tc>
        <w:tc>
          <w:tcPr>
            <w:tcW w:w="1559" w:type="dxa"/>
            <w:vAlign w:val="center"/>
          </w:tcPr>
          <w:p>
            <w:pPr>
              <w:pStyle w:val="60"/>
              <w:spacing w:beforeLines="0" w:afterLines="0" w:line="240" w:lineRule="auto"/>
              <w:rPr>
                <w:rFonts w:ascii="Times New Roman"/>
                <w:snapToGrid w:val="0"/>
                <w:color w:val="000000"/>
                <w:kern w:val="21"/>
                <w:szCs w:val="21"/>
              </w:rPr>
            </w:pPr>
            <w:r>
              <w:rPr>
                <w:rFonts w:ascii="Times New Roman"/>
                <w:snapToGrid w:val="0"/>
                <w:color w:val="000000"/>
                <w:kern w:val="21"/>
                <w:szCs w:val="21"/>
              </w:rPr>
              <w:t>0.96t/a</w:t>
            </w:r>
          </w:p>
        </w:tc>
        <w:tc>
          <w:tcPr>
            <w:tcW w:w="1761" w:type="dxa"/>
            <w:vAlign w:val="center"/>
          </w:tcPr>
          <w:p>
            <w:pPr>
              <w:pStyle w:val="60"/>
              <w:spacing w:beforeLines="0" w:afterLines="0" w:line="240" w:lineRule="auto"/>
              <w:rPr>
                <w:rFonts w:ascii="Times New Roman"/>
                <w:snapToGrid w:val="0"/>
                <w:color w:val="000000"/>
                <w:kern w:val="21"/>
                <w:szCs w:val="21"/>
              </w:rPr>
            </w:pPr>
          </w:p>
        </w:tc>
        <w:tc>
          <w:tcPr>
            <w:tcW w:w="1959" w:type="dxa"/>
            <w:vAlign w:val="center"/>
          </w:tcPr>
          <w:p>
            <w:pPr>
              <w:pStyle w:val="60"/>
              <w:spacing w:beforeLines="0" w:afterLines="0" w:line="240" w:lineRule="auto"/>
              <w:rPr>
                <w:rFonts w:ascii="Times New Roman"/>
                <w:snapToGrid w:val="0"/>
                <w:color w:val="000000"/>
                <w:kern w:val="21"/>
                <w:szCs w:val="21"/>
              </w:rPr>
            </w:pPr>
            <w:r>
              <w:rPr>
                <w:rFonts w:ascii="Times New Roman"/>
                <w:snapToGrid w:val="0"/>
                <w:color w:val="000000"/>
                <w:kern w:val="21"/>
                <w:szCs w:val="21"/>
              </w:rPr>
              <w:t>0.96t/a</w:t>
            </w:r>
          </w:p>
        </w:tc>
        <w:tc>
          <w:tcPr>
            <w:tcW w:w="826" w:type="dxa"/>
            <w:vAlign w:val="center"/>
          </w:tcPr>
          <w:p>
            <w:pPr>
              <w:pStyle w:val="60"/>
              <w:spacing w:beforeLines="0" w:afterLines="0" w:line="240" w:lineRule="auto"/>
              <w:rPr>
                <w:rFonts w:ascii="Times New Roman"/>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4" w:hRule="atLeast"/>
        </w:trPr>
        <w:tc>
          <w:tcPr>
            <w:tcW w:w="1588" w:type="dxa"/>
            <w:vMerge w:val="continue"/>
            <w:vAlign w:val="center"/>
          </w:tcPr>
          <w:p>
            <w:pPr>
              <w:pStyle w:val="60"/>
              <w:spacing w:beforeLines="0" w:afterLines="0" w:line="240" w:lineRule="auto"/>
              <w:rPr>
                <w:rFonts w:ascii="Times New Roman"/>
                <w:snapToGrid w:val="0"/>
                <w:color w:val="000000"/>
                <w:kern w:val="21"/>
                <w:szCs w:val="21"/>
              </w:rPr>
            </w:pPr>
          </w:p>
        </w:tc>
        <w:tc>
          <w:tcPr>
            <w:tcW w:w="1417" w:type="dxa"/>
            <w:vAlign w:val="center"/>
          </w:tcPr>
          <w:p>
            <w:pPr>
              <w:pStyle w:val="60"/>
              <w:spacing w:before="24" w:after="24" w:line="240" w:lineRule="auto"/>
              <w:rPr>
                <w:rFonts w:ascii="Times New Roman"/>
                <w:snapToGrid w:val="0"/>
                <w:color w:val="000000"/>
                <w:kern w:val="21"/>
                <w:szCs w:val="21"/>
              </w:rPr>
            </w:pPr>
            <w:r>
              <w:rPr>
                <w:rFonts w:ascii="Times New Roman"/>
                <w:snapToGrid w:val="0"/>
                <w:color w:val="000000"/>
                <w:kern w:val="21"/>
                <w:szCs w:val="21"/>
              </w:rPr>
              <w:t>废机油</w:t>
            </w:r>
          </w:p>
        </w:tc>
        <w:tc>
          <w:tcPr>
            <w:tcW w:w="1701" w:type="dxa"/>
            <w:vAlign w:val="center"/>
          </w:tcPr>
          <w:p>
            <w:pPr>
              <w:pStyle w:val="60"/>
              <w:spacing w:beforeLines="0" w:afterLines="0" w:line="240" w:lineRule="auto"/>
              <w:rPr>
                <w:rFonts w:ascii="Times New Roman"/>
                <w:snapToGrid w:val="0"/>
                <w:color w:val="000000"/>
                <w:kern w:val="21"/>
                <w:szCs w:val="21"/>
              </w:rPr>
            </w:pPr>
          </w:p>
        </w:tc>
        <w:tc>
          <w:tcPr>
            <w:tcW w:w="1276" w:type="dxa"/>
            <w:vAlign w:val="center"/>
          </w:tcPr>
          <w:p>
            <w:pPr>
              <w:pStyle w:val="60"/>
              <w:spacing w:beforeLines="0" w:afterLines="0" w:line="240" w:lineRule="auto"/>
              <w:rPr>
                <w:rFonts w:ascii="Times New Roman"/>
                <w:snapToGrid w:val="0"/>
                <w:color w:val="000000"/>
                <w:kern w:val="21"/>
                <w:szCs w:val="21"/>
              </w:rPr>
            </w:pPr>
          </w:p>
        </w:tc>
        <w:tc>
          <w:tcPr>
            <w:tcW w:w="1701" w:type="dxa"/>
            <w:vAlign w:val="center"/>
          </w:tcPr>
          <w:p>
            <w:pPr>
              <w:pStyle w:val="60"/>
              <w:spacing w:beforeLines="0" w:afterLines="0" w:line="240" w:lineRule="auto"/>
              <w:rPr>
                <w:rFonts w:ascii="Times New Roman"/>
                <w:snapToGrid w:val="0"/>
                <w:color w:val="000000"/>
                <w:kern w:val="21"/>
                <w:szCs w:val="21"/>
              </w:rPr>
            </w:pPr>
          </w:p>
        </w:tc>
        <w:tc>
          <w:tcPr>
            <w:tcW w:w="1559" w:type="dxa"/>
            <w:vAlign w:val="center"/>
          </w:tcPr>
          <w:p>
            <w:pPr>
              <w:pStyle w:val="60"/>
              <w:spacing w:before="24" w:after="24" w:line="240" w:lineRule="auto"/>
              <w:rPr>
                <w:rFonts w:ascii="Times New Roman"/>
                <w:snapToGrid w:val="0"/>
                <w:color w:val="000000"/>
                <w:kern w:val="21"/>
                <w:szCs w:val="21"/>
              </w:rPr>
            </w:pPr>
            <w:r>
              <w:rPr>
                <w:rFonts w:hint="eastAsia" w:ascii="Times New Roman"/>
                <w:snapToGrid w:val="0"/>
                <w:color w:val="000000"/>
                <w:kern w:val="21"/>
                <w:szCs w:val="21"/>
              </w:rPr>
              <w:t>0</w:t>
            </w:r>
            <w:r>
              <w:rPr>
                <w:rFonts w:ascii="Times New Roman"/>
                <w:snapToGrid w:val="0"/>
                <w:color w:val="000000"/>
                <w:kern w:val="21"/>
                <w:szCs w:val="21"/>
              </w:rPr>
              <w:t>.05t/a</w:t>
            </w:r>
          </w:p>
        </w:tc>
        <w:tc>
          <w:tcPr>
            <w:tcW w:w="1761" w:type="dxa"/>
            <w:vAlign w:val="center"/>
          </w:tcPr>
          <w:p>
            <w:pPr>
              <w:pStyle w:val="60"/>
              <w:spacing w:beforeLines="0" w:afterLines="0" w:line="240" w:lineRule="auto"/>
              <w:rPr>
                <w:rFonts w:ascii="Times New Roman"/>
                <w:snapToGrid w:val="0"/>
                <w:color w:val="000000"/>
                <w:kern w:val="21"/>
                <w:szCs w:val="21"/>
              </w:rPr>
            </w:pPr>
          </w:p>
        </w:tc>
        <w:tc>
          <w:tcPr>
            <w:tcW w:w="1959" w:type="dxa"/>
            <w:vAlign w:val="center"/>
          </w:tcPr>
          <w:p>
            <w:pPr>
              <w:pStyle w:val="60"/>
              <w:spacing w:before="24" w:after="24" w:line="240" w:lineRule="auto"/>
              <w:rPr>
                <w:rFonts w:ascii="Times New Roman"/>
                <w:snapToGrid w:val="0"/>
                <w:color w:val="000000"/>
                <w:kern w:val="21"/>
                <w:szCs w:val="21"/>
              </w:rPr>
            </w:pPr>
            <w:r>
              <w:rPr>
                <w:rFonts w:hint="eastAsia" w:ascii="Times New Roman"/>
                <w:snapToGrid w:val="0"/>
                <w:color w:val="000000"/>
                <w:kern w:val="21"/>
                <w:szCs w:val="21"/>
              </w:rPr>
              <w:t>0</w:t>
            </w:r>
            <w:r>
              <w:rPr>
                <w:rFonts w:ascii="Times New Roman"/>
                <w:snapToGrid w:val="0"/>
                <w:color w:val="000000"/>
                <w:kern w:val="21"/>
                <w:szCs w:val="21"/>
              </w:rPr>
              <w:t>.05t/a</w:t>
            </w:r>
          </w:p>
        </w:tc>
        <w:tc>
          <w:tcPr>
            <w:tcW w:w="826" w:type="dxa"/>
            <w:vAlign w:val="center"/>
          </w:tcPr>
          <w:p>
            <w:pPr>
              <w:pStyle w:val="60"/>
              <w:spacing w:beforeLines="0" w:afterLines="0" w:line="240" w:lineRule="auto"/>
              <w:rPr>
                <w:rFonts w:ascii="Times New Roman"/>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3" w:hRule="atLeast"/>
        </w:trPr>
        <w:tc>
          <w:tcPr>
            <w:tcW w:w="1588" w:type="dxa"/>
            <w:vMerge w:val="continue"/>
            <w:vAlign w:val="center"/>
          </w:tcPr>
          <w:p>
            <w:pPr>
              <w:pStyle w:val="60"/>
              <w:spacing w:beforeLines="0" w:afterLines="0" w:line="240" w:lineRule="auto"/>
              <w:rPr>
                <w:rFonts w:ascii="Times New Roman"/>
                <w:snapToGrid w:val="0"/>
                <w:color w:val="000000"/>
                <w:kern w:val="21"/>
                <w:szCs w:val="21"/>
              </w:rPr>
            </w:pPr>
          </w:p>
        </w:tc>
        <w:tc>
          <w:tcPr>
            <w:tcW w:w="1417" w:type="dxa"/>
            <w:vAlign w:val="center"/>
          </w:tcPr>
          <w:p>
            <w:pPr>
              <w:pStyle w:val="60"/>
              <w:spacing w:before="24" w:after="24" w:line="240" w:lineRule="auto"/>
              <w:rPr>
                <w:rFonts w:ascii="Times New Roman"/>
                <w:snapToGrid w:val="0"/>
                <w:color w:val="000000"/>
                <w:kern w:val="21"/>
                <w:szCs w:val="21"/>
              </w:rPr>
            </w:pPr>
            <w:r>
              <w:rPr>
                <w:rFonts w:ascii="Times New Roman"/>
                <w:snapToGrid w:val="0"/>
                <w:color w:val="000000"/>
                <w:kern w:val="21"/>
                <w:szCs w:val="21"/>
              </w:rPr>
              <w:t>打磨废料</w:t>
            </w:r>
          </w:p>
        </w:tc>
        <w:tc>
          <w:tcPr>
            <w:tcW w:w="1701" w:type="dxa"/>
            <w:vAlign w:val="center"/>
          </w:tcPr>
          <w:p>
            <w:pPr>
              <w:pStyle w:val="60"/>
              <w:spacing w:beforeLines="0" w:afterLines="0" w:line="240" w:lineRule="auto"/>
              <w:rPr>
                <w:rFonts w:ascii="Times New Roman"/>
                <w:snapToGrid w:val="0"/>
                <w:color w:val="000000"/>
                <w:kern w:val="21"/>
                <w:szCs w:val="21"/>
              </w:rPr>
            </w:pPr>
          </w:p>
        </w:tc>
        <w:tc>
          <w:tcPr>
            <w:tcW w:w="1276" w:type="dxa"/>
            <w:vAlign w:val="center"/>
          </w:tcPr>
          <w:p>
            <w:pPr>
              <w:pStyle w:val="60"/>
              <w:spacing w:beforeLines="0" w:afterLines="0" w:line="240" w:lineRule="auto"/>
              <w:rPr>
                <w:rFonts w:ascii="Times New Roman"/>
                <w:snapToGrid w:val="0"/>
                <w:color w:val="000000"/>
                <w:kern w:val="21"/>
                <w:szCs w:val="21"/>
              </w:rPr>
            </w:pPr>
          </w:p>
        </w:tc>
        <w:tc>
          <w:tcPr>
            <w:tcW w:w="1701" w:type="dxa"/>
            <w:vAlign w:val="center"/>
          </w:tcPr>
          <w:p>
            <w:pPr>
              <w:pStyle w:val="60"/>
              <w:spacing w:beforeLines="0" w:afterLines="0" w:line="240" w:lineRule="auto"/>
              <w:rPr>
                <w:rFonts w:ascii="Times New Roman"/>
                <w:snapToGrid w:val="0"/>
                <w:color w:val="000000"/>
                <w:kern w:val="21"/>
                <w:szCs w:val="21"/>
              </w:rPr>
            </w:pPr>
          </w:p>
        </w:tc>
        <w:tc>
          <w:tcPr>
            <w:tcW w:w="1559" w:type="dxa"/>
            <w:vAlign w:val="center"/>
          </w:tcPr>
          <w:p>
            <w:pPr>
              <w:pStyle w:val="60"/>
              <w:spacing w:before="24" w:after="24" w:line="240" w:lineRule="auto"/>
              <w:rPr>
                <w:rFonts w:ascii="Times New Roman"/>
                <w:snapToGrid w:val="0"/>
                <w:color w:val="000000"/>
                <w:kern w:val="21"/>
                <w:szCs w:val="21"/>
              </w:rPr>
            </w:pPr>
            <w:r>
              <w:rPr>
                <w:rFonts w:hint="eastAsia" w:ascii="Times New Roman"/>
                <w:snapToGrid w:val="0"/>
                <w:color w:val="000000"/>
                <w:kern w:val="21"/>
                <w:szCs w:val="21"/>
              </w:rPr>
              <w:t>0</w:t>
            </w:r>
            <w:r>
              <w:rPr>
                <w:rFonts w:ascii="Times New Roman"/>
                <w:snapToGrid w:val="0"/>
                <w:color w:val="000000"/>
                <w:kern w:val="21"/>
                <w:szCs w:val="21"/>
              </w:rPr>
              <w:t>.32t/a</w:t>
            </w:r>
          </w:p>
        </w:tc>
        <w:tc>
          <w:tcPr>
            <w:tcW w:w="1761" w:type="dxa"/>
            <w:vAlign w:val="center"/>
          </w:tcPr>
          <w:p>
            <w:pPr>
              <w:pStyle w:val="60"/>
              <w:spacing w:beforeLines="0" w:afterLines="0" w:line="240" w:lineRule="auto"/>
              <w:rPr>
                <w:rFonts w:ascii="Times New Roman"/>
                <w:snapToGrid w:val="0"/>
                <w:color w:val="000000"/>
                <w:kern w:val="21"/>
                <w:szCs w:val="21"/>
              </w:rPr>
            </w:pPr>
          </w:p>
        </w:tc>
        <w:tc>
          <w:tcPr>
            <w:tcW w:w="1959" w:type="dxa"/>
            <w:vAlign w:val="center"/>
          </w:tcPr>
          <w:p>
            <w:pPr>
              <w:pStyle w:val="60"/>
              <w:spacing w:before="24" w:after="24" w:line="240" w:lineRule="auto"/>
              <w:rPr>
                <w:rFonts w:ascii="Times New Roman"/>
                <w:snapToGrid w:val="0"/>
                <w:color w:val="000000"/>
                <w:kern w:val="21"/>
                <w:szCs w:val="21"/>
              </w:rPr>
            </w:pPr>
            <w:r>
              <w:rPr>
                <w:rFonts w:hint="eastAsia" w:ascii="Times New Roman"/>
                <w:snapToGrid w:val="0"/>
                <w:color w:val="000000"/>
                <w:kern w:val="21"/>
                <w:szCs w:val="21"/>
              </w:rPr>
              <w:t>0</w:t>
            </w:r>
            <w:r>
              <w:rPr>
                <w:rFonts w:ascii="Times New Roman"/>
                <w:snapToGrid w:val="0"/>
                <w:color w:val="000000"/>
                <w:kern w:val="21"/>
                <w:szCs w:val="21"/>
              </w:rPr>
              <w:t>.32t/a</w:t>
            </w:r>
          </w:p>
        </w:tc>
        <w:tc>
          <w:tcPr>
            <w:tcW w:w="826" w:type="dxa"/>
            <w:vAlign w:val="center"/>
          </w:tcPr>
          <w:p>
            <w:pPr>
              <w:pStyle w:val="60"/>
              <w:spacing w:beforeLines="0" w:afterLines="0" w:line="240" w:lineRule="auto"/>
              <w:rPr>
                <w:rFonts w:ascii="Times New Roman"/>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4" w:hRule="atLeast"/>
        </w:trPr>
        <w:tc>
          <w:tcPr>
            <w:tcW w:w="1588" w:type="dxa"/>
            <w:vMerge w:val="continue"/>
            <w:vAlign w:val="center"/>
          </w:tcPr>
          <w:p>
            <w:pPr>
              <w:pStyle w:val="60"/>
              <w:spacing w:beforeLines="0" w:afterLines="0" w:line="240" w:lineRule="auto"/>
              <w:rPr>
                <w:rFonts w:ascii="Times New Roman"/>
                <w:snapToGrid w:val="0"/>
                <w:color w:val="000000"/>
                <w:kern w:val="21"/>
                <w:szCs w:val="21"/>
              </w:rPr>
            </w:pPr>
          </w:p>
        </w:tc>
        <w:tc>
          <w:tcPr>
            <w:tcW w:w="1417" w:type="dxa"/>
            <w:vAlign w:val="center"/>
          </w:tcPr>
          <w:p>
            <w:pPr>
              <w:pStyle w:val="60"/>
              <w:spacing w:before="24" w:after="24" w:line="240" w:lineRule="auto"/>
              <w:rPr>
                <w:rFonts w:ascii="Times New Roman"/>
                <w:snapToGrid w:val="0"/>
                <w:color w:val="000000"/>
                <w:kern w:val="21"/>
                <w:szCs w:val="21"/>
              </w:rPr>
            </w:pPr>
            <w:r>
              <w:rPr>
                <w:rFonts w:ascii="Times New Roman"/>
                <w:snapToGrid w:val="0"/>
                <w:color w:val="000000"/>
                <w:kern w:val="21"/>
                <w:szCs w:val="21"/>
              </w:rPr>
              <w:t>除锈废液</w:t>
            </w:r>
          </w:p>
        </w:tc>
        <w:tc>
          <w:tcPr>
            <w:tcW w:w="1701" w:type="dxa"/>
            <w:vAlign w:val="center"/>
          </w:tcPr>
          <w:p>
            <w:pPr>
              <w:pStyle w:val="60"/>
              <w:spacing w:beforeLines="0" w:afterLines="0" w:line="240" w:lineRule="auto"/>
              <w:rPr>
                <w:rFonts w:ascii="Times New Roman"/>
                <w:snapToGrid w:val="0"/>
                <w:color w:val="000000"/>
                <w:kern w:val="21"/>
                <w:szCs w:val="21"/>
              </w:rPr>
            </w:pPr>
          </w:p>
        </w:tc>
        <w:tc>
          <w:tcPr>
            <w:tcW w:w="1276" w:type="dxa"/>
            <w:vAlign w:val="center"/>
          </w:tcPr>
          <w:p>
            <w:pPr>
              <w:pStyle w:val="60"/>
              <w:spacing w:beforeLines="0" w:afterLines="0" w:line="240" w:lineRule="auto"/>
              <w:rPr>
                <w:rFonts w:ascii="Times New Roman"/>
                <w:snapToGrid w:val="0"/>
                <w:color w:val="000000"/>
                <w:kern w:val="21"/>
                <w:szCs w:val="21"/>
              </w:rPr>
            </w:pPr>
          </w:p>
        </w:tc>
        <w:tc>
          <w:tcPr>
            <w:tcW w:w="1701" w:type="dxa"/>
            <w:vAlign w:val="center"/>
          </w:tcPr>
          <w:p>
            <w:pPr>
              <w:pStyle w:val="60"/>
              <w:spacing w:beforeLines="0" w:afterLines="0" w:line="240" w:lineRule="auto"/>
              <w:rPr>
                <w:rFonts w:ascii="Times New Roman"/>
                <w:snapToGrid w:val="0"/>
                <w:color w:val="000000"/>
                <w:kern w:val="21"/>
                <w:szCs w:val="21"/>
              </w:rPr>
            </w:pPr>
          </w:p>
        </w:tc>
        <w:tc>
          <w:tcPr>
            <w:tcW w:w="1559" w:type="dxa"/>
            <w:vAlign w:val="center"/>
          </w:tcPr>
          <w:p>
            <w:pPr>
              <w:pStyle w:val="60"/>
              <w:spacing w:before="24" w:after="24" w:line="240" w:lineRule="auto"/>
              <w:rPr>
                <w:rFonts w:ascii="Times New Roman"/>
                <w:snapToGrid w:val="0"/>
                <w:color w:val="000000"/>
                <w:kern w:val="21"/>
                <w:szCs w:val="21"/>
              </w:rPr>
            </w:pPr>
            <w:r>
              <w:rPr>
                <w:rFonts w:hint="eastAsia" w:ascii="Times New Roman"/>
                <w:snapToGrid w:val="0"/>
                <w:color w:val="000000"/>
                <w:kern w:val="21"/>
                <w:szCs w:val="21"/>
              </w:rPr>
              <w:t>1t</w:t>
            </w:r>
            <w:r>
              <w:rPr>
                <w:rFonts w:ascii="Times New Roman"/>
                <w:snapToGrid w:val="0"/>
                <w:color w:val="000000"/>
                <w:kern w:val="21"/>
                <w:szCs w:val="21"/>
              </w:rPr>
              <w:t>/a</w:t>
            </w:r>
          </w:p>
        </w:tc>
        <w:tc>
          <w:tcPr>
            <w:tcW w:w="1761" w:type="dxa"/>
            <w:vAlign w:val="center"/>
          </w:tcPr>
          <w:p>
            <w:pPr>
              <w:pStyle w:val="60"/>
              <w:spacing w:beforeLines="0" w:afterLines="0" w:line="240" w:lineRule="auto"/>
              <w:rPr>
                <w:rFonts w:ascii="Times New Roman"/>
                <w:snapToGrid w:val="0"/>
                <w:color w:val="000000"/>
                <w:kern w:val="21"/>
                <w:szCs w:val="21"/>
              </w:rPr>
            </w:pPr>
          </w:p>
        </w:tc>
        <w:tc>
          <w:tcPr>
            <w:tcW w:w="1959" w:type="dxa"/>
            <w:vAlign w:val="center"/>
          </w:tcPr>
          <w:p>
            <w:pPr>
              <w:pStyle w:val="60"/>
              <w:spacing w:before="24" w:after="24" w:line="240" w:lineRule="auto"/>
              <w:rPr>
                <w:rFonts w:ascii="Times New Roman"/>
                <w:snapToGrid w:val="0"/>
                <w:color w:val="000000"/>
                <w:kern w:val="21"/>
                <w:szCs w:val="21"/>
              </w:rPr>
            </w:pPr>
            <w:r>
              <w:rPr>
                <w:rFonts w:hint="eastAsia" w:ascii="Times New Roman"/>
                <w:snapToGrid w:val="0"/>
                <w:color w:val="000000"/>
                <w:kern w:val="21"/>
                <w:szCs w:val="21"/>
              </w:rPr>
              <w:t>1t</w:t>
            </w:r>
            <w:r>
              <w:rPr>
                <w:rFonts w:ascii="Times New Roman"/>
                <w:snapToGrid w:val="0"/>
                <w:color w:val="000000"/>
                <w:kern w:val="21"/>
                <w:szCs w:val="21"/>
              </w:rPr>
              <w:t>/a</w:t>
            </w:r>
          </w:p>
        </w:tc>
        <w:tc>
          <w:tcPr>
            <w:tcW w:w="826" w:type="dxa"/>
            <w:vAlign w:val="center"/>
          </w:tcPr>
          <w:p>
            <w:pPr>
              <w:pStyle w:val="60"/>
              <w:spacing w:beforeLines="0" w:afterLines="0" w:line="240" w:lineRule="auto"/>
              <w:rPr>
                <w:rFonts w:ascii="Times New Roman"/>
                <w:snapToGrid w:val="0"/>
                <w:color w:val="000000"/>
                <w:kern w:val="21"/>
                <w:szCs w:val="21"/>
              </w:rPr>
            </w:pPr>
          </w:p>
        </w:tc>
      </w:tr>
    </w:tbl>
    <w:p>
      <w:pPr>
        <w:pStyle w:val="60"/>
        <w:spacing w:before="192" w:beforeLines="80" w:after="24"/>
        <w:jc w:val="left"/>
        <w:rPr>
          <w:rFonts w:ascii="Times New Roman"/>
          <w:snapToGrid w:val="0"/>
          <w:color w:val="000000"/>
          <w:spacing w:val="-6"/>
          <w:kern w:val="21"/>
          <w:szCs w:val="21"/>
        </w:rPr>
        <w:sectPr>
          <w:footerReference r:id="rId4" w:type="default"/>
          <w:pgSz w:w="16838" w:h="11906" w:orient="landscape"/>
          <w:pgMar w:top="1701" w:right="1531" w:bottom="1701" w:left="1531" w:header="851" w:footer="851" w:gutter="0"/>
          <w:cols w:space="720" w:num="1"/>
          <w:docGrid w:linePitch="312" w:charSpace="0"/>
        </w:sectPr>
      </w:pPr>
      <w:r>
        <w:rPr>
          <w:rFonts w:ascii="Times New Roman"/>
          <w:snapToGrid w:val="0"/>
          <w:color w:val="000000"/>
          <w:kern w:val="21"/>
          <w:szCs w:val="21"/>
        </w:rPr>
        <w:t>注：</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hint="eastAsia" w:hAnsi="宋体" w:cs="宋体"/>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hint="eastAsia" w:hAnsi="宋体" w:cs="宋体"/>
          <w:szCs w:val="21"/>
        </w:rPr>
        <w:t>①</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3 \* GB3 \* MERGEFORMAT </w:instrText>
      </w:r>
      <w:r>
        <w:rPr>
          <w:rFonts w:ascii="Times New Roman"/>
          <w:snapToGrid w:val="0"/>
          <w:color w:val="000000"/>
          <w:spacing w:val="-6"/>
          <w:kern w:val="21"/>
          <w:szCs w:val="21"/>
        </w:rPr>
        <w:fldChar w:fldCharType="separate"/>
      </w:r>
      <w:r>
        <w:rPr>
          <w:rFonts w:hint="eastAsia" w:hAnsi="宋体" w:cs="宋体"/>
          <w:szCs w:val="21"/>
        </w:rPr>
        <w:t>③</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4 \* GB3 \* MERGEFORMAT </w:instrText>
      </w:r>
      <w:r>
        <w:rPr>
          <w:rFonts w:ascii="Times New Roman"/>
          <w:snapToGrid w:val="0"/>
          <w:color w:val="000000"/>
          <w:spacing w:val="-6"/>
          <w:kern w:val="21"/>
          <w:szCs w:val="21"/>
        </w:rPr>
        <w:fldChar w:fldCharType="separate"/>
      </w:r>
      <w:r>
        <w:rPr>
          <w:rFonts w:hint="eastAsia" w:hAnsi="宋体" w:cs="宋体"/>
          <w:szCs w:val="21"/>
        </w:rPr>
        <w:t>④</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5 \* GB3 \* MERGEFORMAT </w:instrText>
      </w:r>
      <w:r>
        <w:rPr>
          <w:rFonts w:ascii="Times New Roman"/>
          <w:snapToGrid w:val="0"/>
          <w:color w:val="000000"/>
          <w:spacing w:val="-16"/>
          <w:kern w:val="21"/>
          <w:szCs w:val="21"/>
        </w:rPr>
        <w:fldChar w:fldCharType="separate"/>
      </w:r>
      <w:r>
        <w:rPr>
          <w:rFonts w:hint="eastAsia" w:hAnsi="宋体" w:cs="宋体"/>
          <w:szCs w:val="21"/>
        </w:rPr>
        <w:t>⑤</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7 \* GB3 \* MERGEFORMAT </w:instrText>
      </w:r>
      <w:r>
        <w:rPr>
          <w:rFonts w:ascii="Times New Roman"/>
          <w:snapToGrid w:val="0"/>
          <w:color w:val="000000"/>
          <w:spacing w:val="-6"/>
          <w:kern w:val="21"/>
          <w:szCs w:val="21"/>
        </w:rPr>
        <w:fldChar w:fldCharType="separate"/>
      </w:r>
      <w:r>
        <w:rPr>
          <w:rFonts w:hint="eastAsia" w:hAnsi="宋体" w:cs="宋体"/>
          <w:szCs w:val="21"/>
        </w:rPr>
        <w:t>⑦</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hint="eastAsia" w:hAnsi="宋体" w:cs="宋体"/>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hint="eastAsia" w:hAnsi="宋体" w:cs="宋体"/>
          <w:szCs w:val="21"/>
        </w:rPr>
        <w:t>①</w:t>
      </w:r>
      <w:r>
        <w:rPr>
          <w:rFonts w:ascii="Times New Roman"/>
          <w:snapToGrid w:val="0"/>
          <w:color w:val="000000"/>
          <w:spacing w:val="-6"/>
          <w:kern w:val="21"/>
          <w:szCs w:val="21"/>
        </w:rPr>
        <w:fldChar w:fldCharType="end"/>
      </w:r>
    </w:p>
    <w:p>
      <w:pPr>
        <w:pStyle w:val="88"/>
        <w:ind w:firstLine="0" w:firstLineChars="0"/>
      </w:pPr>
    </w:p>
    <w:sectPr>
      <w:footerReference r:id="rId5" w:type="default"/>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方正楷体简体">
    <w:altName w:val="宋体"/>
    <w:panose1 w:val="00000000000000000000"/>
    <w:charset w:val="86"/>
    <w:family w:val="script"/>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ˎ̥">
    <w:altName w:val="Times New Roman"/>
    <w:panose1 w:val="00000000000000000000"/>
    <w:charset w:val="00"/>
    <w:family w:val="roman"/>
    <w:pitch w:val="default"/>
    <w:sig w:usb0="00000000" w:usb1="00000000" w:usb2="00000000" w:usb3="00000000" w:csb0="00000000" w:csb1="00000000"/>
  </w:font>
  <w:font w:name="楷体_GB2312">
    <w:panose1 w:val="02010609030101010101"/>
    <w:charset w:val="86"/>
    <w:family w:val="modern"/>
    <w:pitch w:val="default"/>
    <w:sig w:usb0="800002AF" w:usb1="184F6CF8" w:usb2="00000010" w:usb3="00000000" w:csb0="00020001" w:csb1="00000000"/>
  </w:font>
  <w:font w:name="方正仿宋_GBK">
    <w:altName w:val="黑体"/>
    <w:panose1 w:val="00000000000000000000"/>
    <w:charset w:val="86"/>
    <w:family w:val="script"/>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003" w:usb1="288F0000" w:usb2="00000006" w:usb3="00000000" w:csb0="0004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fldChar w:fldCharType="begin"/>
    </w:r>
    <w:r>
      <w:instrText xml:space="preserve">PAGE   \* MERGEFORMAT</w:instrText>
    </w:r>
    <w:r>
      <w:fldChar w:fldCharType="separate"/>
    </w:r>
    <w:r>
      <w:rPr>
        <w:lang w:val="zh-CN"/>
      </w:rPr>
      <w:t>20</w:t>
    </w:r>
    <w:r>
      <w:fldChar w:fldCharType="end"/>
    </w:r>
  </w:p>
  <w:p>
    <w:pPr>
      <w:pStyle w:val="2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8"/>
        <w:rFonts w:ascii="宋体" w:hAnsi="宋体"/>
        <w:sz w:val="28"/>
        <w:szCs w:val="28"/>
      </w:rPr>
    </w:pPr>
    <w:r>
      <w:rPr>
        <w:rStyle w:val="48"/>
        <w:rFonts w:hint="eastAsia" w:ascii="宋体" w:hAnsi="宋体"/>
        <w:sz w:val="28"/>
        <w:szCs w:val="28"/>
      </w:rPr>
      <w:t>—</w:t>
    </w:r>
    <w:r>
      <w:rPr>
        <w:rStyle w:val="48"/>
        <w:rFonts w:hint="eastAsia" w:ascii="宋体" w:hAnsi="宋体"/>
        <w:sz w:val="20"/>
      </w:rPr>
      <w:t xml:space="preserve">  </w:t>
    </w:r>
    <w:r>
      <w:rPr>
        <w:rStyle w:val="48"/>
        <w:rFonts w:ascii="宋体" w:hAnsi="宋体"/>
        <w:sz w:val="26"/>
        <w:szCs w:val="26"/>
      </w:rPr>
      <w:fldChar w:fldCharType="begin"/>
    </w:r>
    <w:r>
      <w:rPr>
        <w:rStyle w:val="48"/>
        <w:rFonts w:ascii="宋体" w:hAnsi="宋体"/>
        <w:sz w:val="26"/>
        <w:szCs w:val="26"/>
      </w:rPr>
      <w:instrText xml:space="preserve">PAGE  </w:instrText>
    </w:r>
    <w:r>
      <w:rPr>
        <w:rStyle w:val="48"/>
        <w:rFonts w:ascii="宋体" w:hAnsi="宋体"/>
        <w:sz w:val="26"/>
        <w:szCs w:val="26"/>
      </w:rPr>
      <w:fldChar w:fldCharType="separate"/>
    </w:r>
    <w:r>
      <w:rPr>
        <w:rStyle w:val="48"/>
        <w:rFonts w:ascii="宋体" w:hAnsi="宋体"/>
        <w:sz w:val="26"/>
        <w:szCs w:val="26"/>
      </w:rPr>
      <w:t>112</w:t>
    </w:r>
    <w:r>
      <w:rPr>
        <w:rStyle w:val="48"/>
        <w:rFonts w:ascii="宋体" w:hAnsi="宋体"/>
        <w:sz w:val="26"/>
        <w:szCs w:val="26"/>
      </w:rPr>
      <w:fldChar w:fldCharType="end"/>
    </w:r>
    <w:r>
      <w:rPr>
        <w:rStyle w:val="48"/>
        <w:rFonts w:hint="eastAsia" w:ascii="宋体" w:hAnsi="宋体"/>
        <w:sz w:val="20"/>
      </w:rPr>
      <w:t xml:space="preserve">  </w:t>
    </w:r>
    <w:r>
      <w:rPr>
        <w:rStyle w:val="48"/>
        <w:rFonts w:hint="eastAsia" w:ascii="宋体" w:hAnsi="宋体"/>
        <w:sz w:val="28"/>
        <w:szCs w:val="28"/>
      </w:rPr>
      <w:t>—</w:t>
    </w:r>
  </w:p>
  <w:p>
    <w:pPr>
      <w:pStyle w:val="28"/>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outside" w:y="1"/>
      <w:rPr>
        <w:rStyle w:val="48"/>
        <w:rFonts w:ascii="宋体" w:hAnsi="宋体"/>
        <w:sz w:val="28"/>
        <w:szCs w:val="28"/>
      </w:rPr>
    </w:pPr>
    <w:r>
      <w:rPr>
        <w:rStyle w:val="48"/>
        <w:rFonts w:hint="eastAsia" w:ascii="宋体" w:hAnsi="宋体"/>
        <w:sz w:val="28"/>
        <w:szCs w:val="28"/>
      </w:rPr>
      <w:t>—</w:t>
    </w:r>
    <w:r>
      <w:rPr>
        <w:rStyle w:val="48"/>
        <w:rFonts w:hint="eastAsia" w:ascii="宋体" w:hAnsi="宋体"/>
        <w:sz w:val="20"/>
      </w:rPr>
      <w:t xml:space="preserve">  </w:t>
    </w:r>
    <w:r>
      <w:rPr>
        <w:rStyle w:val="48"/>
        <w:rFonts w:ascii="宋体" w:hAnsi="宋体"/>
        <w:sz w:val="26"/>
        <w:szCs w:val="26"/>
      </w:rPr>
      <w:fldChar w:fldCharType="begin"/>
    </w:r>
    <w:r>
      <w:rPr>
        <w:rStyle w:val="48"/>
        <w:rFonts w:ascii="宋体" w:hAnsi="宋体"/>
        <w:sz w:val="26"/>
        <w:szCs w:val="26"/>
      </w:rPr>
      <w:instrText xml:space="preserve">PAGE  </w:instrText>
    </w:r>
    <w:r>
      <w:rPr>
        <w:rStyle w:val="48"/>
        <w:rFonts w:ascii="宋体" w:hAnsi="宋体"/>
        <w:sz w:val="26"/>
        <w:szCs w:val="26"/>
      </w:rPr>
      <w:fldChar w:fldCharType="separate"/>
    </w:r>
    <w:r>
      <w:rPr>
        <w:rStyle w:val="48"/>
        <w:rFonts w:ascii="宋体" w:hAnsi="宋体"/>
        <w:sz w:val="26"/>
        <w:szCs w:val="26"/>
      </w:rPr>
      <w:t>113</w:t>
    </w:r>
    <w:r>
      <w:rPr>
        <w:rStyle w:val="48"/>
        <w:rFonts w:ascii="宋体" w:hAnsi="宋体"/>
        <w:sz w:val="26"/>
        <w:szCs w:val="26"/>
      </w:rPr>
      <w:fldChar w:fldCharType="end"/>
    </w:r>
    <w:r>
      <w:rPr>
        <w:rStyle w:val="48"/>
        <w:rFonts w:hint="eastAsia" w:ascii="宋体" w:hAnsi="宋体"/>
        <w:sz w:val="20"/>
      </w:rPr>
      <w:t xml:space="preserve">  </w:t>
    </w:r>
    <w:r>
      <w:rPr>
        <w:rStyle w:val="48"/>
        <w:rFonts w:hint="eastAsia" w:ascii="宋体" w:hAnsi="宋体"/>
        <w:sz w:val="28"/>
        <w:szCs w:val="28"/>
      </w:rPr>
      <w:t>—</w:t>
    </w:r>
  </w:p>
  <w:p>
    <w:pPr>
      <w:pStyle w:val="28"/>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lvl w:ilvl="0" w:tentative="0">
      <w:start w:val="1"/>
      <w:numFmt w:val="decimal"/>
      <w:pStyle w:val="194"/>
      <w:lvlText w:val="%1."/>
      <w:lvlJc w:val="left"/>
      <w:pPr>
        <w:tabs>
          <w:tab w:val="left" w:pos="842"/>
        </w:tabs>
        <w:ind w:left="0" w:firstLine="482"/>
      </w:pPr>
      <w:rPr>
        <w:rFonts w:hint="eastAsia"/>
      </w:rPr>
    </w:lvl>
  </w:abstractNum>
  <w:abstractNum w:abstractNumId="1">
    <w:nsid w:val="5D5EA7DC"/>
    <w:multiLevelType w:val="singleLevel"/>
    <w:tmpl w:val="5D5EA7DC"/>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947"/>
    <w:rsid w:val="000053F4"/>
    <w:rsid w:val="000060B3"/>
    <w:rsid w:val="00006C39"/>
    <w:rsid w:val="00007A71"/>
    <w:rsid w:val="00010280"/>
    <w:rsid w:val="000105C8"/>
    <w:rsid w:val="00010C2B"/>
    <w:rsid w:val="000143F8"/>
    <w:rsid w:val="00022CBF"/>
    <w:rsid w:val="00030782"/>
    <w:rsid w:val="00033914"/>
    <w:rsid w:val="00033AF2"/>
    <w:rsid w:val="0004364B"/>
    <w:rsid w:val="00043D3B"/>
    <w:rsid w:val="000475AA"/>
    <w:rsid w:val="00050E45"/>
    <w:rsid w:val="00051D7D"/>
    <w:rsid w:val="000544BF"/>
    <w:rsid w:val="00057254"/>
    <w:rsid w:val="00057278"/>
    <w:rsid w:val="0006176D"/>
    <w:rsid w:val="00061B1F"/>
    <w:rsid w:val="0006397B"/>
    <w:rsid w:val="00070268"/>
    <w:rsid w:val="000713E1"/>
    <w:rsid w:val="00073309"/>
    <w:rsid w:val="000733C4"/>
    <w:rsid w:val="00074783"/>
    <w:rsid w:val="00075390"/>
    <w:rsid w:val="00076B72"/>
    <w:rsid w:val="0008070B"/>
    <w:rsid w:val="000810AC"/>
    <w:rsid w:val="00081A02"/>
    <w:rsid w:val="00081A43"/>
    <w:rsid w:val="00082231"/>
    <w:rsid w:val="00083256"/>
    <w:rsid w:val="00084B1C"/>
    <w:rsid w:val="00086637"/>
    <w:rsid w:val="00086A89"/>
    <w:rsid w:val="000878C3"/>
    <w:rsid w:val="00092D38"/>
    <w:rsid w:val="0009377B"/>
    <w:rsid w:val="00097CE2"/>
    <w:rsid w:val="000A0770"/>
    <w:rsid w:val="000A20C9"/>
    <w:rsid w:val="000A237D"/>
    <w:rsid w:val="000A6FBD"/>
    <w:rsid w:val="000A70AA"/>
    <w:rsid w:val="000A767C"/>
    <w:rsid w:val="000B058F"/>
    <w:rsid w:val="000B3FE1"/>
    <w:rsid w:val="000B4467"/>
    <w:rsid w:val="000B4DB9"/>
    <w:rsid w:val="000B5015"/>
    <w:rsid w:val="000B5F94"/>
    <w:rsid w:val="000B6647"/>
    <w:rsid w:val="000C09AC"/>
    <w:rsid w:val="000C21AF"/>
    <w:rsid w:val="000C3C15"/>
    <w:rsid w:val="000C767F"/>
    <w:rsid w:val="000C7EDE"/>
    <w:rsid w:val="000D4E84"/>
    <w:rsid w:val="000D5A44"/>
    <w:rsid w:val="000E1ADC"/>
    <w:rsid w:val="000E319E"/>
    <w:rsid w:val="000E3ED2"/>
    <w:rsid w:val="000E4C20"/>
    <w:rsid w:val="000E5CA0"/>
    <w:rsid w:val="000E74A8"/>
    <w:rsid w:val="000E76A6"/>
    <w:rsid w:val="000F00C0"/>
    <w:rsid w:val="000F3B17"/>
    <w:rsid w:val="000F4E03"/>
    <w:rsid w:val="00106E02"/>
    <w:rsid w:val="00111450"/>
    <w:rsid w:val="001126CF"/>
    <w:rsid w:val="00115130"/>
    <w:rsid w:val="00120F9F"/>
    <w:rsid w:val="001216EB"/>
    <w:rsid w:val="00123B5F"/>
    <w:rsid w:val="00131F42"/>
    <w:rsid w:val="0013310E"/>
    <w:rsid w:val="001357F1"/>
    <w:rsid w:val="001368C3"/>
    <w:rsid w:val="001373F6"/>
    <w:rsid w:val="00137599"/>
    <w:rsid w:val="00137C62"/>
    <w:rsid w:val="001400B8"/>
    <w:rsid w:val="00140FA8"/>
    <w:rsid w:val="00142FEB"/>
    <w:rsid w:val="00143A2D"/>
    <w:rsid w:val="00145A41"/>
    <w:rsid w:val="00150C44"/>
    <w:rsid w:val="0015111C"/>
    <w:rsid w:val="00151675"/>
    <w:rsid w:val="001570B4"/>
    <w:rsid w:val="00157435"/>
    <w:rsid w:val="001575C8"/>
    <w:rsid w:val="0016159D"/>
    <w:rsid w:val="00165029"/>
    <w:rsid w:val="00167698"/>
    <w:rsid w:val="00167AC9"/>
    <w:rsid w:val="001706A8"/>
    <w:rsid w:val="00170DF4"/>
    <w:rsid w:val="0017504D"/>
    <w:rsid w:val="00175774"/>
    <w:rsid w:val="0017671A"/>
    <w:rsid w:val="00177422"/>
    <w:rsid w:val="00180D02"/>
    <w:rsid w:val="00181F12"/>
    <w:rsid w:val="00184590"/>
    <w:rsid w:val="001870D1"/>
    <w:rsid w:val="0018781E"/>
    <w:rsid w:val="00191969"/>
    <w:rsid w:val="0019262D"/>
    <w:rsid w:val="00194039"/>
    <w:rsid w:val="00196B95"/>
    <w:rsid w:val="00196C40"/>
    <w:rsid w:val="001A1B35"/>
    <w:rsid w:val="001A2720"/>
    <w:rsid w:val="001A48A2"/>
    <w:rsid w:val="001A6F61"/>
    <w:rsid w:val="001B338B"/>
    <w:rsid w:val="001B66B5"/>
    <w:rsid w:val="001B72B8"/>
    <w:rsid w:val="001C2456"/>
    <w:rsid w:val="001C28EA"/>
    <w:rsid w:val="001C5188"/>
    <w:rsid w:val="001C69B3"/>
    <w:rsid w:val="001C7563"/>
    <w:rsid w:val="001D411E"/>
    <w:rsid w:val="001D46E3"/>
    <w:rsid w:val="001D5595"/>
    <w:rsid w:val="001D7874"/>
    <w:rsid w:val="001D7F22"/>
    <w:rsid w:val="001E1119"/>
    <w:rsid w:val="001E216D"/>
    <w:rsid w:val="001E334B"/>
    <w:rsid w:val="001E5E81"/>
    <w:rsid w:val="001E6195"/>
    <w:rsid w:val="001E7BC9"/>
    <w:rsid w:val="001F0F17"/>
    <w:rsid w:val="001F3347"/>
    <w:rsid w:val="001F69E4"/>
    <w:rsid w:val="002031F3"/>
    <w:rsid w:val="00204B8C"/>
    <w:rsid w:val="00211582"/>
    <w:rsid w:val="00211A7E"/>
    <w:rsid w:val="002125B4"/>
    <w:rsid w:val="0021287D"/>
    <w:rsid w:val="00214E23"/>
    <w:rsid w:val="00214EA5"/>
    <w:rsid w:val="002155B8"/>
    <w:rsid w:val="00221A03"/>
    <w:rsid w:val="00223178"/>
    <w:rsid w:val="00224839"/>
    <w:rsid w:val="002249B2"/>
    <w:rsid w:val="002251B1"/>
    <w:rsid w:val="0022582C"/>
    <w:rsid w:val="00226574"/>
    <w:rsid w:val="00226BE4"/>
    <w:rsid w:val="00227537"/>
    <w:rsid w:val="002278EC"/>
    <w:rsid w:val="00231C21"/>
    <w:rsid w:val="0023280E"/>
    <w:rsid w:val="002377D1"/>
    <w:rsid w:val="00240CAE"/>
    <w:rsid w:val="00242BD9"/>
    <w:rsid w:val="00247879"/>
    <w:rsid w:val="00247B8E"/>
    <w:rsid w:val="002506BC"/>
    <w:rsid w:val="00254345"/>
    <w:rsid w:val="002571ED"/>
    <w:rsid w:val="00264557"/>
    <w:rsid w:val="00270BC3"/>
    <w:rsid w:val="00270D29"/>
    <w:rsid w:val="00271C65"/>
    <w:rsid w:val="00274FFF"/>
    <w:rsid w:val="00280188"/>
    <w:rsid w:val="002805AB"/>
    <w:rsid w:val="002835C0"/>
    <w:rsid w:val="00283637"/>
    <w:rsid w:val="00284204"/>
    <w:rsid w:val="00286193"/>
    <w:rsid w:val="00286C94"/>
    <w:rsid w:val="002870C7"/>
    <w:rsid w:val="0028764D"/>
    <w:rsid w:val="002909D2"/>
    <w:rsid w:val="00291773"/>
    <w:rsid w:val="0029243E"/>
    <w:rsid w:val="0029409C"/>
    <w:rsid w:val="00296587"/>
    <w:rsid w:val="00297530"/>
    <w:rsid w:val="002A0026"/>
    <w:rsid w:val="002A168C"/>
    <w:rsid w:val="002A3DC7"/>
    <w:rsid w:val="002A6B93"/>
    <w:rsid w:val="002B117F"/>
    <w:rsid w:val="002B49E2"/>
    <w:rsid w:val="002B72BF"/>
    <w:rsid w:val="002B7B00"/>
    <w:rsid w:val="002B7C44"/>
    <w:rsid w:val="002C1A4E"/>
    <w:rsid w:val="002C2B17"/>
    <w:rsid w:val="002D23D3"/>
    <w:rsid w:val="002D3282"/>
    <w:rsid w:val="002D3DD0"/>
    <w:rsid w:val="002D48D6"/>
    <w:rsid w:val="002E1364"/>
    <w:rsid w:val="002E1F3A"/>
    <w:rsid w:val="002E298A"/>
    <w:rsid w:val="002E5E6C"/>
    <w:rsid w:val="002E6ADF"/>
    <w:rsid w:val="002F479F"/>
    <w:rsid w:val="002F5C8B"/>
    <w:rsid w:val="002F66B3"/>
    <w:rsid w:val="00301653"/>
    <w:rsid w:val="00301978"/>
    <w:rsid w:val="00302C81"/>
    <w:rsid w:val="0030332C"/>
    <w:rsid w:val="003051C2"/>
    <w:rsid w:val="00312296"/>
    <w:rsid w:val="00312F05"/>
    <w:rsid w:val="00314F0E"/>
    <w:rsid w:val="00315BF4"/>
    <w:rsid w:val="00316401"/>
    <w:rsid w:val="00317774"/>
    <w:rsid w:val="00321D8E"/>
    <w:rsid w:val="003225A7"/>
    <w:rsid w:val="00323CD3"/>
    <w:rsid w:val="00325928"/>
    <w:rsid w:val="00332863"/>
    <w:rsid w:val="0033479C"/>
    <w:rsid w:val="003363B8"/>
    <w:rsid w:val="0033684D"/>
    <w:rsid w:val="00337B42"/>
    <w:rsid w:val="00341B42"/>
    <w:rsid w:val="0034348F"/>
    <w:rsid w:val="00347364"/>
    <w:rsid w:val="00356653"/>
    <w:rsid w:val="00356C1D"/>
    <w:rsid w:val="0035743F"/>
    <w:rsid w:val="00357BE2"/>
    <w:rsid w:val="0036170C"/>
    <w:rsid w:val="00366E0F"/>
    <w:rsid w:val="00375D17"/>
    <w:rsid w:val="00376733"/>
    <w:rsid w:val="00380352"/>
    <w:rsid w:val="00380396"/>
    <w:rsid w:val="00381A72"/>
    <w:rsid w:val="003832CB"/>
    <w:rsid w:val="00384676"/>
    <w:rsid w:val="00390625"/>
    <w:rsid w:val="00390857"/>
    <w:rsid w:val="00390EE2"/>
    <w:rsid w:val="00390F57"/>
    <w:rsid w:val="00393F26"/>
    <w:rsid w:val="003946E1"/>
    <w:rsid w:val="003A2A48"/>
    <w:rsid w:val="003A35E6"/>
    <w:rsid w:val="003A3F26"/>
    <w:rsid w:val="003A49FA"/>
    <w:rsid w:val="003A4BF3"/>
    <w:rsid w:val="003A4CF9"/>
    <w:rsid w:val="003B1087"/>
    <w:rsid w:val="003B2AC2"/>
    <w:rsid w:val="003B420D"/>
    <w:rsid w:val="003B4CFF"/>
    <w:rsid w:val="003B6C06"/>
    <w:rsid w:val="003C0BCD"/>
    <w:rsid w:val="003C1586"/>
    <w:rsid w:val="003C3B85"/>
    <w:rsid w:val="003C6C16"/>
    <w:rsid w:val="003C6C37"/>
    <w:rsid w:val="003C71AA"/>
    <w:rsid w:val="003D1DEC"/>
    <w:rsid w:val="003D4821"/>
    <w:rsid w:val="003D78CF"/>
    <w:rsid w:val="003D794D"/>
    <w:rsid w:val="003E0A76"/>
    <w:rsid w:val="003E3058"/>
    <w:rsid w:val="003E3433"/>
    <w:rsid w:val="003E41B0"/>
    <w:rsid w:val="003E670D"/>
    <w:rsid w:val="003E76A9"/>
    <w:rsid w:val="003F0809"/>
    <w:rsid w:val="003F2989"/>
    <w:rsid w:val="003F6A8C"/>
    <w:rsid w:val="003F755C"/>
    <w:rsid w:val="00401405"/>
    <w:rsid w:val="0040169A"/>
    <w:rsid w:val="004019B8"/>
    <w:rsid w:val="00401C57"/>
    <w:rsid w:val="00406F01"/>
    <w:rsid w:val="00406FA3"/>
    <w:rsid w:val="00407F64"/>
    <w:rsid w:val="004147FF"/>
    <w:rsid w:val="004168D0"/>
    <w:rsid w:val="00416D50"/>
    <w:rsid w:val="00416FD5"/>
    <w:rsid w:val="00417772"/>
    <w:rsid w:val="00420E6A"/>
    <w:rsid w:val="00424EC9"/>
    <w:rsid w:val="00425A9E"/>
    <w:rsid w:val="00426BD9"/>
    <w:rsid w:val="00426D6B"/>
    <w:rsid w:val="00431E6C"/>
    <w:rsid w:val="00433CE7"/>
    <w:rsid w:val="004342FC"/>
    <w:rsid w:val="00434AEF"/>
    <w:rsid w:val="00435404"/>
    <w:rsid w:val="00437E02"/>
    <w:rsid w:val="00441206"/>
    <w:rsid w:val="004445A1"/>
    <w:rsid w:val="00446C0F"/>
    <w:rsid w:val="0045060E"/>
    <w:rsid w:val="0045063A"/>
    <w:rsid w:val="00452738"/>
    <w:rsid w:val="0045358A"/>
    <w:rsid w:val="00456091"/>
    <w:rsid w:val="00456591"/>
    <w:rsid w:val="004574AF"/>
    <w:rsid w:val="00462C94"/>
    <w:rsid w:val="00466321"/>
    <w:rsid w:val="00471E62"/>
    <w:rsid w:val="00473603"/>
    <w:rsid w:val="00480B8B"/>
    <w:rsid w:val="00482FC4"/>
    <w:rsid w:val="00484B9B"/>
    <w:rsid w:val="004855F6"/>
    <w:rsid w:val="0048661E"/>
    <w:rsid w:val="00487082"/>
    <w:rsid w:val="004926BC"/>
    <w:rsid w:val="00494670"/>
    <w:rsid w:val="00494712"/>
    <w:rsid w:val="004960CF"/>
    <w:rsid w:val="004A1BF7"/>
    <w:rsid w:val="004A3823"/>
    <w:rsid w:val="004A6AF7"/>
    <w:rsid w:val="004A7E0D"/>
    <w:rsid w:val="004B33DE"/>
    <w:rsid w:val="004B5BEA"/>
    <w:rsid w:val="004B691D"/>
    <w:rsid w:val="004C0DE2"/>
    <w:rsid w:val="004C3791"/>
    <w:rsid w:val="004D13F8"/>
    <w:rsid w:val="004D6A45"/>
    <w:rsid w:val="004D6CB3"/>
    <w:rsid w:val="004E274F"/>
    <w:rsid w:val="004E2DCB"/>
    <w:rsid w:val="004E3065"/>
    <w:rsid w:val="004E6946"/>
    <w:rsid w:val="004F1AD8"/>
    <w:rsid w:val="004F1D4B"/>
    <w:rsid w:val="004F3502"/>
    <w:rsid w:val="004F7009"/>
    <w:rsid w:val="00500AB9"/>
    <w:rsid w:val="0050144F"/>
    <w:rsid w:val="00502897"/>
    <w:rsid w:val="005039CB"/>
    <w:rsid w:val="0050558F"/>
    <w:rsid w:val="00506286"/>
    <w:rsid w:val="00510813"/>
    <w:rsid w:val="00511278"/>
    <w:rsid w:val="0051159D"/>
    <w:rsid w:val="00511990"/>
    <w:rsid w:val="00511DE0"/>
    <w:rsid w:val="00514870"/>
    <w:rsid w:val="00514B9B"/>
    <w:rsid w:val="0051618A"/>
    <w:rsid w:val="00517F02"/>
    <w:rsid w:val="00523F20"/>
    <w:rsid w:val="00524303"/>
    <w:rsid w:val="00524598"/>
    <w:rsid w:val="0052517E"/>
    <w:rsid w:val="005258A2"/>
    <w:rsid w:val="0052639A"/>
    <w:rsid w:val="00527936"/>
    <w:rsid w:val="00530BAD"/>
    <w:rsid w:val="00530EEA"/>
    <w:rsid w:val="00531731"/>
    <w:rsid w:val="0053442C"/>
    <w:rsid w:val="00535FCB"/>
    <w:rsid w:val="00536678"/>
    <w:rsid w:val="005401AE"/>
    <w:rsid w:val="0054127D"/>
    <w:rsid w:val="00542E07"/>
    <w:rsid w:val="00545424"/>
    <w:rsid w:val="00545F35"/>
    <w:rsid w:val="005478AB"/>
    <w:rsid w:val="00550424"/>
    <w:rsid w:val="005510C3"/>
    <w:rsid w:val="00551AC8"/>
    <w:rsid w:val="00554A7B"/>
    <w:rsid w:val="0055572C"/>
    <w:rsid w:val="00560CD4"/>
    <w:rsid w:val="0056106A"/>
    <w:rsid w:val="0056523D"/>
    <w:rsid w:val="0056746C"/>
    <w:rsid w:val="00571F34"/>
    <w:rsid w:val="005720AE"/>
    <w:rsid w:val="00574B27"/>
    <w:rsid w:val="00575973"/>
    <w:rsid w:val="0057662B"/>
    <w:rsid w:val="0058027D"/>
    <w:rsid w:val="00580634"/>
    <w:rsid w:val="00581DF9"/>
    <w:rsid w:val="005831C2"/>
    <w:rsid w:val="00593A42"/>
    <w:rsid w:val="00594D77"/>
    <w:rsid w:val="00595468"/>
    <w:rsid w:val="005969E4"/>
    <w:rsid w:val="00596D90"/>
    <w:rsid w:val="005A06B7"/>
    <w:rsid w:val="005A1759"/>
    <w:rsid w:val="005A68A7"/>
    <w:rsid w:val="005B5EEA"/>
    <w:rsid w:val="005C1409"/>
    <w:rsid w:val="005D0549"/>
    <w:rsid w:val="005D36AB"/>
    <w:rsid w:val="005D42D1"/>
    <w:rsid w:val="005D7F3D"/>
    <w:rsid w:val="005E2C20"/>
    <w:rsid w:val="005E3CF3"/>
    <w:rsid w:val="005F0C6C"/>
    <w:rsid w:val="005F34D5"/>
    <w:rsid w:val="005F62C9"/>
    <w:rsid w:val="005F711C"/>
    <w:rsid w:val="005F7C3E"/>
    <w:rsid w:val="006005D7"/>
    <w:rsid w:val="00601F94"/>
    <w:rsid w:val="0060410C"/>
    <w:rsid w:val="00607C99"/>
    <w:rsid w:val="00613369"/>
    <w:rsid w:val="006133F3"/>
    <w:rsid w:val="00617395"/>
    <w:rsid w:val="00617CC3"/>
    <w:rsid w:val="00620439"/>
    <w:rsid w:val="00620E66"/>
    <w:rsid w:val="00635BC2"/>
    <w:rsid w:val="006361D8"/>
    <w:rsid w:val="00636388"/>
    <w:rsid w:val="006377A6"/>
    <w:rsid w:val="00637A3D"/>
    <w:rsid w:val="0064089D"/>
    <w:rsid w:val="00640E4A"/>
    <w:rsid w:val="006411EF"/>
    <w:rsid w:val="0064199C"/>
    <w:rsid w:val="00643D5C"/>
    <w:rsid w:val="00646B31"/>
    <w:rsid w:val="00651E41"/>
    <w:rsid w:val="00652668"/>
    <w:rsid w:val="006536B1"/>
    <w:rsid w:val="0065539E"/>
    <w:rsid w:val="00655C6B"/>
    <w:rsid w:val="006561EE"/>
    <w:rsid w:val="0066304F"/>
    <w:rsid w:val="00663254"/>
    <w:rsid w:val="00663DB1"/>
    <w:rsid w:val="00664DCB"/>
    <w:rsid w:val="006672A9"/>
    <w:rsid w:val="006722B7"/>
    <w:rsid w:val="006748B8"/>
    <w:rsid w:val="006775C3"/>
    <w:rsid w:val="0067787E"/>
    <w:rsid w:val="00682E32"/>
    <w:rsid w:val="0069290A"/>
    <w:rsid w:val="00694856"/>
    <w:rsid w:val="00695DAB"/>
    <w:rsid w:val="00696807"/>
    <w:rsid w:val="0069775A"/>
    <w:rsid w:val="00697813"/>
    <w:rsid w:val="006A1853"/>
    <w:rsid w:val="006A3A1C"/>
    <w:rsid w:val="006A3EE8"/>
    <w:rsid w:val="006A593F"/>
    <w:rsid w:val="006A6943"/>
    <w:rsid w:val="006A6B96"/>
    <w:rsid w:val="006A6BBC"/>
    <w:rsid w:val="006A70B7"/>
    <w:rsid w:val="006A72BF"/>
    <w:rsid w:val="006A74B5"/>
    <w:rsid w:val="006B03F2"/>
    <w:rsid w:val="006B24EC"/>
    <w:rsid w:val="006B30D7"/>
    <w:rsid w:val="006B335B"/>
    <w:rsid w:val="006B37DC"/>
    <w:rsid w:val="006B3DF7"/>
    <w:rsid w:val="006B4F68"/>
    <w:rsid w:val="006C0592"/>
    <w:rsid w:val="006C272E"/>
    <w:rsid w:val="006C5479"/>
    <w:rsid w:val="006D0FBF"/>
    <w:rsid w:val="006D13B5"/>
    <w:rsid w:val="006D281B"/>
    <w:rsid w:val="006D509C"/>
    <w:rsid w:val="006D70D2"/>
    <w:rsid w:val="006E12FF"/>
    <w:rsid w:val="006E43CC"/>
    <w:rsid w:val="006E541B"/>
    <w:rsid w:val="006E607E"/>
    <w:rsid w:val="006F04B2"/>
    <w:rsid w:val="006F17AB"/>
    <w:rsid w:val="006F34B8"/>
    <w:rsid w:val="006F4DF0"/>
    <w:rsid w:val="006F4EA2"/>
    <w:rsid w:val="006F680F"/>
    <w:rsid w:val="00703BFF"/>
    <w:rsid w:val="00704C53"/>
    <w:rsid w:val="00706C5D"/>
    <w:rsid w:val="00713214"/>
    <w:rsid w:val="007150EB"/>
    <w:rsid w:val="007156DB"/>
    <w:rsid w:val="0071795B"/>
    <w:rsid w:val="007202B4"/>
    <w:rsid w:val="00726267"/>
    <w:rsid w:val="00732922"/>
    <w:rsid w:val="00732D55"/>
    <w:rsid w:val="007400AD"/>
    <w:rsid w:val="007412E3"/>
    <w:rsid w:val="0075155B"/>
    <w:rsid w:val="0075162E"/>
    <w:rsid w:val="007533F2"/>
    <w:rsid w:val="00754034"/>
    <w:rsid w:val="00756556"/>
    <w:rsid w:val="00760C86"/>
    <w:rsid w:val="007618C4"/>
    <w:rsid w:val="00767980"/>
    <w:rsid w:val="00770B19"/>
    <w:rsid w:val="00770DA9"/>
    <w:rsid w:val="0077463F"/>
    <w:rsid w:val="0077467C"/>
    <w:rsid w:val="00775420"/>
    <w:rsid w:val="00781EEF"/>
    <w:rsid w:val="007836EA"/>
    <w:rsid w:val="00784349"/>
    <w:rsid w:val="00784CDA"/>
    <w:rsid w:val="00787E56"/>
    <w:rsid w:val="007904DA"/>
    <w:rsid w:val="007906C4"/>
    <w:rsid w:val="00791157"/>
    <w:rsid w:val="007911B4"/>
    <w:rsid w:val="00792028"/>
    <w:rsid w:val="00793633"/>
    <w:rsid w:val="00793C54"/>
    <w:rsid w:val="00793D6E"/>
    <w:rsid w:val="007940EA"/>
    <w:rsid w:val="007967E8"/>
    <w:rsid w:val="007A03A9"/>
    <w:rsid w:val="007A2170"/>
    <w:rsid w:val="007A22BF"/>
    <w:rsid w:val="007A248D"/>
    <w:rsid w:val="007A31E1"/>
    <w:rsid w:val="007A3323"/>
    <w:rsid w:val="007B0A65"/>
    <w:rsid w:val="007B2C7F"/>
    <w:rsid w:val="007B30AE"/>
    <w:rsid w:val="007B5CC6"/>
    <w:rsid w:val="007B72B8"/>
    <w:rsid w:val="007B7A58"/>
    <w:rsid w:val="007B7A6D"/>
    <w:rsid w:val="007C1377"/>
    <w:rsid w:val="007C21B5"/>
    <w:rsid w:val="007C2255"/>
    <w:rsid w:val="007C2E0D"/>
    <w:rsid w:val="007C3F7C"/>
    <w:rsid w:val="007C47E8"/>
    <w:rsid w:val="007C75F4"/>
    <w:rsid w:val="007D0519"/>
    <w:rsid w:val="007D4E74"/>
    <w:rsid w:val="007E4BD2"/>
    <w:rsid w:val="007E5BD6"/>
    <w:rsid w:val="007F031E"/>
    <w:rsid w:val="007F0F41"/>
    <w:rsid w:val="007F237E"/>
    <w:rsid w:val="007F27D0"/>
    <w:rsid w:val="007F6921"/>
    <w:rsid w:val="007F7090"/>
    <w:rsid w:val="0080090A"/>
    <w:rsid w:val="00801393"/>
    <w:rsid w:val="00802392"/>
    <w:rsid w:val="00802F0B"/>
    <w:rsid w:val="00802F88"/>
    <w:rsid w:val="00803542"/>
    <w:rsid w:val="00805D43"/>
    <w:rsid w:val="00806646"/>
    <w:rsid w:val="00806A9B"/>
    <w:rsid w:val="008119CC"/>
    <w:rsid w:val="0081293E"/>
    <w:rsid w:val="00815465"/>
    <w:rsid w:val="00817E9A"/>
    <w:rsid w:val="00822867"/>
    <w:rsid w:val="00825DDF"/>
    <w:rsid w:val="008260C6"/>
    <w:rsid w:val="008265EE"/>
    <w:rsid w:val="008306BD"/>
    <w:rsid w:val="00831A80"/>
    <w:rsid w:val="00832B31"/>
    <w:rsid w:val="00833743"/>
    <w:rsid w:val="008340A4"/>
    <w:rsid w:val="00835C1D"/>
    <w:rsid w:val="0084160A"/>
    <w:rsid w:val="00841DCD"/>
    <w:rsid w:val="0084263A"/>
    <w:rsid w:val="00845A87"/>
    <w:rsid w:val="00845B9C"/>
    <w:rsid w:val="008476FD"/>
    <w:rsid w:val="00851D57"/>
    <w:rsid w:val="008571C8"/>
    <w:rsid w:val="00862268"/>
    <w:rsid w:val="00862D0C"/>
    <w:rsid w:val="00863055"/>
    <w:rsid w:val="008632F0"/>
    <w:rsid w:val="00865754"/>
    <w:rsid w:val="0087135F"/>
    <w:rsid w:val="00872D94"/>
    <w:rsid w:val="0087305F"/>
    <w:rsid w:val="00874569"/>
    <w:rsid w:val="00874632"/>
    <w:rsid w:val="00876ADA"/>
    <w:rsid w:val="00880364"/>
    <w:rsid w:val="00883F36"/>
    <w:rsid w:val="008869E3"/>
    <w:rsid w:val="00890627"/>
    <w:rsid w:val="00891592"/>
    <w:rsid w:val="00891E9E"/>
    <w:rsid w:val="00893868"/>
    <w:rsid w:val="008956A7"/>
    <w:rsid w:val="0089636C"/>
    <w:rsid w:val="008A2F68"/>
    <w:rsid w:val="008A4B2A"/>
    <w:rsid w:val="008A559D"/>
    <w:rsid w:val="008B3FCB"/>
    <w:rsid w:val="008B499E"/>
    <w:rsid w:val="008B4FA6"/>
    <w:rsid w:val="008B5282"/>
    <w:rsid w:val="008B6834"/>
    <w:rsid w:val="008B7C17"/>
    <w:rsid w:val="008C144A"/>
    <w:rsid w:val="008C2D01"/>
    <w:rsid w:val="008C40E6"/>
    <w:rsid w:val="008C481E"/>
    <w:rsid w:val="008C49C9"/>
    <w:rsid w:val="008D0F7A"/>
    <w:rsid w:val="008D3BA7"/>
    <w:rsid w:val="008D5A50"/>
    <w:rsid w:val="008D5BDF"/>
    <w:rsid w:val="008D68E4"/>
    <w:rsid w:val="008E0506"/>
    <w:rsid w:val="008E0CFF"/>
    <w:rsid w:val="008E1AA1"/>
    <w:rsid w:val="008E2BCB"/>
    <w:rsid w:val="008E5D6B"/>
    <w:rsid w:val="008E74A8"/>
    <w:rsid w:val="008E76F0"/>
    <w:rsid w:val="008E7F94"/>
    <w:rsid w:val="008F15FE"/>
    <w:rsid w:val="008F2D29"/>
    <w:rsid w:val="008F5187"/>
    <w:rsid w:val="008F5B77"/>
    <w:rsid w:val="008F60D8"/>
    <w:rsid w:val="008F6679"/>
    <w:rsid w:val="00902727"/>
    <w:rsid w:val="0090312B"/>
    <w:rsid w:val="009050F8"/>
    <w:rsid w:val="00910F40"/>
    <w:rsid w:val="00912B0C"/>
    <w:rsid w:val="00916E1C"/>
    <w:rsid w:val="0091736D"/>
    <w:rsid w:val="0093037A"/>
    <w:rsid w:val="0093040B"/>
    <w:rsid w:val="00930D99"/>
    <w:rsid w:val="009310ED"/>
    <w:rsid w:val="00940065"/>
    <w:rsid w:val="00940379"/>
    <w:rsid w:val="009408EA"/>
    <w:rsid w:val="0094154D"/>
    <w:rsid w:val="009417B9"/>
    <w:rsid w:val="00943038"/>
    <w:rsid w:val="00947213"/>
    <w:rsid w:val="0095155F"/>
    <w:rsid w:val="00954429"/>
    <w:rsid w:val="00954D9C"/>
    <w:rsid w:val="009563CE"/>
    <w:rsid w:val="009577B9"/>
    <w:rsid w:val="00960DA0"/>
    <w:rsid w:val="0096386E"/>
    <w:rsid w:val="00974D32"/>
    <w:rsid w:val="00975A5D"/>
    <w:rsid w:val="009761BF"/>
    <w:rsid w:val="00976328"/>
    <w:rsid w:val="0097680D"/>
    <w:rsid w:val="00976F22"/>
    <w:rsid w:val="00980085"/>
    <w:rsid w:val="00981691"/>
    <w:rsid w:val="00982438"/>
    <w:rsid w:val="009838BD"/>
    <w:rsid w:val="0098404C"/>
    <w:rsid w:val="00984783"/>
    <w:rsid w:val="00985283"/>
    <w:rsid w:val="00985D5D"/>
    <w:rsid w:val="00986EC5"/>
    <w:rsid w:val="00987AA9"/>
    <w:rsid w:val="009901F1"/>
    <w:rsid w:val="00990569"/>
    <w:rsid w:val="00995992"/>
    <w:rsid w:val="00995E01"/>
    <w:rsid w:val="00996632"/>
    <w:rsid w:val="00997306"/>
    <w:rsid w:val="009A03E5"/>
    <w:rsid w:val="009A0F3B"/>
    <w:rsid w:val="009A17C5"/>
    <w:rsid w:val="009A1BB4"/>
    <w:rsid w:val="009A1CF4"/>
    <w:rsid w:val="009A2628"/>
    <w:rsid w:val="009A2756"/>
    <w:rsid w:val="009A3200"/>
    <w:rsid w:val="009B0897"/>
    <w:rsid w:val="009B23A6"/>
    <w:rsid w:val="009B3292"/>
    <w:rsid w:val="009B3801"/>
    <w:rsid w:val="009B7BD9"/>
    <w:rsid w:val="009C5DBD"/>
    <w:rsid w:val="009C7BD0"/>
    <w:rsid w:val="009C7DD5"/>
    <w:rsid w:val="009D0EB0"/>
    <w:rsid w:val="009D3504"/>
    <w:rsid w:val="009D3D3C"/>
    <w:rsid w:val="009D4278"/>
    <w:rsid w:val="009D6B01"/>
    <w:rsid w:val="009E227D"/>
    <w:rsid w:val="009E4F4D"/>
    <w:rsid w:val="009E5019"/>
    <w:rsid w:val="009E6062"/>
    <w:rsid w:val="009F0D2F"/>
    <w:rsid w:val="009F25B2"/>
    <w:rsid w:val="009F3601"/>
    <w:rsid w:val="00A04F1B"/>
    <w:rsid w:val="00A0501B"/>
    <w:rsid w:val="00A14947"/>
    <w:rsid w:val="00A15C19"/>
    <w:rsid w:val="00A2304A"/>
    <w:rsid w:val="00A25979"/>
    <w:rsid w:val="00A25A69"/>
    <w:rsid w:val="00A32A83"/>
    <w:rsid w:val="00A368DB"/>
    <w:rsid w:val="00A37A0E"/>
    <w:rsid w:val="00A423AA"/>
    <w:rsid w:val="00A42970"/>
    <w:rsid w:val="00A46A8A"/>
    <w:rsid w:val="00A46B92"/>
    <w:rsid w:val="00A53EC6"/>
    <w:rsid w:val="00A55C0F"/>
    <w:rsid w:val="00A564BD"/>
    <w:rsid w:val="00A56CE8"/>
    <w:rsid w:val="00A5741F"/>
    <w:rsid w:val="00A63628"/>
    <w:rsid w:val="00A67777"/>
    <w:rsid w:val="00A70989"/>
    <w:rsid w:val="00A7144A"/>
    <w:rsid w:val="00A74C2C"/>
    <w:rsid w:val="00A75332"/>
    <w:rsid w:val="00A818A9"/>
    <w:rsid w:val="00A833F6"/>
    <w:rsid w:val="00A84D0F"/>
    <w:rsid w:val="00A851D0"/>
    <w:rsid w:val="00A8713F"/>
    <w:rsid w:val="00A875D9"/>
    <w:rsid w:val="00A90BA1"/>
    <w:rsid w:val="00A949C3"/>
    <w:rsid w:val="00A96436"/>
    <w:rsid w:val="00A97A9A"/>
    <w:rsid w:val="00AA0671"/>
    <w:rsid w:val="00AA08A1"/>
    <w:rsid w:val="00AA2531"/>
    <w:rsid w:val="00AA3771"/>
    <w:rsid w:val="00AA43BA"/>
    <w:rsid w:val="00AA5545"/>
    <w:rsid w:val="00AA6B33"/>
    <w:rsid w:val="00AA7E41"/>
    <w:rsid w:val="00AB06D9"/>
    <w:rsid w:val="00AB1E09"/>
    <w:rsid w:val="00AB4655"/>
    <w:rsid w:val="00AB49D2"/>
    <w:rsid w:val="00AB5330"/>
    <w:rsid w:val="00AB737C"/>
    <w:rsid w:val="00AB7747"/>
    <w:rsid w:val="00AB7FBD"/>
    <w:rsid w:val="00AC14CE"/>
    <w:rsid w:val="00AC2A56"/>
    <w:rsid w:val="00AC365B"/>
    <w:rsid w:val="00AC4AA7"/>
    <w:rsid w:val="00AC511B"/>
    <w:rsid w:val="00AC6C21"/>
    <w:rsid w:val="00AD00E1"/>
    <w:rsid w:val="00AD055E"/>
    <w:rsid w:val="00AD47A7"/>
    <w:rsid w:val="00AD6045"/>
    <w:rsid w:val="00AD74B5"/>
    <w:rsid w:val="00AD7918"/>
    <w:rsid w:val="00AE300E"/>
    <w:rsid w:val="00AE4F03"/>
    <w:rsid w:val="00AE5CC0"/>
    <w:rsid w:val="00AE7E36"/>
    <w:rsid w:val="00AF0CBF"/>
    <w:rsid w:val="00AF257F"/>
    <w:rsid w:val="00AF33CF"/>
    <w:rsid w:val="00AF4D50"/>
    <w:rsid w:val="00AF6179"/>
    <w:rsid w:val="00AF6A81"/>
    <w:rsid w:val="00AF72AE"/>
    <w:rsid w:val="00AF7774"/>
    <w:rsid w:val="00AF7CC0"/>
    <w:rsid w:val="00B043D9"/>
    <w:rsid w:val="00B066EF"/>
    <w:rsid w:val="00B07465"/>
    <w:rsid w:val="00B1295A"/>
    <w:rsid w:val="00B138FA"/>
    <w:rsid w:val="00B15E48"/>
    <w:rsid w:val="00B16338"/>
    <w:rsid w:val="00B16E66"/>
    <w:rsid w:val="00B16F05"/>
    <w:rsid w:val="00B2068E"/>
    <w:rsid w:val="00B20A45"/>
    <w:rsid w:val="00B21A66"/>
    <w:rsid w:val="00B22C5C"/>
    <w:rsid w:val="00B23A4B"/>
    <w:rsid w:val="00B24F30"/>
    <w:rsid w:val="00B25BF4"/>
    <w:rsid w:val="00B26A47"/>
    <w:rsid w:val="00B30C3B"/>
    <w:rsid w:val="00B31ABF"/>
    <w:rsid w:val="00B31D73"/>
    <w:rsid w:val="00B33BE3"/>
    <w:rsid w:val="00B34B37"/>
    <w:rsid w:val="00B43E1D"/>
    <w:rsid w:val="00B46D55"/>
    <w:rsid w:val="00B47954"/>
    <w:rsid w:val="00B53B5D"/>
    <w:rsid w:val="00B55915"/>
    <w:rsid w:val="00B568B2"/>
    <w:rsid w:val="00B6055E"/>
    <w:rsid w:val="00B61D09"/>
    <w:rsid w:val="00B6317D"/>
    <w:rsid w:val="00B659D7"/>
    <w:rsid w:val="00B662D9"/>
    <w:rsid w:val="00B70BA8"/>
    <w:rsid w:val="00B76C88"/>
    <w:rsid w:val="00B7723F"/>
    <w:rsid w:val="00B77973"/>
    <w:rsid w:val="00B80534"/>
    <w:rsid w:val="00B8433C"/>
    <w:rsid w:val="00B864DA"/>
    <w:rsid w:val="00B87491"/>
    <w:rsid w:val="00B93B36"/>
    <w:rsid w:val="00B93ECE"/>
    <w:rsid w:val="00B946C4"/>
    <w:rsid w:val="00B94E7D"/>
    <w:rsid w:val="00BA224B"/>
    <w:rsid w:val="00BA29E9"/>
    <w:rsid w:val="00BA7142"/>
    <w:rsid w:val="00BA79A8"/>
    <w:rsid w:val="00BA7E7E"/>
    <w:rsid w:val="00BB0735"/>
    <w:rsid w:val="00BB237C"/>
    <w:rsid w:val="00BB2A45"/>
    <w:rsid w:val="00BB3F34"/>
    <w:rsid w:val="00BB41A3"/>
    <w:rsid w:val="00BC2659"/>
    <w:rsid w:val="00BC32DC"/>
    <w:rsid w:val="00BC35B6"/>
    <w:rsid w:val="00BC3EC8"/>
    <w:rsid w:val="00BC528D"/>
    <w:rsid w:val="00BD1B51"/>
    <w:rsid w:val="00BD4596"/>
    <w:rsid w:val="00BD4660"/>
    <w:rsid w:val="00BD48FE"/>
    <w:rsid w:val="00BD5680"/>
    <w:rsid w:val="00BD5B66"/>
    <w:rsid w:val="00BE1196"/>
    <w:rsid w:val="00BE1405"/>
    <w:rsid w:val="00BE1B5B"/>
    <w:rsid w:val="00BE312D"/>
    <w:rsid w:val="00BE4D12"/>
    <w:rsid w:val="00BE6100"/>
    <w:rsid w:val="00BF0085"/>
    <w:rsid w:val="00BF1237"/>
    <w:rsid w:val="00BF1C20"/>
    <w:rsid w:val="00BF26DC"/>
    <w:rsid w:val="00BF77FE"/>
    <w:rsid w:val="00BF78F5"/>
    <w:rsid w:val="00C02212"/>
    <w:rsid w:val="00C04D91"/>
    <w:rsid w:val="00C05AE4"/>
    <w:rsid w:val="00C06AC7"/>
    <w:rsid w:val="00C1006D"/>
    <w:rsid w:val="00C10578"/>
    <w:rsid w:val="00C135BC"/>
    <w:rsid w:val="00C15C95"/>
    <w:rsid w:val="00C173E3"/>
    <w:rsid w:val="00C17740"/>
    <w:rsid w:val="00C2068B"/>
    <w:rsid w:val="00C2596A"/>
    <w:rsid w:val="00C27537"/>
    <w:rsid w:val="00C328FE"/>
    <w:rsid w:val="00C3310E"/>
    <w:rsid w:val="00C33507"/>
    <w:rsid w:val="00C335A8"/>
    <w:rsid w:val="00C40884"/>
    <w:rsid w:val="00C41FCA"/>
    <w:rsid w:val="00C4409D"/>
    <w:rsid w:val="00C44E72"/>
    <w:rsid w:val="00C45A06"/>
    <w:rsid w:val="00C45BD6"/>
    <w:rsid w:val="00C474B3"/>
    <w:rsid w:val="00C47E5B"/>
    <w:rsid w:val="00C51F90"/>
    <w:rsid w:val="00C54224"/>
    <w:rsid w:val="00C5547D"/>
    <w:rsid w:val="00C61E4B"/>
    <w:rsid w:val="00C625DC"/>
    <w:rsid w:val="00C64A46"/>
    <w:rsid w:val="00C64BFF"/>
    <w:rsid w:val="00C64D57"/>
    <w:rsid w:val="00C704E9"/>
    <w:rsid w:val="00C72588"/>
    <w:rsid w:val="00C732BE"/>
    <w:rsid w:val="00C763C9"/>
    <w:rsid w:val="00C76422"/>
    <w:rsid w:val="00C76CE4"/>
    <w:rsid w:val="00C80057"/>
    <w:rsid w:val="00C8024A"/>
    <w:rsid w:val="00C82232"/>
    <w:rsid w:val="00C82913"/>
    <w:rsid w:val="00C8437A"/>
    <w:rsid w:val="00C8553C"/>
    <w:rsid w:val="00C869D0"/>
    <w:rsid w:val="00C93C53"/>
    <w:rsid w:val="00C95004"/>
    <w:rsid w:val="00C972B1"/>
    <w:rsid w:val="00CA154E"/>
    <w:rsid w:val="00CA1771"/>
    <w:rsid w:val="00CA2CCE"/>
    <w:rsid w:val="00CA3D36"/>
    <w:rsid w:val="00CA43FD"/>
    <w:rsid w:val="00CA5093"/>
    <w:rsid w:val="00CA53DE"/>
    <w:rsid w:val="00CA5B0A"/>
    <w:rsid w:val="00CA5FEB"/>
    <w:rsid w:val="00CA7EF8"/>
    <w:rsid w:val="00CB18F3"/>
    <w:rsid w:val="00CB2BE2"/>
    <w:rsid w:val="00CB519C"/>
    <w:rsid w:val="00CB6F19"/>
    <w:rsid w:val="00CC34DD"/>
    <w:rsid w:val="00CC3594"/>
    <w:rsid w:val="00CC37C2"/>
    <w:rsid w:val="00CC489B"/>
    <w:rsid w:val="00CD2BCD"/>
    <w:rsid w:val="00CD3A4C"/>
    <w:rsid w:val="00CD4942"/>
    <w:rsid w:val="00CD4D56"/>
    <w:rsid w:val="00CD51CC"/>
    <w:rsid w:val="00CD5770"/>
    <w:rsid w:val="00CD633C"/>
    <w:rsid w:val="00CE10E9"/>
    <w:rsid w:val="00CE2910"/>
    <w:rsid w:val="00CE5393"/>
    <w:rsid w:val="00CE56FF"/>
    <w:rsid w:val="00CE6A7C"/>
    <w:rsid w:val="00CE6AD8"/>
    <w:rsid w:val="00CF031F"/>
    <w:rsid w:val="00CF03E0"/>
    <w:rsid w:val="00CF10C8"/>
    <w:rsid w:val="00CF363E"/>
    <w:rsid w:val="00CF36BE"/>
    <w:rsid w:val="00CF4B0A"/>
    <w:rsid w:val="00CF6000"/>
    <w:rsid w:val="00D00112"/>
    <w:rsid w:val="00D003F3"/>
    <w:rsid w:val="00D0364F"/>
    <w:rsid w:val="00D03D8C"/>
    <w:rsid w:val="00D06834"/>
    <w:rsid w:val="00D10580"/>
    <w:rsid w:val="00D115A2"/>
    <w:rsid w:val="00D121FA"/>
    <w:rsid w:val="00D17985"/>
    <w:rsid w:val="00D21549"/>
    <w:rsid w:val="00D308ED"/>
    <w:rsid w:val="00D35677"/>
    <w:rsid w:val="00D36D86"/>
    <w:rsid w:val="00D41039"/>
    <w:rsid w:val="00D428AA"/>
    <w:rsid w:val="00D45684"/>
    <w:rsid w:val="00D45A14"/>
    <w:rsid w:val="00D50A34"/>
    <w:rsid w:val="00D53EFA"/>
    <w:rsid w:val="00D55A76"/>
    <w:rsid w:val="00D618C9"/>
    <w:rsid w:val="00D6421C"/>
    <w:rsid w:val="00D64483"/>
    <w:rsid w:val="00D70158"/>
    <w:rsid w:val="00D7028C"/>
    <w:rsid w:val="00D75AEF"/>
    <w:rsid w:val="00D76730"/>
    <w:rsid w:val="00D84281"/>
    <w:rsid w:val="00D85F55"/>
    <w:rsid w:val="00D93B8F"/>
    <w:rsid w:val="00D940B2"/>
    <w:rsid w:val="00D94A7C"/>
    <w:rsid w:val="00D956E0"/>
    <w:rsid w:val="00D95896"/>
    <w:rsid w:val="00D976C6"/>
    <w:rsid w:val="00D97854"/>
    <w:rsid w:val="00DA2F1C"/>
    <w:rsid w:val="00DA34C3"/>
    <w:rsid w:val="00DA45D2"/>
    <w:rsid w:val="00DA563A"/>
    <w:rsid w:val="00DB091F"/>
    <w:rsid w:val="00DB1FB7"/>
    <w:rsid w:val="00DB2983"/>
    <w:rsid w:val="00DB5454"/>
    <w:rsid w:val="00DB58C8"/>
    <w:rsid w:val="00DB77C9"/>
    <w:rsid w:val="00DB79E1"/>
    <w:rsid w:val="00DC1257"/>
    <w:rsid w:val="00DC2FC5"/>
    <w:rsid w:val="00DC3DC0"/>
    <w:rsid w:val="00DC5B2B"/>
    <w:rsid w:val="00DC7ACF"/>
    <w:rsid w:val="00DD076C"/>
    <w:rsid w:val="00DD318D"/>
    <w:rsid w:val="00DD369F"/>
    <w:rsid w:val="00DD4418"/>
    <w:rsid w:val="00DD53EF"/>
    <w:rsid w:val="00DD77F4"/>
    <w:rsid w:val="00DE4969"/>
    <w:rsid w:val="00DF2E12"/>
    <w:rsid w:val="00DF436D"/>
    <w:rsid w:val="00DF514A"/>
    <w:rsid w:val="00DF6690"/>
    <w:rsid w:val="00DF6804"/>
    <w:rsid w:val="00DF7819"/>
    <w:rsid w:val="00E010F3"/>
    <w:rsid w:val="00E0358D"/>
    <w:rsid w:val="00E04323"/>
    <w:rsid w:val="00E05914"/>
    <w:rsid w:val="00E06F21"/>
    <w:rsid w:val="00E070A2"/>
    <w:rsid w:val="00E10CE8"/>
    <w:rsid w:val="00E122E2"/>
    <w:rsid w:val="00E166E1"/>
    <w:rsid w:val="00E16D99"/>
    <w:rsid w:val="00E17300"/>
    <w:rsid w:val="00E24DA4"/>
    <w:rsid w:val="00E2619D"/>
    <w:rsid w:val="00E2656A"/>
    <w:rsid w:val="00E30A19"/>
    <w:rsid w:val="00E33DF2"/>
    <w:rsid w:val="00E351AC"/>
    <w:rsid w:val="00E37733"/>
    <w:rsid w:val="00E40CB3"/>
    <w:rsid w:val="00E412D0"/>
    <w:rsid w:val="00E429F5"/>
    <w:rsid w:val="00E464A2"/>
    <w:rsid w:val="00E471CF"/>
    <w:rsid w:val="00E56322"/>
    <w:rsid w:val="00E56A34"/>
    <w:rsid w:val="00E60031"/>
    <w:rsid w:val="00E603FE"/>
    <w:rsid w:val="00E60982"/>
    <w:rsid w:val="00E62C62"/>
    <w:rsid w:val="00E62F83"/>
    <w:rsid w:val="00E6332C"/>
    <w:rsid w:val="00E654C1"/>
    <w:rsid w:val="00E654E3"/>
    <w:rsid w:val="00E65A50"/>
    <w:rsid w:val="00E65D97"/>
    <w:rsid w:val="00E72A5A"/>
    <w:rsid w:val="00E73354"/>
    <w:rsid w:val="00E752DE"/>
    <w:rsid w:val="00E76218"/>
    <w:rsid w:val="00E77484"/>
    <w:rsid w:val="00E83F76"/>
    <w:rsid w:val="00E9242D"/>
    <w:rsid w:val="00E93EB7"/>
    <w:rsid w:val="00EA357E"/>
    <w:rsid w:val="00EA4698"/>
    <w:rsid w:val="00EA5E63"/>
    <w:rsid w:val="00EA67D1"/>
    <w:rsid w:val="00EB0E2C"/>
    <w:rsid w:val="00EB145F"/>
    <w:rsid w:val="00EB3364"/>
    <w:rsid w:val="00EB5255"/>
    <w:rsid w:val="00EB5C47"/>
    <w:rsid w:val="00EB6EE6"/>
    <w:rsid w:val="00EC350D"/>
    <w:rsid w:val="00EC444E"/>
    <w:rsid w:val="00EC45D8"/>
    <w:rsid w:val="00ED0639"/>
    <w:rsid w:val="00ED22AF"/>
    <w:rsid w:val="00ED3314"/>
    <w:rsid w:val="00EE0481"/>
    <w:rsid w:val="00EE470B"/>
    <w:rsid w:val="00EE64AB"/>
    <w:rsid w:val="00EE6A99"/>
    <w:rsid w:val="00EF17D1"/>
    <w:rsid w:val="00EF25D9"/>
    <w:rsid w:val="00EF2857"/>
    <w:rsid w:val="00EF29E0"/>
    <w:rsid w:val="00EF4755"/>
    <w:rsid w:val="00EF61B6"/>
    <w:rsid w:val="00EF7135"/>
    <w:rsid w:val="00F00FFB"/>
    <w:rsid w:val="00F027DB"/>
    <w:rsid w:val="00F04A6B"/>
    <w:rsid w:val="00F04F1B"/>
    <w:rsid w:val="00F05140"/>
    <w:rsid w:val="00F055AF"/>
    <w:rsid w:val="00F10B30"/>
    <w:rsid w:val="00F11914"/>
    <w:rsid w:val="00F14A7A"/>
    <w:rsid w:val="00F22985"/>
    <w:rsid w:val="00F2303B"/>
    <w:rsid w:val="00F3383E"/>
    <w:rsid w:val="00F35F82"/>
    <w:rsid w:val="00F36556"/>
    <w:rsid w:val="00F368B8"/>
    <w:rsid w:val="00F41DC2"/>
    <w:rsid w:val="00F44A16"/>
    <w:rsid w:val="00F465A7"/>
    <w:rsid w:val="00F475A9"/>
    <w:rsid w:val="00F50B7C"/>
    <w:rsid w:val="00F50C3A"/>
    <w:rsid w:val="00F51FD3"/>
    <w:rsid w:val="00F550E6"/>
    <w:rsid w:val="00F5726B"/>
    <w:rsid w:val="00F60481"/>
    <w:rsid w:val="00F63793"/>
    <w:rsid w:val="00F74345"/>
    <w:rsid w:val="00F7531A"/>
    <w:rsid w:val="00F80A0A"/>
    <w:rsid w:val="00F8111D"/>
    <w:rsid w:val="00F82B19"/>
    <w:rsid w:val="00F83AB9"/>
    <w:rsid w:val="00F83DE3"/>
    <w:rsid w:val="00F858B1"/>
    <w:rsid w:val="00F85EFE"/>
    <w:rsid w:val="00F86F55"/>
    <w:rsid w:val="00F91B24"/>
    <w:rsid w:val="00F9212D"/>
    <w:rsid w:val="00F941D1"/>
    <w:rsid w:val="00F94ED0"/>
    <w:rsid w:val="00F963A5"/>
    <w:rsid w:val="00F965DA"/>
    <w:rsid w:val="00FA057D"/>
    <w:rsid w:val="00FA29B8"/>
    <w:rsid w:val="00FA2A68"/>
    <w:rsid w:val="00FA406A"/>
    <w:rsid w:val="00FA77A5"/>
    <w:rsid w:val="00FB0D5B"/>
    <w:rsid w:val="00FB2515"/>
    <w:rsid w:val="00FB4D3C"/>
    <w:rsid w:val="00FB503A"/>
    <w:rsid w:val="00FB516C"/>
    <w:rsid w:val="00FC19B2"/>
    <w:rsid w:val="00FC7BAF"/>
    <w:rsid w:val="00FD0236"/>
    <w:rsid w:val="00FD18F4"/>
    <w:rsid w:val="00FD2585"/>
    <w:rsid w:val="00FD3E60"/>
    <w:rsid w:val="00FD54DB"/>
    <w:rsid w:val="00FD619F"/>
    <w:rsid w:val="00FD6583"/>
    <w:rsid w:val="00FD75E5"/>
    <w:rsid w:val="00FE1136"/>
    <w:rsid w:val="00FE279F"/>
    <w:rsid w:val="00FE3A4D"/>
    <w:rsid w:val="00FE4E7A"/>
    <w:rsid w:val="00FE5282"/>
    <w:rsid w:val="00FE537D"/>
    <w:rsid w:val="00FE6600"/>
    <w:rsid w:val="00FF103A"/>
    <w:rsid w:val="00FF3D39"/>
    <w:rsid w:val="00FF442A"/>
    <w:rsid w:val="00FF4886"/>
    <w:rsid w:val="00FF5A32"/>
    <w:rsid w:val="00FF5CAD"/>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012A61"/>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qFormat="1"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5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03"/>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4"/>
    <w:next w:val="1"/>
    <w:link w:val="69"/>
    <w:qFormat/>
    <w:locked/>
    <w:uiPriority w:val="0"/>
    <w:pPr>
      <w:pageBreakBefore/>
      <w:tabs>
        <w:tab w:val="right" w:leader="dot" w:pos="8165"/>
      </w:tabs>
      <w:adjustRightInd w:val="0"/>
      <w:spacing w:line="480" w:lineRule="atLeast"/>
      <w:ind w:left="0" w:leftChars="0"/>
      <w:outlineLvl w:val="1"/>
    </w:pPr>
    <w:rPr>
      <w:rFonts w:hint="eastAsia" w:ascii="黑体" w:hAnsi="Arial" w:eastAsia="黑体" w:cs="仿宋_GB2312"/>
      <w:szCs w:val="20"/>
    </w:rPr>
  </w:style>
  <w:style w:type="paragraph" w:styleId="5">
    <w:name w:val="heading 3"/>
    <w:basedOn w:val="1"/>
    <w:next w:val="1"/>
    <w:link w:val="70"/>
    <w:qFormat/>
    <w:locked/>
    <w:uiPriority w:val="0"/>
    <w:pPr>
      <w:keepNext/>
      <w:keepLines/>
      <w:widowControl/>
      <w:spacing w:before="260" w:after="260" w:line="416" w:lineRule="atLeast"/>
      <w:ind w:firstLine="200" w:firstLineChars="200"/>
      <w:jc w:val="left"/>
      <w:outlineLvl w:val="2"/>
    </w:pPr>
    <w:rPr>
      <w:b/>
      <w:bCs/>
      <w:kern w:val="0"/>
      <w:sz w:val="32"/>
      <w:szCs w:val="32"/>
    </w:rPr>
  </w:style>
  <w:style w:type="paragraph" w:styleId="6">
    <w:name w:val="heading 4"/>
    <w:basedOn w:val="1"/>
    <w:next w:val="1"/>
    <w:link w:val="71"/>
    <w:qFormat/>
    <w:locked/>
    <w:uiPriority w:val="0"/>
    <w:pPr>
      <w:keepNext/>
      <w:keepLines/>
      <w:widowControl/>
      <w:spacing w:before="280" w:after="290" w:line="376" w:lineRule="auto"/>
      <w:ind w:firstLine="200" w:firstLineChars="200"/>
      <w:jc w:val="left"/>
      <w:outlineLvl w:val="3"/>
    </w:pPr>
    <w:rPr>
      <w:rFonts w:ascii="Arial" w:hAnsi="Arial" w:eastAsia="黑体"/>
      <w:b/>
      <w:bCs/>
      <w:kern w:val="0"/>
      <w:sz w:val="28"/>
      <w:szCs w:val="28"/>
    </w:rPr>
  </w:style>
  <w:style w:type="paragraph" w:styleId="7">
    <w:name w:val="heading 5"/>
    <w:next w:val="1"/>
    <w:link w:val="72"/>
    <w:qFormat/>
    <w:locked/>
    <w:uiPriority w:val="0"/>
    <w:pPr>
      <w:keepNext/>
      <w:keepLines/>
      <w:spacing w:before="280" w:after="290" w:line="376" w:lineRule="auto"/>
      <w:outlineLvl w:val="4"/>
    </w:pPr>
    <w:rPr>
      <w:rFonts w:ascii="Times New Roman" w:hAnsi="Times New Roman" w:eastAsia="宋体" w:cs="Times New Roman"/>
      <w:b/>
      <w:bCs/>
      <w:sz w:val="28"/>
      <w:szCs w:val="28"/>
      <w:lang w:val="en-US" w:eastAsia="zh-CN" w:bidi="ar-SA"/>
    </w:rPr>
  </w:style>
  <w:style w:type="paragraph" w:styleId="8">
    <w:name w:val="heading 6"/>
    <w:next w:val="1"/>
    <w:link w:val="73"/>
    <w:qFormat/>
    <w:locked/>
    <w:uiPriority w:val="0"/>
    <w:pPr>
      <w:keepNext/>
      <w:keepLines/>
      <w:spacing w:before="240" w:after="64" w:line="320" w:lineRule="auto"/>
      <w:outlineLvl w:val="5"/>
    </w:pPr>
    <w:rPr>
      <w:rFonts w:ascii="Arial" w:hAnsi="Arial" w:eastAsia="黑体" w:cs="Times New Roman"/>
      <w:b/>
      <w:bCs/>
      <w:sz w:val="24"/>
      <w:lang w:val="en-US" w:eastAsia="zh-CN" w:bidi="ar-SA"/>
    </w:rPr>
  </w:style>
  <w:style w:type="paragraph" w:styleId="9">
    <w:name w:val="heading 7"/>
    <w:next w:val="1"/>
    <w:link w:val="74"/>
    <w:qFormat/>
    <w:locked/>
    <w:uiPriority w:val="0"/>
    <w:pPr>
      <w:keepNext/>
      <w:keepLines/>
      <w:spacing w:before="240" w:after="64" w:line="320" w:lineRule="auto"/>
      <w:outlineLvl w:val="6"/>
    </w:pPr>
    <w:rPr>
      <w:rFonts w:ascii="Times New Roman" w:hAnsi="Times New Roman" w:eastAsia="宋体" w:cs="Times New Roman"/>
      <w:b/>
      <w:bCs/>
      <w:sz w:val="24"/>
      <w:lang w:val="en-US" w:eastAsia="zh-CN" w:bidi="ar-SA"/>
    </w:rPr>
  </w:style>
  <w:style w:type="paragraph" w:styleId="10">
    <w:name w:val="heading 8"/>
    <w:next w:val="1"/>
    <w:link w:val="75"/>
    <w:qFormat/>
    <w:locked/>
    <w:uiPriority w:val="0"/>
    <w:pPr>
      <w:keepNext/>
      <w:keepLines/>
      <w:spacing w:before="240" w:after="64" w:line="320" w:lineRule="auto"/>
      <w:outlineLvl w:val="7"/>
    </w:pPr>
    <w:rPr>
      <w:rFonts w:ascii="Arial" w:hAnsi="Arial" w:eastAsia="黑体" w:cs="Times New Roman"/>
      <w:sz w:val="24"/>
      <w:lang w:val="en-US" w:eastAsia="zh-CN" w:bidi="ar-SA"/>
    </w:rPr>
  </w:style>
  <w:style w:type="paragraph" w:styleId="11">
    <w:name w:val="heading 9"/>
    <w:next w:val="1"/>
    <w:link w:val="76"/>
    <w:qFormat/>
    <w:locked/>
    <w:uiPriority w:val="0"/>
    <w:pPr>
      <w:keepNext/>
      <w:keepLines/>
      <w:spacing w:before="240" w:after="64" w:line="320" w:lineRule="auto"/>
      <w:outlineLvl w:val="8"/>
    </w:pPr>
    <w:rPr>
      <w:rFonts w:ascii="Arial" w:hAnsi="Arial" w:eastAsia="黑体" w:cs="Times New Roman"/>
      <w:szCs w:val="21"/>
      <w:lang w:val="en-US" w:eastAsia="zh-CN" w:bidi="ar-SA"/>
    </w:rPr>
  </w:style>
  <w:style w:type="character" w:default="1" w:styleId="46">
    <w:name w:val="Default Paragraph Font"/>
    <w:semiHidden/>
    <w:unhideWhenUsed/>
    <w:uiPriority w:val="1"/>
  </w:style>
  <w:style w:type="table" w:default="1" w:styleId="44">
    <w:name w:val="Normal Table"/>
    <w:semiHidden/>
    <w:unhideWhenUsed/>
    <w:uiPriority w:val="99"/>
    <w:tblPr>
      <w:tblLayout w:type="fixed"/>
      <w:tblCellMar>
        <w:top w:w="0" w:type="dxa"/>
        <w:left w:w="108" w:type="dxa"/>
        <w:bottom w:w="0" w:type="dxa"/>
        <w:right w:w="108" w:type="dxa"/>
      </w:tblCellMar>
    </w:tblPr>
  </w:style>
  <w:style w:type="paragraph" w:styleId="4">
    <w:name w:val="toc 2"/>
    <w:basedOn w:val="1"/>
    <w:next w:val="1"/>
    <w:qFormat/>
    <w:locked/>
    <w:uiPriority w:val="0"/>
    <w:pPr>
      <w:widowControl/>
      <w:spacing w:line="360" w:lineRule="auto"/>
      <w:ind w:left="420" w:leftChars="200" w:firstLine="200" w:firstLineChars="200"/>
      <w:jc w:val="left"/>
    </w:pPr>
    <w:rPr>
      <w:kern w:val="0"/>
      <w:sz w:val="24"/>
    </w:rPr>
  </w:style>
  <w:style w:type="paragraph" w:styleId="12">
    <w:name w:val="toc 7"/>
    <w:basedOn w:val="1"/>
    <w:next w:val="1"/>
    <w:locked/>
    <w:uiPriority w:val="0"/>
    <w:pPr>
      <w:ind w:left="1260"/>
      <w:jc w:val="left"/>
    </w:pPr>
    <w:rPr>
      <w:sz w:val="18"/>
      <w:szCs w:val="18"/>
    </w:rPr>
  </w:style>
  <w:style w:type="paragraph" w:styleId="13">
    <w:name w:val="Note Heading"/>
    <w:basedOn w:val="1"/>
    <w:next w:val="1"/>
    <w:link w:val="162"/>
    <w:locked/>
    <w:uiPriority w:val="0"/>
    <w:pPr>
      <w:jc w:val="center"/>
    </w:pPr>
    <w:rPr>
      <w:sz w:val="24"/>
      <w:szCs w:val="20"/>
    </w:rPr>
  </w:style>
  <w:style w:type="paragraph" w:styleId="14">
    <w:name w:val="Normal Indent"/>
    <w:basedOn w:val="1"/>
    <w:link w:val="82"/>
    <w:qFormat/>
    <w:locked/>
    <w:uiPriority w:val="0"/>
    <w:pPr>
      <w:widowControl/>
      <w:ind w:firstLine="420" w:firstLineChars="200"/>
      <w:jc w:val="left"/>
    </w:pPr>
    <w:rPr>
      <w:szCs w:val="20"/>
    </w:rPr>
  </w:style>
  <w:style w:type="paragraph" w:styleId="15">
    <w:name w:val="caption"/>
    <w:basedOn w:val="1"/>
    <w:next w:val="1"/>
    <w:qFormat/>
    <w:locked/>
    <w:uiPriority w:val="0"/>
    <w:pPr>
      <w:widowControl/>
      <w:spacing w:line="360" w:lineRule="auto"/>
      <w:ind w:firstLine="200" w:firstLineChars="200"/>
      <w:jc w:val="left"/>
    </w:pPr>
    <w:rPr>
      <w:rFonts w:ascii="Cambria" w:hAnsi="Cambria" w:eastAsia="黑体"/>
      <w:kern w:val="0"/>
      <w:sz w:val="20"/>
      <w:szCs w:val="20"/>
    </w:rPr>
  </w:style>
  <w:style w:type="paragraph" w:styleId="16">
    <w:name w:val="Document Map"/>
    <w:basedOn w:val="1"/>
    <w:link w:val="120"/>
    <w:qFormat/>
    <w:locked/>
    <w:uiPriority w:val="0"/>
    <w:pPr>
      <w:widowControl/>
      <w:shd w:val="clear" w:color="auto" w:fill="000080"/>
      <w:spacing w:line="360" w:lineRule="auto"/>
      <w:ind w:firstLine="200" w:firstLineChars="200"/>
      <w:jc w:val="left"/>
    </w:pPr>
    <w:rPr>
      <w:kern w:val="0"/>
      <w:sz w:val="24"/>
    </w:rPr>
  </w:style>
  <w:style w:type="paragraph" w:styleId="17">
    <w:name w:val="annotation text"/>
    <w:basedOn w:val="1"/>
    <w:link w:val="58"/>
    <w:qFormat/>
    <w:uiPriority w:val="0"/>
    <w:pPr>
      <w:jc w:val="left"/>
    </w:pPr>
    <w:rPr>
      <w:kern w:val="0"/>
      <w:sz w:val="24"/>
      <w:szCs w:val="20"/>
    </w:rPr>
  </w:style>
  <w:style w:type="paragraph" w:styleId="18">
    <w:name w:val="Body Text 3"/>
    <w:basedOn w:val="1"/>
    <w:link w:val="83"/>
    <w:qFormat/>
    <w:locked/>
    <w:uiPriority w:val="0"/>
    <w:pPr>
      <w:widowControl/>
      <w:spacing w:after="120" w:line="360" w:lineRule="auto"/>
      <w:ind w:firstLine="200" w:firstLineChars="200"/>
      <w:jc w:val="left"/>
    </w:pPr>
    <w:rPr>
      <w:sz w:val="16"/>
      <w:szCs w:val="16"/>
    </w:rPr>
  </w:style>
  <w:style w:type="paragraph" w:styleId="19">
    <w:name w:val="Body Text"/>
    <w:basedOn w:val="1"/>
    <w:link w:val="57"/>
    <w:qFormat/>
    <w:uiPriority w:val="0"/>
    <w:pPr>
      <w:widowControl/>
      <w:snapToGrid w:val="0"/>
      <w:spacing w:before="60" w:after="160" w:line="259" w:lineRule="auto"/>
      <w:ind w:right="113"/>
    </w:pPr>
    <w:rPr>
      <w:kern w:val="0"/>
      <w:sz w:val="18"/>
      <w:szCs w:val="20"/>
    </w:rPr>
  </w:style>
  <w:style w:type="paragraph" w:styleId="20">
    <w:name w:val="Body Text Indent"/>
    <w:basedOn w:val="1"/>
    <w:link w:val="66"/>
    <w:qFormat/>
    <w:uiPriority w:val="0"/>
    <w:pPr>
      <w:spacing w:after="120"/>
      <w:ind w:left="420" w:leftChars="200"/>
    </w:pPr>
    <w:rPr>
      <w:kern w:val="0"/>
      <w:sz w:val="24"/>
      <w:szCs w:val="20"/>
    </w:rPr>
  </w:style>
  <w:style w:type="paragraph" w:styleId="21">
    <w:name w:val="toc 5"/>
    <w:basedOn w:val="1"/>
    <w:next w:val="1"/>
    <w:locked/>
    <w:uiPriority w:val="0"/>
    <w:pPr>
      <w:ind w:left="840"/>
      <w:jc w:val="left"/>
    </w:pPr>
    <w:rPr>
      <w:sz w:val="18"/>
      <w:szCs w:val="18"/>
    </w:rPr>
  </w:style>
  <w:style w:type="paragraph" w:styleId="22">
    <w:name w:val="toc 3"/>
    <w:basedOn w:val="1"/>
    <w:next w:val="1"/>
    <w:qFormat/>
    <w:locked/>
    <w:uiPriority w:val="0"/>
    <w:pPr>
      <w:widowControl/>
      <w:spacing w:line="360" w:lineRule="auto"/>
      <w:ind w:left="840" w:leftChars="400" w:firstLine="200" w:firstLineChars="200"/>
      <w:jc w:val="left"/>
    </w:pPr>
    <w:rPr>
      <w:kern w:val="0"/>
      <w:sz w:val="24"/>
    </w:rPr>
  </w:style>
  <w:style w:type="paragraph" w:styleId="23">
    <w:name w:val="Plain Text"/>
    <w:basedOn w:val="1"/>
    <w:link w:val="79"/>
    <w:locked/>
    <w:uiPriority w:val="0"/>
    <w:pPr>
      <w:widowControl/>
      <w:spacing w:line="360" w:lineRule="auto"/>
      <w:ind w:firstLine="200" w:firstLineChars="200"/>
      <w:jc w:val="left"/>
    </w:pPr>
    <w:rPr>
      <w:rFonts w:ascii="宋体" w:hAnsi="Courier New"/>
      <w:sz w:val="28"/>
      <w:szCs w:val="21"/>
    </w:rPr>
  </w:style>
  <w:style w:type="paragraph" w:styleId="24">
    <w:name w:val="toc 8"/>
    <w:basedOn w:val="1"/>
    <w:next w:val="1"/>
    <w:locked/>
    <w:uiPriority w:val="0"/>
    <w:pPr>
      <w:ind w:left="1470"/>
      <w:jc w:val="left"/>
    </w:pPr>
    <w:rPr>
      <w:sz w:val="18"/>
      <w:szCs w:val="18"/>
    </w:rPr>
  </w:style>
  <w:style w:type="paragraph" w:styleId="25">
    <w:name w:val="Date"/>
    <w:basedOn w:val="1"/>
    <w:next w:val="1"/>
    <w:link w:val="53"/>
    <w:qFormat/>
    <w:uiPriority w:val="0"/>
    <w:pPr>
      <w:ind w:left="100" w:leftChars="2500"/>
    </w:pPr>
    <w:rPr>
      <w:kern w:val="0"/>
      <w:sz w:val="24"/>
      <w:szCs w:val="20"/>
    </w:rPr>
  </w:style>
  <w:style w:type="paragraph" w:styleId="26">
    <w:name w:val="Body Text Indent 2"/>
    <w:basedOn w:val="1"/>
    <w:link w:val="84"/>
    <w:qFormat/>
    <w:locked/>
    <w:uiPriority w:val="0"/>
    <w:pPr>
      <w:widowControl/>
      <w:spacing w:after="120" w:line="480" w:lineRule="auto"/>
      <w:ind w:left="420" w:leftChars="200" w:firstLine="200" w:firstLineChars="200"/>
      <w:jc w:val="left"/>
    </w:pPr>
  </w:style>
  <w:style w:type="paragraph" w:styleId="27">
    <w:name w:val="Balloon Text"/>
    <w:basedOn w:val="1"/>
    <w:link w:val="62"/>
    <w:qFormat/>
    <w:uiPriority w:val="0"/>
    <w:rPr>
      <w:kern w:val="0"/>
      <w:sz w:val="18"/>
      <w:szCs w:val="20"/>
    </w:rPr>
  </w:style>
  <w:style w:type="paragraph" w:styleId="28">
    <w:name w:val="footer"/>
    <w:basedOn w:val="1"/>
    <w:link w:val="52"/>
    <w:qFormat/>
    <w:uiPriority w:val="0"/>
    <w:pPr>
      <w:tabs>
        <w:tab w:val="center" w:pos="4153"/>
        <w:tab w:val="right" w:pos="8306"/>
      </w:tabs>
      <w:snapToGrid w:val="0"/>
      <w:jc w:val="left"/>
    </w:pPr>
    <w:rPr>
      <w:kern w:val="0"/>
      <w:sz w:val="18"/>
      <w:szCs w:val="20"/>
    </w:rPr>
  </w:style>
  <w:style w:type="paragraph" w:styleId="29">
    <w:name w:val="header"/>
    <w:basedOn w:val="1"/>
    <w:link w:val="64"/>
    <w:qFormat/>
    <w:uiPriority w:val="0"/>
    <w:pPr>
      <w:pBdr>
        <w:bottom w:val="single" w:color="auto" w:sz="6" w:space="1"/>
      </w:pBdr>
      <w:tabs>
        <w:tab w:val="center" w:pos="4153"/>
        <w:tab w:val="right" w:pos="8306"/>
      </w:tabs>
      <w:snapToGrid w:val="0"/>
      <w:jc w:val="center"/>
    </w:pPr>
    <w:rPr>
      <w:kern w:val="0"/>
      <w:sz w:val="18"/>
      <w:szCs w:val="20"/>
    </w:rPr>
  </w:style>
  <w:style w:type="paragraph" w:styleId="30">
    <w:name w:val="toc 1"/>
    <w:basedOn w:val="1"/>
    <w:next w:val="1"/>
    <w:qFormat/>
    <w:locked/>
    <w:uiPriority w:val="39"/>
    <w:pPr>
      <w:widowControl/>
      <w:tabs>
        <w:tab w:val="right" w:leader="middleDot" w:pos="9060"/>
      </w:tabs>
      <w:adjustRightInd w:val="0"/>
      <w:snapToGrid w:val="0"/>
      <w:spacing w:line="360" w:lineRule="auto"/>
      <w:ind w:firstLine="200" w:firstLineChars="200"/>
      <w:jc w:val="left"/>
    </w:pPr>
    <w:rPr>
      <w:b/>
      <w:kern w:val="0"/>
      <w:sz w:val="28"/>
    </w:rPr>
  </w:style>
  <w:style w:type="paragraph" w:styleId="31">
    <w:name w:val="toc 4"/>
    <w:basedOn w:val="1"/>
    <w:next w:val="1"/>
    <w:locked/>
    <w:uiPriority w:val="0"/>
    <w:pPr>
      <w:ind w:left="630"/>
      <w:jc w:val="left"/>
    </w:pPr>
    <w:rPr>
      <w:sz w:val="18"/>
      <w:szCs w:val="18"/>
    </w:rPr>
  </w:style>
  <w:style w:type="paragraph" w:styleId="32">
    <w:name w:val="List Number 5"/>
    <w:basedOn w:val="1"/>
    <w:qFormat/>
    <w:locked/>
    <w:uiPriority w:val="0"/>
    <w:pPr>
      <w:widowControl/>
      <w:tabs>
        <w:tab w:val="left" w:pos="2040"/>
      </w:tabs>
      <w:ind w:left="2040" w:hanging="360" w:firstLineChars="200"/>
      <w:jc w:val="left"/>
    </w:pPr>
    <w:rPr>
      <w:kern w:val="0"/>
      <w:sz w:val="24"/>
    </w:rPr>
  </w:style>
  <w:style w:type="paragraph" w:styleId="33">
    <w:name w:val="List"/>
    <w:basedOn w:val="1"/>
    <w:locked/>
    <w:uiPriority w:val="0"/>
    <w:pPr>
      <w:widowControl/>
      <w:spacing w:line="360" w:lineRule="auto"/>
    </w:pPr>
    <w:rPr>
      <w:rFonts w:ascii="宋体"/>
      <w:sz w:val="24"/>
      <w:szCs w:val="20"/>
    </w:rPr>
  </w:style>
  <w:style w:type="paragraph" w:styleId="34">
    <w:name w:val="toc 6"/>
    <w:basedOn w:val="1"/>
    <w:next w:val="1"/>
    <w:locked/>
    <w:uiPriority w:val="0"/>
    <w:pPr>
      <w:ind w:left="1050"/>
      <w:jc w:val="left"/>
    </w:pPr>
    <w:rPr>
      <w:sz w:val="18"/>
      <w:szCs w:val="18"/>
    </w:rPr>
  </w:style>
  <w:style w:type="paragraph" w:styleId="35">
    <w:name w:val="Body Text Indent 3"/>
    <w:basedOn w:val="1"/>
    <w:link w:val="135"/>
    <w:qFormat/>
    <w:locked/>
    <w:uiPriority w:val="0"/>
    <w:pPr>
      <w:widowControl/>
      <w:spacing w:line="360" w:lineRule="auto"/>
      <w:ind w:firstLine="412" w:firstLineChars="200"/>
      <w:jc w:val="left"/>
    </w:pPr>
    <w:rPr>
      <w:kern w:val="0"/>
      <w:sz w:val="28"/>
    </w:rPr>
  </w:style>
  <w:style w:type="paragraph" w:styleId="36">
    <w:name w:val="toc 9"/>
    <w:basedOn w:val="1"/>
    <w:next w:val="1"/>
    <w:locked/>
    <w:uiPriority w:val="0"/>
    <w:pPr>
      <w:ind w:left="1680"/>
      <w:jc w:val="left"/>
    </w:pPr>
    <w:rPr>
      <w:sz w:val="18"/>
      <w:szCs w:val="18"/>
    </w:rPr>
  </w:style>
  <w:style w:type="paragraph" w:styleId="37">
    <w:name w:val="Body Text 2"/>
    <w:basedOn w:val="1"/>
    <w:link w:val="94"/>
    <w:qFormat/>
    <w:locked/>
    <w:uiPriority w:val="0"/>
    <w:pPr>
      <w:widowControl/>
      <w:spacing w:after="120" w:line="480" w:lineRule="auto"/>
      <w:ind w:firstLine="200" w:firstLineChars="200"/>
      <w:jc w:val="left"/>
    </w:pPr>
  </w:style>
  <w:style w:type="paragraph" w:styleId="38">
    <w:name w:val="HTML Preformatted"/>
    <w:basedOn w:val="1"/>
    <w:link w:val="139"/>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00" w:firstLineChars="200"/>
      <w:jc w:val="left"/>
    </w:pPr>
    <w:rPr>
      <w:rFonts w:ascii="宋体" w:hAnsi="宋体" w:cs="宋体"/>
      <w:kern w:val="0"/>
      <w:sz w:val="24"/>
    </w:rPr>
  </w:style>
  <w:style w:type="paragraph" w:styleId="39">
    <w:name w:val="Normal (Web)"/>
    <w:basedOn w:val="1"/>
    <w:link w:val="55"/>
    <w:qFormat/>
    <w:uiPriority w:val="0"/>
    <w:pPr>
      <w:widowControl/>
      <w:spacing w:before="100" w:beforeAutospacing="1" w:after="100" w:afterAutospacing="1"/>
      <w:jc w:val="left"/>
    </w:pPr>
    <w:rPr>
      <w:rFonts w:ascii="宋体" w:hAnsi="宋体"/>
      <w:kern w:val="0"/>
      <w:sz w:val="24"/>
      <w:szCs w:val="20"/>
    </w:rPr>
  </w:style>
  <w:style w:type="paragraph" w:styleId="40">
    <w:name w:val="index 1"/>
    <w:basedOn w:val="1"/>
    <w:next w:val="1"/>
    <w:qFormat/>
    <w:locked/>
    <w:uiPriority w:val="0"/>
    <w:pPr>
      <w:widowControl/>
      <w:ind w:firstLine="200" w:firstLineChars="200"/>
      <w:jc w:val="center"/>
    </w:pPr>
    <w:rPr>
      <w:rFonts w:eastAsia="方正楷体简体"/>
      <w:color w:val="000000"/>
      <w:kern w:val="0"/>
      <w:sz w:val="24"/>
    </w:rPr>
  </w:style>
  <w:style w:type="paragraph" w:styleId="41">
    <w:name w:val="Title"/>
    <w:basedOn w:val="1"/>
    <w:link w:val="119"/>
    <w:qFormat/>
    <w:locked/>
    <w:uiPriority w:val="0"/>
    <w:pPr>
      <w:widowControl/>
      <w:adjustRightInd w:val="0"/>
      <w:spacing w:line="480" w:lineRule="atLeast"/>
      <w:ind w:firstLine="200" w:firstLineChars="200"/>
      <w:jc w:val="left"/>
    </w:pPr>
    <w:rPr>
      <w:rFonts w:hint="eastAsia" w:ascii="宋体" w:hAnsi="Arial"/>
      <w:kern w:val="28"/>
      <w:sz w:val="24"/>
      <w:szCs w:val="20"/>
    </w:rPr>
  </w:style>
  <w:style w:type="paragraph" w:styleId="42">
    <w:name w:val="annotation subject"/>
    <w:basedOn w:val="17"/>
    <w:next w:val="17"/>
    <w:link w:val="63"/>
    <w:qFormat/>
    <w:uiPriority w:val="0"/>
    <w:rPr>
      <w:b/>
    </w:rPr>
  </w:style>
  <w:style w:type="paragraph" w:styleId="43">
    <w:name w:val="Body Text First Indent"/>
    <w:basedOn w:val="19"/>
    <w:link w:val="108"/>
    <w:locked/>
    <w:uiPriority w:val="0"/>
    <w:pPr>
      <w:snapToGrid/>
      <w:spacing w:before="0" w:after="120" w:line="360" w:lineRule="auto"/>
      <w:ind w:right="0" w:firstLine="420" w:firstLineChars="100"/>
      <w:jc w:val="left"/>
    </w:pPr>
    <w:rPr>
      <w:sz w:val="24"/>
      <w:szCs w:val="24"/>
    </w:rPr>
  </w:style>
  <w:style w:type="table" w:styleId="45">
    <w:name w:val="Table Grid"/>
    <w:basedOn w:val="4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47">
    <w:name w:val="Strong"/>
    <w:qFormat/>
    <w:locked/>
    <w:uiPriority w:val="0"/>
    <w:rPr>
      <w:b/>
      <w:bCs/>
    </w:rPr>
  </w:style>
  <w:style w:type="character" w:styleId="48">
    <w:name w:val="page number"/>
    <w:basedOn w:val="46"/>
    <w:qFormat/>
    <w:locked/>
    <w:uiPriority w:val="0"/>
  </w:style>
  <w:style w:type="character" w:styleId="49">
    <w:name w:val="Emphasis"/>
    <w:qFormat/>
    <w:locked/>
    <w:uiPriority w:val="0"/>
    <w:rPr>
      <w:color w:val="CC0033"/>
    </w:rPr>
  </w:style>
  <w:style w:type="character" w:styleId="50">
    <w:name w:val="Hyperlink"/>
    <w:qFormat/>
    <w:locked/>
    <w:uiPriority w:val="99"/>
    <w:rPr>
      <w:color w:val="0000FF"/>
      <w:u w:val="single"/>
    </w:rPr>
  </w:style>
  <w:style w:type="character" w:styleId="51">
    <w:name w:val="annotation reference"/>
    <w:qFormat/>
    <w:uiPriority w:val="0"/>
    <w:rPr>
      <w:sz w:val="21"/>
    </w:rPr>
  </w:style>
  <w:style w:type="character" w:customStyle="1" w:styleId="52">
    <w:name w:val="页脚 Char"/>
    <w:link w:val="28"/>
    <w:qFormat/>
    <w:locked/>
    <w:uiPriority w:val="99"/>
    <w:rPr>
      <w:sz w:val="18"/>
    </w:rPr>
  </w:style>
  <w:style w:type="character" w:customStyle="1" w:styleId="53">
    <w:name w:val="日期 Char"/>
    <w:link w:val="25"/>
    <w:locked/>
    <w:uiPriority w:val="0"/>
    <w:rPr>
      <w:rFonts w:ascii="Times New Roman" w:hAnsi="Times New Roman" w:eastAsia="宋体"/>
      <w:sz w:val="24"/>
    </w:rPr>
  </w:style>
  <w:style w:type="character" w:customStyle="1" w:styleId="54">
    <w:name w:val="页脚 字符"/>
    <w:basedOn w:val="46"/>
    <w:uiPriority w:val="99"/>
  </w:style>
  <w:style w:type="character" w:customStyle="1" w:styleId="55">
    <w:name w:val="普通(网站) Char"/>
    <w:link w:val="39"/>
    <w:locked/>
    <w:uiPriority w:val="0"/>
    <w:rPr>
      <w:rFonts w:ascii="宋体" w:hAnsi="宋体" w:eastAsia="宋体"/>
      <w:sz w:val="24"/>
    </w:rPr>
  </w:style>
  <w:style w:type="character" w:customStyle="1" w:styleId="56">
    <w:name w:val="正文文本 字符1"/>
    <w:semiHidden/>
    <w:uiPriority w:val="0"/>
    <w:rPr>
      <w:rFonts w:ascii="Times New Roman" w:hAnsi="Times New Roman" w:eastAsia="宋体"/>
      <w:sz w:val="24"/>
    </w:rPr>
  </w:style>
  <w:style w:type="character" w:customStyle="1" w:styleId="57">
    <w:name w:val="正文文本 Char"/>
    <w:link w:val="19"/>
    <w:locked/>
    <w:uiPriority w:val="0"/>
    <w:rPr>
      <w:sz w:val="18"/>
    </w:rPr>
  </w:style>
  <w:style w:type="character" w:customStyle="1" w:styleId="58">
    <w:name w:val="批注文字 Char"/>
    <w:link w:val="17"/>
    <w:qFormat/>
    <w:locked/>
    <w:uiPriority w:val="99"/>
    <w:rPr>
      <w:rFonts w:ascii="Times New Roman" w:hAnsi="Times New Roman" w:eastAsia="宋体"/>
      <w:sz w:val="24"/>
    </w:rPr>
  </w:style>
  <w:style w:type="character" w:customStyle="1" w:styleId="59">
    <w:name w:val="表格 Char"/>
    <w:link w:val="60"/>
    <w:locked/>
    <w:uiPriority w:val="0"/>
    <w:rPr>
      <w:rFonts w:ascii="宋体"/>
      <w:sz w:val="21"/>
    </w:rPr>
  </w:style>
  <w:style w:type="paragraph" w:customStyle="1" w:styleId="60">
    <w:name w:val="表格"/>
    <w:basedOn w:val="1"/>
    <w:next w:val="1"/>
    <w:link w:val="59"/>
    <w:qFormat/>
    <w:uiPriority w:val="0"/>
    <w:pPr>
      <w:adjustRightInd w:val="0"/>
      <w:snapToGrid w:val="0"/>
      <w:spacing w:beforeLines="10" w:afterLines="10" w:line="259" w:lineRule="auto"/>
      <w:jc w:val="center"/>
    </w:pPr>
    <w:rPr>
      <w:rFonts w:ascii="宋体"/>
      <w:kern w:val="0"/>
      <w:szCs w:val="20"/>
    </w:rPr>
  </w:style>
  <w:style w:type="character" w:customStyle="1" w:styleId="61">
    <w:name w:val="日期 字符"/>
    <w:semiHidden/>
    <w:uiPriority w:val="0"/>
    <w:rPr>
      <w:rFonts w:ascii="Times New Roman" w:hAnsi="Times New Roman" w:eastAsia="宋体"/>
      <w:sz w:val="24"/>
    </w:rPr>
  </w:style>
  <w:style w:type="character" w:customStyle="1" w:styleId="62">
    <w:name w:val="批注框文本 Char"/>
    <w:link w:val="27"/>
    <w:semiHidden/>
    <w:qFormat/>
    <w:locked/>
    <w:uiPriority w:val="0"/>
    <w:rPr>
      <w:rFonts w:ascii="Times New Roman" w:hAnsi="Times New Roman" w:eastAsia="宋体"/>
      <w:sz w:val="18"/>
    </w:rPr>
  </w:style>
  <w:style w:type="character" w:customStyle="1" w:styleId="63">
    <w:name w:val="批注主题 Char"/>
    <w:link w:val="42"/>
    <w:semiHidden/>
    <w:locked/>
    <w:uiPriority w:val="0"/>
    <w:rPr>
      <w:rFonts w:ascii="Times New Roman" w:hAnsi="Times New Roman" w:eastAsia="宋体"/>
      <w:b/>
      <w:kern w:val="2"/>
      <w:sz w:val="24"/>
    </w:rPr>
  </w:style>
  <w:style w:type="character" w:customStyle="1" w:styleId="64">
    <w:name w:val="页眉 Char"/>
    <w:link w:val="29"/>
    <w:locked/>
    <w:uiPriority w:val="99"/>
    <w:rPr>
      <w:sz w:val="18"/>
    </w:rPr>
  </w:style>
  <w:style w:type="character" w:customStyle="1" w:styleId="65">
    <w:name w:val="批注文字 字符1"/>
    <w:semiHidden/>
    <w:uiPriority w:val="0"/>
    <w:rPr>
      <w:rFonts w:ascii="Times New Roman" w:hAnsi="Times New Roman" w:eastAsia="宋体"/>
      <w:sz w:val="24"/>
    </w:rPr>
  </w:style>
  <w:style w:type="character" w:customStyle="1" w:styleId="66">
    <w:name w:val="正文文本缩进 Char"/>
    <w:link w:val="20"/>
    <w:locked/>
    <w:uiPriority w:val="0"/>
    <w:rPr>
      <w:rFonts w:ascii="Times New Roman" w:hAnsi="Times New Roman" w:eastAsia="宋体"/>
      <w:sz w:val="24"/>
    </w:rPr>
  </w:style>
  <w:style w:type="paragraph" w:customStyle="1" w:styleId="67">
    <w:name w:val="正文_10"/>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8">
    <w:name w:val="普通(网站)2"/>
    <w:basedOn w:val="1"/>
    <w:uiPriority w:val="0"/>
    <w:pPr>
      <w:widowControl/>
      <w:spacing w:before="100" w:beforeAutospacing="1" w:after="100" w:afterAutospacing="1"/>
      <w:jc w:val="left"/>
    </w:pPr>
    <w:rPr>
      <w:rFonts w:ascii="宋体" w:hAnsi="宋体"/>
      <w:sz w:val="24"/>
      <w:szCs w:val="20"/>
    </w:rPr>
  </w:style>
  <w:style w:type="character" w:customStyle="1" w:styleId="69">
    <w:name w:val="标题 2 Char"/>
    <w:link w:val="3"/>
    <w:uiPriority w:val="0"/>
    <w:rPr>
      <w:rFonts w:ascii="黑体" w:hAnsi="Arial" w:eastAsia="黑体" w:cs="仿宋_GB2312"/>
      <w:sz w:val="24"/>
    </w:rPr>
  </w:style>
  <w:style w:type="character" w:customStyle="1" w:styleId="70">
    <w:name w:val="标题 3 Char"/>
    <w:link w:val="5"/>
    <w:uiPriority w:val="0"/>
    <w:rPr>
      <w:b/>
      <w:bCs/>
      <w:sz w:val="32"/>
      <w:szCs w:val="32"/>
    </w:rPr>
  </w:style>
  <w:style w:type="character" w:customStyle="1" w:styleId="71">
    <w:name w:val="标题 4 Char"/>
    <w:link w:val="6"/>
    <w:uiPriority w:val="0"/>
    <w:rPr>
      <w:rFonts w:ascii="Arial" w:hAnsi="Arial" w:eastAsia="黑体"/>
      <w:b/>
      <w:bCs/>
      <w:sz w:val="28"/>
      <w:szCs w:val="28"/>
    </w:rPr>
  </w:style>
  <w:style w:type="character" w:customStyle="1" w:styleId="72">
    <w:name w:val="标题 5 Char"/>
    <w:link w:val="7"/>
    <w:uiPriority w:val="0"/>
    <w:rPr>
      <w:b/>
      <w:bCs/>
      <w:sz w:val="28"/>
      <w:szCs w:val="28"/>
    </w:rPr>
  </w:style>
  <w:style w:type="character" w:customStyle="1" w:styleId="73">
    <w:name w:val="标题 6 Char"/>
    <w:link w:val="8"/>
    <w:uiPriority w:val="0"/>
    <w:rPr>
      <w:rFonts w:ascii="Arial" w:hAnsi="Arial" w:eastAsia="黑体"/>
      <w:b/>
      <w:bCs/>
      <w:sz w:val="24"/>
    </w:rPr>
  </w:style>
  <w:style w:type="character" w:customStyle="1" w:styleId="74">
    <w:name w:val="标题 7 Char"/>
    <w:link w:val="9"/>
    <w:uiPriority w:val="0"/>
    <w:rPr>
      <w:b/>
      <w:bCs/>
      <w:sz w:val="24"/>
    </w:rPr>
  </w:style>
  <w:style w:type="character" w:customStyle="1" w:styleId="75">
    <w:name w:val="标题 8 Char"/>
    <w:link w:val="10"/>
    <w:uiPriority w:val="0"/>
    <w:rPr>
      <w:rFonts w:ascii="Arial" w:hAnsi="Arial" w:eastAsia="黑体"/>
      <w:sz w:val="24"/>
    </w:rPr>
  </w:style>
  <w:style w:type="character" w:customStyle="1" w:styleId="76">
    <w:name w:val="标题 9 Char"/>
    <w:link w:val="11"/>
    <w:uiPriority w:val="0"/>
    <w:rPr>
      <w:rFonts w:ascii="Arial" w:hAnsi="Arial" w:eastAsia="黑体"/>
      <w:szCs w:val="21"/>
    </w:rPr>
  </w:style>
  <w:style w:type="character" w:customStyle="1" w:styleId="77">
    <w:name w:val="表内容 Char"/>
    <w:link w:val="78"/>
    <w:qFormat/>
    <w:uiPriority w:val="0"/>
    <w:rPr>
      <w:rFonts w:ascii="宋体" w:hAnsi="宋体"/>
      <w:bCs/>
      <w:color w:val="000000"/>
      <w:sz w:val="21"/>
      <w:szCs w:val="21"/>
    </w:rPr>
  </w:style>
  <w:style w:type="paragraph" w:customStyle="1" w:styleId="78">
    <w:name w:val="表内容"/>
    <w:basedOn w:val="1"/>
    <w:link w:val="77"/>
    <w:qFormat/>
    <w:uiPriority w:val="0"/>
    <w:pPr>
      <w:widowControl/>
      <w:spacing w:before="62" w:after="62"/>
      <w:ind w:firstLine="200" w:firstLineChars="200"/>
      <w:jc w:val="center"/>
    </w:pPr>
    <w:rPr>
      <w:rFonts w:ascii="宋体" w:hAnsi="宋体"/>
      <w:bCs/>
      <w:color w:val="000000"/>
      <w:kern w:val="0"/>
      <w:szCs w:val="21"/>
    </w:rPr>
  </w:style>
  <w:style w:type="character" w:customStyle="1" w:styleId="79">
    <w:name w:val="纯文本 Char"/>
    <w:link w:val="23"/>
    <w:qFormat/>
    <w:uiPriority w:val="0"/>
    <w:rPr>
      <w:rFonts w:ascii="宋体" w:hAnsi="Courier New"/>
      <w:kern w:val="2"/>
      <w:sz w:val="28"/>
      <w:szCs w:val="21"/>
    </w:rPr>
  </w:style>
  <w:style w:type="character" w:customStyle="1" w:styleId="80">
    <w:name w:val="表标题 Char"/>
    <w:link w:val="81"/>
    <w:qFormat/>
    <w:uiPriority w:val="0"/>
    <w:rPr>
      <w:rFonts w:ascii="黑体" w:hAnsi="宋体"/>
      <w:b/>
      <w:bCs/>
      <w:sz w:val="24"/>
    </w:rPr>
  </w:style>
  <w:style w:type="paragraph" w:customStyle="1" w:styleId="81">
    <w:name w:val="表标题"/>
    <w:basedOn w:val="1"/>
    <w:next w:val="1"/>
    <w:link w:val="80"/>
    <w:qFormat/>
    <w:uiPriority w:val="0"/>
    <w:pPr>
      <w:widowControl/>
      <w:adjustRightInd w:val="0"/>
      <w:snapToGrid w:val="0"/>
      <w:spacing w:before="156" w:beforeLines="50" w:after="156" w:afterLines="50"/>
      <w:ind w:firstLine="200" w:firstLineChars="200"/>
      <w:jc w:val="center"/>
      <w:textAlignment w:val="baseline"/>
    </w:pPr>
    <w:rPr>
      <w:rFonts w:ascii="黑体" w:hAnsi="宋体"/>
      <w:b/>
      <w:bCs/>
      <w:kern w:val="0"/>
      <w:sz w:val="24"/>
      <w:szCs w:val="20"/>
    </w:rPr>
  </w:style>
  <w:style w:type="character" w:customStyle="1" w:styleId="82">
    <w:name w:val="正文缩进 Char"/>
    <w:link w:val="14"/>
    <w:qFormat/>
    <w:uiPriority w:val="0"/>
    <w:rPr>
      <w:kern w:val="2"/>
      <w:sz w:val="21"/>
    </w:rPr>
  </w:style>
  <w:style w:type="character" w:customStyle="1" w:styleId="83">
    <w:name w:val="正文文本 3 Char"/>
    <w:link w:val="18"/>
    <w:qFormat/>
    <w:uiPriority w:val="0"/>
    <w:rPr>
      <w:kern w:val="2"/>
      <w:sz w:val="16"/>
      <w:szCs w:val="16"/>
    </w:rPr>
  </w:style>
  <w:style w:type="character" w:customStyle="1" w:styleId="84">
    <w:name w:val="正文文本缩进 2 Char"/>
    <w:link w:val="26"/>
    <w:qFormat/>
    <w:uiPriority w:val="0"/>
    <w:rPr>
      <w:kern w:val="2"/>
      <w:sz w:val="21"/>
      <w:szCs w:val="24"/>
    </w:rPr>
  </w:style>
  <w:style w:type="character" w:customStyle="1" w:styleId="85">
    <w:name w:val="表格正文 Char Char"/>
    <w:link w:val="86"/>
    <w:qFormat/>
    <w:uiPriority w:val="0"/>
    <w:rPr>
      <w:kern w:val="2"/>
      <w:sz w:val="21"/>
      <w:szCs w:val="24"/>
    </w:rPr>
  </w:style>
  <w:style w:type="paragraph" w:customStyle="1" w:styleId="86">
    <w:name w:val="表格正文"/>
    <w:basedOn w:val="1"/>
    <w:link w:val="85"/>
    <w:qFormat/>
    <w:uiPriority w:val="0"/>
    <w:pPr>
      <w:widowControl/>
      <w:ind w:firstLine="200" w:firstLineChars="200"/>
      <w:jc w:val="center"/>
    </w:pPr>
  </w:style>
  <w:style w:type="character" w:customStyle="1" w:styleId="87">
    <w:name w:val="报告正文 Char Char"/>
    <w:link w:val="88"/>
    <w:qFormat/>
    <w:uiPriority w:val="0"/>
    <w:rPr>
      <w:rFonts w:ascii="宋体"/>
      <w:kern w:val="2"/>
      <w:sz w:val="24"/>
    </w:rPr>
  </w:style>
  <w:style w:type="paragraph" w:customStyle="1" w:styleId="88">
    <w:name w:val="报告正文"/>
    <w:basedOn w:val="1"/>
    <w:link w:val="87"/>
    <w:qFormat/>
    <w:uiPriority w:val="0"/>
    <w:pPr>
      <w:widowControl/>
      <w:adjustRightInd w:val="0"/>
      <w:snapToGrid w:val="0"/>
      <w:spacing w:line="360" w:lineRule="auto"/>
      <w:ind w:firstLine="200" w:firstLineChars="200"/>
      <w:jc w:val="left"/>
    </w:pPr>
    <w:rPr>
      <w:rFonts w:ascii="宋体"/>
      <w:sz w:val="24"/>
      <w:szCs w:val="20"/>
    </w:rPr>
  </w:style>
  <w:style w:type="character" w:customStyle="1" w:styleId="89">
    <w:name w:val="网格型c Char1"/>
    <w:qFormat/>
    <w:uiPriority w:val="0"/>
    <w:rPr>
      <w:rFonts w:eastAsia="宋体"/>
      <w:kern w:val="2"/>
      <w:sz w:val="21"/>
      <w:szCs w:val="21"/>
      <w:lang w:val="en-US" w:eastAsia="zh-CN" w:bidi="ar-SA"/>
    </w:rPr>
  </w:style>
  <w:style w:type="character" w:customStyle="1" w:styleId="90">
    <w:name w:val="表格标题 Char"/>
    <w:link w:val="91"/>
    <w:qFormat/>
    <w:uiPriority w:val="0"/>
    <w:rPr>
      <w:rFonts w:ascii="宋体" w:hAnsi="宋体"/>
      <w:bCs/>
      <w:kern w:val="2"/>
      <w:sz w:val="24"/>
      <w:szCs w:val="21"/>
    </w:rPr>
  </w:style>
  <w:style w:type="paragraph" w:customStyle="1" w:styleId="91">
    <w:name w:val="表格标题"/>
    <w:basedOn w:val="1"/>
    <w:next w:val="60"/>
    <w:link w:val="90"/>
    <w:qFormat/>
    <w:uiPriority w:val="0"/>
    <w:pPr>
      <w:widowControl/>
      <w:adjustRightInd w:val="0"/>
      <w:snapToGrid w:val="0"/>
      <w:spacing w:line="360" w:lineRule="auto"/>
      <w:ind w:firstLine="480" w:firstLineChars="200"/>
      <w:jc w:val="center"/>
      <w:outlineLvl w:val="5"/>
    </w:pPr>
    <w:rPr>
      <w:rFonts w:ascii="宋体" w:hAnsi="宋体"/>
      <w:bCs/>
      <w:sz w:val="24"/>
      <w:szCs w:val="21"/>
    </w:rPr>
  </w:style>
  <w:style w:type="character" w:customStyle="1" w:styleId="92">
    <w:name w:val="标题1"/>
    <w:qFormat/>
    <w:uiPriority w:val="0"/>
  </w:style>
  <w:style w:type="character" w:customStyle="1" w:styleId="93">
    <w:name w:val="manage_name"/>
    <w:qFormat/>
    <w:uiPriority w:val="0"/>
  </w:style>
  <w:style w:type="character" w:customStyle="1" w:styleId="94">
    <w:name w:val="正文文本 2 Char"/>
    <w:link w:val="37"/>
    <w:qFormat/>
    <w:uiPriority w:val="0"/>
    <w:rPr>
      <w:kern w:val="2"/>
      <w:sz w:val="21"/>
      <w:szCs w:val="24"/>
    </w:rPr>
  </w:style>
  <w:style w:type="character" w:customStyle="1" w:styleId="95">
    <w:name w:val="tpc_content1"/>
    <w:qFormat/>
    <w:uiPriority w:val="0"/>
    <w:rPr>
      <w:sz w:val="20"/>
      <w:szCs w:val="20"/>
    </w:rPr>
  </w:style>
  <w:style w:type="character" w:customStyle="1" w:styleId="96">
    <w:name w:val="正文 Char"/>
    <w:link w:val="97"/>
    <w:qFormat/>
    <w:locked/>
    <w:uiPriority w:val="0"/>
    <w:rPr>
      <w:rFonts w:ascii="宋体" w:hAnsi="宋体" w:cs="宋体"/>
      <w:kern w:val="2"/>
      <w:sz w:val="24"/>
    </w:rPr>
  </w:style>
  <w:style w:type="paragraph" w:customStyle="1" w:styleId="97">
    <w:name w:val="正文2"/>
    <w:basedOn w:val="1"/>
    <w:link w:val="96"/>
    <w:qFormat/>
    <w:uiPriority w:val="0"/>
    <w:pPr>
      <w:widowControl/>
      <w:spacing w:line="360" w:lineRule="auto"/>
      <w:ind w:firstLine="480" w:firstLineChars="200"/>
      <w:jc w:val="left"/>
    </w:pPr>
    <w:rPr>
      <w:rFonts w:ascii="宋体" w:hAnsi="宋体" w:cs="宋体"/>
      <w:sz w:val="24"/>
      <w:szCs w:val="20"/>
    </w:rPr>
  </w:style>
  <w:style w:type="character" w:customStyle="1" w:styleId="98">
    <w:name w:val="样式 样式 小四 段前: 7.8 磅 段后: 7.8 磅 行距: 1.5 倍行距 + 首行缩进:  2 字符 Char"/>
    <w:link w:val="99"/>
    <w:qFormat/>
    <w:uiPriority w:val="0"/>
    <w:rPr>
      <w:rFonts w:ascii="宋体" w:hAnsi="宋体" w:cs="宋体"/>
      <w:color w:val="000000"/>
      <w:kern w:val="2"/>
      <w:sz w:val="24"/>
      <w:szCs w:val="24"/>
    </w:rPr>
  </w:style>
  <w:style w:type="paragraph" w:customStyle="1" w:styleId="99">
    <w:name w:val="样式 样式 小四 段前: 7.8 磅 段后: 7.8 磅 行距: 1.5 倍行距 + 首行缩进:  2 字符"/>
    <w:basedOn w:val="1"/>
    <w:link w:val="98"/>
    <w:qFormat/>
    <w:uiPriority w:val="0"/>
    <w:pPr>
      <w:widowControl/>
      <w:spacing w:line="360" w:lineRule="auto"/>
      <w:ind w:firstLine="480" w:firstLineChars="200"/>
      <w:jc w:val="left"/>
    </w:pPr>
    <w:rPr>
      <w:rFonts w:ascii="宋体" w:hAnsi="宋体" w:cs="宋体"/>
      <w:color w:val="000000"/>
      <w:sz w:val="24"/>
    </w:rPr>
  </w:style>
  <w:style w:type="character" w:customStyle="1" w:styleId="100">
    <w:name w:val="网格型c Char"/>
    <w:qFormat/>
    <w:uiPriority w:val="0"/>
    <w:rPr>
      <w:rFonts w:eastAsia="宋体"/>
      <w:kern w:val="2"/>
      <w:sz w:val="21"/>
      <w:szCs w:val="21"/>
      <w:lang w:val="en-US" w:eastAsia="zh-CN" w:bidi="ar-SA"/>
    </w:rPr>
  </w:style>
  <w:style w:type="character" w:customStyle="1" w:styleId="101">
    <w:name w:val="表格1 Char"/>
    <w:link w:val="102"/>
    <w:qFormat/>
    <w:uiPriority w:val="0"/>
    <w:rPr>
      <w:rFonts w:hAnsi="宋体"/>
      <w:sz w:val="21"/>
      <w:szCs w:val="21"/>
      <w:lang w:val="zh-CN"/>
    </w:rPr>
  </w:style>
  <w:style w:type="paragraph" w:customStyle="1" w:styleId="102">
    <w:name w:val="表格1"/>
    <w:basedOn w:val="1"/>
    <w:link w:val="101"/>
    <w:qFormat/>
    <w:uiPriority w:val="0"/>
    <w:pPr>
      <w:widowControl/>
      <w:ind w:firstLine="200" w:firstLineChars="200"/>
      <w:jc w:val="center"/>
    </w:pPr>
    <w:rPr>
      <w:rFonts w:hAnsi="宋体"/>
      <w:kern w:val="0"/>
      <w:szCs w:val="21"/>
      <w:lang w:val="zh-CN"/>
    </w:rPr>
  </w:style>
  <w:style w:type="character" w:customStyle="1" w:styleId="103">
    <w:name w:val="标题 1 Char"/>
    <w:link w:val="2"/>
    <w:qFormat/>
    <w:uiPriority w:val="0"/>
    <w:rPr>
      <w:rFonts w:eastAsia="黑体"/>
      <w:b/>
      <w:bCs/>
      <w:color w:val="000000"/>
      <w:kern w:val="44"/>
      <w:sz w:val="30"/>
      <w:szCs w:val="30"/>
    </w:rPr>
  </w:style>
  <w:style w:type="character" w:customStyle="1" w:styleId="104">
    <w:name w:val="font11"/>
    <w:uiPriority w:val="0"/>
    <w:rPr>
      <w:rFonts w:hint="default" w:ascii="Times New Roman" w:hAnsi="Times New Roman" w:cs="Times New Roman"/>
      <w:color w:val="000000"/>
      <w:sz w:val="24"/>
      <w:szCs w:val="24"/>
      <w:u w:val="none"/>
      <w:vertAlign w:val="superscript"/>
    </w:rPr>
  </w:style>
  <w:style w:type="character" w:customStyle="1" w:styleId="105">
    <w:name w:val="font01"/>
    <w:uiPriority w:val="0"/>
    <w:rPr>
      <w:rFonts w:hint="default" w:ascii="Times New Roman" w:hAnsi="Times New Roman" w:cs="Times New Roman"/>
      <w:color w:val="000000"/>
      <w:sz w:val="21"/>
      <w:szCs w:val="21"/>
      <w:u w:val="none"/>
      <w:vertAlign w:val="superscript"/>
    </w:rPr>
  </w:style>
  <w:style w:type="character" w:customStyle="1" w:styleId="106">
    <w:name w:val="表格 Char1"/>
    <w:qFormat/>
    <w:uiPriority w:val="0"/>
    <w:rPr>
      <w:rFonts w:ascii="宋体" w:hAnsi="宋体"/>
      <w:sz w:val="24"/>
    </w:rPr>
  </w:style>
  <w:style w:type="character" w:customStyle="1" w:styleId="107">
    <w:name w:val="font21"/>
    <w:uiPriority w:val="0"/>
    <w:rPr>
      <w:rFonts w:hint="default" w:ascii="Times New Roman" w:hAnsi="Times New Roman" w:cs="Times New Roman"/>
      <w:color w:val="000000"/>
      <w:sz w:val="24"/>
      <w:szCs w:val="24"/>
      <w:u w:val="none"/>
    </w:rPr>
  </w:style>
  <w:style w:type="character" w:customStyle="1" w:styleId="108">
    <w:name w:val="正文首行缩进 Char"/>
    <w:link w:val="43"/>
    <w:uiPriority w:val="0"/>
    <w:rPr>
      <w:sz w:val="24"/>
      <w:szCs w:val="24"/>
    </w:rPr>
  </w:style>
  <w:style w:type="paragraph" w:customStyle="1" w:styleId="109">
    <w:name w:val="Char Char Char Char Char Char Char Char Char Char Char Char Char Char Char Char Char Char"/>
    <w:basedOn w:val="1"/>
    <w:qFormat/>
    <w:uiPriority w:val="0"/>
    <w:pPr>
      <w:widowControl/>
      <w:ind w:firstLine="200" w:firstLineChars="200"/>
      <w:jc w:val="left"/>
    </w:pPr>
    <w:rPr>
      <w:kern w:val="0"/>
      <w:sz w:val="24"/>
    </w:rPr>
  </w:style>
  <w:style w:type="paragraph" w:customStyle="1" w:styleId="110">
    <w:name w:val="吴1"/>
    <w:basedOn w:val="2"/>
    <w:qFormat/>
    <w:uiPriority w:val="0"/>
    <w:pPr>
      <w:widowControl/>
      <w:tabs>
        <w:tab w:val="left" w:pos="3354"/>
      </w:tabs>
      <w:overflowPunct/>
      <w:snapToGrid/>
      <w:spacing w:before="0" w:after="0" w:line="360" w:lineRule="exact"/>
      <w:ind w:left="3354" w:hanging="840" w:firstLineChars="200"/>
      <w:jc w:val="left"/>
    </w:pPr>
    <w:rPr>
      <w:rFonts w:ascii="宋体" w:hAnsi="宋体" w:eastAsia="宋体"/>
      <w:bCs w:val="0"/>
      <w:kern w:val="2"/>
      <w:sz w:val="32"/>
      <w:szCs w:val="24"/>
      <w:lang w:val="zh-CN" w:eastAsia="zh-CN"/>
    </w:rPr>
  </w:style>
  <w:style w:type="character" w:customStyle="1" w:styleId="111">
    <w:name w:val="纯文本 Char1"/>
    <w:uiPriority w:val="0"/>
    <w:rPr>
      <w:rFonts w:ascii="宋体" w:hAnsi="Courier New" w:cs="Courier New"/>
      <w:kern w:val="2"/>
      <w:sz w:val="21"/>
      <w:szCs w:val="21"/>
    </w:rPr>
  </w:style>
  <w:style w:type="paragraph" w:customStyle="1" w:styleId="112">
    <w:name w:val="Table Paragraph"/>
    <w:basedOn w:val="1"/>
    <w:qFormat/>
    <w:uiPriority w:val="1"/>
    <w:pPr>
      <w:widowControl/>
      <w:autoSpaceDE w:val="0"/>
      <w:autoSpaceDN w:val="0"/>
      <w:adjustRightInd w:val="0"/>
      <w:ind w:firstLine="200" w:firstLineChars="200"/>
      <w:jc w:val="left"/>
    </w:pPr>
    <w:rPr>
      <w:rFonts w:ascii="宋体" w:cs="宋体"/>
      <w:kern w:val="0"/>
      <w:sz w:val="24"/>
    </w:rPr>
  </w:style>
  <w:style w:type="paragraph" w:customStyle="1" w:styleId="113">
    <w:name w:val="—1—"/>
    <w:basedOn w:val="1"/>
    <w:qFormat/>
    <w:uiPriority w:val="0"/>
    <w:pPr>
      <w:widowControl/>
      <w:spacing w:line="440" w:lineRule="exact"/>
      <w:ind w:firstLine="200" w:firstLineChars="200"/>
      <w:jc w:val="left"/>
    </w:pPr>
    <w:rPr>
      <w:rFonts w:eastAsia="方正楷体简体"/>
      <w:kern w:val="0"/>
      <w:sz w:val="32"/>
    </w:rPr>
  </w:style>
  <w:style w:type="paragraph" w:customStyle="1" w:styleId="114">
    <w:name w:val="Char1"/>
    <w:basedOn w:val="1"/>
    <w:qFormat/>
    <w:uiPriority w:val="0"/>
    <w:pPr>
      <w:widowControl/>
      <w:ind w:firstLine="200" w:firstLineChars="200"/>
      <w:jc w:val="left"/>
    </w:pPr>
    <w:rPr>
      <w:kern w:val="0"/>
      <w:sz w:val="24"/>
    </w:rPr>
  </w:style>
  <w:style w:type="paragraph" w:customStyle="1" w:styleId="115">
    <w:name w:val="无悬挂正文5号"/>
    <w:basedOn w:val="1"/>
    <w:qFormat/>
    <w:uiPriority w:val="0"/>
    <w:pPr>
      <w:widowControl/>
      <w:ind w:firstLine="200" w:firstLineChars="200"/>
      <w:jc w:val="center"/>
    </w:pPr>
    <w:rPr>
      <w:kern w:val="0"/>
      <w:sz w:val="24"/>
    </w:rPr>
  </w:style>
  <w:style w:type="paragraph" w:customStyle="1" w:styleId="116">
    <w:name w:val="标题二"/>
    <w:basedOn w:val="1"/>
    <w:qFormat/>
    <w:uiPriority w:val="0"/>
    <w:pPr>
      <w:widowControl/>
      <w:adjustRightInd w:val="0"/>
      <w:spacing w:line="600" w:lineRule="exact"/>
      <w:ind w:firstLine="200" w:firstLineChars="200"/>
      <w:jc w:val="left"/>
      <w:textAlignment w:val="baseline"/>
      <w:outlineLvl w:val="1"/>
    </w:pPr>
    <w:rPr>
      <w:b/>
      <w:kern w:val="0"/>
      <w:sz w:val="32"/>
    </w:rPr>
  </w:style>
  <w:style w:type="paragraph" w:customStyle="1" w:styleId="117">
    <w:name w:val="0"/>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118">
    <w:name w:val="正文缩进1"/>
    <w:basedOn w:val="1"/>
    <w:qFormat/>
    <w:uiPriority w:val="0"/>
    <w:pPr>
      <w:widowControl/>
      <w:ind w:firstLine="420" w:firstLineChars="200"/>
      <w:jc w:val="left"/>
    </w:pPr>
    <w:rPr>
      <w:kern w:val="0"/>
      <w:sz w:val="24"/>
      <w:szCs w:val="20"/>
    </w:rPr>
  </w:style>
  <w:style w:type="character" w:customStyle="1" w:styleId="119">
    <w:name w:val="标题 Char"/>
    <w:link w:val="41"/>
    <w:uiPriority w:val="0"/>
    <w:rPr>
      <w:rFonts w:ascii="宋体" w:hAnsi="Arial"/>
      <w:kern w:val="28"/>
      <w:sz w:val="24"/>
    </w:rPr>
  </w:style>
  <w:style w:type="character" w:customStyle="1" w:styleId="120">
    <w:name w:val="文档结构图 Char"/>
    <w:link w:val="16"/>
    <w:uiPriority w:val="99"/>
    <w:rPr>
      <w:sz w:val="24"/>
      <w:szCs w:val="24"/>
      <w:shd w:val="clear" w:color="auto" w:fill="000080"/>
    </w:rPr>
  </w:style>
  <w:style w:type="character" w:customStyle="1" w:styleId="121">
    <w:name w:val="正文文本 2 Char1"/>
    <w:uiPriority w:val="0"/>
    <w:rPr>
      <w:kern w:val="2"/>
      <w:sz w:val="21"/>
      <w:szCs w:val="24"/>
    </w:rPr>
  </w:style>
  <w:style w:type="paragraph" w:customStyle="1" w:styleId="122">
    <w:name w:val="Char Char Char Char"/>
    <w:basedOn w:val="1"/>
    <w:semiHidden/>
    <w:qFormat/>
    <w:uiPriority w:val="0"/>
    <w:pPr>
      <w:widowControl/>
      <w:ind w:firstLine="200" w:firstLineChars="200"/>
      <w:jc w:val="left"/>
    </w:pPr>
    <w:rPr>
      <w:kern w:val="0"/>
      <w:sz w:val="24"/>
      <w:szCs w:val="21"/>
    </w:rPr>
  </w:style>
  <w:style w:type="paragraph" w:customStyle="1" w:styleId="123">
    <w:name w:val="表头"/>
    <w:basedOn w:val="1"/>
    <w:link w:val="161"/>
    <w:qFormat/>
    <w:uiPriority w:val="0"/>
    <w:pPr>
      <w:widowControl/>
      <w:tabs>
        <w:tab w:val="left" w:pos="860"/>
        <w:tab w:val="left" w:pos="1075"/>
      </w:tabs>
      <w:snapToGrid w:val="0"/>
      <w:spacing w:before="100" w:beforeAutospacing="1" w:line="360" w:lineRule="auto"/>
      <w:ind w:firstLine="200" w:firstLineChars="200"/>
      <w:jc w:val="center"/>
      <w:outlineLvl w:val="0"/>
    </w:pPr>
    <w:rPr>
      <w:rFonts w:ascii="宋体"/>
      <w:b/>
      <w:spacing w:val="2"/>
      <w:kern w:val="0"/>
      <w:sz w:val="24"/>
      <w:szCs w:val="20"/>
    </w:rPr>
  </w:style>
  <w:style w:type="paragraph" w:customStyle="1" w:styleId="124">
    <w:name w:val="Char2"/>
    <w:basedOn w:val="1"/>
    <w:qFormat/>
    <w:uiPriority w:val="0"/>
    <w:pPr>
      <w:widowControl/>
      <w:ind w:firstLine="200" w:firstLineChars="200"/>
      <w:jc w:val="left"/>
    </w:pPr>
    <w:rPr>
      <w:kern w:val="0"/>
      <w:sz w:val="24"/>
    </w:rPr>
  </w:style>
  <w:style w:type="paragraph" w:customStyle="1" w:styleId="125">
    <w:name w:val="居中正文"/>
    <w:basedOn w:val="43"/>
    <w:qFormat/>
    <w:uiPriority w:val="0"/>
    <w:pPr>
      <w:adjustRightInd w:val="0"/>
      <w:spacing w:before="120" w:after="0"/>
      <w:ind w:firstLine="0" w:firstLineChars="0"/>
      <w:jc w:val="center"/>
      <w:textAlignment w:val="baseline"/>
    </w:pPr>
    <w:rPr>
      <w:rFonts w:ascii="宋体"/>
      <w:kern w:val="28"/>
      <w:szCs w:val="20"/>
    </w:rPr>
  </w:style>
  <w:style w:type="character" w:customStyle="1" w:styleId="126">
    <w:name w:val="正文文本 3 Char1"/>
    <w:uiPriority w:val="0"/>
    <w:rPr>
      <w:kern w:val="2"/>
      <w:sz w:val="16"/>
      <w:szCs w:val="16"/>
    </w:rPr>
  </w:style>
  <w:style w:type="paragraph" w:customStyle="1" w:styleId="127">
    <w:name w:val="表格小五"/>
    <w:basedOn w:val="1"/>
    <w:qFormat/>
    <w:uiPriority w:val="0"/>
    <w:pPr>
      <w:widowControl/>
      <w:adjustRightInd w:val="0"/>
      <w:snapToGrid w:val="0"/>
      <w:spacing w:after="30" w:afterLines="30" w:line="360" w:lineRule="auto"/>
      <w:ind w:firstLine="510" w:firstLineChars="200"/>
      <w:jc w:val="left"/>
    </w:pPr>
    <w:rPr>
      <w:spacing w:val="16"/>
      <w:kern w:val="0"/>
      <w:sz w:val="18"/>
      <w:szCs w:val="20"/>
    </w:rPr>
  </w:style>
  <w:style w:type="character" w:customStyle="1" w:styleId="128">
    <w:name w:val="正文文本缩进 2 Char1"/>
    <w:uiPriority w:val="0"/>
    <w:rPr>
      <w:kern w:val="2"/>
      <w:sz w:val="21"/>
      <w:szCs w:val="24"/>
    </w:rPr>
  </w:style>
  <w:style w:type="paragraph" w:customStyle="1" w:styleId="129">
    <w:name w:val="表格内容"/>
    <w:basedOn w:val="1"/>
    <w:qFormat/>
    <w:uiPriority w:val="0"/>
    <w:pPr>
      <w:keepLines/>
      <w:widowControl/>
      <w:suppressAutoHyphens/>
      <w:adjustRightInd w:val="0"/>
      <w:snapToGrid w:val="0"/>
      <w:spacing w:line="360" w:lineRule="auto"/>
      <w:ind w:firstLine="200" w:firstLineChars="200"/>
      <w:jc w:val="center"/>
    </w:pPr>
    <w:rPr>
      <w:kern w:val="0"/>
      <w:sz w:val="24"/>
      <w:szCs w:val="18"/>
    </w:rPr>
  </w:style>
  <w:style w:type="paragraph" w:customStyle="1" w:styleId="130">
    <w:name w:val="普通 (Web)"/>
    <w:basedOn w:val="1"/>
    <w:qFormat/>
    <w:uiPriority w:val="0"/>
    <w:pPr>
      <w:widowControl/>
      <w:spacing w:before="100" w:after="100"/>
      <w:ind w:firstLine="200" w:firstLineChars="200"/>
      <w:jc w:val="left"/>
    </w:pPr>
    <w:rPr>
      <w:rFonts w:ascii="宋体" w:hAnsi="宋体"/>
      <w:kern w:val="0"/>
      <w:sz w:val="24"/>
    </w:rPr>
  </w:style>
  <w:style w:type="paragraph" w:customStyle="1" w:styleId="131">
    <w:name w:val="Char"/>
    <w:basedOn w:val="1"/>
    <w:qFormat/>
    <w:uiPriority w:val="0"/>
    <w:pPr>
      <w:widowControl/>
      <w:ind w:firstLine="200" w:firstLineChars="200"/>
      <w:jc w:val="left"/>
    </w:pPr>
    <w:rPr>
      <w:kern w:val="0"/>
      <w:sz w:val="24"/>
    </w:rPr>
  </w:style>
  <w:style w:type="paragraph" w:customStyle="1" w:styleId="13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33">
    <w:name w:val="表格填充1"/>
    <w:basedOn w:val="23"/>
    <w:qFormat/>
    <w:uiPriority w:val="0"/>
    <w:pPr>
      <w:snapToGrid w:val="0"/>
      <w:spacing w:line="240" w:lineRule="auto"/>
    </w:pPr>
    <w:rPr>
      <w:rFonts w:ascii="Times New Roman" w:hAnsi="Times New Roman"/>
      <w:szCs w:val="20"/>
    </w:rPr>
  </w:style>
  <w:style w:type="paragraph" w:customStyle="1" w:styleId="134">
    <w:name w:val="CM20"/>
    <w:basedOn w:val="132"/>
    <w:next w:val="132"/>
    <w:qFormat/>
    <w:uiPriority w:val="99"/>
    <w:pPr>
      <w:spacing w:line="560" w:lineRule="atLeast"/>
    </w:pPr>
    <w:rPr>
      <w:rFonts w:cs="Times New Roman"/>
      <w:color w:val="auto"/>
    </w:rPr>
  </w:style>
  <w:style w:type="character" w:customStyle="1" w:styleId="135">
    <w:name w:val="正文文本缩进 3 Char"/>
    <w:link w:val="35"/>
    <w:uiPriority w:val="0"/>
    <w:rPr>
      <w:sz w:val="28"/>
      <w:szCs w:val="24"/>
    </w:rPr>
  </w:style>
  <w:style w:type="paragraph" w:styleId="136">
    <w:name w:val="List Paragraph"/>
    <w:basedOn w:val="1"/>
    <w:qFormat/>
    <w:uiPriority w:val="34"/>
    <w:pPr>
      <w:widowControl/>
      <w:spacing w:line="360" w:lineRule="auto"/>
      <w:ind w:firstLine="420" w:firstLineChars="200"/>
      <w:jc w:val="left"/>
    </w:pPr>
    <w:rPr>
      <w:kern w:val="0"/>
      <w:sz w:val="24"/>
    </w:rPr>
  </w:style>
  <w:style w:type="table" w:customStyle="1" w:styleId="137">
    <w:name w:val="网格型1"/>
    <w:basedOn w:val="44"/>
    <w:qFormat/>
    <w:uiPriority w:val="0"/>
    <w:pPr>
      <w:widowControl w:val="0"/>
      <w:spacing w:line="240" w:lineRule="atLeast"/>
      <w:jc w:val="both"/>
    </w:pPr>
    <w:rPr>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38">
    <w:name w:val="网格型2"/>
    <w:basedOn w:val="44"/>
    <w:qFormat/>
    <w:uiPriority w:val="0"/>
    <w:pPr>
      <w:widowControl w:val="0"/>
      <w:spacing w:line="240" w:lineRule="atLeast"/>
      <w:jc w:val="both"/>
    </w:pPr>
    <w:rPr>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39">
    <w:name w:val="HTML 预设格式 Char"/>
    <w:link w:val="38"/>
    <w:uiPriority w:val="0"/>
    <w:rPr>
      <w:rFonts w:ascii="宋体" w:hAnsi="宋体" w:cs="宋体"/>
      <w:sz w:val="24"/>
      <w:szCs w:val="24"/>
    </w:rPr>
  </w:style>
  <w:style w:type="paragraph" w:customStyle="1" w:styleId="140">
    <w:name w:val="默认段落字体 Para Char"/>
    <w:basedOn w:val="1"/>
    <w:uiPriority w:val="0"/>
    <w:pPr>
      <w:spacing w:line="360" w:lineRule="auto"/>
      <w:ind w:firstLine="200" w:firstLineChars="200"/>
    </w:pPr>
    <w:rPr>
      <w:szCs w:val="20"/>
    </w:rPr>
  </w:style>
  <w:style w:type="paragraph" w:customStyle="1" w:styleId="141">
    <w:name w:val="xl27"/>
    <w:basedOn w:val="1"/>
    <w:uiPriority w:val="0"/>
    <w:pPr>
      <w:widowControl/>
      <w:pBdr>
        <w:left w:val="single" w:color="auto" w:sz="4" w:space="0"/>
        <w:bottom w:val="single" w:color="auto" w:sz="4" w:space="0"/>
        <w:right w:val="single" w:color="auto" w:sz="4" w:space="0"/>
      </w:pBdr>
      <w:spacing w:before="100" w:after="100" w:line="360" w:lineRule="auto"/>
      <w:ind w:firstLine="200" w:firstLineChars="200"/>
      <w:jc w:val="center"/>
    </w:pPr>
    <w:rPr>
      <w:rFonts w:ascii="宋体" w:hAnsi="宋体"/>
      <w:kern w:val="0"/>
      <w:szCs w:val="20"/>
    </w:rPr>
  </w:style>
  <w:style w:type="paragraph" w:customStyle="1" w:styleId="142">
    <w:name w:val="表格内正文"/>
    <w:basedOn w:val="1"/>
    <w:link w:val="143"/>
    <w:uiPriority w:val="0"/>
    <w:pPr>
      <w:spacing w:line="360" w:lineRule="auto"/>
      <w:ind w:firstLine="493" w:firstLineChars="200"/>
    </w:pPr>
    <w:rPr>
      <w:rFonts w:ascii="宋体" w:hAnsi="宋体"/>
      <w:spacing w:val="4"/>
      <w:kern w:val="18"/>
      <w:sz w:val="24"/>
    </w:rPr>
  </w:style>
  <w:style w:type="character" w:customStyle="1" w:styleId="143">
    <w:name w:val="表格内正文 Char"/>
    <w:link w:val="142"/>
    <w:uiPriority w:val="0"/>
    <w:rPr>
      <w:rFonts w:ascii="宋体" w:hAnsi="宋体"/>
      <w:spacing w:val="4"/>
      <w:kern w:val="18"/>
      <w:sz w:val="24"/>
      <w:szCs w:val="24"/>
    </w:rPr>
  </w:style>
  <w:style w:type="character" w:customStyle="1" w:styleId="144">
    <w:name w:val="正文缩进 Char1"/>
    <w:uiPriority w:val="0"/>
    <w:rPr>
      <w:kern w:val="2"/>
      <w:sz w:val="24"/>
      <w:szCs w:val="24"/>
    </w:rPr>
  </w:style>
  <w:style w:type="paragraph" w:customStyle="1" w:styleId="145">
    <w:name w:val="TOC Heading"/>
    <w:basedOn w:val="2"/>
    <w:next w:val="1"/>
    <w:qFormat/>
    <w:uiPriority w:val="39"/>
    <w:pPr>
      <w:keepLines/>
      <w:widowControl/>
      <w:overflowPunct/>
      <w:snapToGrid/>
      <w:spacing w:before="480" w:beforeAutospacing="1" w:after="0" w:afterAutospacing="1" w:line="276" w:lineRule="auto"/>
      <w:ind w:left="0" w:firstLine="200" w:firstLineChars="200"/>
      <w:jc w:val="left"/>
      <w:outlineLvl w:val="9"/>
    </w:pPr>
    <w:rPr>
      <w:rFonts w:ascii="Cambria" w:hAnsi="Cambria" w:eastAsia="宋体"/>
      <w:color w:val="365F91"/>
      <w:kern w:val="0"/>
      <w:sz w:val="28"/>
      <w:szCs w:val="28"/>
    </w:rPr>
  </w:style>
  <w:style w:type="paragraph" w:customStyle="1" w:styleId="146">
    <w:name w:val="小标题"/>
    <w:basedOn w:val="1"/>
    <w:link w:val="147"/>
    <w:qFormat/>
    <w:uiPriority w:val="0"/>
    <w:pPr>
      <w:widowControl/>
      <w:spacing w:line="360" w:lineRule="auto"/>
      <w:ind w:firstLine="482" w:firstLineChars="200"/>
      <w:jc w:val="left"/>
    </w:pPr>
    <w:rPr>
      <w:b/>
      <w:kern w:val="0"/>
      <w:sz w:val="24"/>
    </w:rPr>
  </w:style>
  <w:style w:type="character" w:customStyle="1" w:styleId="147">
    <w:name w:val="小标题 Char"/>
    <w:link w:val="146"/>
    <w:uiPriority w:val="0"/>
    <w:rPr>
      <w:b/>
      <w:sz w:val="24"/>
      <w:szCs w:val="24"/>
    </w:rPr>
  </w:style>
  <w:style w:type="character" w:customStyle="1" w:styleId="148">
    <w:name w:val="表文字 Char"/>
    <w:link w:val="149"/>
    <w:uiPriority w:val="0"/>
    <w:rPr>
      <w:rFonts w:ascii="宋体"/>
      <w:snapToGrid w:val="0"/>
      <w:color w:val="000000"/>
      <w:sz w:val="21"/>
      <w:szCs w:val="9"/>
    </w:rPr>
  </w:style>
  <w:style w:type="paragraph" w:customStyle="1" w:styleId="149">
    <w:name w:val="表文字"/>
    <w:basedOn w:val="1"/>
    <w:link w:val="148"/>
    <w:uiPriority w:val="0"/>
    <w:pPr>
      <w:tabs>
        <w:tab w:val="left" w:pos="945"/>
        <w:tab w:val="right" w:leader="dot" w:pos="1155"/>
        <w:tab w:val="left" w:pos="8715"/>
      </w:tabs>
      <w:adjustRightInd w:val="0"/>
      <w:snapToGrid w:val="0"/>
      <w:spacing w:before="46" w:beforeLines="15" w:after="46" w:afterLines="15"/>
      <w:jc w:val="center"/>
      <w:textAlignment w:val="baseline"/>
    </w:pPr>
    <w:rPr>
      <w:rFonts w:ascii="宋体"/>
      <w:snapToGrid w:val="0"/>
      <w:color w:val="000000"/>
      <w:kern w:val="0"/>
      <w:szCs w:val="9"/>
    </w:rPr>
  </w:style>
  <w:style w:type="character" w:customStyle="1" w:styleId="150">
    <w:name w:val="px141"/>
    <w:uiPriority w:val="0"/>
    <w:rPr>
      <w:rFonts w:hint="default" w:ascii="ˎ̥" w:hAnsi="ˎ̥"/>
      <w:sz w:val="21"/>
      <w:szCs w:val="21"/>
    </w:rPr>
  </w:style>
  <w:style w:type="character" w:customStyle="1" w:styleId="151">
    <w:name w:val="正文* Char Char"/>
    <w:link w:val="152"/>
    <w:uiPriority w:val="0"/>
    <w:rPr>
      <w:rFonts w:eastAsia="楷体_GB2312"/>
      <w:kern w:val="2"/>
      <w:sz w:val="30"/>
      <w:szCs w:val="30"/>
    </w:rPr>
  </w:style>
  <w:style w:type="paragraph" w:customStyle="1" w:styleId="152">
    <w:name w:val="正文*"/>
    <w:basedOn w:val="1"/>
    <w:link w:val="151"/>
    <w:uiPriority w:val="0"/>
    <w:pPr>
      <w:spacing w:line="500" w:lineRule="exact"/>
      <w:ind w:firstLine="588" w:firstLineChars="196"/>
    </w:pPr>
    <w:rPr>
      <w:rFonts w:eastAsia="楷体_GB2312"/>
      <w:sz w:val="30"/>
      <w:szCs w:val="30"/>
    </w:rPr>
  </w:style>
  <w:style w:type="character" w:customStyle="1" w:styleId="153">
    <w:name w:val="content1"/>
    <w:uiPriority w:val="0"/>
    <w:rPr>
      <w:sz w:val="21"/>
      <w:szCs w:val="21"/>
    </w:rPr>
  </w:style>
  <w:style w:type="character" w:customStyle="1" w:styleId="154">
    <w:name w:val="t_tag"/>
    <w:basedOn w:val="46"/>
    <w:uiPriority w:val="0"/>
  </w:style>
  <w:style w:type="character" w:customStyle="1" w:styleId="155">
    <w:name w:val="Char Char4"/>
    <w:uiPriority w:val="0"/>
    <w:rPr>
      <w:rFonts w:eastAsia="宋体"/>
      <w:kern w:val="2"/>
      <w:sz w:val="24"/>
      <w:lang w:val="en-US" w:eastAsia="zh-CN" w:bidi="ar-SA"/>
    </w:rPr>
  </w:style>
  <w:style w:type="character" w:customStyle="1" w:styleId="156">
    <w:name w:val="正文(首行缩进) Char"/>
    <w:link w:val="157"/>
    <w:uiPriority w:val="0"/>
    <w:rPr>
      <w:color w:val="0000FF"/>
      <w:spacing w:val="-8"/>
      <w:kern w:val="24"/>
      <w:sz w:val="24"/>
      <w:szCs w:val="24"/>
    </w:rPr>
  </w:style>
  <w:style w:type="paragraph" w:customStyle="1" w:styleId="157">
    <w:name w:val="正文(首行缩进)"/>
    <w:basedOn w:val="1"/>
    <w:link w:val="156"/>
    <w:uiPriority w:val="0"/>
    <w:pPr>
      <w:spacing w:line="360" w:lineRule="auto"/>
      <w:ind w:firstLine="448" w:firstLineChars="200"/>
    </w:pPr>
    <w:rPr>
      <w:color w:val="0000FF"/>
      <w:spacing w:val="-8"/>
      <w:kern w:val="24"/>
      <w:sz w:val="24"/>
    </w:rPr>
  </w:style>
  <w:style w:type="character" w:customStyle="1" w:styleId="158">
    <w:name w:val="表格正文 Char"/>
    <w:uiPriority w:val="0"/>
    <w:rPr>
      <w:kern w:val="2"/>
      <w:sz w:val="21"/>
      <w:szCs w:val="24"/>
      <w:lang w:val="en-US" w:eastAsia="zh-CN" w:bidi="ar-SA"/>
    </w:rPr>
  </w:style>
  <w:style w:type="character" w:customStyle="1" w:styleId="159">
    <w:name w:val="图名 Char Char"/>
    <w:link w:val="160"/>
    <w:uiPriority w:val="0"/>
    <w:rPr>
      <w:rFonts w:ascii="宋体" w:hAnsi="宋体"/>
      <w:b/>
      <w:kern w:val="2"/>
      <w:sz w:val="24"/>
      <w:szCs w:val="24"/>
    </w:rPr>
  </w:style>
  <w:style w:type="paragraph" w:customStyle="1" w:styleId="160">
    <w:name w:val="图名"/>
    <w:basedOn w:val="1"/>
    <w:link w:val="159"/>
    <w:qFormat/>
    <w:uiPriority w:val="0"/>
    <w:pPr>
      <w:tabs>
        <w:tab w:val="left" w:pos="5296"/>
      </w:tabs>
      <w:snapToGrid w:val="0"/>
      <w:spacing w:line="360" w:lineRule="auto"/>
      <w:jc w:val="center"/>
    </w:pPr>
    <w:rPr>
      <w:rFonts w:ascii="宋体" w:hAnsi="宋体"/>
      <w:b/>
      <w:sz w:val="24"/>
    </w:rPr>
  </w:style>
  <w:style w:type="character" w:customStyle="1" w:styleId="161">
    <w:name w:val="表头 Char Char"/>
    <w:link w:val="123"/>
    <w:uiPriority w:val="0"/>
    <w:rPr>
      <w:rFonts w:ascii="宋体"/>
      <w:b/>
      <w:spacing w:val="2"/>
      <w:sz w:val="24"/>
    </w:rPr>
  </w:style>
  <w:style w:type="character" w:customStyle="1" w:styleId="162">
    <w:name w:val="注释标题 Char"/>
    <w:basedOn w:val="46"/>
    <w:link w:val="13"/>
    <w:uiPriority w:val="0"/>
    <w:rPr>
      <w:kern w:val="2"/>
      <w:sz w:val="24"/>
    </w:rPr>
  </w:style>
  <w:style w:type="paragraph" w:customStyle="1" w:styleId="163">
    <w:name w:val="Char Char1"/>
    <w:basedOn w:val="1"/>
    <w:uiPriority w:val="0"/>
    <w:pPr>
      <w:spacing w:line="360" w:lineRule="auto"/>
      <w:ind w:firstLine="200" w:firstLineChars="200"/>
    </w:pPr>
    <w:rPr>
      <w:rFonts w:ascii="宋体" w:hAnsi="宋体" w:cs="宋体"/>
      <w:sz w:val="24"/>
    </w:rPr>
  </w:style>
  <w:style w:type="paragraph" w:customStyle="1" w:styleId="164">
    <w:name w:val="正文 + 仿宋_GB2312"/>
    <w:basedOn w:val="1"/>
    <w:uiPriority w:val="0"/>
    <w:pPr>
      <w:ind w:firstLine="480" w:firstLineChars="200"/>
    </w:pPr>
    <w:rPr>
      <w:rFonts w:ascii="仿宋_GB2312" w:eastAsia="仿宋_GB2312"/>
      <w:sz w:val="24"/>
    </w:rPr>
  </w:style>
  <w:style w:type="paragraph" w:customStyle="1" w:styleId="165">
    <w:name w:val="样式 标题 3 + 首行缩进:  2 字符1"/>
    <w:basedOn w:val="5"/>
    <w:uiPriority w:val="0"/>
    <w:pPr>
      <w:keepNext w:val="0"/>
      <w:keepLines w:val="0"/>
      <w:widowControl w:val="0"/>
      <w:overflowPunct w:val="0"/>
      <w:adjustRightInd w:val="0"/>
      <w:snapToGrid w:val="0"/>
      <w:spacing w:before="0" w:after="0" w:line="360" w:lineRule="auto"/>
      <w:ind w:firstLine="482"/>
      <w:jc w:val="both"/>
      <w:textAlignment w:val="baseline"/>
    </w:pPr>
    <w:rPr>
      <w:rFonts w:ascii="仿宋_GB2312" w:eastAsia="仿宋_GB2312" w:cs="宋体"/>
      <w:color w:val="000000"/>
      <w:sz w:val="24"/>
      <w:szCs w:val="20"/>
    </w:rPr>
  </w:style>
  <w:style w:type="paragraph" w:customStyle="1" w:styleId="166">
    <w:name w:val="表格内表格正文"/>
    <w:basedOn w:val="1"/>
    <w:uiPriority w:val="0"/>
    <w:pPr>
      <w:ind w:firstLine="200" w:firstLineChars="200"/>
      <w:jc w:val="center"/>
    </w:pPr>
    <w:rPr>
      <w:rFonts w:ascii="宋体" w:hAnsi="宋体"/>
      <w:kern w:val="18"/>
      <w:szCs w:val="21"/>
    </w:rPr>
  </w:style>
  <w:style w:type="paragraph" w:customStyle="1" w:styleId="167">
    <w:name w:val="1"/>
    <w:basedOn w:val="2"/>
    <w:uiPriority w:val="0"/>
    <w:pPr>
      <w:keepNext w:val="0"/>
      <w:overflowPunct/>
      <w:adjustRightInd w:val="0"/>
      <w:spacing w:before="0" w:after="0" w:line="500" w:lineRule="atLeast"/>
      <w:ind w:left="0" w:firstLine="0"/>
      <w:outlineLvl w:val="9"/>
    </w:pPr>
    <w:rPr>
      <w:rFonts w:ascii="黑体"/>
      <w:b w:val="0"/>
      <w:color w:val="auto"/>
      <w:sz w:val="24"/>
      <w:szCs w:val="24"/>
    </w:rPr>
  </w:style>
  <w:style w:type="paragraph" w:customStyle="1" w:styleId="168">
    <w:name w:val="表格样式1"/>
    <w:uiPriority w:val="0"/>
    <w:pPr>
      <w:tabs>
        <w:tab w:val="center" w:pos="546"/>
      </w:tabs>
      <w:spacing w:line="440" w:lineRule="exact"/>
      <w:jc w:val="center"/>
    </w:pPr>
    <w:rPr>
      <w:rFonts w:ascii="Times New Roman" w:hAnsi="Times New Roman" w:eastAsia="仿宋_GB2312" w:cs="Times New Roman"/>
      <w:iCs/>
      <w:sz w:val="21"/>
      <w:lang w:val="en-US" w:eastAsia="zh-CN" w:bidi="ar-SA"/>
    </w:rPr>
  </w:style>
  <w:style w:type="paragraph" w:customStyle="1" w:styleId="169">
    <w:name w:val="Char Char2 Char Char Char Char"/>
    <w:basedOn w:val="1"/>
    <w:uiPriority w:val="0"/>
    <w:rPr>
      <w:rFonts w:ascii="宋体" w:hAnsi="宋体"/>
      <w:sz w:val="24"/>
      <w:szCs w:val="21"/>
    </w:rPr>
  </w:style>
  <w:style w:type="paragraph" w:customStyle="1" w:styleId="170">
    <w:name w:val="样式 表头 + 首行缩进:  2 字符1"/>
    <w:basedOn w:val="1"/>
    <w:uiPriority w:val="0"/>
    <w:pPr>
      <w:spacing w:line="360" w:lineRule="auto"/>
      <w:ind w:left="-3" w:leftChars="-1"/>
    </w:pPr>
    <w:rPr>
      <w:rFonts w:eastAsia="黑体" w:cs="宋体"/>
      <w:kern w:val="0"/>
      <w:sz w:val="24"/>
      <w:szCs w:val="20"/>
    </w:rPr>
  </w:style>
  <w:style w:type="paragraph" w:customStyle="1" w:styleId="171">
    <w:name w:val="lsw表格文字"/>
    <w:basedOn w:val="1"/>
    <w:uiPriority w:val="0"/>
    <w:pPr>
      <w:keepNext/>
      <w:keepLines/>
      <w:widowControl/>
      <w:autoSpaceDE w:val="0"/>
      <w:autoSpaceDN w:val="0"/>
      <w:adjustRightInd w:val="0"/>
      <w:jc w:val="center"/>
    </w:pPr>
    <w:rPr>
      <w:rFonts w:ascii="宋体"/>
      <w:kern w:val="0"/>
      <w:sz w:val="24"/>
      <w:szCs w:val="21"/>
    </w:rPr>
  </w:style>
  <w:style w:type="paragraph" w:customStyle="1" w:styleId="172">
    <w:name w:val="表格内部的标题"/>
    <w:basedOn w:val="1"/>
    <w:uiPriority w:val="0"/>
    <w:pPr>
      <w:keepNext/>
      <w:keepLines/>
      <w:jc w:val="center"/>
    </w:pPr>
    <w:rPr>
      <w:rFonts w:ascii="黑体" w:eastAsia="黑体" w:cs="黑体"/>
      <w:sz w:val="20"/>
      <w:szCs w:val="20"/>
    </w:rPr>
  </w:style>
  <w:style w:type="paragraph" w:customStyle="1" w:styleId="173">
    <w:name w:val="样式1"/>
    <w:basedOn w:val="2"/>
    <w:uiPriority w:val="0"/>
    <w:pPr>
      <w:keepNext w:val="0"/>
      <w:overflowPunct/>
      <w:adjustRightInd w:val="0"/>
      <w:snapToGrid/>
      <w:spacing w:before="0" w:after="0" w:line="500" w:lineRule="atLeast"/>
      <w:ind w:left="0" w:firstLine="0"/>
    </w:pPr>
    <w:rPr>
      <w:rFonts w:eastAsia="宋体"/>
      <w:color w:val="auto"/>
      <w:szCs w:val="44"/>
    </w:rPr>
  </w:style>
  <w:style w:type="paragraph" w:customStyle="1" w:styleId="174">
    <w:name w:val="样式 标题 3 + 首行缩进:  2 字符"/>
    <w:basedOn w:val="5"/>
    <w:uiPriority w:val="0"/>
    <w:pPr>
      <w:keepNext w:val="0"/>
      <w:keepLines w:val="0"/>
      <w:widowControl w:val="0"/>
      <w:overflowPunct w:val="0"/>
      <w:adjustRightInd w:val="0"/>
      <w:snapToGrid w:val="0"/>
      <w:spacing w:before="0" w:after="0" w:line="360" w:lineRule="auto"/>
      <w:ind w:firstLine="482"/>
      <w:jc w:val="both"/>
      <w:textAlignment w:val="baseline"/>
    </w:pPr>
    <w:rPr>
      <w:rFonts w:ascii="仿宋_GB2312" w:eastAsia="仿宋_GB2312" w:cs="宋体"/>
      <w:color w:val="000000"/>
      <w:sz w:val="24"/>
      <w:szCs w:val="20"/>
    </w:rPr>
  </w:style>
  <w:style w:type="paragraph" w:customStyle="1" w:styleId="175">
    <w:name w:val="样式 标题 2 + 首行缩进:  2 字符1"/>
    <w:basedOn w:val="3"/>
    <w:uiPriority w:val="0"/>
    <w:pPr>
      <w:pageBreakBefore w:val="0"/>
      <w:widowControl w:val="0"/>
      <w:tabs>
        <w:tab w:val="clear" w:pos="8165"/>
      </w:tabs>
      <w:spacing w:line="240" w:lineRule="auto"/>
      <w:ind w:firstLine="0" w:firstLineChars="0"/>
      <w:jc w:val="both"/>
    </w:pPr>
    <w:rPr>
      <w:rFonts w:hint="default" w:ascii="Times New Roman" w:hAnsi="Times New Roman" w:eastAsia="宋体" w:cs="宋体"/>
      <w:b/>
      <w:bCs/>
      <w:kern w:val="2"/>
      <w:sz w:val="28"/>
    </w:rPr>
  </w:style>
  <w:style w:type="paragraph" w:customStyle="1" w:styleId="176">
    <w:name w:val="表名"/>
    <w:basedOn w:val="1"/>
    <w:uiPriority w:val="0"/>
    <w:pPr>
      <w:adjustRightInd w:val="0"/>
      <w:spacing w:before="120" w:after="120" w:line="400" w:lineRule="atLeast"/>
      <w:jc w:val="center"/>
      <w:textAlignment w:val="baseline"/>
    </w:pPr>
    <w:rPr>
      <w:b/>
      <w:bCs/>
      <w:kern w:val="0"/>
      <w:sz w:val="24"/>
      <w:szCs w:val="20"/>
    </w:rPr>
  </w:style>
  <w:style w:type="paragraph" w:customStyle="1" w:styleId="177">
    <w:name w:val="3"/>
    <w:basedOn w:val="5"/>
    <w:uiPriority w:val="0"/>
    <w:pPr>
      <w:keepNext w:val="0"/>
      <w:keepLines w:val="0"/>
      <w:widowControl w:val="0"/>
      <w:overflowPunct w:val="0"/>
      <w:adjustRightInd w:val="0"/>
      <w:snapToGrid w:val="0"/>
      <w:spacing w:before="0" w:after="0" w:line="360" w:lineRule="auto"/>
      <w:ind w:firstLine="482"/>
      <w:jc w:val="both"/>
      <w:textAlignment w:val="baseline"/>
    </w:pPr>
    <w:rPr>
      <w:rFonts w:ascii="仿宋_GB2312" w:eastAsia="仿宋_GB2312" w:cs="宋体"/>
      <w:color w:val="000000"/>
      <w:sz w:val="24"/>
      <w:szCs w:val="20"/>
    </w:rPr>
  </w:style>
  <w:style w:type="paragraph" w:customStyle="1" w:styleId="178">
    <w:name w:val="2"/>
    <w:basedOn w:val="3"/>
    <w:uiPriority w:val="0"/>
    <w:pPr>
      <w:pageBreakBefore w:val="0"/>
      <w:widowControl w:val="0"/>
      <w:tabs>
        <w:tab w:val="clear" w:pos="8165"/>
      </w:tabs>
      <w:spacing w:line="240" w:lineRule="auto"/>
      <w:ind w:firstLine="0" w:firstLineChars="0"/>
      <w:jc w:val="both"/>
    </w:pPr>
    <w:rPr>
      <w:rFonts w:hint="default" w:ascii="Times New Roman" w:hAnsi="Times New Roman" w:eastAsia="宋体" w:cs="宋体"/>
      <w:b/>
      <w:bCs/>
      <w:kern w:val="2"/>
      <w:sz w:val="28"/>
    </w:rPr>
  </w:style>
  <w:style w:type="paragraph" w:customStyle="1" w:styleId="179">
    <w:name w:val="AFTERTITLE"/>
    <w:basedOn w:val="1"/>
    <w:uiPriority w:val="0"/>
    <w:pPr>
      <w:widowControl/>
      <w:spacing w:after="78" w:afterLines="25" w:line="360" w:lineRule="atLeast"/>
      <w:ind w:firstLine="200" w:firstLineChars="200"/>
      <w:jc w:val="center"/>
    </w:pPr>
    <w:rPr>
      <w:b/>
      <w:caps/>
      <w:kern w:val="0"/>
      <w:sz w:val="24"/>
      <w:szCs w:val="20"/>
      <w:lang w:val="fr-FR"/>
    </w:rPr>
  </w:style>
  <w:style w:type="paragraph" w:customStyle="1" w:styleId="180">
    <w:name w:val="表项目"/>
    <w:basedOn w:val="1"/>
    <w:uiPriority w:val="0"/>
    <w:pPr>
      <w:jc w:val="center"/>
    </w:pPr>
    <w:rPr>
      <w:rFonts w:ascii="黑体" w:eastAsia="黑体" w:cs="宋体"/>
      <w:sz w:val="24"/>
      <w:szCs w:val="20"/>
    </w:rPr>
  </w:style>
  <w:style w:type="paragraph" w:customStyle="1" w:styleId="181">
    <w:name w:val="简单回函地址"/>
    <w:basedOn w:val="1"/>
    <w:uiPriority w:val="0"/>
    <w:rPr>
      <w:rFonts w:ascii="宋体" w:hAnsi="宋体"/>
      <w:sz w:val="24"/>
      <w:szCs w:val="32"/>
    </w:rPr>
  </w:style>
  <w:style w:type="paragraph" w:customStyle="1" w:styleId="182">
    <w:name w:val="君邦正文"/>
    <w:uiPriority w:val="0"/>
    <w:pPr>
      <w:spacing w:after="60" w:line="360" w:lineRule="auto"/>
      <w:ind w:firstLine="480" w:firstLineChars="200"/>
      <w:jc w:val="both"/>
    </w:pPr>
    <w:rPr>
      <w:rFonts w:ascii="Times New Roman" w:hAnsi="Times New Roman" w:eastAsia="宋体" w:cs="Times New Roman"/>
      <w:bCs/>
      <w:snapToGrid w:val="0"/>
      <w:sz w:val="24"/>
      <w:lang w:val="en-US" w:eastAsia="zh-CN" w:bidi="ar-SA"/>
    </w:rPr>
  </w:style>
  <w:style w:type="paragraph" w:customStyle="1" w:styleId="183">
    <w:name w:val="样式 标题 2 + 首行缩进:  2 字符"/>
    <w:basedOn w:val="3"/>
    <w:uiPriority w:val="0"/>
    <w:pPr>
      <w:pageBreakBefore w:val="0"/>
      <w:widowControl w:val="0"/>
      <w:tabs>
        <w:tab w:val="clear" w:pos="8165"/>
      </w:tabs>
      <w:spacing w:line="240" w:lineRule="auto"/>
      <w:ind w:firstLine="0" w:firstLineChars="0"/>
      <w:jc w:val="both"/>
    </w:pPr>
    <w:rPr>
      <w:rFonts w:hint="default" w:ascii="Times New Roman" w:hAnsi="Times New Roman" w:eastAsia="宋体" w:cs="宋体"/>
      <w:b/>
      <w:bCs/>
      <w:kern w:val="2"/>
      <w:sz w:val="28"/>
    </w:rPr>
  </w:style>
  <w:style w:type="paragraph" w:customStyle="1" w:styleId="184">
    <w:name w:val="样式 行距: 最小值 12 磅"/>
    <w:basedOn w:val="1"/>
    <w:uiPriority w:val="0"/>
    <w:pPr>
      <w:snapToGrid w:val="0"/>
      <w:spacing w:line="500" w:lineRule="atLeast"/>
    </w:pPr>
    <w:rPr>
      <w:rFonts w:cs="宋体"/>
      <w:sz w:val="24"/>
      <w:szCs w:val="20"/>
    </w:rPr>
  </w:style>
  <w:style w:type="paragraph" w:customStyle="1" w:styleId="185">
    <w:name w:val="表格文字"/>
    <w:basedOn w:val="1"/>
    <w:uiPriority w:val="0"/>
    <w:pPr>
      <w:tabs>
        <w:tab w:val="left" w:pos="-2848"/>
      </w:tabs>
      <w:spacing w:before="40" w:after="40" w:line="240" w:lineRule="atLeast"/>
      <w:jc w:val="center"/>
    </w:pPr>
    <w:rPr>
      <w:position w:val="-10"/>
      <w:sz w:val="24"/>
      <w:szCs w:val="20"/>
    </w:rPr>
  </w:style>
  <w:style w:type="paragraph" w:customStyle="1" w:styleId="186">
    <w:name w:val="标准"/>
    <w:basedOn w:val="1"/>
    <w:uiPriority w:val="0"/>
    <w:pPr>
      <w:adjustRightInd w:val="0"/>
      <w:spacing w:line="312" w:lineRule="atLeast"/>
      <w:jc w:val="center"/>
      <w:textAlignment w:val="baseline"/>
    </w:pPr>
    <w:rPr>
      <w:bCs/>
      <w:kern w:val="0"/>
      <w:sz w:val="24"/>
    </w:rPr>
  </w:style>
  <w:style w:type="paragraph" w:customStyle="1" w:styleId="187">
    <w:name w:val="pic-info"/>
    <w:basedOn w:val="1"/>
    <w:uiPriority w:val="0"/>
    <w:pPr>
      <w:widowControl/>
      <w:spacing w:before="100" w:beforeAutospacing="1" w:after="100" w:afterAutospacing="1"/>
      <w:jc w:val="left"/>
    </w:pPr>
    <w:rPr>
      <w:rFonts w:ascii="宋体" w:hAnsi="宋体" w:cs="宋体"/>
      <w:kern w:val="0"/>
      <w:sz w:val="24"/>
    </w:rPr>
  </w:style>
  <w:style w:type="paragraph" w:customStyle="1" w:styleId="188">
    <w:name w:val="列出段落[858D7CFB-ED40-4347-BF05-701D383B685F][858D7CFB-ED40-4347-BF05-701D383B685F]"/>
    <w:basedOn w:val="1"/>
    <w:uiPriority w:val="0"/>
    <w:pPr>
      <w:tabs>
        <w:tab w:val="left" w:pos="842"/>
        <w:tab w:val="left" w:pos="1078"/>
      </w:tabs>
      <w:ind w:firstLine="482"/>
    </w:pPr>
    <w:rPr>
      <w:rFonts w:ascii="Calibri" w:hAnsi="Calibri"/>
      <w:sz w:val="24"/>
      <w:szCs w:val="22"/>
    </w:rPr>
  </w:style>
  <w:style w:type="paragraph" w:customStyle="1" w:styleId="189">
    <w:name w:val="Char Char Char"/>
    <w:basedOn w:val="1"/>
    <w:uiPriority w:val="0"/>
    <w:rPr>
      <w:sz w:val="24"/>
    </w:rPr>
  </w:style>
  <w:style w:type="paragraph" w:customStyle="1" w:styleId="190">
    <w:name w:val="xyb自建正文"/>
    <w:basedOn w:val="1"/>
    <w:uiPriority w:val="0"/>
    <w:pPr>
      <w:spacing w:line="360" w:lineRule="auto"/>
      <w:ind w:firstLine="200" w:firstLineChars="200"/>
      <w:textAlignment w:val="baseline"/>
    </w:pPr>
    <w:rPr>
      <w:snapToGrid w:val="0"/>
      <w:kern w:val="0"/>
      <w:sz w:val="24"/>
      <w:szCs w:val="20"/>
    </w:rPr>
  </w:style>
  <w:style w:type="paragraph" w:customStyle="1" w:styleId="191">
    <w:name w:val="正文1 Char"/>
    <w:basedOn w:val="1"/>
    <w:uiPriority w:val="0"/>
    <w:pPr>
      <w:widowControl/>
      <w:spacing w:line="700" w:lineRule="exact"/>
      <w:ind w:firstLine="200" w:firstLineChars="200"/>
      <w:jc w:val="left"/>
    </w:pPr>
    <w:rPr>
      <w:rFonts w:ascii="Arial" w:hAnsi="Arial" w:eastAsia="仿宋_GB2312"/>
      <w:kern w:val="0"/>
      <w:sz w:val="28"/>
    </w:rPr>
  </w:style>
  <w:style w:type="paragraph" w:customStyle="1" w:styleId="192">
    <w:name w:val="表头1"/>
    <w:basedOn w:val="1"/>
    <w:next w:val="1"/>
    <w:uiPriority w:val="0"/>
    <w:pPr>
      <w:tabs>
        <w:tab w:val="left" w:pos="605"/>
      </w:tabs>
      <w:adjustRightInd w:val="0"/>
      <w:snapToGrid w:val="0"/>
      <w:jc w:val="center"/>
    </w:pPr>
    <w:rPr>
      <w:rFonts w:eastAsia="黑体"/>
      <w:szCs w:val="28"/>
    </w:rPr>
  </w:style>
  <w:style w:type="paragraph" w:customStyle="1" w:styleId="193">
    <w:name w:val="Char Char Char Char Char Char Char Char Char Char Char Char Char Char"/>
    <w:uiPriority w:val="0"/>
    <w:pPr>
      <w:widowControl w:val="0"/>
      <w:spacing w:line="300" w:lineRule="auto"/>
      <w:ind w:firstLine="480" w:firstLineChars="200"/>
      <w:jc w:val="both"/>
    </w:pPr>
    <w:rPr>
      <w:rFonts w:ascii="Times New Roman" w:hAnsi="Times New Roman" w:eastAsia="宋体" w:cs="Times New Roman"/>
      <w:lang w:val="en-US" w:eastAsia="zh-CN" w:bidi="ar-SA"/>
    </w:rPr>
  </w:style>
  <w:style w:type="paragraph" w:customStyle="1" w:styleId="194">
    <w:name w:val="列出段落[858D7CFB-ED40-4347-BF05-701D383B685F][858D7CFB-ED40-4347-BF05-701D383B685F]1"/>
    <w:basedOn w:val="1"/>
    <w:uiPriority w:val="0"/>
    <w:pPr>
      <w:numPr>
        <w:ilvl w:val="0"/>
        <w:numId w:val="1"/>
      </w:numPr>
      <w:tabs>
        <w:tab w:val="left" w:pos="1078"/>
      </w:tabs>
    </w:pPr>
    <w:rPr>
      <w:rFonts w:ascii="Calibri" w:hAnsi="Calibri"/>
      <w:sz w:val="24"/>
      <w:szCs w:val="22"/>
    </w:rPr>
  </w:style>
  <w:style w:type="paragraph" w:customStyle="1" w:styleId="195">
    <w:name w:val="样式 方正仿宋_GBK 三号 行距: 固定值 28 磅"/>
    <w:basedOn w:val="1"/>
    <w:uiPriority w:val="0"/>
    <w:pPr>
      <w:spacing w:line="360" w:lineRule="auto"/>
      <w:ind w:firstLine="200" w:firstLineChars="200"/>
      <w:jc w:val="left"/>
    </w:pPr>
    <w:rPr>
      <w:rFonts w:ascii="方正仿宋_GBK" w:hAnsi="方正仿宋_GBK" w:cs="宋体"/>
      <w:sz w:val="28"/>
      <w:szCs w:val="20"/>
    </w:rPr>
  </w:style>
  <w:style w:type="paragraph" w:customStyle="1" w:styleId="196">
    <w:name w:val="正文2 Char Char Char"/>
    <w:basedOn w:val="1"/>
    <w:uiPriority w:val="0"/>
    <w:pPr>
      <w:widowControl/>
      <w:spacing w:before="100" w:beforeAutospacing="1" w:after="100" w:afterAutospacing="1"/>
      <w:ind w:firstLine="200" w:firstLineChars="200"/>
    </w:pPr>
    <w:rPr>
      <w:kern w:val="0"/>
      <w:sz w:val="24"/>
      <w:szCs w:val="21"/>
    </w:rPr>
  </w:style>
  <w:style w:type="paragraph" w:customStyle="1" w:styleId="197">
    <w:name w:val="纯文本1"/>
    <w:basedOn w:val="1"/>
    <w:uiPriority w:val="0"/>
    <w:pPr>
      <w:adjustRightInd w:val="0"/>
      <w:jc w:val="center"/>
      <w:textAlignment w:val="baseline"/>
    </w:pPr>
    <w:rPr>
      <w:rFonts w:ascii="宋体" w:hAnsi="Courier New"/>
      <w:snapToGrid w:val="0"/>
      <w:kern w:val="0"/>
      <w:szCs w:val="20"/>
    </w:rPr>
  </w:style>
  <w:style w:type="table" w:customStyle="1" w:styleId="198">
    <w:name w:val="专业网格1"/>
    <w:basedOn w:val="4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99">
    <w:name w:val="apple-converted-space"/>
    <w:basedOn w:val="46"/>
    <w:uiPriority w:val="0"/>
  </w:style>
  <w:style w:type="character" w:customStyle="1" w:styleId="200">
    <w:name w:val="我的样式4正文 Char"/>
    <w:link w:val="201"/>
    <w:uiPriority w:val="0"/>
    <w:rPr>
      <w:kern w:val="2"/>
      <w:sz w:val="24"/>
      <w:szCs w:val="24"/>
    </w:rPr>
  </w:style>
  <w:style w:type="paragraph" w:customStyle="1" w:styleId="201">
    <w:name w:val="我的样式4正文"/>
    <w:basedOn w:val="1"/>
    <w:link w:val="200"/>
    <w:uiPriority w:val="0"/>
    <w:pPr>
      <w:spacing w:line="520" w:lineRule="exact"/>
      <w:ind w:firstLine="492" w:firstLineChars="205"/>
    </w:pPr>
    <w:rPr>
      <w:sz w:val="24"/>
    </w:rPr>
  </w:style>
  <w:style w:type="paragraph" w:customStyle="1" w:styleId="202">
    <w:name w:val="默认段落字体 Para Char Char Char Char Char Char Char Char Char Char"/>
    <w:basedOn w:val="1"/>
    <w:uiPriority w:val="0"/>
  </w:style>
  <w:style w:type="paragraph" w:customStyle="1" w:styleId="203">
    <w:name w:val="两个表格连在一起的表头"/>
    <w:basedOn w:val="1"/>
    <w:uiPriority w:val="0"/>
    <w:pPr>
      <w:spacing w:before="312" w:beforeLines="100"/>
      <w:jc w:val="center"/>
    </w:pPr>
    <w:rPr>
      <w:b/>
      <w:sz w:val="24"/>
    </w:rPr>
  </w:style>
  <w:style w:type="character" w:customStyle="1" w:styleId="20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package" Target="embeddings/Microsoft_Visio___1.vsdx"/><Relationship Id="rId8" Type="http://schemas.openxmlformats.org/officeDocument/2006/relationships/image" Target="file:///C:\Users\KK\AppData\Roaming\Tencent\Users\757292072\QQ\WinTemp\RichOle\%255b7C_$SPJ8H%2525HDDU%257d_2ZH0_A.png" TargetMode="Externa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0.wmf"/><Relationship Id="rId23" Type="http://schemas.openxmlformats.org/officeDocument/2006/relationships/image" Target="media/image9.wmf"/><Relationship Id="rId22" Type="http://schemas.openxmlformats.org/officeDocument/2006/relationships/oleObject" Target="embeddings/oleObject1.bin"/><Relationship Id="rId21" Type="http://schemas.openxmlformats.org/officeDocument/2006/relationships/package" Target="embeddings/Microsoft_Visio___5.vsdx"/><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package" Target="embeddings/Microsoft_Visio___4.vsdx"/><Relationship Id="rId18" Type="http://schemas.openxmlformats.org/officeDocument/2006/relationships/image" Target="media/image7.emf"/><Relationship Id="rId17" Type="http://schemas.openxmlformats.org/officeDocument/2006/relationships/package" Target="embeddings/Microsoft_Visio___3.vsdx"/><Relationship Id="rId16" Type="http://schemas.openxmlformats.org/officeDocument/2006/relationships/image" Target="media/image6.emf"/><Relationship Id="rId15" Type="http://schemas.openxmlformats.org/officeDocument/2006/relationships/package" Target="embeddings/Microsoft_Visio___2.vsdx"/><Relationship Id="rId14" Type="http://schemas.openxmlformats.org/officeDocument/2006/relationships/image" Target="file:///C:\Users\KK\AppData\Roaming\Tencent\Users\757292072\QQ\WinTemp\RichOle\21$U~W%257b8%257dLUD%257b9_3E4$(6%2560U.png" TargetMode="External"/><Relationship Id="rId13" Type="http://schemas.openxmlformats.org/officeDocument/2006/relationships/image" Target="media/image5.png"/><Relationship Id="rId12" Type="http://schemas.openxmlformats.org/officeDocument/2006/relationships/image" Target="media/image4.wmf"/><Relationship Id="rId11" Type="http://schemas.openxmlformats.org/officeDocument/2006/relationships/image" Target="media/image3.wmf"/><Relationship Id="rId10" Type="http://schemas.openxmlformats.org/officeDocument/2006/relationships/image" Target="media/image2.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6247F5-5F32-43F9-96C3-A9009D8A3999}">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1</Pages>
  <Words>11735</Words>
  <Characters>66892</Characters>
  <Lines>557</Lines>
  <Paragraphs>156</Paragraphs>
  <TotalTime>1630</TotalTime>
  <ScaleCrop>false</ScaleCrop>
  <LinksUpToDate>false</LinksUpToDate>
  <CharactersWithSpaces>78471</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2022-09-28T01:24:00Z</dcterms:created>
  <dc:creator>lhj</dc:creator>
  <cp:lastModifiedBy>Administrator</cp:lastModifiedBy>
  <cp:lastPrinted>2022-09-28T01:24:00Z</cp:lastPrinted>
  <dcterms:modified xsi:type="dcterms:W3CDTF">2022-11-03T07:07:03Z</dcterms:modified>
  <dc:title>附件2</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