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891" w:type="dxa"/>
        <w:tblInd w:w="93" w:type="dxa"/>
        <w:tblLayout w:type="fixed"/>
        <w:tblCellMar>
          <w:top w:w="0" w:type="dxa"/>
          <w:left w:w="108" w:type="dxa"/>
          <w:bottom w:w="0" w:type="dxa"/>
          <w:right w:w="108" w:type="dxa"/>
        </w:tblCellMar>
      </w:tblPr>
      <w:tblGrid>
        <w:gridCol w:w="1020"/>
        <w:gridCol w:w="980"/>
        <w:gridCol w:w="1382"/>
        <w:gridCol w:w="1936"/>
        <w:gridCol w:w="965"/>
        <w:gridCol w:w="1338"/>
        <w:gridCol w:w="1325"/>
        <w:gridCol w:w="1349"/>
        <w:gridCol w:w="3856"/>
        <w:gridCol w:w="812"/>
        <w:gridCol w:w="928"/>
      </w:tblGrid>
      <w:tr>
        <w:tblPrEx>
          <w:tblLayout w:type="fixed"/>
          <w:tblCellMar>
            <w:top w:w="0" w:type="dxa"/>
            <w:left w:w="108" w:type="dxa"/>
            <w:bottom w:w="0" w:type="dxa"/>
            <w:right w:w="108" w:type="dxa"/>
          </w:tblCellMar>
        </w:tblPrEx>
        <w:trPr>
          <w:trHeight w:val="795" w:hRule="atLeast"/>
          <w:tblHeader/>
        </w:trPr>
        <w:tc>
          <w:tcPr>
            <w:tcW w:w="15891" w:type="dxa"/>
            <w:gridSpan w:val="11"/>
            <w:tcBorders>
              <w:top w:val="nil"/>
              <w:left w:val="nil"/>
              <w:bottom w:val="nil"/>
              <w:right w:val="nil"/>
            </w:tcBorders>
            <w:shd w:val="clear" w:color="auto" w:fill="auto"/>
            <w:vAlign w:val="center"/>
          </w:tcPr>
          <w:p>
            <w:pPr>
              <w:widowControl/>
              <w:jc w:val="center"/>
              <w:rPr>
                <w:rFonts w:ascii="Courier New" w:hAnsi="Courier New" w:eastAsia="宋体" w:cs="Courier New"/>
                <w:color w:val="000000" w:themeColor="text1"/>
                <w:kern w:val="0"/>
                <w:sz w:val="40"/>
                <w:szCs w:val="40"/>
              </w:rPr>
            </w:pPr>
            <w:r>
              <w:rPr>
                <w:rFonts w:hint="eastAsia" w:ascii="Courier New" w:hAnsi="Courier New" w:eastAsia="宋体" w:cs="Courier New"/>
                <w:color w:val="000000" w:themeColor="text1"/>
                <w:kern w:val="0"/>
                <w:sz w:val="40"/>
                <w:szCs w:val="40"/>
                <w:lang w:eastAsia="zh-CN"/>
              </w:rPr>
              <w:t>202</w:t>
            </w:r>
            <w:r>
              <w:rPr>
                <w:rFonts w:hint="eastAsia" w:ascii="Courier New" w:hAnsi="Courier New" w:eastAsia="宋体" w:cs="Courier New"/>
                <w:color w:val="000000" w:themeColor="text1"/>
                <w:kern w:val="0"/>
                <w:sz w:val="40"/>
                <w:szCs w:val="40"/>
                <w:lang w:val="en-US" w:eastAsia="zh-CN"/>
              </w:rPr>
              <w:t>2</w:t>
            </w:r>
            <w:bookmarkStart w:id="0" w:name="_GoBack"/>
            <w:bookmarkEnd w:id="0"/>
            <w:r>
              <w:rPr>
                <w:rFonts w:hint="eastAsia" w:ascii="Courier New" w:hAnsi="Courier New" w:eastAsia="宋体" w:cs="Courier New"/>
                <w:color w:val="000000" w:themeColor="text1"/>
                <w:kern w:val="0"/>
                <w:sz w:val="40"/>
                <w:szCs w:val="40"/>
                <w:lang w:eastAsia="zh-CN"/>
              </w:rPr>
              <w:t>年度昆明市晋宁区文化和旅游局市场监管领域随机抽查事项清单（第二版）</w:t>
            </w:r>
          </w:p>
        </w:tc>
      </w:tr>
      <w:tr>
        <w:tblPrEx>
          <w:tblLayout w:type="fixed"/>
          <w:tblCellMar>
            <w:top w:w="0" w:type="dxa"/>
            <w:left w:w="108" w:type="dxa"/>
            <w:bottom w:w="0" w:type="dxa"/>
            <w:right w:w="108" w:type="dxa"/>
          </w:tblCellMar>
        </w:tblPrEx>
        <w:trPr>
          <w:trHeight w:val="394" w:hRule="atLeast"/>
          <w:tblHeader/>
        </w:trPr>
        <w:tc>
          <w:tcPr>
            <w:tcW w:w="10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序号</w:t>
            </w:r>
          </w:p>
        </w:tc>
        <w:tc>
          <w:tcPr>
            <w:tcW w:w="9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部门</w:t>
            </w:r>
          </w:p>
        </w:tc>
        <w:tc>
          <w:tcPr>
            <w:tcW w:w="331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 xml:space="preserve">抽查项目 </w:t>
            </w:r>
          </w:p>
        </w:tc>
        <w:tc>
          <w:tcPr>
            <w:tcW w:w="9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事项类别</w:t>
            </w:r>
          </w:p>
        </w:tc>
        <w:tc>
          <w:tcPr>
            <w:tcW w:w="13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检查对象</w:t>
            </w:r>
          </w:p>
        </w:tc>
        <w:tc>
          <w:tcPr>
            <w:tcW w:w="132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检查方式</w:t>
            </w:r>
          </w:p>
        </w:tc>
        <w:tc>
          <w:tcPr>
            <w:tcW w:w="13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检查主体</w:t>
            </w:r>
          </w:p>
        </w:tc>
        <w:tc>
          <w:tcPr>
            <w:tcW w:w="38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检查依据</w:t>
            </w:r>
          </w:p>
        </w:tc>
        <w:tc>
          <w:tcPr>
            <w:tcW w:w="81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适用区域</w:t>
            </w:r>
          </w:p>
        </w:tc>
        <w:tc>
          <w:tcPr>
            <w:tcW w:w="9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备注</w:t>
            </w:r>
          </w:p>
        </w:tc>
      </w:tr>
      <w:tr>
        <w:tblPrEx>
          <w:tblLayout w:type="fixed"/>
          <w:tblCellMar>
            <w:top w:w="0" w:type="dxa"/>
            <w:left w:w="108" w:type="dxa"/>
            <w:bottom w:w="0" w:type="dxa"/>
            <w:right w:w="108" w:type="dxa"/>
          </w:tblCellMar>
        </w:tblPrEx>
        <w:trPr>
          <w:trHeight w:val="368" w:hRule="atLeast"/>
          <w:tblHeader/>
        </w:trPr>
        <w:tc>
          <w:tcPr>
            <w:tcW w:w="102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Courier New" w:hAnsi="Courier New" w:eastAsia="宋体" w:cs="Courier New"/>
                <w:color w:val="000000" w:themeColor="text1"/>
                <w:kern w:val="0"/>
                <w:sz w:val="22"/>
              </w:rPr>
            </w:pPr>
          </w:p>
        </w:tc>
        <w:tc>
          <w:tcPr>
            <w:tcW w:w="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Courier New" w:hAnsi="Courier New" w:eastAsia="宋体" w:cs="Courier New"/>
                <w:color w:val="000000" w:themeColor="text1"/>
                <w:kern w:val="0"/>
                <w:sz w:val="22"/>
              </w:rPr>
            </w:pPr>
          </w:p>
        </w:tc>
        <w:tc>
          <w:tcPr>
            <w:tcW w:w="1382" w:type="dxa"/>
            <w:tcBorders>
              <w:top w:val="nil"/>
              <w:left w:val="nil"/>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抽查类别</w:t>
            </w:r>
          </w:p>
        </w:tc>
        <w:tc>
          <w:tcPr>
            <w:tcW w:w="1936" w:type="dxa"/>
            <w:tcBorders>
              <w:top w:val="nil"/>
              <w:left w:val="nil"/>
              <w:bottom w:val="single" w:color="auto" w:sz="4" w:space="0"/>
              <w:right w:val="single" w:color="auto" w:sz="4" w:space="0"/>
            </w:tcBorders>
            <w:shd w:val="clear" w:color="auto" w:fill="auto"/>
            <w:vAlign w:val="center"/>
          </w:tcPr>
          <w:p>
            <w:pPr>
              <w:widowControl/>
              <w:jc w:val="center"/>
              <w:rPr>
                <w:rFonts w:ascii="Courier New" w:hAnsi="Courier New" w:eastAsia="宋体" w:cs="Courier New"/>
                <w:color w:val="000000" w:themeColor="text1"/>
                <w:kern w:val="0"/>
                <w:sz w:val="22"/>
              </w:rPr>
            </w:pPr>
            <w:r>
              <w:rPr>
                <w:rFonts w:ascii="Courier New" w:hAnsi="Courier New" w:eastAsia="宋体" w:cs="Courier New"/>
                <w:color w:val="000000" w:themeColor="text1"/>
                <w:kern w:val="0"/>
                <w:sz w:val="22"/>
              </w:rPr>
              <w:t>抽查事项</w:t>
            </w:r>
          </w:p>
        </w:tc>
        <w:tc>
          <w:tcPr>
            <w:tcW w:w="9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Courier New" w:hAnsi="Courier New" w:eastAsia="宋体" w:cs="Courier New"/>
                <w:color w:val="000000" w:themeColor="text1"/>
                <w:kern w:val="0"/>
                <w:sz w:val="22"/>
              </w:rPr>
            </w:pPr>
          </w:p>
        </w:tc>
        <w:tc>
          <w:tcPr>
            <w:tcW w:w="133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Courier New" w:hAnsi="Courier New" w:eastAsia="宋体" w:cs="Courier New"/>
                <w:color w:val="000000" w:themeColor="text1"/>
                <w:kern w:val="0"/>
                <w:sz w:val="22"/>
              </w:rPr>
            </w:pPr>
          </w:p>
        </w:tc>
        <w:tc>
          <w:tcPr>
            <w:tcW w:w="13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Courier New" w:hAnsi="Courier New" w:eastAsia="宋体" w:cs="Courier New"/>
                <w:color w:val="000000" w:themeColor="text1"/>
                <w:kern w:val="0"/>
                <w:sz w:val="22"/>
              </w:rPr>
            </w:pPr>
          </w:p>
        </w:tc>
        <w:tc>
          <w:tcPr>
            <w:tcW w:w="134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Courier New" w:hAnsi="Courier New" w:eastAsia="宋体" w:cs="Courier New"/>
                <w:color w:val="000000" w:themeColor="text1"/>
                <w:kern w:val="0"/>
                <w:sz w:val="22"/>
              </w:rPr>
            </w:pPr>
          </w:p>
        </w:tc>
        <w:tc>
          <w:tcPr>
            <w:tcW w:w="385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Courier New" w:hAnsi="Courier New" w:eastAsia="宋体" w:cs="Courier New"/>
                <w:color w:val="000000" w:themeColor="text1"/>
                <w:kern w:val="0"/>
                <w:sz w:val="22"/>
              </w:rPr>
            </w:pPr>
          </w:p>
        </w:tc>
        <w:tc>
          <w:tcPr>
            <w:tcW w:w="81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Courier New" w:hAnsi="Courier New" w:eastAsia="宋体" w:cs="Courier New"/>
                <w:color w:val="000000" w:themeColor="text1"/>
                <w:kern w:val="0"/>
                <w:sz w:val="22"/>
              </w:rPr>
            </w:pPr>
          </w:p>
        </w:tc>
        <w:tc>
          <w:tcPr>
            <w:tcW w:w="92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Courier New" w:hAnsi="Courier New" w:eastAsia="宋体" w:cs="Courier New"/>
                <w:color w:val="000000" w:themeColor="text1"/>
                <w:kern w:val="0"/>
                <w:sz w:val="22"/>
              </w:rPr>
            </w:pPr>
          </w:p>
        </w:tc>
      </w:tr>
      <w:tr>
        <w:tblPrEx>
          <w:tblLayout w:type="fixed"/>
          <w:tblCellMar>
            <w:top w:w="0" w:type="dxa"/>
            <w:left w:w="108" w:type="dxa"/>
            <w:bottom w:w="0" w:type="dxa"/>
            <w:right w:w="108" w:type="dxa"/>
          </w:tblCellMar>
        </w:tblPrEx>
        <w:trPr>
          <w:trHeight w:val="139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color w:val="auto"/>
                <w:kern w:val="0"/>
                <w:sz w:val="20"/>
                <w:szCs w:val="20"/>
                <w:shd w:val="clear" w:color="auto" w:fill="auto"/>
                <w:lang w:eastAsia="zh-CN"/>
              </w:rPr>
            </w:pPr>
            <w:r>
              <w:rPr>
                <w:rFonts w:hint="eastAsia" w:ascii="宋体" w:hAnsi="宋体" w:eastAsia="宋体" w:cs="宋体"/>
                <w:i w:val="0"/>
                <w:color w:val="auto"/>
                <w:kern w:val="0"/>
                <w:sz w:val="20"/>
                <w:szCs w:val="20"/>
                <w:u w:val="none"/>
                <w:shd w:val="clear" w:color="auto" w:fill="auto"/>
                <w:lang w:val="en-US" w:eastAsia="zh-CN" w:bidi="ar"/>
              </w:rPr>
              <w:t>1</w:t>
            </w:r>
          </w:p>
        </w:tc>
        <w:tc>
          <w:tcPr>
            <w:tcW w:w="98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晋宁区文化和旅游局（6类83项）</w:t>
            </w: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涂改、出租、出借或者以其他方式转让《网络文化经营许可证》，尚不构成刑事处罚的</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《互联网上网服务营业场所管理条例》第二十九条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250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互联网上网服务营业场所经营单位利用营业场所制作、下载、复制、查阅、发布、传播或者以其他方式使用含有本条例第十四条规定禁止含有的内容的信息</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97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在规定的营业时间以外营业</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《互联网上网服务营业场所管理条例》第三十一条第一款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523"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接纳未成年人进入营业场所</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《互联网上网服务营业场所管理条例》第三十一条第二款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0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经营非网络游戏</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《互联网上网服务营业场所管理条例》第三十一条第三款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3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擅自停止实施经营管理技术措施</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《互联网上网服务营业场所管理条例》第三十一条第四款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9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未悬挂《网络文化经营许可证》</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《互联网上网服务营业场所管理条例》第三十一条第五款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9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8</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未悬挂未成年人禁入标志</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《互联网上网服务营业场所管理条例》第三十一条第五款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830"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9</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向上网消费者提供的计算机未通过局域网的方式接入互联网</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《互联网上网服务营业场所管理条例》第三十二条第一款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78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10</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未建立场内巡查制度，或者发现上网消费者的违法行为未予制止并向文化行政部门、公安机关举报</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《互联网上网服务营业场所管理条例》第三十二条第二款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33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11</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未按规定核对、登记上网消费者的有效身份证件或者记录有关上网信息</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《互联网上网服务营业场所管理条例》第三十二条第三款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59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12</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未按规定时间保存登记内容、记录备份，或者在保存期内修改、删除登记内容、记录备份</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《互联网上网服务营业场所管理条例》第三十二条第四款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51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13</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违反《互联网上网服务营业场所管理条例》第二十四条规定，情节严重的</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《互联网上网服务营业场所管理条例》第三十三条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36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14</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歌舞娱乐场所的歌曲点播系统与境外的曲库联接</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《娱乐场所管理条例》第四十八条第一款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65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15</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舞娱乐场所播放的曲目、屏幕画面含有本条例第十三条禁止内容</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《娱乐场所管理条例》第四十八条第二款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30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16</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游艺娱乐场所电子游戏机内的游戏项目含有本条例第十三条禁止内容</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《娱乐场所管理条例》第四十八条第二款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90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17</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歌舞娱乐场所接纳未成年人</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《娱乐场所管理条例》第四十八条第三款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18</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游艺娱乐场所设置的电子游戏机在国家法定节假日外向未成年人提供</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《娱乐场所管理条例》第四十八条第四款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19</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娱乐场所容纳的消费者超过核定人数</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《娱乐场所管理条例》第四十八条第五款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35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20</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变更有关事项，未按照《娱乐场所管理条例》规定申请重新核发娱乐经营许可证</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《娱乐场所管理条例》第四十九条第一款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47"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21</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在《娱乐场所管理条例》规定的禁止营业时间内营业</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《娱乐场所管理条例》第四十九条第二款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47"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22</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从业人员在营业期间未统一着装并佩带工作标志</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《娱乐场所管理条例》第四十九条第三款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11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23</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娱乐场所未按照《娱乐场所管理条例》规定建立从业人员名簿</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《娱乐场所管理条例》第五十条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8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24</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娱乐场所未按照《娱乐场所管理条例》规定建立从业日志</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《娱乐场所管理条例》第五十条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6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25</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发现违法犯罪行为未按照《娱乐场所管理条例》规定报告</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《娱乐场所管理条例》第五十条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26</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娱乐场所未按照《娱乐场所管理条例》规定悬挂警示标志、未成年人禁入或者限入标志</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《娱乐场所管理条例》第五十一条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59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27</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娱乐场所及其从业人员实施条例第十四条所列行为，或者为进入娱乐场所的人员实施上述行为提供条件</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《娱乐场所管理条例》第四十三条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35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28</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娱乐场所指使、纵容从业人员侵犯消费者人身权利的，造成严重后果的</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《娱乐场所管理条例》第四十六条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29</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擅自变更场所使用的歌曲点播系统</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《娱乐场所管理条例》第四十九条第一款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6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30</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设置未经文化主管部门内容核查的游戏游艺设备</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《娱乐场所管理办法》第三十条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12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31</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进行有奖经营活动的，奖品目录未报所在地县级文化主管部门备案</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《娱乐场所管理办法》第第三十条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32</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擅自变更游戏游艺设备</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《娱乐场所管理办法》第三十条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33</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未实行游戏、游艺分区经营，或者设有明显的分区标志</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《娱乐场所管理办法》第三十条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62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34</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娱乐场所为未经文化主管部门批准的营业性演出活动提供场地</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《娱乐场所管理办法》第三十一条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47"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35</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违法违规行为未及时采取措施制止并依法报告</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《娱乐场所管理办法》第三十二条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36</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娱乐场所未在显著位置悬挂娱乐经营许可证、未成年人禁入或者限入标志，或者未注明“12318”文化市场举报电话</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《娱乐场所管理办法》第三十三条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24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37</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娱乐场所不配合文化主管部门的日常检查和技术监管措施</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歌舞娱乐场所、游艺娱乐场所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《娱乐场所管理办法》第三十四条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38</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除国家法定节假日外接纳未成年人进入游戏区</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游艺娱乐场所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《娱乐场所管理办法》第三十条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45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39</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经营含有《艺术品经营管理办法》第六条禁止内容</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15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40</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经营《艺术品经营管理办法》第七条禁止经营的艺术品</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41</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向消费者隐瞒艺术品来源，或者在艺术品说明中隐瞒重要事项，误导消费者</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《艺术品经营管理办法》第二十一条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42</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伪造、变造艺术品来源证明、艺术品签定评估文件以及其他交易凭证</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《艺术品经营管理办法》第二十一条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107"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43</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以非法集资为目的或者以非法传销为手段进行经营</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《艺术品经营管理办法》第二十一条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95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44</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未经批准，将艺术品权益拆分为均等份额公开发行，以集中竟价、做市商等集中交易方式进行交易</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《艺术品经营管理办法》第二十一条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45</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未标明所经营的艺术品作者、年代、尺寸、材料、保存状况和销售价格等信息</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《艺术品经营管理办法》第二十二条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46</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未按规定期限保留交易有关的原始凭证、销售合同、台账、账簿等销售记录</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《艺术品经营管理办法》第二十二条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47</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艺术品经营单位从事艺术品鉴定、评估等服务未与委托人签订书面协议，或者签订了协议，但协议未约定鉴定、评估的事项，鉴定、评估的结论适用范围以及被委托人应当承担的责任</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《艺术品经营管理办法》第二十二条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48</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艺术品经营单位从事艺术品鉴定、评估等服务未明示艺术品鉴定、评估程序或者需要告知、提示委托人的事项</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《艺术品经营管理办法》第二十二条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49</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从事艺术品鉴定、评估等服务未书面出具鉴定、评估结论，或者出具了鉴定、评估结论，但鉴定、评估结论不包括对委托艺术品的全面客观说明，鉴定、评估的程序，做出鉴定、评估结论的证据，鉴定、评估结论的责任说明，并对鉴定、评估结论的真实性负责</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《艺术品经营管理办法》第二十二条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50</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艺术品经营单位从事艺术品鉴定、评估等服务保留书面鉴定、评估结论副本及鉴定、评估人签字等档案少于5年</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《艺术品经营管理办法》第二十二条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51</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从境外进口或者向境外出口艺术品，未技照《艺术品经营管理办法》第十四条规定办理相关手续</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《艺术品经营管理办法》第二十三条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52</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销售或者利用其他商业形式传播未经文化行政部门批准进口的艺术品</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艺术品经营单位或场所</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《艺术品经营管理办法》第二十三条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0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53</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互联网文化单位检查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非经营性互联网文化单位逾期未办理备案手续的</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非经营性互联网文化单位</w:t>
            </w:r>
          </w:p>
        </w:tc>
        <w:tc>
          <w:tcPr>
            <w:tcW w:w="1325" w:type="dxa"/>
            <w:tcBorders>
              <w:top w:val="nil"/>
              <w:left w:val="nil"/>
              <w:bottom w:val="single" w:color="auto" w:sz="4" w:space="0"/>
              <w:right w:val="single" w:color="auto" w:sz="4" w:space="0"/>
            </w:tcBorders>
            <w:shd w:val="clear" w:color="auto" w:fill="auto"/>
            <w:vAlign w:val="center"/>
          </w:tcPr>
          <w:p>
            <w:pPr>
              <w:widowControl/>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《互联网文化管理暂行规定》第二十二条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54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54</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经营性互联网文化单位未在其网站主页的显著位置标明《网络文化经营许可证》编号</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经营性互联网文化单位及其经营活动</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《互联网文化管理暂行规定》第二十三条第一款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788"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55</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非经营性互联网文化单位未在其网站主页的显著位置标明《网络文化经营许可证》备案编号</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非经营性互联网文化单位</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《互联网文化管理暂行规定》第二十三条第二款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83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56</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经营性互联网文化单位变更有关信息未办理变更手续</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经营性互联网文化单位及其经营活动</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《互联网文化管理暂行规定》第二十四条第一款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15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57</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互联网文化单位检查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非经营性互联网文化单位变更有关信息未办理备案手续</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非经营性互联网文化单位</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《互联网文化管理暂行规定》第二十四条第二款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669"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58</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经营性互联网文化单位经营进ロ互联网文化产品未在其显著位置标明文化部批准文号</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经营性互联网文化单位及其经营活动</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《互联网文化管理暂行规定》第二十五条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38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59</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经营性互联网文化单位经营国产互联网文化产品未在其显著位置标明文化部备案编号的</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经营性互联网文化单位及其经营活动</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《互联网文化管理暂行规定》第二十五条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95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60</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经营性互联网文化单位擅自变更进口互联网文化产品的名称或者增删内容的</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经营性互联网文化单位及其经营活动</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《互联网文化管理暂行规定》第二十六条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41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61</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互联网文化单位检查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经营性互联网文化单位经营国产互联网文化产品逾期未报文化行政部门备案的</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经营性互联网文化单位及其经营活动</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《互联网文化管理暂行规定》第二十七条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29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62</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经营性互联网文化单位提供含有禁止内容的互联网文化产品</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经营性互联网文化单位及其经营活动</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《互联网文化管理暂行规定》第二十八条第一款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294"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63</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经营性互联网文化单位提供未经文化部批准进口的互联网文化产品的</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经营性互联网文化单位及其经营活动</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实地检查、网络检查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《互联网文化管理暂行规定》第二十八条第二款</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47"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64</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经营场所</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《旅游法》第二十八条、第八十三条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6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65</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营业设施</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《旅游法》第二十八条、第八十三条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3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66</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旅行社检查</w:t>
            </w: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注册资本</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《旅游法》第二十八条、第八十三条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062"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67</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质量保证金</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《旅游法》第二十八条、第八十三条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687"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68</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旅行社是否取得经营许可</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687"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《云南省旅游条例》第四十一条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664"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69</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旅行社是否安排取得导游证或领队证的人员提供导游或领队服务。</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664"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《云南省旅游条例》第四十一条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1407" w:hRule="atLeast"/>
        </w:trPr>
        <w:tc>
          <w:tcPr>
            <w:tcW w:w="102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70</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旅行社是否超范围经营和出租、出借、转让经营许可</w:t>
            </w:r>
          </w:p>
        </w:tc>
        <w:tc>
          <w:tcPr>
            <w:tcW w:w="96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tcBorders>
              <w:top w:val="nil"/>
              <w:left w:val="nil"/>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《旅游法》第八十三条、《旅行社条例》第四十四条</w:t>
            </w:r>
          </w:p>
        </w:tc>
        <w:tc>
          <w:tcPr>
            <w:tcW w:w="812" w:type="dxa"/>
            <w:tcBorders>
              <w:top w:val="nil"/>
              <w:left w:val="nil"/>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71</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旅行社检查</w:t>
            </w: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旅行社分支机构是否按规定备案</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《旅游法》第八十三条；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《旅行社条例》第四十四条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67"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72</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旅行社是否按规定悬挂许可证、备案证明</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《旅游法》第八十三条；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67"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《旅行社条例》第四十四条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619"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73</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有无出现不合理低价、虚假宣传、价格欺诈等损害消费者合法权益的行为</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619"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《旅行社条例》第四十四条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74</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是否按规定投保旅行社责任保险</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《旅行社条例》第四十四条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22"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75</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是否安排违法或违反社会公德的活动。</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22"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《旅行社条例》第四十四条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78"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76</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导游和领队的检查</w:t>
            </w: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导游、领队是否私自承揽业务。</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导游和领队</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78"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《云南省旅游条例》第二十八条第一款</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37"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77</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导游和领队的检查</w:t>
            </w: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导游、领队是否向旅游者兜售物品或者购买旅游者的物品</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导游和领队</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37"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《云南省旅游条例》第二十八条第一款</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462"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78</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导游是否按规定携带相关证件、佩戴等级评定标志</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导游和领队</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462"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《云南省旅游条例》第二十八条第一款</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79</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旅行社检查</w:t>
            </w: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旅行社是否依法与旅游者签订旅游合同</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《旅行社条例》第四十四条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80</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是否提供与合同内容相符的旅游服务</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《旅游法》第八十五条；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《旅行社条例》第四十四条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81</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旅行社是否按规定安排导游或领队</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《旅游法》第八十三条；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九十七条《云南省旅游条例》第二十六条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07"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82</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旅行社检查</w:t>
            </w: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旅行社是否向合格的供应商订购产品和服务</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《旅游法》第八十三条；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507"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kern w:val="0"/>
                <w:sz w:val="20"/>
                <w:szCs w:val="20"/>
                <w:shd w:val="clear" w:color="auto" w:fill="auto"/>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九十七条《云南省旅游条例》第二十六条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color w:val="auto"/>
                <w:kern w:val="0"/>
                <w:sz w:val="20"/>
                <w:szCs w:val="20"/>
                <w:shd w:val="clear" w:color="auto" w:fill="auto"/>
              </w:rPr>
            </w:pPr>
            <w:r>
              <w:rPr>
                <w:rFonts w:hint="eastAsia" w:ascii="宋体" w:hAnsi="宋体" w:eastAsia="宋体" w:cs="宋体"/>
                <w:i w:val="0"/>
                <w:color w:val="auto"/>
                <w:kern w:val="0"/>
                <w:sz w:val="20"/>
                <w:szCs w:val="20"/>
                <w:u w:val="none"/>
                <w:shd w:val="clear" w:color="auto" w:fill="auto"/>
                <w:lang w:val="en-US" w:eastAsia="zh-CN" w:bidi="ar"/>
              </w:rPr>
              <w:t>83</w:t>
            </w: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接待旅游团队的旅游经营者及其从业人员是否经等级认定或评定</w:t>
            </w:r>
          </w:p>
        </w:tc>
        <w:tc>
          <w:tcPr>
            <w:tcW w:w="96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一般检查事项</w:t>
            </w:r>
          </w:p>
        </w:tc>
        <w:tc>
          <w:tcPr>
            <w:tcW w:w="133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旅行社</w:t>
            </w:r>
          </w:p>
        </w:tc>
        <w:tc>
          <w:tcPr>
            <w:tcW w:w="132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实地检查</w:t>
            </w:r>
          </w:p>
        </w:tc>
        <w:tc>
          <w:tcPr>
            <w:tcW w:w="1349" w:type="dxa"/>
            <w:vMerge w:val="restart"/>
            <w:tcBorders>
              <w:top w:val="nil"/>
              <w:left w:val="single" w:color="auto" w:sz="4" w:space="0"/>
              <w:bottom w:val="single" w:color="auto" w:sz="4" w:space="0"/>
              <w:right w:val="single" w:color="auto" w:sz="4" w:space="0"/>
            </w:tcBorders>
            <w:shd w:val="clear" w:color="auto" w:fill="auto"/>
          </w:tcPr>
          <w:p>
            <w:r>
              <w:rPr>
                <w:rFonts w:hint="eastAsia" w:ascii="宋体" w:hAnsi="宋体" w:eastAsia="宋体" w:cs="宋体"/>
                <w:color w:val="000000" w:themeColor="text1"/>
                <w:kern w:val="0"/>
                <w:sz w:val="20"/>
                <w:szCs w:val="20"/>
              </w:rPr>
              <w:t>区级文旅部门</w:t>
            </w: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《旅游法》第八十三条；</w:t>
            </w:r>
          </w:p>
        </w:tc>
        <w:tc>
          <w:tcPr>
            <w:tcW w:w="812" w:type="dxa"/>
            <w:vMerge w:val="restart"/>
            <w:tcBorders>
              <w:top w:val="nil"/>
              <w:left w:val="single" w:color="auto" w:sz="4" w:space="0"/>
              <w:bottom w:val="single" w:color="auto" w:sz="4" w:space="0"/>
              <w:right w:val="single" w:color="auto" w:sz="4" w:space="0"/>
            </w:tcBorders>
            <w:shd w:val="clear" w:color="auto" w:fill="auto"/>
          </w:tcPr>
          <w:p>
            <w:pPr>
              <w:rPr>
                <w:color w:val="000000" w:themeColor="text1"/>
              </w:rPr>
            </w:pPr>
            <w:r>
              <w:rPr>
                <w:rFonts w:hint="eastAsia" w:ascii="宋体" w:hAnsi="宋体" w:eastAsia="宋体" w:cs="宋体"/>
                <w:color w:val="000000" w:themeColor="text1"/>
                <w:kern w:val="0"/>
                <w:sz w:val="20"/>
                <w:szCs w:val="20"/>
              </w:rPr>
              <w:t>全区</w:t>
            </w:r>
          </w:p>
        </w:tc>
        <w:tc>
          <w:tcPr>
            <w:tcW w:w="92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p>
        </w:tc>
      </w:tr>
      <w:tr>
        <w:tblPrEx>
          <w:tblLayout w:type="fixed"/>
          <w:tblCellMar>
            <w:top w:w="0" w:type="dxa"/>
            <w:left w:w="108" w:type="dxa"/>
            <w:bottom w:w="0" w:type="dxa"/>
            <w:right w:w="108" w:type="dxa"/>
          </w:tblCellMar>
        </w:tblPrEx>
        <w:trPr>
          <w:trHeight w:val="394" w:hRule="atLeast"/>
        </w:trPr>
        <w:tc>
          <w:tcPr>
            <w:tcW w:w="102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8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93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96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3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c>
          <w:tcPr>
            <w:tcW w:w="1349"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385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themeColor="text1"/>
                <w:kern w:val="0"/>
                <w:sz w:val="20"/>
                <w:szCs w:val="20"/>
              </w:rPr>
            </w:pPr>
            <w:r>
              <w:rPr>
                <w:rFonts w:hint="eastAsia" w:ascii="宋体" w:hAnsi="宋体" w:eastAsia="宋体" w:cs="宋体"/>
                <w:color w:val="000000" w:themeColor="text1"/>
                <w:kern w:val="0"/>
                <w:sz w:val="20"/>
                <w:szCs w:val="20"/>
              </w:rPr>
              <w:t>九十七条《云南省旅游条例》第二十六条</w:t>
            </w:r>
          </w:p>
        </w:tc>
        <w:tc>
          <w:tcPr>
            <w:tcW w:w="812" w:type="dxa"/>
            <w:vMerge w:val="continue"/>
            <w:tcBorders>
              <w:top w:val="nil"/>
              <w:left w:val="single" w:color="auto" w:sz="4" w:space="0"/>
              <w:bottom w:val="single" w:color="auto" w:sz="4" w:space="0"/>
              <w:right w:val="single" w:color="auto" w:sz="4" w:space="0"/>
            </w:tcBorders>
          </w:tcPr>
          <w:p>
            <w:pPr>
              <w:widowControl/>
              <w:jc w:val="left"/>
              <w:rPr>
                <w:rFonts w:ascii="宋体" w:hAnsi="宋体" w:eastAsia="宋体" w:cs="宋体"/>
                <w:color w:val="000000" w:themeColor="text1"/>
                <w:kern w:val="0"/>
                <w:sz w:val="20"/>
                <w:szCs w:val="20"/>
              </w:rPr>
            </w:pPr>
          </w:p>
        </w:tc>
        <w:tc>
          <w:tcPr>
            <w:tcW w:w="92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themeColor="text1"/>
                <w:kern w:val="0"/>
                <w:sz w:val="20"/>
                <w:szCs w:val="20"/>
              </w:rPr>
            </w:pPr>
          </w:p>
        </w:tc>
      </w:tr>
    </w:tbl>
    <w:p/>
    <w:sectPr>
      <w:pgSz w:w="16838" w:h="11906" w:orient="landscape"/>
      <w:pgMar w:top="1134" w:right="567" w:bottom="1134"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C6954"/>
    <w:rsid w:val="000048ED"/>
    <w:rsid w:val="000076A5"/>
    <w:rsid w:val="00032C22"/>
    <w:rsid w:val="000815B0"/>
    <w:rsid w:val="000872EE"/>
    <w:rsid w:val="000E628A"/>
    <w:rsid w:val="00277A9A"/>
    <w:rsid w:val="002B4F8C"/>
    <w:rsid w:val="002D1426"/>
    <w:rsid w:val="003A42FC"/>
    <w:rsid w:val="003D0AE9"/>
    <w:rsid w:val="00476B93"/>
    <w:rsid w:val="00496F96"/>
    <w:rsid w:val="005379C9"/>
    <w:rsid w:val="0055052F"/>
    <w:rsid w:val="00606A84"/>
    <w:rsid w:val="0067658D"/>
    <w:rsid w:val="00681771"/>
    <w:rsid w:val="00693863"/>
    <w:rsid w:val="00695930"/>
    <w:rsid w:val="006C48FF"/>
    <w:rsid w:val="006D57C4"/>
    <w:rsid w:val="007A734B"/>
    <w:rsid w:val="007C6954"/>
    <w:rsid w:val="00801FBF"/>
    <w:rsid w:val="00840928"/>
    <w:rsid w:val="008811B6"/>
    <w:rsid w:val="008A1561"/>
    <w:rsid w:val="009072E3"/>
    <w:rsid w:val="00967134"/>
    <w:rsid w:val="009B47B3"/>
    <w:rsid w:val="009C09EA"/>
    <w:rsid w:val="009C3598"/>
    <w:rsid w:val="009F526D"/>
    <w:rsid w:val="00A64402"/>
    <w:rsid w:val="00AC520D"/>
    <w:rsid w:val="00AE23A0"/>
    <w:rsid w:val="00B07CB9"/>
    <w:rsid w:val="00B162DD"/>
    <w:rsid w:val="00B71C1F"/>
    <w:rsid w:val="00BE31E5"/>
    <w:rsid w:val="00C644C2"/>
    <w:rsid w:val="00C6614B"/>
    <w:rsid w:val="00C67383"/>
    <w:rsid w:val="00CC7677"/>
    <w:rsid w:val="00CF530C"/>
    <w:rsid w:val="00D8442B"/>
    <w:rsid w:val="00EF1DE3"/>
    <w:rsid w:val="00EF52AF"/>
    <w:rsid w:val="00F06AE7"/>
    <w:rsid w:val="00F715BD"/>
    <w:rsid w:val="00FB1583"/>
    <w:rsid w:val="00FC6722"/>
    <w:rsid w:val="00FE0BC2"/>
    <w:rsid w:val="00FE21CB"/>
    <w:rsid w:val="00FE5D61"/>
    <w:rsid w:val="00FF1CB3"/>
    <w:rsid w:val="0C997E19"/>
    <w:rsid w:val="2E5C63A1"/>
    <w:rsid w:val="3CFE5E33"/>
    <w:rsid w:val="563A368B"/>
    <w:rsid w:val="61D372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32"/>
    <w:semiHidden/>
    <w:unhideWhenUsed/>
    <w:uiPriority w:val="99"/>
    <w:pPr>
      <w:tabs>
        <w:tab w:val="center" w:pos="4153"/>
        <w:tab w:val="right" w:pos="8306"/>
      </w:tabs>
      <w:snapToGrid w:val="0"/>
      <w:jc w:val="left"/>
    </w:pPr>
    <w:rPr>
      <w:sz w:val="18"/>
      <w:szCs w:val="18"/>
    </w:rPr>
  </w:style>
  <w:style w:type="paragraph" w:styleId="3">
    <w:name w:val="header"/>
    <w:basedOn w:val="1"/>
    <w:link w:val="31"/>
    <w:semiHidden/>
    <w:unhideWhenUsed/>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unhideWhenUsed/>
    <w:qFormat/>
    <w:uiPriority w:val="99"/>
    <w:rPr>
      <w:color w:val="800080"/>
      <w:u w:val="single"/>
    </w:rPr>
  </w:style>
  <w:style w:type="character" w:styleId="7">
    <w:name w:val="Hyperlink"/>
    <w:basedOn w:val="5"/>
    <w:unhideWhenUsed/>
    <w:qFormat/>
    <w:uiPriority w:val="99"/>
    <w:rPr>
      <w:color w:val="0000FF"/>
      <w:u w:val="single"/>
    </w:rPr>
  </w:style>
  <w:style w:type="paragraph" w:customStyle="1" w:styleId="8">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9">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1">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12">
    <w:name w:val="xl65"/>
    <w:basedOn w:val="1"/>
    <w:qFormat/>
    <w:uiPriority w:val="0"/>
    <w:pPr>
      <w:widowControl/>
      <w:pBdr>
        <w:top w:val="single" w:color="auto" w:sz="4" w:space="0"/>
        <w:left w:val="single" w:color="auto" w:sz="4" w:space="20"/>
        <w:bottom w:val="single" w:color="auto" w:sz="4" w:space="0"/>
        <w:right w:val="single" w:color="auto" w:sz="4" w:space="0"/>
      </w:pBdr>
      <w:spacing w:before="100" w:beforeAutospacing="1" w:after="100" w:afterAutospacing="1"/>
      <w:ind w:firstLine="100" w:firstLineChars="100"/>
      <w:jc w:val="left"/>
    </w:pPr>
    <w:rPr>
      <w:rFonts w:ascii="宋体" w:hAnsi="宋体" w:eastAsia="宋体" w:cs="宋体"/>
      <w:color w:val="00B050"/>
      <w:kern w:val="0"/>
      <w:sz w:val="20"/>
      <w:szCs w:val="20"/>
    </w:rPr>
  </w:style>
  <w:style w:type="paragraph" w:customStyle="1" w:styleId="1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B050"/>
      <w:kern w:val="0"/>
      <w:sz w:val="20"/>
      <w:szCs w:val="20"/>
    </w:rPr>
  </w:style>
  <w:style w:type="paragraph" w:customStyle="1" w:styleId="1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FF0000"/>
      <w:kern w:val="0"/>
      <w:sz w:val="20"/>
      <w:szCs w:val="20"/>
    </w:rPr>
  </w:style>
  <w:style w:type="paragraph" w:customStyle="1" w:styleId="16">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B050"/>
      <w:kern w:val="0"/>
      <w:sz w:val="20"/>
      <w:szCs w:val="20"/>
    </w:rPr>
  </w:style>
  <w:style w:type="paragraph" w:customStyle="1" w:styleId="17">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B050"/>
      <w:kern w:val="0"/>
      <w:sz w:val="20"/>
      <w:szCs w:val="20"/>
    </w:rPr>
  </w:style>
  <w:style w:type="paragraph" w:customStyle="1" w:styleId="1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00B050"/>
      <w:kern w:val="0"/>
      <w:sz w:val="20"/>
      <w:szCs w:val="20"/>
    </w:rPr>
  </w:style>
  <w:style w:type="paragraph" w:customStyle="1" w:styleId="1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00B050"/>
      <w:kern w:val="0"/>
      <w:sz w:val="20"/>
      <w:szCs w:val="20"/>
    </w:rPr>
  </w:style>
  <w:style w:type="paragraph" w:customStyle="1" w:styleId="2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B050"/>
      <w:kern w:val="0"/>
      <w:sz w:val="20"/>
      <w:szCs w:val="20"/>
    </w:rPr>
  </w:style>
  <w:style w:type="paragraph" w:customStyle="1" w:styleId="21">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FF0000"/>
      <w:kern w:val="0"/>
      <w:sz w:val="20"/>
      <w:szCs w:val="20"/>
    </w:rPr>
  </w:style>
  <w:style w:type="paragraph" w:customStyle="1" w:styleId="2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FF0000"/>
      <w:kern w:val="0"/>
      <w:sz w:val="20"/>
      <w:szCs w:val="20"/>
    </w:rPr>
  </w:style>
  <w:style w:type="paragraph" w:customStyle="1" w:styleId="23">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B050"/>
      <w:kern w:val="0"/>
      <w:sz w:val="20"/>
      <w:szCs w:val="20"/>
    </w:rPr>
  </w:style>
  <w:style w:type="paragraph" w:customStyle="1" w:styleId="2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color w:val="FF0000"/>
      <w:kern w:val="0"/>
      <w:sz w:val="20"/>
      <w:szCs w:val="20"/>
    </w:rPr>
  </w:style>
  <w:style w:type="paragraph" w:customStyle="1" w:styleId="2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ourier New" w:hAnsi="Courier New" w:eastAsia="宋体" w:cs="宋体"/>
      <w:kern w:val="0"/>
      <w:sz w:val="24"/>
      <w:szCs w:val="24"/>
    </w:rPr>
  </w:style>
  <w:style w:type="paragraph" w:customStyle="1" w:styleId="2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FF0000"/>
      <w:kern w:val="0"/>
      <w:sz w:val="18"/>
      <w:szCs w:val="18"/>
    </w:rPr>
  </w:style>
  <w:style w:type="paragraph" w:customStyle="1" w:styleId="27">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B050"/>
      <w:kern w:val="0"/>
      <w:sz w:val="18"/>
      <w:szCs w:val="18"/>
    </w:rPr>
  </w:style>
  <w:style w:type="paragraph" w:customStyle="1" w:styleId="28">
    <w:name w:val="xl81"/>
    <w:basedOn w:val="1"/>
    <w:qFormat/>
    <w:uiPriority w:val="0"/>
    <w:pPr>
      <w:widowControl/>
      <w:spacing w:before="100" w:beforeAutospacing="1" w:after="100" w:afterAutospacing="1"/>
      <w:jc w:val="center"/>
    </w:pPr>
    <w:rPr>
      <w:rFonts w:ascii="Courier New" w:hAnsi="Courier New" w:eastAsia="宋体" w:cs="宋体"/>
      <w:kern w:val="0"/>
      <w:sz w:val="40"/>
      <w:szCs w:val="40"/>
    </w:rPr>
  </w:style>
  <w:style w:type="paragraph" w:customStyle="1" w:styleId="2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B050"/>
      <w:kern w:val="0"/>
      <w:sz w:val="18"/>
      <w:szCs w:val="18"/>
    </w:rPr>
  </w:style>
  <w:style w:type="paragraph" w:customStyle="1" w:styleId="30">
    <w:name w:val="xl83"/>
    <w:basedOn w:val="1"/>
    <w:qFormat/>
    <w:uiPriority w:val="0"/>
    <w:pPr>
      <w:widowControl/>
      <w:spacing w:before="100" w:beforeAutospacing="1" w:after="100" w:afterAutospacing="1"/>
      <w:jc w:val="center"/>
    </w:pPr>
    <w:rPr>
      <w:rFonts w:ascii="Courier New" w:hAnsi="Courier New" w:eastAsia="宋体" w:cs="Courier New"/>
      <w:kern w:val="0"/>
      <w:sz w:val="40"/>
      <w:szCs w:val="40"/>
    </w:rPr>
  </w:style>
  <w:style w:type="character" w:customStyle="1" w:styleId="31">
    <w:name w:val="页眉 Char"/>
    <w:basedOn w:val="5"/>
    <w:link w:val="3"/>
    <w:semiHidden/>
    <w:qFormat/>
    <w:uiPriority w:val="99"/>
    <w:rPr>
      <w:kern w:val="2"/>
      <w:sz w:val="18"/>
      <w:szCs w:val="18"/>
    </w:rPr>
  </w:style>
  <w:style w:type="character" w:customStyle="1" w:styleId="32">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201</Pages>
  <Words>14680</Words>
  <Characters>83676</Characters>
  <Lines>697</Lines>
  <Paragraphs>196</Paragraphs>
  <TotalTime>1</TotalTime>
  <ScaleCrop>false</ScaleCrop>
  <LinksUpToDate>false</LinksUpToDate>
  <CharactersWithSpaces>98160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2021-08-23T06:39:00Z</dcterms:created>
  <dc:creator>xsd</dc:creator>
  <cp:lastModifiedBy>Administrator</cp:lastModifiedBy>
  <dcterms:modified xsi:type="dcterms:W3CDTF">2022-09-28T05:25:16Z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