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W w:w="13988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301"/>
        <w:gridCol w:w="996"/>
        <w:gridCol w:w="1494"/>
        <w:gridCol w:w="1356"/>
        <w:gridCol w:w="1840"/>
        <w:gridCol w:w="1356"/>
        <w:gridCol w:w="1356"/>
        <w:gridCol w:w="1218"/>
        <w:gridCol w:w="1494"/>
        <w:gridCol w:w="157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13988" w:type="dxa"/>
            <w:gridSpan w:val="10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附件</w:t>
            </w:r>
            <w:r>
              <w:rPr>
                <w:rFonts w:hint="eastAsia" w:ascii="宋体" w:hAnsi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80" w:hRule="atLeast"/>
        </w:trPr>
        <w:tc>
          <w:tcPr>
            <w:tcW w:w="13988" w:type="dxa"/>
            <w:gridSpan w:val="10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小标宋_GBK" w:hAnsi="方正小标宋_GBK" w:eastAsia="方正小标宋_GBK" w:cs="方正小标宋_GBK"/>
                <w:b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方正小标宋_GBK" w:hAnsi="方正小标宋_GBK" w:eastAsia="方正小标宋_GBK" w:cs="方正小标宋_GBK"/>
                <w:b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区级联席会议成员单位2022</w:t>
            </w:r>
            <w:bookmarkStart w:id="0" w:name="_GoBack"/>
            <w:bookmarkEnd w:id="0"/>
            <w:r>
              <w:rPr>
                <w:rFonts w:hint="eastAsia" w:ascii="方正小标宋_GBK" w:hAnsi="方正小标宋_GBK" w:eastAsia="方正小标宋_GBK" w:cs="方正小标宋_GBK"/>
                <w:b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年落实公平竞争审查制度情况统计表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13988" w:type="dxa"/>
            <w:gridSpan w:val="10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方正仿宋_GBK" w:hAnsi="方正仿宋_GBK" w:eastAsia="方正仿宋_GBK" w:cs="方正仿宋_GBK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单位名称：</w:t>
            </w:r>
            <w:r>
              <w:rPr>
                <w:rFonts w:hint="eastAsia" w:asciiTheme="majorEastAsia" w:hAnsiTheme="majorEastAsia" w:eastAsiaTheme="majorEastAsia" w:cstheme="majorEastAsia"/>
                <w:b w:val="0"/>
                <w:bCs/>
                <w:i w:val="0"/>
                <w:color w:val="000000"/>
                <w:kern w:val="0"/>
                <w:sz w:val="24"/>
                <w:szCs w:val="24"/>
                <w:u w:val="single"/>
                <w:lang w:val="en-US" w:eastAsia="zh-CN" w:bidi="ar"/>
              </w:rPr>
              <w:t xml:space="preserve">  昆阳街道办事处  </w:t>
            </w:r>
            <w:r>
              <w:rPr>
                <w:rFonts w:hint="eastAsia" w:asciiTheme="majorEastAsia" w:hAnsiTheme="majorEastAsia" w:eastAsiaTheme="majorEastAsia" w:cstheme="majorEastAsia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 </w:t>
            </w:r>
            <w:r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统计期间：</w:t>
            </w:r>
            <w:r>
              <w:rPr>
                <w:rFonts w:hint="eastAsia" w:asciiTheme="majorEastAsia" w:hAnsiTheme="majorEastAsia" w:eastAsiaTheme="majorEastAsia" w:cstheme="majorEastAsia"/>
                <w:b/>
                <w:i w:val="0"/>
                <w:color w:val="000000"/>
                <w:kern w:val="0"/>
                <w:sz w:val="24"/>
                <w:szCs w:val="24"/>
                <w:u w:val="single"/>
                <w:lang w:val="en-US" w:eastAsia="zh-CN" w:bidi="ar"/>
              </w:rPr>
              <w:t xml:space="preserve">2022年7-9月    </w:t>
            </w:r>
            <w:r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 报送日期：</w:t>
            </w:r>
            <w:r>
              <w:rPr>
                <w:rFonts w:hint="eastAsia" w:asciiTheme="majorEastAsia" w:hAnsiTheme="majorEastAsia" w:eastAsiaTheme="majorEastAsia" w:cstheme="majorEastAsia"/>
                <w:b w:val="0"/>
                <w:bCs/>
                <w:i w:val="0"/>
                <w:color w:val="000000"/>
                <w:kern w:val="0"/>
                <w:sz w:val="24"/>
                <w:szCs w:val="24"/>
                <w:u w:val="single"/>
                <w:lang w:val="en-US" w:eastAsia="zh-CN" w:bidi="ar"/>
              </w:rPr>
              <w:t>2022年9月26日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514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增量审查（件）</w:t>
            </w:r>
          </w:p>
        </w:tc>
        <w:tc>
          <w:tcPr>
            <w:tcW w:w="8841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存量清理（件）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55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审查文件</w:t>
            </w:r>
            <w:r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总数</w:t>
            </w:r>
          </w:p>
        </w:tc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无排除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限制竞争问题数量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经审查修改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文件数量</w:t>
            </w:r>
          </w:p>
        </w:tc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适用例外规定文件数量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清理文件</w:t>
            </w:r>
            <w:r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总数</w:t>
            </w:r>
          </w:p>
        </w:tc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无排除限制竞争问题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文件数量</w:t>
            </w:r>
          </w:p>
        </w:tc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修改调整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文件数量</w:t>
            </w: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废止文件数量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设置过渡期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文件数量</w:t>
            </w:r>
          </w:p>
        </w:tc>
        <w:tc>
          <w:tcPr>
            <w:tcW w:w="1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适用例外规定文件数量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26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无。</w:t>
            </w:r>
          </w:p>
        </w:tc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color w:val="000000"/>
                <w:sz w:val="22"/>
                <w:szCs w:val="22"/>
                <w:u w:val="none"/>
                <w:lang w:eastAsia="zh-CN"/>
              </w:rPr>
              <w:t>无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color w:val="000000"/>
                <w:sz w:val="22"/>
                <w:szCs w:val="22"/>
                <w:u w:val="none"/>
                <w:lang w:eastAsia="zh-CN"/>
              </w:rPr>
              <w:t>无</w:t>
            </w:r>
          </w:p>
        </w:tc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color w:val="000000"/>
                <w:sz w:val="22"/>
                <w:szCs w:val="22"/>
                <w:u w:val="none"/>
                <w:lang w:eastAsia="zh-CN"/>
              </w:rPr>
              <w:t>无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无</w:t>
            </w:r>
          </w:p>
        </w:tc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color w:val="000000"/>
                <w:sz w:val="22"/>
                <w:szCs w:val="22"/>
                <w:u w:val="none"/>
                <w:lang w:eastAsia="zh-CN"/>
              </w:rPr>
              <w:t>无</w:t>
            </w:r>
          </w:p>
        </w:tc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color w:val="000000"/>
                <w:sz w:val="22"/>
                <w:szCs w:val="22"/>
                <w:u w:val="none"/>
                <w:lang w:eastAsia="zh-CN"/>
              </w:rPr>
              <w:t>无</w:t>
            </w: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color w:val="000000"/>
                <w:sz w:val="22"/>
                <w:szCs w:val="22"/>
                <w:u w:val="none"/>
                <w:lang w:eastAsia="zh-CN"/>
              </w:rPr>
              <w:t>无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color w:val="000000"/>
                <w:sz w:val="22"/>
                <w:szCs w:val="22"/>
                <w:u w:val="none"/>
                <w:lang w:eastAsia="zh-CN"/>
              </w:rPr>
              <w:t>无</w:t>
            </w:r>
          </w:p>
        </w:tc>
        <w:tc>
          <w:tcPr>
            <w:tcW w:w="1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color w:val="000000"/>
                <w:sz w:val="22"/>
                <w:szCs w:val="22"/>
                <w:u w:val="none"/>
                <w:lang w:eastAsia="zh-CN"/>
              </w:rPr>
              <w:t>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200" w:hRule="atLeast"/>
        </w:trPr>
        <w:tc>
          <w:tcPr>
            <w:tcW w:w="13988" w:type="dxa"/>
            <w:gridSpan w:val="10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注：增量审查文件总数为无排除限制竞争问题、修改调整、适用例外规定的文件总和；存量清理文件总数为无排除限制竞争问题、修改调整、废止、设置过渡期、适用例外规定的文件总和。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90" w:hRule="atLeast"/>
        </w:trPr>
        <w:tc>
          <w:tcPr>
            <w:tcW w:w="13988" w:type="dxa"/>
            <w:gridSpan w:val="10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="1761" w:firstLineChars="800"/>
              <w:jc w:val="left"/>
              <w:textAlignment w:val="center"/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填报人：</w:t>
            </w:r>
            <w:r>
              <w:rPr>
                <w:rFonts w:hint="eastAsia" w:ascii="方正仿宋_GBK" w:hAnsi="方正仿宋_GBK" w:eastAsia="方正仿宋_GBK" w:cs="方正仿宋_GBK"/>
                <w:b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t xml:space="preserve"> </w:t>
            </w:r>
            <w:r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t xml:space="preserve">  </w:t>
            </w:r>
            <w:r>
              <w:rPr>
                <w:rFonts w:hint="eastAsia" w:ascii="方正仿宋_GBK" w:hAnsi="方正仿宋_GBK" w:eastAsia="方正仿宋_GBK" w:cs="方正仿宋_GBK"/>
                <w:b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t>孙宏才</w:t>
            </w:r>
            <w:r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t xml:space="preserve">               </w:t>
            </w:r>
            <w:r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                   </w:t>
            </w:r>
            <w:r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联系电话：</w:t>
            </w:r>
            <w:r>
              <w:rPr>
                <w:rFonts w:hint="eastAsia" w:ascii="方正仿宋_GBK" w:hAnsi="方正仿宋_GBK" w:eastAsia="方正仿宋_GBK" w:cs="方正仿宋_GBK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15087147660</w:t>
            </w:r>
          </w:p>
        </w:tc>
      </w:tr>
    </w:tbl>
    <w:p>
      <w:pPr>
        <w:spacing w:after="0"/>
        <w:rPr>
          <w:rFonts w:ascii="方正小标宋_GBK"/>
          <w:b/>
          <w:bCs/>
          <w:i/>
          <w:sz w:val="31"/>
        </w:rPr>
      </w:pPr>
      <w:r>
        <w:rPr>
          <w:rFonts w:hint="eastAsia" w:ascii="Times New Roman"/>
          <w:b/>
          <w:bCs/>
          <w:sz w:val="28"/>
          <w:szCs w:val="28"/>
          <w:lang w:eastAsia="zh-CN"/>
        </w:rPr>
        <w:t>附件</w:t>
      </w:r>
      <w:r>
        <w:rPr>
          <w:rFonts w:hint="eastAsia" w:ascii="Times New Roman"/>
          <w:b/>
          <w:bCs/>
          <w:sz w:val="28"/>
          <w:szCs w:val="28"/>
          <w:lang w:val="en-US" w:eastAsia="zh-CN"/>
        </w:rPr>
        <w:t>2：</w:t>
      </w:r>
    </w:p>
    <w:p>
      <w:pPr>
        <w:spacing w:before="0"/>
        <w:ind w:left="222" w:right="0" w:firstLine="0"/>
        <w:jc w:val="center"/>
        <w:rPr>
          <w:rFonts w:hint="eastAsia" w:ascii="方正小标宋简体" w:hAnsi="方正小标宋简体" w:eastAsia="方正小标宋简体" w:cs="方正小标宋简体"/>
          <w:i w:val="0"/>
          <w:iCs/>
          <w:sz w:val="36"/>
        </w:rPr>
      </w:pPr>
      <w:r>
        <w:rPr>
          <w:rFonts w:hint="eastAsia" w:ascii="方正小标宋简体" w:hAnsi="方正小标宋简体" w:eastAsia="方正小标宋简体" w:cs="方正小标宋简体"/>
          <w:i w:val="0"/>
          <w:iCs/>
          <w:sz w:val="36"/>
        </w:rPr>
        <w:t>规章、规范性文件以及其他政策措施清理情况统计表</w:t>
      </w:r>
    </w:p>
    <w:p>
      <w:pPr>
        <w:spacing w:before="0"/>
        <w:ind w:left="222" w:right="0" w:firstLine="0"/>
        <w:jc w:val="left"/>
        <w:rPr>
          <w:sz w:val="28"/>
          <w:u w:val="single"/>
        </w:rPr>
      </w:pPr>
      <w:r>
        <w:rPr>
          <w:rFonts w:hint="eastAsia"/>
          <w:b/>
          <w:bCs/>
          <w:sz w:val="28"/>
          <w:lang w:eastAsia="zh-CN"/>
        </w:rPr>
        <w:t>单位</w:t>
      </w:r>
      <w:r>
        <w:rPr>
          <w:b/>
          <w:bCs/>
          <w:sz w:val="28"/>
        </w:rPr>
        <w:t>名</w:t>
      </w:r>
      <w:r>
        <w:rPr>
          <w:b/>
          <w:bCs/>
          <w:spacing w:val="-3"/>
          <w:sz w:val="28"/>
        </w:rPr>
        <w:t>称</w:t>
      </w:r>
      <w:r>
        <w:rPr>
          <w:b/>
          <w:bCs/>
          <w:sz w:val="28"/>
        </w:rPr>
        <w:t>：</w:t>
      </w:r>
      <w:r>
        <w:rPr>
          <w:rFonts w:hint="eastAsia"/>
          <w:sz w:val="28"/>
          <w:u w:val="single"/>
          <w:lang w:val="en-US" w:eastAsia="zh-CN"/>
        </w:rPr>
        <w:t xml:space="preserve">  昆阳街道办事处  </w:t>
      </w:r>
      <w:r>
        <w:rPr>
          <w:rFonts w:hint="eastAsia"/>
          <w:sz w:val="28"/>
          <w:lang w:val="en-US" w:eastAsia="zh-CN"/>
        </w:rPr>
        <w:t xml:space="preserve"> </w:t>
      </w:r>
      <w:r>
        <w:rPr>
          <w:b/>
          <w:bCs/>
          <w:sz w:val="28"/>
        </w:rPr>
        <w:t>联</w:t>
      </w:r>
      <w:r>
        <w:rPr>
          <w:b/>
          <w:bCs/>
          <w:spacing w:val="-3"/>
          <w:sz w:val="28"/>
        </w:rPr>
        <w:t>系</w:t>
      </w:r>
      <w:r>
        <w:rPr>
          <w:b/>
          <w:bCs/>
          <w:sz w:val="28"/>
        </w:rPr>
        <w:t>人：</w:t>
      </w:r>
      <w:r>
        <w:rPr>
          <w:rFonts w:hint="eastAsia"/>
          <w:sz w:val="28"/>
          <w:u w:val="single"/>
          <w:lang w:val="en-US" w:eastAsia="zh-CN"/>
        </w:rPr>
        <w:t xml:space="preserve"> 孙宏才 </w:t>
      </w:r>
      <w:r>
        <w:rPr>
          <w:b/>
          <w:bCs/>
          <w:sz w:val="28"/>
        </w:rPr>
        <w:t>电</w:t>
      </w:r>
      <w:r>
        <w:rPr>
          <w:b/>
          <w:bCs/>
          <w:spacing w:val="-3"/>
          <w:sz w:val="28"/>
        </w:rPr>
        <w:t>话</w:t>
      </w:r>
      <w:r>
        <w:rPr>
          <w:b/>
          <w:bCs/>
          <w:sz w:val="28"/>
        </w:rPr>
        <w:t>：</w:t>
      </w:r>
      <w:r>
        <w:rPr>
          <w:rFonts w:hint="eastAsia"/>
          <w:b/>
          <w:bCs/>
          <w:sz w:val="28"/>
          <w:u w:val="single"/>
          <w:lang w:val="en-US" w:eastAsia="zh-CN"/>
        </w:rPr>
        <w:t xml:space="preserve"> 15087147660</w:t>
      </w:r>
      <w:r>
        <w:rPr>
          <w:rFonts w:hint="eastAsia"/>
          <w:sz w:val="28"/>
          <w:u w:val="single"/>
          <w:lang w:val="en-US" w:eastAsia="zh-CN"/>
        </w:rPr>
        <w:t xml:space="preserve"> </w:t>
      </w:r>
      <w:r>
        <w:rPr>
          <w:rFonts w:hint="eastAsia"/>
          <w:sz w:val="28"/>
          <w:lang w:val="en-US" w:eastAsia="zh-CN"/>
        </w:rPr>
        <w:t xml:space="preserve"> </w:t>
      </w:r>
      <w:r>
        <w:rPr>
          <w:b/>
          <w:bCs/>
          <w:sz w:val="28"/>
        </w:rPr>
        <w:t>填</w:t>
      </w:r>
      <w:r>
        <w:rPr>
          <w:b/>
          <w:bCs/>
          <w:spacing w:val="-3"/>
          <w:sz w:val="28"/>
        </w:rPr>
        <w:t>表</w:t>
      </w:r>
      <w:r>
        <w:rPr>
          <w:b/>
          <w:bCs/>
          <w:sz w:val="28"/>
        </w:rPr>
        <w:t>日期</w:t>
      </w:r>
      <w:r>
        <w:rPr>
          <w:rFonts w:hint="eastAsia"/>
          <w:b/>
          <w:bCs/>
          <w:sz w:val="28"/>
          <w:lang w:eastAsia="zh-CN"/>
        </w:rPr>
        <w:t>：</w:t>
      </w:r>
      <w:r>
        <w:rPr>
          <w:rFonts w:hint="eastAsia"/>
          <w:sz w:val="28"/>
          <w:u w:val="single"/>
          <w:lang w:val="en-US" w:eastAsia="zh-CN"/>
        </w:rPr>
        <w:t>2022</w:t>
      </w:r>
      <w:r>
        <w:rPr>
          <w:sz w:val="28"/>
          <w:u w:val="single"/>
        </w:rPr>
        <w:t>年</w:t>
      </w:r>
      <w:r>
        <w:rPr>
          <w:rFonts w:hint="eastAsia"/>
          <w:sz w:val="28"/>
          <w:u w:val="single"/>
          <w:lang w:val="en-US" w:eastAsia="zh-CN"/>
        </w:rPr>
        <w:t>9</w:t>
      </w:r>
      <w:r>
        <w:rPr>
          <w:sz w:val="28"/>
          <w:u w:val="single"/>
        </w:rPr>
        <w:t>月</w:t>
      </w:r>
      <w:r>
        <w:rPr>
          <w:rFonts w:hint="eastAsia"/>
          <w:sz w:val="28"/>
          <w:u w:val="single"/>
          <w:lang w:val="en-US" w:eastAsia="zh-CN"/>
        </w:rPr>
        <w:t xml:space="preserve"> 26</w:t>
      </w:r>
      <w:r>
        <w:rPr>
          <w:sz w:val="28"/>
          <w:u w:val="single"/>
        </w:rPr>
        <w:t>日</w:t>
      </w:r>
    </w:p>
    <w:tbl>
      <w:tblPr>
        <w:tblStyle w:val="5"/>
        <w:tblW w:w="13968" w:type="dxa"/>
        <w:tblInd w:w="-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82"/>
        <w:gridCol w:w="1800"/>
        <w:gridCol w:w="945"/>
        <w:gridCol w:w="3754"/>
        <w:gridCol w:w="1541"/>
        <w:gridCol w:w="1852"/>
        <w:gridCol w:w="2694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4" w:hRule="atLeast"/>
        </w:trPr>
        <w:tc>
          <w:tcPr>
            <w:tcW w:w="1382" w:type="dxa"/>
            <w:vMerge w:val="restart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06" w:line="400" w:lineRule="exact"/>
              <w:jc w:val="center"/>
              <w:textAlignment w:val="auto"/>
              <w:rPr>
                <w:rFonts w:hint="eastAsia"/>
                <w:b/>
                <w:bCs/>
                <w:sz w:val="28"/>
              </w:rPr>
            </w:pPr>
            <w:r>
              <w:rPr>
                <w:rFonts w:hint="eastAsia"/>
                <w:b/>
                <w:bCs/>
                <w:sz w:val="28"/>
              </w:rPr>
              <w:t>层级</w:t>
            </w:r>
          </w:p>
        </w:tc>
        <w:tc>
          <w:tcPr>
            <w:tcW w:w="1800" w:type="dxa"/>
            <w:vMerge w:val="restart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06" w:line="400" w:lineRule="exact"/>
              <w:jc w:val="center"/>
              <w:textAlignment w:val="auto"/>
              <w:rPr>
                <w:rFonts w:hint="eastAsia"/>
                <w:b/>
                <w:bCs/>
                <w:sz w:val="28"/>
              </w:rPr>
            </w:pPr>
            <w:r>
              <w:rPr>
                <w:rFonts w:hint="eastAsia"/>
                <w:b/>
                <w:bCs/>
                <w:sz w:val="28"/>
              </w:rPr>
              <w:t>清理文件</w:t>
            </w:r>
          </w:p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06" w:line="400" w:lineRule="exact"/>
              <w:jc w:val="center"/>
              <w:textAlignment w:val="auto"/>
              <w:rPr>
                <w:rFonts w:hint="eastAsia" w:ascii="宋体" w:eastAsia="宋体"/>
                <w:b/>
                <w:bCs/>
                <w:sz w:val="21"/>
              </w:rPr>
            </w:pPr>
            <w:r>
              <w:rPr>
                <w:rFonts w:hint="eastAsia"/>
                <w:b/>
                <w:bCs/>
                <w:sz w:val="28"/>
              </w:rPr>
              <w:t>总数</w:t>
            </w:r>
          </w:p>
        </w:tc>
        <w:tc>
          <w:tcPr>
            <w:tcW w:w="10786" w:type="dxa"/>
            <w:gridSpan w:val="5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07" w:line="400" w:lineRule="exact"/>
              <w:ind w:right="3294"/>
              <w:jc w:val="center"/>
              <w:textAlignment w:val="auto"/>
              <w:rPr>
                <w:b/>
                <w:bCs/>
                <w:sz w:val="28"/>
              </w:rPr>
            </w:pPr>
            <w:r>
              <w:rPr>
                <w:rFonts w:hint="eastAsia"/>
                <w:b/>
                <w:bCs/>
                <w:sz w:val="28"/>
                <w:lang w:val="en-US" w:eastAsia="zh-CN"/>
              </w:rPr>
              <w:t xml:space="preserve">               </w:t>
            </w:r>
            <w:r>
              <w:rPr>
                <w:b/>
                <w:bCs/>
                <w:sz w:val="28"/>
              </w:rPr>
              <w:t>其中：废止、修订或适用例外规定的情况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3" w:hRule="atLeast"/>
        </w:trPr>
        <w:tc>
          <w:tcPr>
            <w:tcW w:w="1382" w:type="dxa"/>
            <w:vMerge w:val="continue"/>
            <w:tcBorders>
              <w:top w:val="nil"/>
            </w:tcBorders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06" w:line="400" w:lineRule="exact"/>
              <w:ind w:left="169"/>
              <w:jc w:val="center"/>
              <w:textAlignment w:val="auto"/>
              <w:rPr>
                <w:b/>
                <w:bCs/>
                <w:sz w:val="28"/>
              </w:rPr>
            </w:pPr>
          </w:p>
        </w:tc>
        <w:tc>
          <w:tcPr>
            <w:tcW w:w="1800" w:type="dxa"/>
            <w:vMerge w:val="continue"/>
            <w:tcBorders>
              <w:top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b/>
                <w:bCs/>
                <w:sz w:val="2"/>
                <w:szCs w:val="2"/>
              </w:rPr>
            </w:pPr>
          </w:p>
        </w:tc>
        <w:tc>
          <w:tcPr>
            <w:tcW w:w="945" w:type="dxa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06" w:line="400" w:lineRule="exact"/>
              <w:jc w:val="center"/>
              <w:textAlignment w:val="auto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数量</w:t>
            </w:r>
          </w:p>
        </w:tc>
        <w:tc>
          <w:tcPr>
            <w:tcW w:w="3754" w:type="dxa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06" w:line="400" w:lineRule="exact"/>
              <w:ind w:right="1576"/>
              <w:jc w:val="center"/>
              <w:textAlignment w:val="auto"/>
              <w:rPr>
                <w:b/>
                <w:bCs/>
                <w:sz w:val="28"/>
              </w:rPr>
            </w:pPr>
            <w:r>
              <w:rPr>
                <w:rFonts w:hint="eastAsia"/>
                <w:b/>
                <w:bCs/>
                <w:sz w:val="28"/>
                <w:lang w:val="en-US" w:eastAsia="zh-CN"/>
              </w:rPr>
              <w:t xml:space="preserve">     </w:t>
            </w:r>
            <w:r>
              <w:rPr>
                <w:b/>
                <w:bCs/>
                <w:sz w:val="28"/>
              </w:rPr>
              <w:t>名称及</w:t>
            </w:r>
            <w:r>
              <w:rPr>
                <w:rFonts w:hint="eastAsia"/>
                <w:b/>
                <w:bCs/>
                <w:sz w:val="28"/>
                <w:lang w:eastAsia="zh-CN"/>
              </w:rPr>
              <w:t>文号</w:t>
            </w:r>
          </w:p>
        </w:tc>
        <w:tc>
          <w:tcPr>
            <w:tcW w:w="1541" w:type="dxa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06" w:line="400" w:lineRule="exact"/>
              <w:ind w:right="486"/>
              <w:jc w:val="center"/>
              <w:textAlignment w:val="auto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类别</w:t>
            </w:r>
          </w:p>
        </w:tc>
        <w:tc>
          <w:tcPr>
            <w:tcW w:w="1852" w:type="dxa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06" w:line="400" w:lineRule="exact"/>
              <w:ind w:left="358" w:right="347"/>
              <w:jc w:val="center"/>
              <w:textAlignment w:val="auto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清理意见</w:t>
            </w:r>
          </w:p>
        </w:tc>
        <w:tc>
          <w:tcPr>
            <w:tcW w:w="2694" w:type="dxa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06" w:line="400" w:lineRule="exact"/>
              <w:ind w:left="782" w:right="774"/>
              <w:jc w:val="center"/>
              <w:textAlignment w:val="auto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清理理由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12" w:hRule="atLeast"/>
        </w:trPr>
        <w:tc>
          <w:tcPr>
            <w:tcW w:w="1382" w:type="dxa"/>
            <w:vMerge w:val="restart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06" w:line="400" w:lineRule="exact"/>
              <w:ind w:left="169"/>
              <w:jc w:val="center"/>
              <w:textAlignment w:val="auto"/>
              <w:rPr>
                <w:rFonts w:hint="default" w:eastAsia="Arial Unicode MS"/>
                <w:sz w:val="28"/>
                <w:lang w:val="en-US" w:eastAsia="zh-CN"/>
              </w:rPr>
            </w:pPr>
            <w:r>
              <w:rPr>
                <w:rFonts w:hint="eastAsia"/>
                <w:sz w:val="28"/>
                <w:lang w:eastAsia="zh-CN"/>
              </w:rPr>
              <w:t>乡镇</w:t>
            </w:r>
            <w:r>
              <w:rPr>
                <w:sz w:val="28"/>
              </w:rPr>
              <w:t>级政</w:t>
            </w:r>
            <w:r>
              <w:rPr>
                <w:rFonts w:hint="eastAsia"/>
                <w:sz w:val="28"/>
                <w:lang w:val="en-US" w:eastAsia="zh-CN"/>
              </w:rPr>
              <w:t xml:space="preserve">    </w:t>
            </w:r>
          </w:p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06" w:line="400" w:lineRule="exact"/>
              <w:ind w:left="169"/>
              <w:jc w:val="center"/>
              <w:textAlignment w:val="auto"/>
              <w:rPr>
                <w:sz w:val="28"/>
              </w:rPr>
            </w:pPr>
            <w:r>
              <w:rPr>
                <w:sz w:val="28"/>
              </w:rPr>
              <w:t>府及部门</w:t>
            </w:r>
          </w:p>
        </w:tc>
        <w:tc>
          <w:tcPr>
            <w:tcW w:w="1800" w:type="dxa"/>
            <w:vMerge w:val="restart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Times New Roman" w:eastAsia="Arial Unicode MS"/>
                <w:sz w:val="24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无</w:t>
            </w:r>
          </w:p>
        </w:tc>
        <w:tc>
          <w:tcPr>
            <w:tcW w:w="945" w:type="dxa"/>
            <w:vMerge w:val="restart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eastAsia="Arial Unicode MS"/>
                <w:sz w:val="24"/>
                <w:lang w:val="en-US" w:eastAsia="zh-CN"/>
              </w:rPr>
            </w:pPr>
            <w:r>
              <w:rPr>
                <w:rFonts w:hint="eastAsia" w:ascii="Times New Roman"/>
                <w:sz w:val="24"/>
                <w:lang w:val="en-US" w:eastAsia="zh-CN"/>
              </w:rPr>
              <w:t>无</w:t>
            </w:r>
          </w:p>
        </w:tc>
        <w:tc>
          <w:tcPr>
            <w:tcW w:w="3754" w:type="dxa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eastAsia="Arial Unicode MS"/>
                <w:sz w:val="24"/>
                <w:lang w:eastAsia="zh-CN"/>
              </w:rPr>
            </w:pPr>
          </w:p>
        </w:tc>
        <w:tc>
          <w:tcPr>
            <w:tcW w:w="1541" w:type="dxa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Times New Roman"/>
                <w:sz w:val="24"/>
              </w:rPr>
            </w:pPr>
          </w:p>
        </w:tc>
        <w:tc>
          <w:tcPr>
            <w:tcW w:w="1852" w:type="dxa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Times New Roman"/>
                <w:sz w:val="24"/>
              </w:rPr>
            </w:pPr>
          </w:p>
        </w:tc>
        <w:tc>
          <w:tcPr>
            <w:tcW w:w="2694" w:type="dxa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Times New Roman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38" w:hRule="atLeast"/>
        </w:trPr>
        <w:tc>
          <w:tcPr>
            <w:tcW w:w="1382" w:type="dxa"/>
            <w:vMerge w:val="continue"/>
            <w:tcBorders>
              <w:top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sz w:val="2"/>
                <w:szCs w:val="2"/>
              </w:rPr>
            </w:pPr>
          </w:p>
        </w:tc>
        <w:tc>
          <w:tcPr>
            <w:tcW w:w="1800" w:type="dxa"/>
            <w:vMerge w:val="continue"/>
            <w:tcBorders>
              <w:top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sz w:val="2"/>
                <w:szCs w:val="2"/>
              </w:rPr>
            </w:pPr>
          </w:p>
        </w:tc>
        <w:tc>
          <w:tcPr>
            <w:tcW w:w="945" w:type="dxa"/>
            <w:vMerge w:val="continue"/>
            <w:tcBorders>
              <w:top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sz w:val="2"/>
                <w:szCs w:val="2"/>
              </w:rPr>
            </w:pPr>
          </w:p>
        </w:tc>
        <w:tc>
          <w:tcPr>
            <w:tcW w:w="3754" w:type="dxa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24" w:line="400" w:lineRule="exact"/>
              <w:ind w:right="1579"/>
              <w:jc w:val="center"/>
              <w:textAlignment w:val="auto"/>
              <w:rPr>
                <w:rFonts w:hint="eastAsia" w:ascii="Microsoft JhengHei" w:eastAsia="Arial Unicode MS"/>
                <w:b/>
                <w:sz w:val="24"/>
                <w:lang w:eastAsia="zh-CN"/>
              </w:rPr>
            </w:pPr>
            <w:r>
              <w:rPr>
                <w:rFonts w:hint="eastAsia" w:ascii="Microsoft JhengHei"/>
                <w:b/>
                <w:sz w:val="24"/>
                <w:lang w:val="en-US" w:eastAsia="zh-CN"/>
              </w:rPr>
              <w:t xml:space="preserve">                     </w:t>
            </w:r>
          </w:p>
        </w:tc>
        <w:tc>
          <w:tcPr>
            <w:tcW w:w="1541" w:type="dxa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24" w:line="400" w:lineRule="exact"/>
              <w:ind w:right="551"/>
              <w:jc w:val="center"/>
              <w:textAlignment w:val="auto"/>
              <w:rPr>
                <w:rFonts w:ascii="Microsoft JhengHei"/>
                <w:b/>
                <w:sz w:val="24"/>
              </w:rPr>
            </w:pPr>
          </w:p>
        </w:tc>
        <w:tc>
          <w:tcPr>
            <w:tcW w:w="1852" w:type="dxa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24" w:line="400" w:lineRule="exact"/>
              <w:ind w:left="357" w:right="347"/>
              <w:jc w:val="center"/>
              <w:textAlignment w:val="auto"/>
              <w:rPr>
                <w:rFonts w:ascii="Microsoft JhengHei"/>
                <w:b/>
                <w:sz w:val="24"/>
              </w:rPr>
            </w:pPr>
          </w:p>
        </w:tc>
        <w:tc>
          <w:tcPr>
            <w:tcW w:w="2694" w:type="dxa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24" w:line="400" w:lineRule="exact"/>
              <w:ind w:left="782" w:right="770"/>
              <w:jc w:val="center"/>
              <w:textAlignment w:val="auto"/>
              <w:rPr>
                <w:rFonts w:ascii="Microsoft JhengHei"/>
                <w:b/>
                <w:sz w:val="24"/>
              </w:rPr>
            </w:pPr>
          </w:p>
        </w:tc>
      </w:tr>
    </w:tbl>
    <w:p>
      <w:pPr>
        <w:spacing w:before="0" w:line="371" w:lineRule="exact"/>
        <w:ind w:left="222" w:right="0" w:firstLine="0"/>
        <w:jc w:val="left"/>
        <w:rPr>
          <w:rFonts w:hint="eastAsia" w:ascii="Microsoft JhengHei" w:eastAsia="Microsoft JhengHei"/>
          <w:b/>
          <w:spacing w:val="0"/>
          <w:w w:val="100"/>
          <w:sz w:val="28"/>
        </w:rPr>
      </w:pPr>
    </w:p>
    <w:p>
      <w:pPr>
        <w:spacing w:before="0" w:line="371" w:lineRule="exact"/>
        <w:ind w:left="222" w:right="0" w:firstLine="0"/>
        <w:jc w:val="left"/>
        <w:rPr>
          <w:rFonts w:hint="eastAsia" w:ascii="Microsoft JhengHei" w:eastAsia="Microsoft JhengHei"/>
          <w:b/>
          <w:spacing w:val="0"/>
          <w:w w:val="100"/>
          <w:sz w:val="28"/>
        </w:rPr>
      </w:pPr>
      <w:r>
        <w:rPr>
          <w:rFonts w:hint="eastAsia" w:ascii="Microsoft JhengHei" w:eastAsia="Microsoft JhengHei"/>
          <w:b/>
          <w:spacing w:val="0"/>
          <w:w w:val="100"/>
          <w:sz w:val="28"/>
        </w:rPr>
        <w:t>填表说明：</w:t>
      </w:r>
    </w:p>
    <w:p>
      <w:pPr>
        <w:pStyle w:val="13"/>
        <w:numPr>
          <w:ilvl w:val="0"/>
          <w:numId w:val="0"/>
        </w:numPr>
        <w:tabs>
          <w:tab w:val="left" w:pos="449"/>
        </w:tabs>
        <w:spacing w:before="0" w:after="0" w:line="353" w:lineRule="exact"/>
        <w:ind w:left="221" w:leftChars="0" w:right="0" w:rightChars="0" w:firstLine="480" w:firstLineChars="200"/>
        <w:jc w:val="left"/>
        <w:rPr>
          <w:spacing w:val="0"/>
          <w:w w:val="100"/>
          <w:sz w:val="24"/>
        </w:rPr>
      </w:pPr>
      <w:r>
        <w:rPr>
          <w:rFonts w:hint="eastAsia"/>
          <w:spacing w:val="0"/>
          <w:w w:val="100"/>
          <w:sz w:val="24"/>
          <w:lang w:val="en-US" w:eastAsia="zh-CN"/>
        </w:rPr>
        <w:t>1.</w:t>
      </w:r>
      <w:r>
        <w:rPr>
          <w:spacing w:val="0"/>
          <w:w w:val="100"/>
          <w:sz w:val="24"/>
        </w:rPr>
        <w:t>“清理文件总数量”栏应填本次清理涉及市场主体经济活动的规章、规范性文件、其他政策措施的总数。</w:t>
      </w:r>
    </w:p>
    <w:p>
      <w:pPr>
        <w:pStyle w:val="13"/>
        <w:numPr>
          <w:ilvl w:val="0"/>
          <w:numId w:val="0"/>
        </w:numPr>
        <w:tabs>
          <w:tab w:val="left" w:pos="413"/>
        </w:tabs>
        <w:spacing w:before="0" w:after="0" w:line="350" w:lineRule="exact"/>
        <w:ind w:left="221" w:leftChars="0" w:right="0" w:rightChars="0" w:firstLine="480" w:firstLineChars="200"/>
        <w:jc w:val="left"/>
        <w:rPr>
          <w:spacing w:val="0"/>
          <w:w w:val="100"/>
          <w:sz w:val="24"/>
        </w:rPr>
      </w:pPr>
      <w:r>
        <w:rPr>
          <w:rFonts w:hint="eastAsia"/>
          <w:spacing w:val="0"/>
          <w:w w:val="100"/>
          <w:sz w:val="24"/>
          <w:lang w:val="en-US" w:eastAsia="zh-CN"/>
        </w:rPr>
        <w:t>2.</w:t>
      </w:r>
      <w:r>
        <w:rPr>
          <w:spacing w:val="0"/>
          <w:w w:val="100"/>
          <w:sz w:val="24"/>
        </w:rPr>
        <w:t>“类别”栏应选填规章、规范性文件、其他政策措施。</w:t>
      </w:r>
    </w:p>
    <w:p>
      <w:pPr>
        <w:pStyle w:val="13"/>
        <w:numPr>
          <w:ilvl w:val="0"/>
          <w:numId w:val="0"/>
        </w:numPr>
        <w:tabs>
          <w:tab w:val="left" w:pos="415"/>
        </w:tabs>
        <w:spacing w:before="12" w:after="0" w:line="201" w:lineRule="auto"/>
        <w:ind w:left="222" w:leftChars="0" w:right="117" w:rightChars="0" w:firstLine="480" w:firstLineChars="200"/>
        <w:jc w:val="left"/>
        <w:rPr>
          <w:spacing w:val="0"/>
          <w:w w:val="100"/>
          <w:sz w:val="24"/>
        </w:rPr>
      </w:pPr>
      <w:r>
        <w:rPr>
          <w:rFonts w:hint="eastAsia"/>
          <w:spacing w:val="0"/>
          <w:w w:val="100"/>
          <w:sz w:val="24"/>
          <w:lang w:val="en-US" w:eastAsia="zh-CN"/>
        </w:rPr>
        <w:t>3.</w:t>
      </w:r>
      <w:r>
        <w:rPr>
          <w:spacing w:val="0"/>
          <w:w w:val="100"/>
          <w:sz w:val="24"/>
        </w:rPr>
        <w:t>“清理意见”栏应填报废止、修订或因符合公平竞争审查制度例外规定继续保留。对部分条款进行修订的，应列明具体条款内容及修订方案。</w:t>
      </w:r>
    </w:p>
    <w:p>
      <w:pPr>
        <w:pStyle w:val="13"/>
        <w:numPr>
          <w:ilvl w:val="0"/>
          <w:numId w:val="0"/>
        </w:numPr>
        <w:tabs>
          <w:tab w:val="left" w:pos="425"/>
        </w:tabs>
        <w:spacing w:before="0" w:after="0" w:line="201" w:lineRule="auto"/>
        <w:ind w:left="222" w:leftChars="0" w:right="120" w:rightChars="0" w:firstLine="480" w:firstLineChars="200"/>
        <w:jc w:val="left"/>
        <w:rPr>
          <w:rFonts w:hint="eastAsia" w:ascii="仿宋_GB2312" w:hAnsi="仿宋_GB2312" w:eastAsia="仿宋_GB2312" w:cs="仿宋_GB2312"/>
          <w:b/>
          <w:bCs/>
          <w:color w:val="000000"/>
          <w:sz w:val="32"/>
          <w:szCs w:val="32"/>
          <w:shd w:val="clear" w:color="auto" w:fill="FFFFFF"/>
          <w:lang w:val="en-US" w:eastAsia="zh-CN"/>
        </w:rPr>
      </w:pPr>
      <w:r>
        <w:rPr>
          <w:rFonts w:hint="eastAsia"/>
          <w:spacing w:val="0"/>
          <w:w w:val="100"/>
          <w:sz w:val="24"/>
          <w:lang w:val="en-US" w:eastAsia="zh-CN"/>
        </w:rPr>
        <w:t>4.</w:t>
      </w:r>
      <w:r>
        <w:rPr>
          <w:spacing w:val="0"/>
          <w:w w:val="100"/>
          <w:sz w:val="24"/>
        </w:rPr>
        <w:t>“清理理由”栏应填报具体属于四个方面清理重点的何种情形。因符合例外规定继续保留的，应详细说明适用例外规定的具体理由和  实施期限。</w:t>
      </w:r>
    </w:p>
    <w:sectPr>
      <w:footerReference r:id="rId3" w:type="default"/>
      <w:pgSz w:w="16838" w:h="11906" w:orient="landscape"/>
      <w:pgMar w:top="1531" w:right="1440" w:bottom="1531" w:left="1440" w:header="851" w:footer="992" w:gutter="0"/>
      <w:pgNumType w:fmt="numberInDash"/>
      <w:cols w:space="0" w:num="1"/>
      <w:rtlGutter w:val="0"/>
      <w:docGrid w:type="lines" w:linePitch="31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仿宋_GBK">
    <w:altName w:val="微软雅黑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Microsoft JhengHei">
    <w:panose1 w:val="020B0604030504040204"/>
    <w:charset w:val="88"/>
    <w:family w:val="swiss"/>
    <w:pitch w:val="default"/>
    <w:sig w:usb0="00000087" w:usb1="28AF4000" w:usb2="00000016" w:usb3="00000000" w:csb0="00100009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>
                          <w:pPr>
                            <w:pStyle w:val="3"/>
                          </w:pPr>
                          <w:r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  <w:t>- 2 -</w:t>
                          </w:r>
                          <w:r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</w:pPr>
                    <w:r>
                      <w:rPr>
                        <w:rFonts w:ascii="宋体" w:hAnsi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宋体" w:hAnsi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 w:cs="宋体"/>
                        <w:sz w:val="28"/>
                        <w:szCs w:val="28"/>
                      </w:rPr>
                      <w:t>- 2 -</w:t>
                    </w:r>
                    <w:r>
                      <w:rPr>
                        <w:rFonts w:ascii="宋体" w:hAnsi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8"/>
  <w:displayHorizontalDrawingGridEvery w:val="1"/>
  <w:displayVerticalDrawingGridEvery w:val="2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doNotExpandShiftReturn/>
    <w:adjustLineHeightInTable/>
    <w:useFELayout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8C50691"/>
    <w:rsid w:val="000D1F0E"/>
    <w:rsid w:val="00113AE3"/>
    <w:rsid w:val="0014235F"/>
    <w:rsid w:val="00290C58"/>
    <w:rsid w:val="00303A33"/>
    <w:rsid w:val="00332AA5"/>
    <w:rsid w:val="0034318A"/>
    <w:rsid w:val="004C5FF8"/>
    <w:rsid w:val="00524754"/>
    <w:rsid w:val="00827400"/>
    <w:rsid w:val="00885E71"/>
    <w:rsid w:val="008E4651"/>
    <w:rsid w:val="008F20B8"/>
    <w:rsid w:val="009040DB"/>
    <w:rsid w:val="00AB335C"/>
    <w:rsid w:val="00C01C9F"/>
    <w:rsid w:val="00D77B45"/>
    <w:rsid w:val="01422E77"/>
    <w:rsid w:val="01EA6F05"/>
    <w:rsid w:val="050B681D"/>
    <w:rsid w:val="078C025A"/>
    <w:rsid w:val="08C3489B"/>
    <w:rsid w:val="0A191950"/>
    <w:rsid w:val="0B115516"/>
    <w:rsid w:val="0BD73AE1"/>
    <w:rsid w:val="0C910339"/>
    <w:rsid w:val="0CCA1493"/>
    <w:rsid w:val="0CF07013"/>
    <w:rsid w:val="0D5779A5"/>
    <w:rsid w:val="0E8C639C"/>
    <w:rsid w:val="11EB5CCD"/>
    <w:rsid w:val="1583473D"/>
    <w:rsid w:val="176D06AA"/>
    <w:rsid w:val="18C50691"/>
    <w:rsid w:val="1A802AF0"/>
    <w:rsid w:val="1AC008D2"/>
    <w:rsid w:val="1FA20B55"/>
    <w:rsid w:val="224D0299"/>
    <w:rsid w:val="24F41DDC"/>
    <w:rsid w:val="253216D0"/>
    <w:rsid w:val="2A600191"/>
    <w:rsid w:val="2D677654"/>
    <w:rsid w:val="2DB004A9"/>
    <w:rsid w:val="2E8843F0"/>
    <w:rsid w:val="2F8A7299"/>
    <w:rsid w:val="31AB2B9E"/>
    <w:rsid w:val="34024D0E"/>
    <w:rsid w:val="347408EF"/>
    <w:rsid w:val="34B13C59"/>
    <w:rsid w:val="35CD56C8"/>
    <w:rsid w:val="37B5169C"/>
    <w:rsid w:val="3A1666CD"/>
    <w:rsid w:val="3A2D71F2"/>
    <w:rsid w:val="3B750E32"/>
    <w:rsid w:val="3C65041E"/>
    <w:rsid w:val="3D6A7786"/>
    <w:rsid w:val="424430AB"/>
    <w:rsid w:val="451E1D5D"/>
    <w:rsid w:val="461A15F7"/>
    <w:rsid w:val="46646AB0"/>
    <w:rsid w:val="48874EF4"/>
    <w:rsid w:val="49151906"/>
    <w:rsid w:val="4A647443"/>
    <w:rsid w:val="4A7259AA"/>
    <w:rsid w:val="4CCF0A9D"/>
    <w:rsid w:val="4D9D7F53"/>
    <w:rsid w:val="4DA44C55"/>
    <w:rsid w:val="4E6C5CA2"/>
    <w:rsid w:val="4FD519F1"/>
    <w:rsid w:val="50B54369"/>
    <w:rsid w:val="52782FAD"/>
    <w:rsid w:val="53526F4F"/>
    <w:rsid w:val="5478041B"/>
    <w:rsid w:val="56F76549"/>
    <w:rsid w:val="5EC04D26"/>
    <w:rsid w:val="60777CF6"/>
    <w:rsid w:val="622F3188"/>
    <w:rsid w:val="626D6FB1"/>
    <w:rsid w:val="64315659"/>
    <w:rsid w:val="64F5386D"/>
    <w:rsid w:val="665636D7"/>
    <w:rsid w:val="66B40B70"/>
    <w:rsid w:val="68723E3A"/>
    <w:rsid w:val="69791AF3"/>
    <w:rsid w:val="6A020B94"/>
    <w:rsid w:val="6A506295"/>
    <w:rsid w:val="6B5C5489"/>
    <w:rsid w:val="6CD24ADD"/>
    <w:rsid w:val="70AD05AD"/>
    <w:rsid w:val="723A4C09"/>
    <w:rsid w:val="73E954A8"/>
    <w:rsid w:val="76A77C53"/>
    <w:rsid w:val="770475E7"/>
    <w:rsid w:val="7A594A31"/>
    <w:rsid w:val="7BED5628"/>
    <w:rsid w:val="7CCF36E3"/>
    <w:rsid w:val="7CFD7DDE"/>
    <w:rsid w:val="7D366DC2"/>
    <w:rsid w:val="7D8973B6"/>
    <w:rsid w:val="7DFF7C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nhideWhenUsed="0" w:uiPriority="99" w:name="Default Paragraph Font"/>
    <w:lsdException w:qFormat="1" w:uiPriority="99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99"/>
  </w:style>
  <w:style w:type="table" w:default="1" w:styleId="5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nhideWhenUsed/>
    <w:qFormat/>
    <w:uiPriority w:val="99"/>
    <w:rPr>
      <w:rFonts w:ascii="Arial Unicode MS" w:hAnsi="Arial Unicode MS" w:eastAsia="Arial Unicode MS" w:cs="Arial Unicode MS"/>
      <w:sz w:val="24"/>
      <w:szCs w:val="24"/>
      <w:lang w:val="zh-CN" w:eastAsia="zh-CN" w:bidi="zh-CN"/>
    </w:rPr>
  </w:style>
  <w:style w:type="paragraph" w:styleId="3">
    <w:name w:val="footer"/>
    <w:basedOn w:val="1"/>
    <w:link w:val="8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9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6">
    <w:name w:val="Table Grid"/>
    <w:basedOn w:val="5"/>
    <w:qFormat/>
    <w:uiPriority w:val="99"/>
    <w:pPr>
      <w:widowControl w:val="0"/>
      <w:jc w:val="both"/>
    </w:pPr>
    <w:rPr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">
    <w:name w:val="Footer Char"/>
    <w:basedOn w:val="7"/>
    <w:link w:val="3"/>
    <w:semiHidden/>
    <w:qFormat/>
    <w:uiPriority w:val="99"/>
    <w:rPr>
      <w:sz w:val="18"/>
      <w:szCs w:val="18"/>
    </w:rPr>
  </w:style>
  <w:style w:type="character" w:customStyle="1" w:styleId="9">
    <w:name w:val="Header Char"/>
    <w:basedOn w:val="7"/>
    <w:link w:val="4"/>
    <w:semiHidden/>
    <w:qFormat/>
    <w:uiPriority w:val="99"/>
    <w:rPr>
      <w:sz w:val="18"/>
      <w:szCs w:val="18"/>
    </w:rPr>
  </w:style>
  <w:style w:type="character" w:customStyle="1" w:styleId="10">
    <w:name w:val="公文抄送"/>
    <w:basedOn w:val="7"/>
    <w:qFormat/>
    <w:uiPriority w:val="99"/>
    <w:rPr>
      <w:rFonts w:ascii="Times New Roman" w:hAnsi="Times New Roman" w:eastAsia="仿宋_GB2312" w:cs="Times New Roman"/>
      <w:sz w:val="28"/>
    </w:rPr>
  </w:style>
  <w:style w:type="paragraph" w:customStyle="1" w:styleId="11">
    <w:name w:val="正文 New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12">
    <w:name w:val="Table Paragraph"/>
    <w:basedOn w:val="1"/>
    <w:qFormat/>
    <w:uiPriority w:val="1"/>
    <w:rPr>
      <w:rFonts w:ascii="Arial Unicode MS" w:hAnsi="Arial Unicode MS" w:eastAsia="Arial Unicode MS" w:cs="Arial Unicode MS"/>
      <w:lang w:val="zh-CN" w:eastAsia="zh-CN" w:bidi="zh-CN"/>
    </w:rPr>
  </w:style>
  <w:style w:type="paragraph" w:customStyle="1" w:styleId="13">
    <w:name w:val="List Paragraph"/>
    <w:basedOn w:val="1"/>
    <w:qFormat/>
    <w:uiPriority w:val="1"/>
    <w:pPr>
      <w:ind w:left="222"/>
    </w:pPr>
    <w:rPr>
      <w:rFonts w:ascii="Arial Unicode MS" w:hAnsi="Arial Unicode MS" w:eastAsia="Arial Unicode MS" w:cs="Arial Unicode MS"/>
      <w:lang w:val="zh-CN" w:eastAsia="zh-CN" w:bidi="zh-CN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Company>昆明市直属党政机关单位</Company>
  <Pages>2</Pages>
  <Words>102</Words>
  <Characters>582</Characters>
  <Lines>0</Lines>
  <Paragraphs>0</Paragraphs>
  <TotalTime>5</TotalTime>
  <ScaleCrop>false</ScaleCrop>
  <LinksUpToDate>false</LinksUpToDate>
  <CharactersWithSpaces>0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DELLT</dc:creator>
  <cp:lastModifiedBy>孙宏才</cp:lastModifiedBy>
  <cp:lastPrinted>2019-10-15T01:46:00Z</cp:lastPrinted>
  <dcterms:modified xsi:type="dcterms:W3CDTF">2022-09-26T02:00:04Z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  <property fmtid="{D5CDD505-2E9C-101B-9397-08002B2CF9AE}" pid="3" name="docranid">
    <vt:lpwstr>96065D558382443BA09F453C93321EB3</vt:lpwstr>
  </property>
</Properties>
</file>