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附件2</w:t>
      </w:r>
    </w:p>
    <w:tbl>
      <w:tblPr>
        <w:tblStyle w:val="2"/>
        <w:tblpPr w:leftFromText="180" w:rightFromText="180" w:vertAnchor="text" w:horzAnchor="page" w:tblpX="1456" w:tblpY="987"/>
        <w:tblOverlap w:val="never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Layout w:type="fixed"/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律师事务所及其律师的监督检查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对律师事务所及其律师执业经营活动（含纳税情况）的监督检查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在全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依法设立的律师事务所及其执业律师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司法行政部门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市场监管、公安、税务部门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  <w:t>对基层法律服务工作者的日常执业活动和遵守职业道德、执业纪律的情况检查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  <w:t>1.报告工作情况。2.说明情况。3.提交有关材料。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  <w:t>基层法律服务工作者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  <w:t>司法行政部门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  <w:t>人力资源社会保障部门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Cs w:val="21"/>
              </w:rPr>
              <w:t>新增项</w:t>
            </w:r>
          </w:p>
        </w:tc>
      </w:tr>
    </w:tbl>
    <w:p>
      <w:pPr>
        <w:jc w:val="center"/>
        <w:rPr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昆明市晋宁区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司法局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联合抽查事项清单（第二版）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类、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项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1C599D"/>
    <w:rsid w:val="458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2022-09-22T08:22:00Z</dcterms:created>
  <dc:creator>Lenovo</dc:creator>
  <cp:lastModifiedBy>Lenovo</cp:lastModifiedBy>
  <dcterms:modified xsi:type="dcterms:W3CDTF">2022-09-22T08:35:01Z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