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Times New Roman" w:hAnsi="Times New Roman" w:eastAsia="方正小标宋简体"/>
          <w:sz w:val="44"/>
          <w:szCs w:val="44"/>
          <w:lang w:val="en-US" w:eastAsia="zh-CN"/>
        </w:rPr>
      </w:pPr>
      <w:r>
        <w:rPr>
          <w:rFonts w:hint="eastAsia" w:ascii="Times New Roman" w:hAnsi="Times New Roman" w:eastAsia="方正小标宋简体"/>
          <w:sz w:val="44"/>
          <w:szCs w:val="44"/>
        </w:rPr>
        <w:t>昆明市晋宁区司法局</w:t>
      </w:r>
      <w:r>
        <w:rPr>
          <w:rFonts w:hint="eastAsia" w:ascii="Times New Roman" w:hAnsi="Times New Roman" w:eastAsia="方正小标宋简体"/>
          <w:sz w:val="44"/>
          <w:szCs w:val="44"/>
          <w:lang w:val="en-US" w:eastAsia="zh-CN"/>
        </w:rPr>
        <w:t>2022年三季度</w:t>
      </w:r>
    </w:p>
    <w:p>
      <w:pPr>
        <w:spacing w:line="560" w:lineRule="exact"/>
        <w:jc w:val="center"/>
        <w:rPr>
          <w:rFonts w:hint="eastAsia" w:ascii="Times New Roman" w:hAnsi="Times New Roman" w:eastAsia="方正小标宋简体"/>
          <w:sz w:val="44"/>
          <w:szCs w:val="44"/>
          <w:lang w:eastAsia="zh-CN"/>
        </w:rPr>
      </w:pPr>
      <w:r>
        <w:rPr>
          <w:rFonts w:hint="eastAsia" w:ascii="Times New Roman" w:hAnsi="Times New Roman" w:eastAsia="方正小标宋简体"/>
          <w:sz w:val="44"/>
          <w:szCs w:val="44"/>
        </w:rPr>
        <w:t>公平竞争审查工作</w:t>
      </w:r>
      <w:r>
        <w:rPr>
          <w:rFonts w:hint="eastAsia" w:ascii="Times New Roman" w:hAnsi="Times New Roman" w:eastAsia="方正小标宋简体"/>
          <w:sz w:val="44"/>
          <w:szCs w:val="44"/>
          <w:lang w:eastAsia="zh-CN"/>
        </w:rPr>
        <w:t>总结</w:t>
      </w:r>
    </w:p>
    <w:p>
      <w:pPr>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    </w:t>
      </w:r>
    </w:p>
    <w:p>
      <w:pPr>
        <w:spacing w:line="560" w:lineRule="exact"/>
        <w:ind w:firstLine="640" w:firstLineChars="200"/>
        <w:rPr>
          <w:rFonts w:ascii="Times New Roman" w:hAnsi="Times New Roman" w:eastAsia="方正小标宋简体"/>
          <w:sz w:val="44"/>
          <w:szCs w:val="44"/>
        </w:rPr>
      </w:pPr>
      <w:r>
        <w:rPr>
          <w:rFonts w:hint="eastAsia" w:ascii="仿宋_GB2312" w:hAnsi="仿宋" w:eastAsia="仿宋_GB2312"/>
          <w:sz w:val="32"/>
          <w:szCs w:val="32"/>
        </w:rPr>
        <w:t>根据</w:t>
      </w:r>
      <w:r>
        <w:rPr>
          <w:rFonts w:hint="eastAsia" w:ascii="仿宋_GB2312" w:hAnsi="仿宋" w:eastAsia="仿宋_GB2312"/>
          <w:sz w:val="32"/>
          <w:szCs w:val="32"/>
          <w:lang w:eastAsia="zh-CN"/>
        </w:rPr>
        <w:t>中央、省、市、区</w:t>
      </w:r>
      <w:r>
        <w:rPr>
          <w:rFonts w:hint="eastAsia" w:ascii="仿宋_GB2312" w:hAnsi="仿宋" w:eastAsia="仿宋_GB2312"/>
          <w:sz w:val="32"/>
          <w:szCs w:val="32"/>
        </w:rPr>
        <w:t>关于在市场体系建设中建立公平竞争审查制度的</w:t>
      </w:r>
      <w:r>
        <w:rPr>
          <w:rFonts w:hint="eastAsia" w:ascii="仿宋_GB2312" w:hAnsi="仿宋" w:eastAsia="仿宋_GB2312"/>
          <w:sz w:val="32"/>
          <w:szCs w:val="32"/>
          <w:lang w:eastAsia="zh-CN"/>
        </w:rPr>
        <w:t>相关文件</w:t>
      </w:r>
      <w:r>
        <w:rPr>
          <w:rFonts w:hint="eastAsia" w:ascii="仿宋_GB2312" w:hAnsi="仿宋" w:eastAsia="仿宋_GB2312"/>
          <w:sz w:val="32"/>
          <w:szCs w:val="32"/>
        </w:rPr>
        <w:t>精神</w:t>
      </w:r>
      <w:r>
        <w:rPr>
          <w:rFonts w:hint="eastAsia" w:ascii="仿宋_GB2312" w:hAnsi="仿宋" w:eastAsia="仿宋_GB2312"/>
          <w:sz w:val="32"/>
          <w:szCs w:val="32"/>
          <w:lang w:eastAsia="zh-CN"/>
        </w:rPr>
        <w:t>和工作要求</w:t>
      </w:r>
      <w:r>
        <w:rPr>
          <w:rFonts w:hint="eastAsia" w:ascii="仿宋_GB2312" w:hAnsi="仿宋" w:eastAsia="仿宋_GB2312"/>
          <w:sz w:val="32"/>
          <w:szCs w:val="32"/>
        </w:rPr>
        <w:t>，</w:t>
      </w:r>
      <w:r>
        <w:rPr>
          <w:rFonts w:hint="eastAsia" w:ascii="仿宋_GB2312" w:hAnsi="仿宋" w:eastAsia="仿宋_GB2312"/>
          <w:sz w:val="32"/>
          <w:szCs w:val="32"/>
          <w:lang w:eastAsia="zh-CN"/>
        </w:rPr>
        <w:t>对照区公平竞争审查工作联席会议办公室《关于印发</w:t>
      </w:r>
      <w:r>
        <w:rPr>
          <w:rFonts w:hint="eastAsia" w:ascii="仿宋_GB2312" w:hAnsi="仿宋" w:eastAsia="仿宋_GB2312"/>
          <w:sz w:val="32"/>
          <w:szCs w:val="32"/>
          <w:lang w:val="en-US" w:eastAsia="zh-CN"/>
        </w:rPr>
        <w:t>&lt;建立健全公平竞争审查长效机制 开展政策措施清理审查三年工作方案&gt;</w:t>
      </w:r>
      <w:r>
        <w:rPr>
          <w:rFonts w:hint="eastAsia" w:ascii="仿宋_GB2312" w:hAnsi="仿宋" w:eastAsia="仿宋_GB2312"/>
          <w:sz w:val="32"/>
          <w:szCs w:val="32"/>
          <w:lang w:eastAsia="zh-CN"/>
        </w:rPr>
        <w:t>》的具体要求，</w:t>
      </w:r>
      <w:r>
        <w:rPr>
          <w:rFonts w:hint="eastAsia" w:ascii="仿宋_GB2312" w:hAnsi="仿宋" w:eastAsia="仿宋_GB2312"/>
          <w:sz w:val="32"/>
          <w:szCs w:val="32"/>
        </w:rPr>
        <w:t>我局高度重视，组织开展</w:t>
      </w:r>
      <w:r>
        <w:rPr>
          <w:rFonts w:hint="eastAsia" w:ascii="仿宋_GB2312" w:hAnsi="仿宋" w:eastAsia="仿宋_GB2312"/>
          <w:sz w:val="32"/>
          <w:szCs w:val="32"/>
          <w:lang w:eastAsia="zh-CN"/>
        </w:rPr>
        <w:t>相关</w:t>
      </w:r>
      <w:r>
        <w:rPr>
          <w:rFonts w:hint="eastAsia" w:ascii="仿宋_GB2312" w:hAnsi="仿宋" w:eastAsia="仿宋_GB2312"/>
          <w:sz w:val="32"/>
          <w:szCs w:val="32"/>
        </w:rPr>
        <w:t>工作。现将</w:t>
      </w:r>
      <w:r>
        <w:rPr>
          <w:rFonts w:hint="eastAsia" w:ascii="仿宋_GB2312" w:hAnsi="仿宋" w:eastAsia="仿宋_GB2312"/>
          <w:sz w:val="32"/>
          <w:szCs w:val="32"/>
          <w:lang w:val="en-US" w:eastAsia="zh-CN"/>
        </w:rPr>
        <w:t>2022年三季度</w:t>
      </w:r>
      <w:r>
        <w:rPr>
          <w:rFonts w:hint="eastAsia" w:ascii="仿宋_GB2312" w:hAnsi="仿宋" w:eastAsia="仿宋_GB2312"/>
          <w:sz w:val="32"/>
          <w:szCs w:val="32"/>
        </w:rPr>
        <w:t>工作开展情况</w:t>
      </w:r>
      <w:r>
        <w:rPr>
          <w:rFonts w:hint="eastAsia" w:ascii="仿宋_GB2312" w:hAnsi="仿宋" w:eastAsia="仿宋_GB2312"/>
          <w:sz w:val="32"/>
          <w:szCs w:val="32"/>
          <w:lang w:eastAsia="zh-CN"/>
        </w:rPr>
        <w:t>总结如下</w:t>
      </w:r>
      <w:r>
        <w:rPr>
          <w:rFonts w:hint="eastAsia" w:ascii="仿宋_GB2312" w:hAnsi="仿宋" w:eastAsia="仿宋_GB2312"/>
          <w:sz w:val="32"/>
          <w:szCs w:val="32"/>
        </w:rPr>
        <w:t>：</w:t>
      </w:r>
    </w:p>
    <w:p>
      <w:pPr>
        <w:pStyle w:val="7"/>
        <w:numPr>
          <w:ilvl w:val="0"/>
          <w:numId w:val="1"/>
        </w:numPr>
        <w:spacing w:line="560" w:lineRule="exact"/>
        <w:ind w:firstLineChars="0"/>
        <w:rPr>
          <w:rFonts w:ascii="黑体" w:eastAsia="黑体"/>
          <w:sz w:val="32"/>
          <w:szCs w:val="32"/>
        </w:rPr>
      </w:pPr>
      <w:r>
        <w:rPr>
          <w:rFonts w:hint="eastAsia" w:ascii="黑体" w:eastAsia="黑体"/>
          <w:sz w:val="32"/>
          <w:szCs w:val="32"/>
        </w:rPr>
        <w:t>明确我局公平竞争审查相应的工作机制</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按照“谁起草、谁审查”的原则，</w:t>
      </w:r>
      <w:r>
        <w:rPr>
          <w:rFonts w:hint="eastAsia" w:ascii="Times New Roman" w:hAnsi="Times New Roman" w:eastAsia="仿宋_GB2312"/>
          <w:sz w:val="32"/>
          <w:szCs w:val="32"/>
        </w:rPr>
        <w:t>结合工作实际，我局</w:t>
      </w:r>
      <w:r>
        <w:rPr>
          <w:rFonts w:hint="eastAsia" w:ascii="Times New Roman" w:hAnsi="Times New Roman" w:eastAsia="仿宋_GB2312"/>
          <w:sz w:val="32"/>
          <w:szCs w:val="32"/>
          <w:lang w:eastAsia="zh-CN"/>
        </w:rPr>
        <w:t>制定</w:t>
      </w:r>
      <w:r>
        <w:rPr>
          <w:rFonts w:hint="eastAsia" w:ascii="Times New Roman" w:hAnsi="Times New Roman" w:eastAsia="仿宋_GB2312"/>
          <w:sz w:val="32"/>
          <w:szCs w:val="32"/>
        </w:rPr>
        <w:t>下发了</w:t>
      </w:r>
      <w:r>
        <w:rPr>
          <w:rFonts w:hint="eastAsia" w:ascii="仿宋_GB2312" w:eastAsia="仿宋_GB2312"/>
          <w:sz w:val="32"/>
          <w:szCs w:val="32"/>
        </w:rPr>
        <w:t>《昆</w:t>
      </w:r>
      <w:bookmarkStart w:id="0" w:name="_GoBack"/>
      <w:bookmarkEnd w:id="0"/>
      <w:r>
        <w:rPr>
          <w:rFonts w:hint="eastAsia" w:ascii="仿宋_GB2312" w:eastAsia="仿宋_GB2312"/>
          <w:sz w:val="32"/>
          <w:szCs w:val="32"/>
        </w:rPr>
        <w:t>明市晋宁区司法局关于关于在市场体系建设中建立公平竞争审查制度的通知》</w:t>
      </w:r>
      <w:r>
        <w:rPr>
          <w:rFonts w:ascii="仿宋_GB2312" w:eastAsia="仿宋_GB2312"/>
          <w:sz w:val="32"/>
          <w:szCs w:val="32"/>
        </w:rPr>
        <w:t>,</w:t>
      </w:r>
      <w:r>
        <w:rPr>
          <w:rFonts w:hint="eastAsia" w:ascii="仿宋_GB2312" w:hAnsi="仿宋" w:eastAsia="仿宋_GB2312"/>
          <w:sz w:val="32"/>
          <w:szCs w:val="32"/>
        </w:rPr>
        <w:t xml:space="preserve"> 并要求局属各部门负责本部门出台政策措施的公平竞争审查和合法性审查工作，</w:t>
      </w:r>
      <w:r>
        <w:rPr>
          <w:rFonts w:hint="eastAsia" w:ascii="仿宋_GB2312" w:eastAsia="仿宋_GB2312"/>
          <w:sz w:val="32"/>
          <w:szCs w:val="32"/>
        </w:rPr>
        <w:t>在起草文件过程中严格对照</w:t>
      </w:r>
      <w:r>
        <w:rPr>
          <w:rFonts w:hint="eastAsia" w:ascii="仿宋_GB2312" w:hAnsi="仿宋" w:eastAsia="仿宋_GB2312" w:cs="宋体"/>
          <w:kern w:val="0"/>
          <w:sz w:val="32"/>
          <w:szCs w:val="32"/>
        </w:rPr>
        <w:t>《昆明市晋宁区人民政府办公室关于在市场体系建设中建立公平竞争审查制度的通知》（晋政办通〔</w:t>
      </w:r>
      <w:r>
        <w:rPr>
          <w:rFonts w:ascii="仿宋_GB2312" w:hAnsi="仿宋" w:eastAsia="仿宋_GB2312" w:cs="宋体"/>
          <w:kern w:val="0"/>
          <w:sz w:val="32"/>
          <w:szCs w:val="32"/>
        </w:rPr>
        <w:t>2017</w:t>
      </w:r>
      <w:r>
        <w:rPr>
          <w:rFonts w:hint="eastAsia" w:ascii="仿宋_GB2312" w:hAnsi="仿宋" w:eastAsia="仿宋_GB2312" w:cs="宋体"/>
          <w:kern w:val="0"/>
          <w:sz w:val="32"/>
          <w:szCs w:val="32"/>
        </w:rPr>
        <w:t>〕</w:t>
      </w:r>
      <w:r>
        <w:rPr>
          <w:rFonts w:ascii="仿宋_GB2312" w:hAnsi="仿宋" w:eastAsia="仿宋_GB2312" w:cs="宋体"/>
          <w:kern w:val="0"/>
          <w:sz w:val="32"/>
          <w:szCs w:val="32"/>
        </w:rPr>
        <w:t>138</w:t>
      </w:r>
      <w:r>
        <w:rPr>
          <w:rFonts w:hint="eastAsia" w:ascii="仿宋_GB2312" w:hAnsi="仿宋" w:eastAsia="仿宋_GB2312" w:cs="宋体"/>
          <w:kern w:val="0"/>
          <w:sz w:val="32"/>
          <w:szCs w:val="32"/>
        </w:rPr>
        <w:t>号）要求</w:t>
      </w:r>
      <w:r>
        <w:rPr>
          <w:rFonts w:hint="eastAsia" w:ascii="仿宋_GB2312" w:hAnsi="仿宋" w:eastAsia="仿宋_GB2312"/>
          <w:sz w:val="32"/>
          <w:szCs w:val="32"/>
        </w:rPr>
        <w:t>中的内容，就审查对象、标准和要求进行</w:t>
      </w:r>
      <w:r>
        <w:rPr>
          <w:rFonts w:hint="eastAsia" w:ascii="仿宋_GB2312" w:hAnsi="仿宋" w:eastAsia="仿宋_GB2312"/>
          <w:sz w:val="32"/>
          <w:szCs w:val="32"/>
          <w:lang w:eastAsia="zh-CN"/>
        </w:rPr>
        <w:t>严格</w:t>
      </w:r>
      <w:r>
        <w:rPr>
          <w:rFonts w:hint="eastAsia" w:ascii="仿宋_GB2312" w:hAnsi="仿宋" w:eastAsia="仿宋_GB2312"/>
          <w:sz w:val="32"/>
          <w:szCs w:val="32"/>
        </w:rPr>
        <w:t>审查。确保我局制定的有关政策措施符合公平竞争和相关法律法规要求，防止出现排除、限制竞争的情况。</w:t>
      </w:r>
    </w:p>
    <w:p>
      <w:pPr>
        <w:spacing w:line="560" w:lineRule="exact"/>
        <w:ind w:firstLine="640" w:firstLineChars="200"/>
        <w:rPr>
          <w:rFonts w:hint="eastAsia" w:ascii="仿宋_GB2312" w:eastAsia="黑体"/>
          <w:sz w:val="32"/>
          <w:szCs w:val="32"/>
          <w:lang w:eastAsia="zh-CN"/>
        </w:rPr>
      </w:pPr>
      <w:r>
        <w:rPr>
          <w:rFonts w:hint="eastAsia" w:ascii="黑体" w:eastAsia="黑体"/>
          <w:sz w:val="32"/>
          <w:szCs w:val="32"/>
        </w:rPr>
        <w:t>二、有序</w:t>
      </w:r>
      <w:r>
        <w:rPr>
          <w:rFonts w:hint="eastAsia" w:ascii="黑体" w:eastAsia="黑体"/>
          <w:sz w:val="32"/>
          <w:szCs w:val="32"/>
          <w:lang w:eastAsia="zh-CN"/>
        </w:rPr>
        <w:t>开展自查</w:t>
      </w:r>
      <w:r>
        <w:rPr>
          <w:rFonts w:hint="eastAsia" w:ascii="黑体" w:eastAsia="黑体"/>
          <w:sz w:val="32"/>
          <w:szCs w:val="32"/>
        </w:rPr>
        <w:t>清理</w:t>
      </w:r>
      <w:r>
        <w:rPr>
          <w:rFonts w:hint="eastAsia" w:ascii="黑体" w:eastAsia="黑体"/>
          <w:sz w:val="32"/>
          <w:szCs w:val="32"/>
          <w:lang w:eastAsia="zh-CN"/>
        </w:rPr>
        <w:t>工作</w:t>
      </w:r>
    </w:p>
    <w:p>
      <w:pPr>
        <w:spacing w:line="560" w:lineRule="exact"/>
        <w:ind w:firstLine="640" w:firstLineChars="200"/>
        <w:rPr>
          <w:rFonts w:hint="eastAsia" w:ascii="仿宋_GB2312" w:hAnsi="仿宋" w:eastAsia="仿宋_GB2312"/>
          <w:sz w:val="32"/>
          <w:szCs w:val="32"/>
        </w:rPr>
      </w:pPr>
      <w:r>
        <w:rPr>
          <w:rFonts w:hint="eastAsia" w:ascii="仿宋_GB2312" w:hAnsi="Times New Roman" w:eastAsia="仿宋_GB2312"/>
          <w:sz w:val="32"/>
          <w:szCs w:val="32"/>
        </w:rPr>
        <w:t>根据</w:t>
      </w:r>
      <w:r>
        <w:rPr>
          <w:rFonts w:hint="eastAsia" w:ascii="仿宋_GB2312" w:hAnsi="Times New Roman" w:eastAsia="仿宋_GB2312"/>
          <w:sz w:val="32"/>
          <w:szCs w:val="32"/>
          <w:lang w:eastAsia="zh-CN"/>
        </w:rPr>
        <w:t>自查清理工作要求</w:t>
      </w:r>
      <w:r>
        <w:rPr>
          <w:rFonts w:hint="eastAsia" w:ascii="仿宋_GB2312" w:hAnsi="Times New Roman" w:eastAsia="仿宋_GB2312"/>
          <w:sz w:val="32"/>
          <w:szCs w:val="32"/>
        </w:rPr>
        <w:t>，我局认真</w:t>
      </w:r>
      <w:r>
        <w:rPr>
          <w:rFonts w:hint="eastAsia" w:ascii="仿宋_GB2312" w:hAnsi="Times New Roman" w:eastAsia="仿宋_GB2312"/>
          <w:sz w:val="32"/>
          <w:szCs w:val="32"/>
          <w:lang w:eastAsia="zh-CN"/>
        </w:rPr>
        <w:t>对</w:t>
      </w:r>
      <w:r>
        <w:rPr>
          <w:rFonts w:hint="eastAsia" w:ascii="仿宋_GB2312" w:hAnsi="仿宋" w:eastAsia="仿宋_GB2312"/>
          <w:sz w:val="32"/>
          <w:szCs w:val="32"/>
        </w:rPr>
        <w:t>发文进行重点审查</w:t>
      </w:r>
      <w:r>
        <w:rPr>
          <w:rFonts w:hint="eastAsia" w:ascii="仿宋_GB2312" w:hAnsi="Times New Roman" w:eastAsia="仿宋_GB2312"/>
          <w:sz w:val="32"/>
          <w:szCs w:val="32"/>
        </w:rPr>
        <w:t>，对已出台的政策文件，</w:t>
      </w:r>
      <w:r>
        <w:rPr>
          <w:rFonts w:hint="eastAsia" w:ascii="仿宋_GB2312" w:eastAsia="仿宋_GB2312"/>
          <w:sz w:val="32"/>
          <w:szCs w:val="32"/>
        </w:rPr>
        <w:t>严格进行自我审查。经清理，</w:t>
      </w:r>
      <w:r>
        <w:rPr>
          <w:rFonts w:hint="eastAsia" w:ascii="仿宋_GB2312" w:hAnsi="仿宋" w:eastAsia="仿宋_GB2312"/>
          <w:sz w:val="32"/>
          <w:szCs w:val="32"/>
        </w:rPr>
        <w:t>我局</w:t>
      </w:r>
      <w:r>
        <w:rPr>
          <w:rFonts w:hint="eastAsia" w:ascii="仿宋_GB2312" w:hAnsi="仿宋" w:eastAsia="仿宋_GB2312"/>
          <w:sz w:val="32"/>
          <w:szCs w:val="32"/>
          <w:lang w:val="en-US" w:eastAsia="zh-CN"/>
        </w:rPr>
        <w:t>三</w:t>
      </w:r>
      <w:r>
        <w:rPr>
          <w:rFonts w:hint="eastAsia" w:ascii="仿宋_GB2312" w:hAnsi="仿宋" w:eastAsia="仿宋_GB2312"/>
          <w:sz w:val="32"/>
          <w:szCs w:val="32"/>
          <w:lang w:eastAsia="zh-CN"/>
        </w:rPr>
        <w:t>季度未出台过涉及市场主体经济活动的规章、规范性文件、其他政策措施等</w:t>
      </w:r>
      <w:r>
        <w:rPr>
          <w:rFonts w:hint="eastAsia" w:ascii="仿宋_GB2312" w:hAnsi="仿宋" w:eastAsia="仿宋_GB2312"/>
          <w:sz w:val="32"/>
          <w:szCs w:val="32"/>
        </w:rPr>
        <w:t>。</w:t>
      </w:r>
    </w:p>
    <w:p>
      <w:pPr>
        <w:numPr>
          <w:ilvl w:val="0"/>
          <w:numId w:val="0"/>
        </w:numPr>
        <w:spacing w:line="560" w:lineRule="exact"/>
        <w:ind w:left="645" w:leftChars="0"/>
        <w:rPr>
          <w:rFonts w:hint="eastAsia" w:ascii="黑体" w:hAnsi="黑体" w:eastAsia="黑体"/>
          <w:sz w:val="32"/>
          <w:szCs w:val="32"/>
          <w:lang w:eastAsia="zh-CN"/>
        </w:rPr>
      </w:pPr>
      <w:r>
        <w:rPr>
          <w:rFonts w:hint="eastAsia" w:ascii="黑体" w:hAnsi="黑体" w:eastAsia="黑体"/>
          <w:sz w:val="32"/>
          <w:szCs w:val="32"/>
          <w:lang w:eastAsia="zh-CN"/>
        </w:rPr>
        <w:t>三、工作亮点</w:t>
      </w:r>
    </w:p>
    <w:p>
      <w:pPr>
        <w:spacing w:line="560" w:lineRule="exact"/>
        <w:ind w:firstLine="640" w:firstLineChars="200"/>
        <w:rPr>
          <w:rFonts w:hint="eastAsia" w:ascii="仿宋_GB2312" w:hAnsi="Times New Roman" w:eastAsia="仿宋_GB2312"/>
          <w:sz w:val="32"/>
          <w:szCs w:val="32"/>
          <w:lang w:eastAsia="zh-CN"/>
        </w:rPr>
      </w:pPr>
      <w:r>
        <w:rPr>
          <w:rFonts w:hint="eastAsia" w:ascii="仿宋_GB2312" w:hAnsi="Times New Roman" w:eastAsia="仿宋_GB2312"/>
          <w:sz w:val="32"/>
          <w:szCs w:val="32"/>
          <w:lang w:eastAsia="zh-CN"/>
        </w:rPr>
        <w:t>暂无。</w:t>
      </w:r>
    </w:p>
    <w:p>
      <w:pPr>
        <w:spacing w:line="560" w:lineRule="exact"/>
        <w:ind w:firstLine="640" w:firstLineChars="200"/>
        <w:rPr>
          <w:rFonts w:ascii="黑体" w:hAnsi="黑体" w:eastAsia="黑体"/>
          <w:sz w:val="32"/>
          <w:szCs w:val="32"/>
        </w:rPr>
      </w:pPr>
      <w:r>
        <w:rPr>
          <w:rFonts w:hint="eastAsia" w:ascii="黑体" w:hAnsi="黑体" w:eastAsia="黑体"/>
          <w:sz w:val="32"/>
          <w:szCs w:val="32"/>
          <w:lang w:eastAsia="zh-CN"/>
        </w:rPr>
        <w:t>四、</w:t>
      </w:r>
      <w:r>
        <w:rPr>
          <w:rFonts w:ascii="黑体" w:hAnsi="黑体" w:eastAsia="黑体"/>
          <w:sz w:val="32"/>
          <w:szCs w:val="32"/>
        </w:rPr>
        <w:t>下步工作打算</w:t>
      </w:r>
    </w:p>
    <w:p>
      <w:pPr>
        <w:spacing w:line="560" w:lineRule="exact"/>
        <w:ind w:firstLine="640" w:firstLineChars="200"/>
        <w:rPr>
          <w:rFonts w:ascii="仿宋_GB2312" w:hAnsi="仿宋" w:eastAsia="仿宋_GB2312"/>
          <w:color w:val="000000"/>
          <w:sz w:val="32"/>
          <w:szCs w:val="32"/>
        </w:rPr>
      </w:pPr>
      <w:r>
        <w:rPr>
          <w:rFonts w:ascii="仿宋_GB2312" w:hAnsi="仿宋" w:eastAsia="仿宋_GB2312"/>
          <w:color w:val="000000"/>
          <w:sz w:val="32"/>
          <w:szCs w:val="32"/>
        </w:rPr>
        <w:t>下一步，我局将</w:t>
      </w:r>
      <w:r>
        <w:rPr>
          <w:rFonts w:hint="eastAsia" w:ascii="仿宋_GB2312" w:hAnsi="仿宋" w:eastAsia="仿宋_GB2312"/>
          <w:color w:val="000000"/>
          <w:sz w:val="32"/>
          <w:szCs w:val="32"/>
        </w:rPr>
        <w:t>继续</w:t>
      </w:r>
      <w:r>
        <w:rPr>
          <w:rFonts w:ascii="仿宋_GB2312" w:hAnsi="仿宋" w:eastAsia="仿宋_GB2312"/>
          <w:color w:val="000000"/>
          <w:sz w:val="32"/>
          <w:szCs w:val="32"/>
        </w:rPr>
        <w:t>按照省市</w:t>
      </w:r>
      <w:r>
        <w:rPr>
          <w:rFonts w:hint="eastAsia" w:ascii="仿宋_GB2312" w:hAnsi="仿宋" w:eastAsia="仿宋_GB2312"/>
          <w:color w:val="000000"/>
          <w:sz w:val="32"/>
          <w:szCs w:val="32"/>
        </w:rPr>
        <w:t>、区</w:t>
      </w:r>
      <w:r>
        <w:rPr>
          <w:rFonts w:ascii="仿宋_GB2312" w:hAnsi="仿宋" w:eastAsia="仿宋_GB2312"/>
          <w:color w:val="000000"/>
          <w:sz w:val="32"/>
          <w:szCs w:val="32"/>
        </w:rPr>
        <w:t>关于公平竞争审查</w:t>
      </w:r>
      <w:r>
        <w:rPr>
          <w:rFonts w:hint="eastAsia" w:ascii="仿宋_GB2312" w:hAnsi="仿宋" w:eastAsia="仿宋_GB2312"/>
          <w:color w:val="000000"/>
          <w:sz w:val="32"/>
          <w:szCs w:val="32"/>
        </w:rPr>
        <w:t>工作</w:t>
      </w:r>
      <w:r>
        <w:rPr>
          <w:rFonts w:ascii="仿宋_GB2312" w:hAnsi="仿宋" w:eastAsia="仿宋_GB2312"/>
          <w:color w:val="000000"/>
          <w:sz w:val="32"/>
          <w:szCs w:val="32"/>
        </w:rPr>
        <w:t>的要求，严格规范性文件及政策措施的公平竞争审查工作，</w:t>
      </w:r>
      <w:r>
        <w:rPr>
          <w:rFonts w:hint="eastAsia" w:ascii="Times New Roman" w:hAnsi="Times New Roman" w:eastAsia="仿宋_GB2312"/>
          <w:sz w:val="32"/>
          <w:szCs w:val="32"/>
        </w:rPr>
        <w:t>积极与上级部门对接，加强学习，加强与其他部门的沟通交流借鉴，</w:t>
      </w:r>
      <w:r>
        <w:rPr>
          <w:rFonts w:hint="eastAsia" w:ascii="仿宋_GB2312" w:hAnsi="仿宋" w:eastAsia="仿宋_GB2312"/>
          <w:color w:val="000000"/>
          <w:sz w:val="32"/>
          <w:szCs w:val="32"/>
        </w:rPr>
        <w:t>并</w:t>
      </w:r>
      <w:r>
        <w:rPr>
          <w:rFonts w:ascii="仿宋_GB2312" w:hAnsi="仿宋" w:eastAsia="仿宋_GB2312"/>
          <w:color w:val="000000"/>
          <w:sz w:val="32"/>
          <w:szCs w:val="32"/>
        </w:rPr>
        <w:t>在实践中不断健全完善公平竞争审查机制。</w:t>
      </w:r>
    </w:p>
    <w:p>
      <w:pPr>
        <w:spacing w:line="560" w:lineRule="exact"/>
        <w:ind w:firstLine="640" w:firstLineChars="200"/>
        <w:rPr>
          <w:rFonts w:hint="eastAsia" w:ascii="仿宋_GB2312" w:hAnsi="仿宋" w:eastAsia="仿宋_GB2312"/>
          <w:color w:val="000000"/>
          <w:sz w:val="32"/>
          <w:szCs w:val="32"/>
        </w:rPr>
      </w:pPr>
      <w:r>
        <w:rPr>
          <w:rFonts w:hint="eastAsia" w:ascii="仿宋_GB2312" w:hAnsi="仿宋" w:eastAsia="仿宋_GB2312"/>
          <w:color w:val="000000"/>
          <w:sz w:val="32"/>
          <w:szCs w:val="32"/>
        </w:rPr>
        <w:t>一是加强政策解读。针对社会各界及相关利益人对涉及我局规章、规范性文件及政策措施提出异议时，各科室、部门要积极应对，做好相关解答工作。</w:t>
      </w:r>
    </w:p>
    <w:p>
      <w:pPr>
        <w:spacing w:line="560" w:lineRule="exact"/>
        <w:ind w:firstLine="640" w:firstLineChars="200"/>
        <w:rPr>
          <w:rFonts w:ascii="仿宋_GB2312" w:hAnsi="仿宋" w:eastAsia="仿宋_GB2312"/>
          <w:sz w:val="32"/>
          <w:szCs w:val="32"/>
        </w:rPr>
      </w:pPr>
      <w:r>
        <w:rPr>
          <w:rFonts w:hint="eastAsia" w:ascii="仿宋_GB2312" w:hAnsi="仿宋" w:eastAsia="仿宋_GB2312"/>
          <w:color w:val="000000"/>
          <w:sz w:val="32"/>
          <w:szCs w:val="32"/>
        </w:rPr>
        <w:t>二是强化责任追究。对未进行公平竞争审查而出台的相关规范性文件及政策措施，经清理审查违反公平竞争或引发其他争议的将追究相关责任人责任。</w:t>
      </w:r>
    </w:p>
    <w:p>
      <w:pPr>
        <w:spacing w:line="560" w:lineRule="exact"/>
        <w:rPr>
          <w:rFonts w:ascii="Times New Roman" w:hAnsi="Times New Roman" w:eastAsia="方正小标宋简体"/>
          <w:sz w:val="44"/>
          <w:szCs w:val="44"/>
        </w:rPr>
      </w:pPr>
    </w:p>
    <w:p>
      <w:pPr>
        <w:spacing w:line="560" w:lineRule="exact"/>
        <w:rPr>
          <w:rFonts w:ascii="Times New Roman" w:hAnsi="Times New Roman" w:eastAsia="方正小标宋简体"/>
          <w:sz w:val="44"/>
          <w:szCs w:val="44"/>
        </w:rPr>
      </w:pPr>
    </w:p>
    <w:p>
      <w:pPr>
        <w:spacing w:line="560" w:lineRule="exact"/>
        <w:rPr>
          <w:rFonts w:ascii="仿宋_GB2312" w:eastAsia="仿宋_GB2312"/>
          <w:sz w:val="32"/>
          <w:szCs w:val="32"/>
        </w:rPr>
      </w:pPr>
      <w:r>
        <w:rPr>
          <w:rFonts w:hint="eastAsia" w:ascii="仿宋_GB2312" w:eastAsia="仿宋_GB2312"/>
          <w:sz w:val="32"/>
          <w:szCs w:val="32"/>
        </w:rPr>
        <w:t xml:space="preserve">                          昆明市晋宁区司法局</w:t>
      </w:r>
    </w:p>
    <w:p>
      <w:pPr>
        <w:spacing w:line="560" w:lineRule="exact"/>
        <w:ind w:right="640"/>
        <w:rPr>
          <w:rFonts w:ascii="仿宋_GB2312" w:eastAsia="仿宋_GB2312"/>
          <w:sz w:val="32"/>
          <w:szCs w:val="32"/>
        </w:rPr>
      </w:pPr>
      <w:r>
        <w:rPr>
          <w:rFonts w:hint="eastAsia" w:ascii="仿宋_GB2312" w:eastAsia="仿宋_GB2312"/>
          <w:sz w:val="32"/>
          <w:szCs w:val="32"/>
        </w:rPr>
        <w:t xml:space="preserve">                            </w:t>
      </w:r>
      <w:r>
        <w:rPr>
          <w:rFonts w:ascii="仿宋_GB2312" w:eastAsia="仿宋_GB2312"/>
          <w:sz w:val="32"/>
          <w:szCs w:val="32"/>
        </w:rPr>
        <w:t>20</w:t>
      </w:r>
      <w:r>
        <w:rPr>
          <w:rFonts w:hint="eastAsia" w:ascii="仿宋_GB2312" w:eastAsia="仿宋_GB2312"/>
          <w:sz w:val="32"/>
          <w:szCs w:val="32"/>
          <w:lang w:val="en-US" w:eastAsia="zh-CN"/>
        </w:rPr>
        <w:t>22</w:t>
      </w:r>
      <w:r>
        <w:rPr>
          <w:rFonts w:hint="eastAsia" w:ascii="仿宋_GB2312" w:eastAsia="仿宋_GB2312"/>
          <w:sz w:val="32"/>
          <w:szCs w:val="32"/>
        </w:rPr>
        <w:t>年</w:t>
      </w:r>
      <w:r>
        <w:rPr>
          <w:rFonts w:hint="eastAsia" w:ascii="仿宋_GB2312" w:eastAsia="仿宋_GB2312"/>
          <w:sz w:val="32"/>
          <w:szCs w:val="32"/>
          <w:lang w:val="en-US" w:eastAsia="zh-CN"/>
        </w:rPr>
        <w:t>9</w:t>
      </w:r>
      <w:r>
        <w:rPr>
          <w:rFonts w:hint="eastAsia" w:ascii="仿宋_GB2312" w:eastAsia="仿宋_GB2312"/>
          <w:sz w:val="32"/>
          <w:szCs w:val="32"/>
        </w:rPr>
        <w:t>月</w:t>
      </w:r>
      <w:r>
        <w:rPr>
          <w:rFonts w:hint="eastAsia" w:ascii="仿宋_GB2312" w:eastAsia="仿宋_GB2312"/>
          <w:sz w:val="32"/>
          <w:szCs w:val="32"/>
          <w:lang w:val="en-US" w:eastAsia="zh-CN"/>
        </w:rPr>
        <w:t>14</w:t>
      </w:r>
      <w:r>
        <w:rPr>
          <w:rFonts w:hint="eastAsia" w:ascii="仿宋_GB2312" w:eastAsia="仿宋_GB2312"/>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仿宋_GB2312"/>
    <w:panose1 w:val="02010601030101010101"/>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CD21B3"/>
    <w:multiLevelType w:val="multilevel"/>
    <w:tmpl w:val="62CD21B3"/>
    <w:lvl w:ilvl="0" w:tentative="0">
      <w:start w:val="1"/>
      <w:numFmt w:val="japaneseCounting"/>
      <w:lvlText w:val="%1、"/>
      <w:lvlJc w:val="left"/>
      <w:pPr>
        <w:ind w:left="1365" w:hanging="720"/>
      </w:pPr>
      <w:rPr>
        <w:rFonts w:hint="default" w:cs="Times New Roman"/>
      </w:rPr>
    </w:lvl>
    <w:lvl w:ilvl="1" w:tentative="0">
      <w:start w:val="1"/>
      <w:numFmt w:val="lowerLetter"/>
      <w:lvlText w:val="%2)"/>
      <w:lvlJc w:val="left"/>
      <w:pPr>
        <w:ind w:left="1485" w:hanging="420"/>
      </w:pPr>
      <w:rPr>
        <w:rFonts w:cs="Times New Roman"/>
      </w:rPr>
    </w:lvl>
    <w:lvl w:ilvl="2" w:tentative="0">
      <w:start w:val="1"/>
      <w:numFmt w:val="lowerRoman"/>
      <w:lvlText w:val="%3."/>
      <w:lvlJc w:val="right"/>
      <w:pPr>
        <w:ind w:left="1905" w:hanging="420"/>
      </w:pPr>
      <w:rPr>
        <w:rFonts w:cs="Times New Roman"/>
      </w:rPr>
    </w:lvl>
    <w:lvl w:ilvl="3" w:tentative="0">
      <w:start w:val="1"/>
      <w:numFmt w:val="decimal"/>
      <w:lvlText w:val="%4."/>
      <w:lvlJc w:val="left"/>
      <w:pPr>
        <w:ind w:left="2325" w:hanging="420"/>
      </w:pPr>
      <w:rPr>
        <w:rFonts w:cs="Times New Roman"/>
      </w:rPr>
    </w:lvl>
    <w:lvl w:ilvl="4" w:tentative="0">
      <w:start w:val="1"/>
      <w:numFmt w:val="lowerLetter"/>
      <w:lvlText w:val="%5)"/>
      <w:lvlJc w:val="left"/>
      <w:pPr>
        <w:ind w:left="2745" w:hanging="420"/>
      </w:pPr>
      <w:rPr>
        <w:rFonts w:cs="Times New Roman"/>
      </w:rPr>
    </w:lvl>
    <w:lvl w:ilvl="5" w:tentative="0">
      <w:start w:val="1"/>
      <w:numFmt w:val="lowerRoman"/>
      <w:lvlText w:val="%6."/>
      <w:lvlJc w:val="right"/>
      <w:pPr>
        <w:ind w:left="3165" w:hanging="420"/>
      </w:pPr>
      <w:rPr>
        <w:rFonts w:cs="Times New Roman"/>
      </w:rPr>
    </w:lvl>
    <w:lvl w:ilvl="6" w:tentative="0">
      <w:start w:val="1"/>
      <w:numFmt w:val="decimal"/>
      <w:lvlText w:val="%7."/>
      <w:lvlJc w:val="left"/>
      <w:pPr>
        <w:ind w:left="3585" w:hanging="420"/>
      </w:pPr>
      <w:rPr>
        <w:rFonts w:cs="Times New Roman"/>
      </w:rPr>
    </w:lvl>
    <w:lvl w:ilvl="7" w:tentative="0">
      <w:start w:val="1"/>
      <w:numFmt w:val="lowerLetter"/>
      <w:lvlText w:val="%8)"/>
      <w:lvlJc w:val="left"/>
      <w:pPr>
        <w:ind w:left="4005" w:hanging="420"/>
      </w:pPr>
      <w:rPr>
        <w:rFonts w:cs="Times New Roman"/>
      </w:rPr>
    </w:lvl>
    <w:lvl w:ilvl="8" w:tentative="0">
      <w:start w:val="1"/>
      <w:numFmt w:val="lowerRoman"/>
      <w:lvlText w:val="%9."/>
      <w:lvlJc w:val="right"/>
      <w:pPr>
        <w:ind w:left="4425"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3A93"/>
    <w:rsid w:val="002B1D2C"/>
    <w:rsid w:val="00346ACA"/>
    <w:rsid w:val="00503A93"/>
    <w:rsid w:val="00571FCD"/>
    <w:rsid w:val="0061121E"/>
    <w:rsid w:val="00665586"/>
    <w:rsid w:val="00984BBB"/>
    <w:rsid w:val="00A12AA8"/>
    <w:rsid w:val="00AB5453"/>
    <w:rsid w:val="00FA04C8"/>
    <w:rsid w:val="0A1E39C1"/>
    <w:rsid w:val="16CA3383"/>
    <w:rsid w:val="217649B6"/>
    <w:rsid w:val="29A3109B"/>
    <w:rsid w:val="2FE83BD8"/>
    <w:rsid w:val="3AA237CB"/>
    <w:rsid w:val="59C07A68"/>
    <w:rsid w:val="5F372BB3"/>
    <w:rsid w:val="782944C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9"/>
    <w:semiHidden/>
    <w:unhideWhenUsed/>
    <w:uiPriority w:val="99"/>
    <w:pPr>
      <w:tabs>
        <w:tab w:val="center" w:pos="4153"/>
        <w:tab w:val="right" w:pos="8306"/>
      </w:tabs>
      <w:snapToGrid w:val="0"/>
      <w:jc w:val="left"/>
    </w:pPr>
    <w:rPr>
      <w:sz w:val="18"/>
      <w:szCs w:val="18"/>
    </w:rPr>
  </w:style>
  <w:style w:type="paragraph" w:styleId="3">
    <w:name w:val="header"/>
    <w:basedOn w:val="1"/>
    <w:link w:val="8"/>
    <w:semiHidden/>
    <w:unhideWhenUs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cs="宋体"/>
      <w:kern w:val="0"/>
      <w:sz w:val="24"/>
      <w:szCs w:val="24"/>
    </w:rPr>
  </w:style>
  <w:style w:type="paragraph" w:styleId="7">
    <w:name w:val="List Paragraph"/>
    <w:basedOn w:val="1"/>
    <w:qFormat/>
    <w:uiPriority w:val="99"/>
    <w:pPr>
      <w:ind w:firstLine="420" w:firstLineChars="200"/>
    </w:pPr>
  </w:style>
  <w:style w:type="character" w:customStyle="1" w:styleId="8">
    <w:name w:val="页眉 Char"/>
    <w:basedOn w:val="6"/>
    <w:link w:val="3"/>
    <w:semiHidden/>
    <w:qFormat/>
    <w:uiPriority w:val="99"/>
    <w:rPr>
      <w:sz w:val="18"/>
      <w:szCs w:val="18"/>
    </w:rPr>
  </w:style>
  <w:style w:type="character" w:customStyle="1" w:styleId="9">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171</Words>
  <Characters>976</Characters>
  <Lines>8</Lines>
  <Paragraphs>2</Paragraphs>
  <TotalTime>23</TotalTime>
  <ScaleCrop>false</ScaleCrop>
  <LinksUpToDate>false</LinksUpToDate>
  <CharactersWithSpaces>1145</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2019-05-31T01:38:00Z</dcterms:created>
  <dc:creator>严菲</dc:creator>
  <cp:lastModifiedBy>lenovo</cp:lastModifiedBy>
  <cp:lastPrinted>2020-09-05T07:26:00Z</cp:lastPrinted>
  <dcterms:modified xsi:type="dcterms:W3CDTF">2022-09-05T07:23:43Z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