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B76" w:rsidRDefault="00EE59EB" w:rsidP="00EF0B76">
      <w:pPr>
        <w:adjustRightInd w:val="0"/>
        <w:snapToGrid w:val="0"/>
        <w:jc w:val="center"/>
        <w:rPr>
          <w:rFonts w:ascii="方正小标宋简体" w:eastAsia="方正小标宋简体" w:hint="eastAsia"/>
          <w:sz w:val="44"/>
          <w:szCs w:val="44"/>
        </w:rPr>
      </w:pPr>
      <w:r>
        <w:rPr>
          <w:rFonts w:ascii="方正小标宋简体" w:eastAsia="方正小标宋简体" w:hint="eastAsia"/>
          <w:sz w:val="44"/>
          <w:szCs w:val="44"/>
        </w:rPr>
        <w:t>免予行政处罚事项清单</w:t>
      </w:r>
    </w:p>
    <w:p w:rsidR="00EF0B76" w:rsidRPr="00EF0B76" w:rsidRDefault="00EF0B76" w:rsidP="00EF0B76">
      <w:pPr>
        <w:adjustRightInd w:val="0"/>
        <w:snapToGrid w:val="0"/>
        <w:rPr>
          <w:rFonts w:asciiTheme="minorEastAsia" w:hAnsiTheme="minorEastAsia"/>
          <w:b/>
          <w:sz w:val="32"/>
          <w:szCs w:val="32"/>
        </w:rPr>
      </w:pPr>
      <w:r w:rsidRPr="00EF0B76">
        <w:rPr>
          <w:rFonts w:asciiTheme="minorEastAsia" w:hAnsiTheme="minorEastAsia" w:hint="eastAsia"/>
          <w:b/>
          <w:sz w:val="32"/>
          <w:szCs w:val="32"/>
        </w:rPr>
        <w:t>单位：昆明市晋宁区卫生健康局</w:t>
      </w:r>
    </w:p>
    <w:tbl>
      <w:tblPr>
        <w:tblStyle w:val="a5"/>
        <w:tblW w:w="15027" w:type="dxa"/>
        <w:jc w:val="center"/>
        <w:tblLook w:val="04A0"/>
      </w:tblPr>
      <w:tblGrid>
        <w:gridCol w:w="914"/>
        <w:gridCol w:w="3907"/>
        <w:gridCol w:w="6353"/>
        <w:gridCol w:w="1425"/>
        <w:gridCol w:w="2428"/>
      </w:tblGrid>
      <w:tr w:rsidR="005E0753">
        <w:trPr>
          <w:trHeight w:val="499"/>
          <w:tblHeader/>
          <w:jc w:val="center"/>
        </w:trPr>
        <w:tc>
          <w:tcPr>
            <w:tcW w:w="914" w:type="dxa"/>
            <w:vAlign w:val="center"/>
          </w:tcPr>
          <w:p w:rsidR="005E0753" w:rsidRDefault="00EE59EB">
            <w:pPr>
              <w:jc w:val="center"/>
              <w:rPr>
                <w:rFonts w:ascii="Times New Roman" w:eastAsia="黑体" w:hAnsi="Times New Roman" w:cs="Times New Roman"/>
                <w:b/>
                <w:sz w:val="28"/>
                <w:szCs w:val="28"/>
              </w:rPr>
            </w:pPr>
            <w:r>
              <w:rPr>
                <w:rFonts w:ascii="Times New Roman" w:eastAsia="黑体" w:hAnsi="Times New Roman" w:cs="Times New Roman" w:hint="eastAsia"/>
                <w:b/>
                <w:sz w:val="28"/>
                <w:szCs w:val="28"/>
              </w:rPr>
              <w:t>序号</w:t>
            </w:r>
          </w:p>
        </w:tc>
        <w:tc>
          <w:tcPr>
            <w:tcW w:w="3907" w:type="dxa"/>
            <w:vAlign w:val="center"/>
          </w:tcPr>
          <w:p w:rsidR="005E0753" w:rsidRDefault="00EE59EB">
            <w:pPr>
              <w:jc w:val="left"/>
              <w:rPr>
                <w:rFonts w:ascii="黑体" w:eastAsia="黑体" w:hAnsi="黑体"/>
                <w:b/>
                <w:sz w:val="24"/>
                <w:szCs w:val="24"/>
              </w:rPr>
            </w:pPr>
            <w:r>
              <w:rPr>
                <w:rFonts w:ascii="黑体" w:eastAsia="黑体" w:hAnsi="黑体" w:hint="eastAsia"/>
                <w:b/>
                <w:sz w:val="24"/>
                <w:szCs w:val="24"/>
              </w:rPr>
              <w:t>违法行为</w:t>
            </w:r>
          </w:p>
        </w:tc>
        <w:tc>
          <w:tcPr>
            <w:tcW w:w="6353" w:type="dxa"/>
            <w:vAlign w:val="center"/>
          </w:tcPr>
          <w:p w:rsidR="005E0753" w:rsidRDefault="00EE59EB">
            <w:pPr>
              <w:jc w:val="center"/>
              <w:rPr>
                <w:rFonts w:ascii="黑体" w:eastAsia="黑体" w:hAnsi="黑体"/>
                <w:b/>
                <w:sz w:val="24"/>
                <w:szCs w:val="24"/>
              </w:rPr>
            </w:pPr>
            <w:r>
              <w:rPr>
                <w:rFonts w:ascii="黑体" w:eastAsia="黑体" w:hAnsi="黑体" w:hint="eastAsia"/>
                <w:b/>
                <w:sz w:val="24"/>
                <w:szCs w:val="24"/>
              </w:rPr>
              <w:t>法律依据</w:t>
            </w:r>
          </w:p>
        </w:tc>
        <w:tc>
          <w:tcPr>
            <w:tcW w:w="1425" w:type="dxa"/>
            <w:vAlign w:val="center"/>
          </w:tcPr>
          <w:p w:rsidR="005E0753" w:rsidRDefault="00EE59EB">
            <w:pPr>
              <w:jc w:val="center"/>
              <w:rPr>
                <w:rFonts w:ascii="黑体" w:eastAsia="黑体" w:hAnsi="黑体"/>
                <w:b/>
                <w:sz w:val="24"/>
                <w:szCs w:val="24"/>
              </w:rPr>
            </w:pPr>
            <w:r>
              <w:rPr>
                <w:rFonts w:ascii="黑体" w:eastAsia="黑体" w:hAnsi="黑体" w:hint="eastAsia"/>
                <w:b/>
                <w:sz w:val="24"/>
                <w:szCs w:val="24"/>
              </w:rPr>
              <w:t>适用情形</w:t>
            </w:r>
          </w:p>
        </w:tc>
        <w:tc>
          <w:tcPr>
            <w:tcW w:w="2428" w:type="dxa"/>
            <w:vAlign w:val="center"/>
          </w:tcPr>
          <w:p w:rsidR="005E0753" w:rsidRDefault="00EE59EB">
            <w:pPr>
              <w:jc w:val="center"/>
              <w:rPr>
                <w:rFonts w:ascii="黑体" w:eastAsia="黑体" w:hAnsi="黑体"/>
                <w:b/>
                <w:sz w:val="24"/>
                <w:szCs w:val="24"/>
              </w:rPr>
            </w:pPr>
            <w:r>
              <w:rPr>
                <w:rFonts w:ascii="黑体" w:eastAsia="黑体" w:hAnsi="黑体" w:hint="eastAsia"/>
                <w:b/>
                <w:sz w:val="24"/>
                <w:szCs w:val="24"/>
              </w:rPr>
              <w:t>实施主体</w:t>
            </w:r>
          </w:p>
        </w:tc>
      </w:tr>
      <w:tr w:rsidR="005E0753">
        <w:trPr>
          <w:jc w:val="center"/>
        </w:trPr>
        <w:tc>
          <w:tcPr>
            <w:tcW w:w="914" w:type="dxa"/>
            <w:vAlign w:val="center"/>
          </w:tcPr>
          <w:p w:rsidR="005E0753" w:rsidRDefault="00EE59EB">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p>
        </w:tc>
        <w:tc>
          <w:tcPr>
            <w:tcW w:w="3907" w:type="dxa"/>
            <w:vAlign w:val="center"/>
          </w:tcPr>
          <w:p w:rsidR="005E0753" w:rsidRDefault="00EE59EB">
            <w:pPr>
              <w:jc w:val="left"/>
              <w:rPr>
                <w:rFonts w:ascii="仿宋_GB2312" w:eastAsia="仿宋_GB2312"/>
                <w:szCs w:val="21"/>
              </w:rPr>
            </w:pPr>
            <w:r>
              <w:rPr>
                <w:rFonts w:ascii="仿宋_GB2312" w:eastAsia="仿宋_GB2312" w:hAnsi="宋体" w:cs="宋体" w:hint="eastAsia"/>
                <w:bCs/>
                <w:szCs w:val="21"/>
              </w:rPr>
              <w:t>逾期</w:t>
            </w:r>
            <w:proofErr w:type="gramStart"/>
            <w:r>
              <w:rPr>
                <w:rFonts w:ascii="仿宋_GB2312" w:eastAsia="仿宋_GB2312" w:hAnsi="宋体" w:cs="宋体" w:hint="eastAsia"/>
                <w:bCs/>
                <w:szCs w:val="21"/>
              </w:rPr>
              <w:t>不</w:t>
            </w:r>
            <w:proofErr w:type="gramEnd"/>
            <w:r>
              <w:rPr>
                <w:rFonts w:ascii="仿宋_GB2312" w:eastAsia="仿宋_GB2312" w:hAnsi="宋体" w:cs="宋体" w:hint="eastAsia"/>
                <w:bCs/>
                <w:szCs w:val="21"/>
              </w:rPr>
              <w:t>校验《医疗机构执业许可证》仍从事诊疗活动的</w:t>
            </w:r>
          </w:p>
        </w:tc>
        <w:tc>
          <w:tcPr>
            <w:tcW w:w="6353" w:type="dxa"/>
            <w:vAlign w:val="center"/>
          </w:tcPr>
          <w:p w:rsidR="005E0753" w:rsidRDefault="00EE59EB">
            <w:pPr>
              <w:jc w:val="left"/>
              <w:rPr>
                <w:rFonts w:ascii="仿宋_GB2312" w:eastAsia="仿宋_GB2312" w:hAnsi="宋体" w:cs="宋体"/>
                <w:bCs/>
                <w:szCs w:val="21"/>
              </w:rPr>
            </w:pPr>
            <w:r>
              <w:rPr>
                <w:rFonts w:ascii="仿宋_GB2312" w:eastAsia="仿宋_GB2312" w:hAnsi="宋体" w:cs="宋体" w:hint="eastAsia"/>
                <w:bCs/>
                <w:szCs w:val="21"/>
              </w:rPr>
              <w:t>《医疗机构管理条例》第四十五条　 违反本条例第二十二条规定，逾期</w:t>
            </w:r>
            <w:proofErr w:type="gramStart"/>
            <w:r>
              <w:rPr>
                <w:rFonts w:ascii="仿宋_GB2312" w:eastAsia="仿宋_GB2312" w:hAnsi="宋体" w:cs="宋体" w:hint="eastAsia"/>
                <w:bCs/>
                <w:szCs w:val="21"/>
              </w:rPr>
              <w:t>不</w:t>
            </w:r>
            <w:proofErr w:type="gramEnd"/>
            <w:r>
              <w:rPr>
                <w:rFonts w:ascii="仿宋_GB2312" w:eastAsia="仿宋_GB2312" w:hAnsi="宋体" w:cs="宋体" w:hint="eastAsia"/>
                <w:bCs/>
                <w:szCs w:val="21"/>
              </w:rPr>
              <w:t>校验《医疗机构执业许可证》仍从事诊疗活动的，由县级以上人民政府卫生行政部门责令其限期补办校验手续；拒不校验的，吊销其《医疗机构执业许可证》。</w:t>
            </w:r>
          </w:p>
          <w:p w:rsidR="005E0753" w:rsidRDefault="00EE59EB">
            <w:pPr>
              <w:jc w:val="left"/>
              <w:rPr>
                <w:rFonts w:ascii="仿宋_GB2312" w:eastAsia="仿宋_GB2312"/>
                <w:szCs w:val="21"/>
              </w:rPr>
            </w:pPr>
            <w:r>
              <w:rPr>
                <w:rFonts w:ascii="仿宋_GB2312" w:eastAsia="仿宋_GB2312" w:hAnsi="宋体" w:cs="宋体" w:hint="eastAsia"/>
                <w:bCs/>
                <w:szCs w:val="21"/>
              </w:rPr>
              <w:t>《医疗机构管理条例实施细则》第七十八条 对不按期办理校验《医疗机构执业许可证》又不停止诊疗活动的，责令其限期补办校验手续；在限期内仍不办理校验的，吊销其《医疗机构执业许可证》。</w:t>
            </w:r>
          </w:p>
        </w:tc>
        <w:tc>
          <w:tcPr>
            <w:tcW w:w="1425" w:type="dxa"/>
            <w:vAlign w:val="center"/>
          </w:tcPr>
          <w:p w:rsidR="005E0753" w:rsidRDefault="00EE59EB">
            <w:pPr>
              <w:jc w:val="center"/>
              <w:rPr>
                <w:rFonts w:ascii="仿宋_GB2312" w:eastAsia="仿宋_GB2312"/>
                <w:szCs w:val="21"/>
              </w:rPr>
            </w:pPr>
            <w:r>
              <w:rPr>
                <w:rFonts w:ascii="仿宋_GB2312" w:eastAsia="仿宋_GB2312" w:hint="eastAsia"/>
                <w:szCs w:val="21"/>
              </w:rPr>
              <w:t>初次违反</w:t>
            </w:r>
          </w:p>
        </w:tc>
        <w:tc>
          <w:tcPr>
            <w:tcW w:w="2428" w:type="dxa"/>
            <w:vAlign w:val="center"/>
          </w:tcPr>
          <w:p w:rsidR="005E0753" w:rsidRDefault="00EE59EB">
            <w:pPr>
              <w:jc w:val="center"/>
              <w:rPr>
                <w:rFonts w:ascii="仿宋_GB2312" w:eastAsia="仿宋_GB2312"/>
                <w:szCs w:val="21"/>
              </w:rPr>
            </w:pPr>
            <w:r>
              <w:rPr>
                <w:rFonts w:ascii="仿宋_GB2312" w:eastAsia="仿宋_GB2312" w:hAnsi="仿宋_GB2312" w:cs="仿宋_GB2312" w:hint="eastAsia"/>
                <w:bCs/>
                <w:kern w:val="0"/>
                <w:szCs w:val="21"/>
              </w:rPr>
              <w:t>县级以上人民政府卫生行政部门</w:t>
            </w:r>
          </w:p>
        </w:tc>
      </w:tr>
      <w:tr w:rsidR="005E0753">
        <w:trPr>
          <w:jc w:val="center"/>
        </w:trPr>
        <w:tc>
          <w:tcPr>
            <w:tcW w:w="914" w:type="dxa"/>
            <w:vAlign w:val="center"/>
          </w:tcPr>
          <w:p w:rsidR="005E0753" w:rsidRDefault="00EE59EB">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p>
        </w:tc>
        <w:tc>
          <w:tcPr>
            <w:tcW w:w="3907" w:type="dxa"/>
            <w:vAlign w:val="center"/>
          </w:tcPr>
          <w:p w:rsidR="005E0753" w:rsidRDefault="00EE59EB">
            <w:pPr>
              <w:jc w:val="left"/>
              <w:rPr>
                <w:rFonts w:ascii="仿宋_GB2312" w:eastAsia="仿宋_GB2312" w:hAnsi="宋体" w:cs="宋体"/>
                <w:bCs/>
                <w:szCs w:val="21"/>
              </w:rPr>
            </w:pPr>
            <w:r>
              <w:rPr>
                <w:rFonts w:ascii="仿宋_GB2312" w:eastAsia="仿宋_GB2312" w:hAnsi="宋体" w:cs="宋体" w:hint="eastAsia"/>
                <w:bCs/>
                <w:szCs w:val="21"/>
              </w:rPr>
              <w:t>医疗机构发布医疗广告，未向其所在地的州（市）卫生行政部门申请办理《医疗广告审查证明》，发布的内容超出《医疗广告审查证明》核准的范围的</w:t>
            </w:r>
          </w:p>
          <w:p w:rsidR="005E0753" w:rsidRDefault="005E0753">
            <w:pPr>
              <w:jc w:val="left"/>
              <w:rPr>
                <w:rFonts w:ascii="仿宋_GB2312" w:eastAsia="仿宋_GB2312" w:hAnsi="华文楷体" w:cs="仿宋_GB2312"/>
                <w:bCs/>
                <w:szCs w:val="21"/>
              </w:rPr>
            </w:pPr>
          </w:p>
        </w:tc>
        <w:tc>
          <w:tcPr>
            <w:tcW w:w="6353" w:type="dxa"/>
            <w:vAlign w:val="center"/>
          </w:tcPr>
          <w:p w:rsidR="005E0753" w:rsidRDefault="00EE59EB">
            <w:pPr>
              <w:jc w:val="left"/>
              <w:rPr>
                <w:rFonts w:ascii="仿宋_GB2312" w:eastAsia="仿宋_GB2312" w:hAnsi="宋体" w:cs="宋体"/>
                <w:bCs/>
                <w:szCs w:val="21"/>
              </w:rPr>
            </w:pPr>
            <w:r>
              <w:rPr>
                <w:rFonts w:ascii="仿宋_GB2312" w:eastAsia="仿宋_GB2312" w:hAnsi="宋体" w:cs="宋体" w:hint="eastAsia"/>
                <w:bCs/>
                <w:szCs w:val="21"/>
              </w:rPr>
              <w:t>《云南省医疗机构管理条例》第五十条 医疗机构违反本条例第二十七条第一款规定的，由县级以上卫生行政部门责令限期改正；逾期不改正的，责令停业整顿；情节严重的，吊销其相关诊疗科目，直至吊销《医疗机构执业许可证》。</w:t>
            </w:r>
          </w:p>
          <w:p w:rsidR="005E0753" w:rsidRDefault="00EE59EB">
            <w:pPr>
              <w:jc w:val="left"/>
              <w:rPr>
                <w:rFonts w:ascii="仿宋_GB2312" w:eastAsia="仿宋_GB2312" w:hAnsi="华文楷体" w:cs="仿宋_GB2312"/>
                <w:bCs/>
                <w:szCs w:val="21"/>
              </w:rPr>
            </w:pPr>
            <w:r>
              <w:rPr>
                <w:rFonts w:ascii="仿宋_GB2312" w:eastAsia="仿宋_GB2312" w:hAnsi="宋体" w:cs="宋体" w:hint="eastAsia"/>
                <w:bCs/>
                <w:szCs w:val="21"/>
              </w:rPr>
              <w:t>第二十七条 医疗机构发布医疗广告，应当向其所在地的州（市）卫生行政部门申请办理《医疗广告审查证明》，发布的内容不得超出《医疗广告审查证明》核准的范围。</w:t>
            </w:r>
          </w:p>
        </w:tc>
        <w:tc>
          <w:tcPr>
            <w:tcW w:w="1425" w:type="dxa"/>
            <w:vAlign w:val="center"/>
          </w:tcPr>
          <w:p w:rsidR="005E0753" w:rsidRDefault="00EE59EB">
            <w:pPr>
              <w:jc w:val="center"/>
              <w:rPr>
                <w:rFonts w:ascii="仿宋_GB2312" w:eastAsia="仿宋_GB2312"/>
                <w:szCs w:val="21"/>
              </w:rPr>
            </w:pPr>
            <w:r>
              <w:rPr>
                <w:rFonts w:ascii="仿宋_GB2312" w:eastAsia="仿宋_GB2312" w:hint="eastAsia"/>
                <w:szCs w:val="21"/>
              </w:rPr>
              <w:t>初次违反</w:t>
            </w:r>
          </w:p>
        </w:tc>
        <w:tc>
          <w:tcPr>
            <w:tcW w:w="2428" w:type="dxa"/>
            <w:vAlign w:val="center"/>
          </w:tcPr>
          <w:p w:rsidR="005E0753" w:rsidRDefault="00EE59EB">
            <w:pPr>
              <w:jc w:val="center"/>
              <w:rPr>
                <w:rFonts w:ascii="仿宋_GB2312" w:eastAsia="仿宋_GB2312" w:hAnsi="华文楷体" w:cs="仿宋_GB2312"/>
                <w:bCs/>
                <w:szCs w:val="21"/>
              </w:rPr>
            </w:pPr>
            <w:r>
              <w:rPr>
                <w:rFonts w:ascii="仿宋_GB2312" w:eastAsia="仿宋_GB2312" w:hAnsi="宋体" w:cs="宋体" w:hint="eastAsia"/>
                <w:bCs/>
                <w:szCs w:val="21"/>
              </w:rPr>
              <w:t>县级以上卫生行政部门</w:t>
            </w:r>
          </w:p>
        </w:tc>
      </w:tr>
      <w:tr w:rsidR="005E0753">
        <w:trPr>
          <w:jc w:val="center"/>
        </w:trPr>
        <w:tc>
          <w:tcPr>
            <w:tcW w:w="914" w:type="dxa"/>
            <w:vAlign w:val="center"/>
          </w:tcPr>
          <w:p w:rsidR="005E0753" w:rsidRDefault="00EE59EB">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p>
        </w:tc>
        <w:tc>
          <w:tcPr>
            <w:tcW w:w="3907" w:type="dxa"/>
            <w:vAlign w:val="center"/>
          </w:tcPr>
          <w:p w:rsidR="005E0753" w:rsidRDefault="00EE59EB">
            <w:pPr>
              <w:jc w:val="left"/>
              <w:rPr>
                <w:rFonts w:ascii="仿宋_GB2312" w:eastAsia="仿宋_GB2312"/>
                <w:szCs w:val="21"/>
              </w:rPr>
            </w:pPr>
            <w:r>
              <w:rPr>
                <w:rFonts w:ascii="仿宋_GB2312" w:eastAsia="仿宋_GB2312" w:hAnsi="华文楷体" w:cs="仿宋_GB2312" w:hint="eastAsia"/>
                <w:bCs/>
                <w:szCs w:val="21"/>
              </w:rPr>
              <w:t>（一）未建立抗菌药物管理组织机构或者未指定专（兼）职技术人员负责具体管理工作的；（二）未建立抗菌药物管理规章制度的；（三）抗菌药物临床应用管理混乱的；（四）未按照本办法规定执行抗菌药物分级管理、医师抗菌药物处方权限管</w:t>
            </w:r>
            <w:r>
              <w:rPr>
                <w:rFonts w:ascii="仿宋_GB2312" w:eastAsia="仿宋_GB2312" w:hAnsi="华文楷体" w:cs="仿宋_GB2312" w:hint="eastAsia"/>
                <w:bCs/>
                <w:szCs w:val="21"/>
              </w:rPr>
              <w:lastRenderedPageBreak/>
              <w:t>理、药师抗菌药物调剂资格管理或者未配备相关专业技术人员的；</w:t>
            </w:r>
          </w:p>
        </w:tc>
        <w:tc>
          <w:tcPr>
            <w:tcW w:w="6353" w:type="dxa"/>
            <w:vAlign w:val="center"/>
          </w:tcPr>
          <w:p w:rsidR="005E0753" w:rsidRDefault="00EE59EB">
            <w:pPr>
              <w:adjustRightInd w:val="0"/>
              <w:snapToGrid w:val="0"/>
              <w:jc w:val="left"/>
              <w:rPr>
                <w:rFonts w:ascii="仿宋_GB2312" w:eastAsia="仿宋_GB2312"/>
                <w:szCs w:val="21"/>
              </w:rPr>
            </w:pPr>
            <w:r>
              <w:rPr>
                <w:rFonts w:ascii="仿宋_GB2312" w:eastAsia="仿宋_GB2312" w:hAnsi="华文楷体" w:cs="仿宋_GB2312" w:hint="eastAsia"/>
                <w:bCs/>
                <w:szCs w:val="21"/>
              </w:rPr>
              <w:lastRenderedPageBreak/>
              <w:t>《抗菌药物临床应用管理办法》第四十九条 医疗机构有下列情形之一的，由县级以上卫生行政部门责令限期改正；逾期不改的，进行通报批评，并给予警告；造成严重后果的，对负有责任的主管人员和其他直接责任人员，给予处分：（一）未建立抗菌药物管理组织机构或者未指定专（兼）职技术人员负责具体管理工作的；（二）未建立抗菌药物管理规章制度的；（三）抗菌药物临床应用管理混乱的；（四）未按照本办法规定执行抗菌药物分级管理、医师抗菌药物处</w:t>
            </w:r>
            <w:r>
              <w:rPr>
                <w:rFonts w:ascii="仿宋_GB2312" w:eastAsia="仿宋_GB2312" w:hAnsi="华文楷体" w:cs="仿宋_GB2312" w:hint="eastAsia"/>
                <w:bCs/>
                <w:szCs w:val="21"/>
              </w:rPr>
              <w:lastRenderedPageBreak/>
              <w:t>方权限管理、药师抗菌药物调剂资格管理或者未配备相关专业技术人员的；</w:t>
            </w:r>
          </w:p>
        </w:tc>
        <w:tc>
          <w:tcPr>
            <w:tcW w:w="1425" w:type="dxa"/>
            <w:vAlign w:val="center"/>
          </w:tcPr>
          <w:p w:rsidR="005E0753" w:rsidRDefault="00EE59EB">
            <w:pPr>
              <w:jc w:val="center"/>
              <w:rPr>
                <w:rFonts w:ascii="仿宋_GB2312" w:eastAsia="仿宋_GB2312"/>
                <w:szCs w:val="21"/>
              </w:rPr>
            </w:pPr>
            <w:r>
              <w:rPr>
                <w:rFonts w:ascii="仿宋_GB2312" w:eastAsia="仿宋_GB2312" w:hint="eastAsia"/>
                <w:szCs w:val="21"/>
              </w:rPr>
              <w:lastRenderedPageBreak/>
              <w:t>初次违反</w:t>
            </w:r>
          </w:p>
        </w:tc>
        <w:tc>
          <w:tcPr>
            <w:tcW w:w="2428" w:type="dxa"/>
            <w:vAlign w:val="center"/>
          </w:tcPr>
          <w:p w:rsidR="005E0753" w:rsidRDefault="00EE59EB">
            <w:pPr>
              <w:jc w:val="center"/>
              <w:rPr>
                <w:szCs w:val="21"/>
              </w:rPr>
            </w:pPr>
            <w:r>
              <w:rPr>
                <w:rFonts w:ascii="仿宋_GB2312" w:eastAsia="仿宋_GB2312" w:hAnsi="华文楷体" w:cs="仿宋_GB2312" w:hint="eastAsia"/>
                <w:bCs/>
                <w:szCs w:val="21"/>
              </w:rPr>
              <w:t>县级以上卫生行政部门</w:t>
            </w:r>
          </w:p>
        </w:tc>
      </w:tr>
      <w:tr w:rsidR="005E0753">
        <w:trPr>
          <w:trHeight w:val="90"/>
          <w:jc w:val="center"/>
        </w:trPr>
        <w:tc>
          <w:tcPr>
            <w:tcW w:w="914" w:type="dxa"/>
            <w:vAlign w:val="center"/>
          </w:tcPr>
          <w:p w:rsidR="005E0753" w:rsidRDefault="00EE59EB">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4</w:t>
            </w:r>
          </w:p>
        </w:tc>
        <w:tc>
          <w:tcPr>
            <w:tcW w:w="3907" w:type="dxa"/>
            <w:vAlign w:val="center"/>
          </w:tcPr>
          <w:p w:rsidR="005E0753" w:rsidRDefault="005E0753">
            <w:pPr>
              <w:adjustRightInd w:val="0"/>
              <w:snapToGrid w:val="0"/>
              <w:spacing w:line="300" w:lineRule="exact"/>
              <w:jc w:val="left"/>
              <w:rPr>
                <w:rFonts w:ascii="仿宋_GB2312" w:eastAsia="仿宋_GB2312" w:hAnsi="华文楷体" w:cs="仿宋_GB2312"/>
                <w:bCs/>
                <w:szCs w:val="21"/>
              </w:rPr>
            </w:pPr>
          </w:p>
          <w:p w:rsidR="005E0753" w:rsidRDefault="00EE59EB">
            <w:pPr>
              <w:adjustRightInd w:val="0"/>
              <w:snapToGrid w:val="0"/>
              <w:spacing w:line="300" w:lineRule="exact"/>
              <w:jc w:val="left"/>
              <w:rPr>
                <w:rFonts w:ascii="仿宋_GB2312" w:eastAsia="仿宋_GB2312" w:hAnsi="华文楷体" w:cs="仿宋_GB2312"/>
                <w:bCs/>
                <w:szCs w:val="21"/>
              </w:rPr>
            </w:pPr>
            <w:r>
              <w:rPr>
                <w:rFonts w:ascii="仿宋_GB2312" w:eastAsia="仿宋_GB2312" w:hAnsi="华文楷体" w:cs="仿宋_GB2312" w:hint="eastAsia"/>
                <w:bCs/>
                <w:szCs w:val="21"/>
              </w:rPr>
              <w:t>（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六）未按照要求向国家和省级医疗技术临床应用信息化管理平台报送相关信息的；</w:t>
            </w:r>
            <w:r>
              <w:rPr>
                <w:rFonts w:ascii="华文楷体" w:eastAsia="仿宋_GB2312" w:hAnsi="华文楷体" w:cs="仿宋_GB2312" w:hint="eastAsia"/>
                <w:bCs/>
                <w:szCs w:val="21"/>
              </w:rPr>
              <w:t> </w:t>
            </w:r>
            <w:r>
              <w:rPr>
                <w:rFonts w:ascii="仿宋_GB2312" w:eastAsia="仿宋_GB2312" w:hAnsi="华文楷体" w:cs="仿宋_GB2312" w:hint="eastAsia"/>
                <w:bCs/>
                <w:szCs w:val="21"/>
              </w:rPr>
              <w:t>（七）未将相关信息纳入院务公开范围向社会公开的；（八）未按要求保障医务人员接受医疗技术临床应用规范化培训权益的。</w:t>
            </w:r>
          </w:p>
        </w:tc>
        <w:tc>
          <w:tcPr>
            <w:tcW w:w="6353" w:type="dxa"/>
            <w:vAlign w:val="center"/>
          </w:tcPr>
          <w:p w:rsidR="005E0753" w:rsidRDefault="00EE59EB">
            <w:pPr>
              <w:adjustRightInd w:val="0"/>
              <w:snapToGrid w:val="0"/>
              <w:jc w:val="left"/>
              <w:rPr>
                <w:rFonts w:ascii="仿宋_GB2312" w:eastAsia="仿宋_GB2312" w:hAnsi="华文楷体" w:cs="仿宋_GB2312"/>
                <w:bCs/>
                <w:szCs w:val="21"/>
              </w:rPr>
            </w:pPr>
            <w:r>
              <w:rPr>
                <w:rFonts w:ascii="仿宋_GB2312" w:eastAsia="仿宋_GB2312" w:hAnsi="华文楷体" w:cs="仿宋_GB2312" w:hint="eastAsia"/>
                <w:bCs/>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六）未按照要求向国家和省级医疗技术临床应用信息化管理平台报送相关信息的；</w:t>
            </w:r>
            <w:r>
              <w:rPr>
                <w:rFonts w:ascii="华文楷体" w:eastAsia="仿宋_GB2312" w:hAnsi="华文楷体" w:cs="仿宋_GB2312" w:hint="eastAsia"/>
                <w:bCs/>
                <w:szCs w:val="21"/>
              </w:rPr>
              <w:t> </w:t>
            </w:r>
            <w:r>
              <w:rPr>
                <w:rFonts w:ascii="仿宋_GB2312" w:eastAsia="仿宋_GB2312" w:hAnsi="华文楷体" w:cs="仿宋_GB2312" w:hint="eastAsia"/>
                <w:bCs/>
                <w:szCs w:val="21"/>
              </w:rPr>
              <w:t>（七）未将相关信息纳入院务公开范围向社会公开的；（八）未按要求保障医务人员接受医疗技术临床应用规范化培训权益的。</w:t>
            </w:r>
          </w:p>
        </w:tc>
        <w:tc>
          <w:tcPr>
            <w:tcW w:w="1425" w:type="dxa"/>
            <w:vAlign w:val="center"/>
          </w:tcPr>
          <w:p w:rsidR="005E0753" w:rsidRDefault="005E0753">
            <w:pPr>
              <w:jc w:val="center"/>
              <w:rPr>
                <w:rFonts w:ascii="仿宋_GB2312" w:eastAsia="仿宋_GB2312"/>
                <w:szCs w:val="21"/>
              </w:rPr>
            </w:pPr>
          </w:p>
          <w:p w:rsidR="005E0753" w:rsidRDefault="005E0753">
            <w:pPr>
              <w:jc w:val="center"/>
              <w:rPr>
                <w:rFonts w:ascii="仿宋_GB2312" w:eastAsia="仿宋_GB2312"/>
                <w:szCs w:val="21"/>
              </w:rPr>
            </w:pPr>
          </w:p>
          <w:p w:rsidR="005E0753" w:rsidRDefault="005E0753">
            <w:pPr>
              <w:jc w:val="center"/>
              <w:rPr>
                <w:rFonts w:ascii="仿宋_GB2312" w:eastAsia="仿宋_GB2312"/>
                <w:szCs w:val="21"/>
              </w:rPr>
            </w:pPr>
          </w:p>
          <w:p w:rsidR="005E0753" w:rsidRDefault="005E0753">
            <w:pPr>
              <w:jc w:val="center"/>
              <w:rPr>
                <w:rFonts w:ascii="仿宋_GB2312" w:eastAsia="仿宋_GB2312"/>
                <w:szCs w:val="21"/>
              </w:rPr>
            </w:pPr>
          </w:p>
          <w:p w:rsidR="005E0753" w:rsidRDefault="00EE59EB">
            <w:pPr>
              <w:jc w:val="center"/>
              <w:rPr>
                <w:rFonts w:ascii="仿宋_GB2312" w:eastAsia="仿宋_GB2312"/>
                <w:szCs w:val="21"/>
              </w:rPr>
            </w:pPr>
            <w:r>
              <w:rPr>
                <w:rFonts w:ascii="仿宋_GB2312" w:eastAsia="仿宋_GB2312" w:hint="eastAsia"/>
                <w:szCs w:val="21"/>
              </w:rPr>
              <w:t>初次违反</w:t>
            </w:r>
          </w:p>
        </w:tc>
        <w:tc>
          <w:tcPr>
            <w:tcW w:w="2428" w:type="dxa"/>
            <w:vAlign w:val="center"/>
          </w:tcPr>
          <w:p w:rsidR="005E0753" w:rsidRDefault="005E0753">
            <w:pPr>
              <w:jc w:val="center"/>
              <w:rPr>
                <w:rFonts w:ascii="仿宋_GB2312" w:eastAsia="仿宋_GB2312" w:hAnsi="华文楷体" w:cs="仿宋_GB2312"/>
                <w:bCs/>
                <w:szCs w:val="21"/>
              </w:rPr>
            </w:pPr>
          </w:p>
          <w:p w:rsidR="005E0753" w:rsidRDefault="005E0753">
            <w:pPr>
              <w:jc w:val="center"/>
              <w:rPr>
                <w:rFonts w:ascii="仿宋_GB2312" w:eastAsia="仿宋_GB2312" w:hAnsi="华文楷体" w:cs="仿宋_GB2312"/>
                <w:bCs/>
                <w:szCs w:val="21"/>
              </w:rPr>
            </w:pPr>
          </w:p>
          <w:p w:rsidR="005E0753" w:rsidRDefault="005E0753">
            <w:pPr>
              <w:jc w:val="center"/>
              <w:rPr>
                <w:rFonts w:ascii="仿宋_GB2312" w:eastAsia="仿宋_GB2312" w:hAnsi="华文楷体" w:cs="仿宋_GB2312"/>
                <w:bCs/>
                <w:szCs w:val="21"/>
              </w:rPr>
            </w:pPr>
          </w:p>
          <w:p w:rsidR="005E0753" w:rsidRDefault="005E0753">
            <w:pPr>
              <w:jc w:val="center"/>
              <w:rPr>
                <w:rFonts w:ascii="仿宋_GB2312" w:eastAsia="仿宋_GB2312" w:hAnsi="华文楷体" w:cs="仿宋_GB2312"/>
                <w:bCs/>
                <w:szCs w:val="21"/>
              </w:rPr>
            </w:pPr>
          </w:p>
          <w:p w:rsidR="005E0753" w:rsidRDefault="00EE59EB">
            <w:pPr>
              <w:jc w:val="center"/>
              <w:rPr>
                <w:rFonts w:ascii="仿宋_GB2312" w:eastAsia="仿宋_GB2312" w:hAnsi="华文楷体" w:cs="仿宋_GB2312"/>
                <w:bCs/>
                <w:szCs w:val="21"/>
              </w:rPr>
            </w:pPr>
            <w:r>
              <w:rPr>
                <w:rFonts w:ascii="仿宋_GB2312" w:eastAsia="仿宋_GB2312" w:hAnsi="华文楷体" w:cs="仿宋_GB2312" w:hint="eastAsia"/>
                <w:bCs/>
                <w:szCs w:val="21"/>
              </w:rPr>
              <w:t>县级以上地方卫生行政部门</w:t>
            </w:r>
          </w:p>
        </w:tc>
      </w:tr>
      <w:tr w:rsidR="005E0753">
        <w:trPr>
          <w:jc w:val="center"/>
        </w:trPr>
        <w:tc>
          <w:tcPr>
            <w:tcW w:w="914" w:type="dxa"/>
            <w:vAlign w:val="center"/>
          </w:tcPr>
          <w:p w:rsidR="005E0753" w:rsidRDefault="00EE59EB">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p>
        </w:tc>
        <w:tc>
          <w:tcPr>
            <w:tcW w:w="3907" w:type="dxa"/>
            <w:vAlign w:val="center"/>
          </w:tcPr>
          <w:p w:rsidR="005E0753" w:rsidRDefault="00EE59EB">
            <w:pPr>
              <w:numPr>
                <w:ilvl w:val="0"/>
                <w:numId w:val="1"/>
              </w:numPr>
              <w:adjustRightInd w:val="0"/>
              <w:snapToGrid w:val="0"/>
              <w:spacing w:line="300" w:lineRule="exact"/>
              <w:jc w:val="left"/>
              <w:rPr>
                <w:rFonts w:ascii="仿宋_GB2312" w:eastAsia="仿宋_GB2312" w:hAnsi="华文楷体" w:cs="仿宋_GB2312"/>
                <w:bCs/>
                <w:kern w:val="0"/>
                <w:szCs w:val="21"/>
              </w:rPr>
            </w:pPr>
            <w:r>
              <w:rPr>
                <w:rFonts w:ascii="仿宋_GB2312" w:eastAsia="仿宋_GB2312" w:hAnsi="华文楷体" w:cs="仿宋_GB2312" w:hint="eastAsia"/>
                <w:bCs/>
                <w:kern w:val="0"/>
                <w:szCs w:val="21"/>
              </w:rPr>
              <w:t>未建立医疗质量管理部门或者未指定专（兼）职人员负责医疗质量管理工作的；（二）未建立医疗质量管理相关规章制度的；（三）医疗质量管理制度不落实或者落实不到位，导致医疗质量管理混乱的；（四）发生重大医疗质量安全事件隐匿不报的；（五）未按照规定报送医疗质量安全相关信息的；</w:t>
            </w:r>
          </w:p>
          <w:p w:rsidR="005E0753" w:rsidRDefault="005E0753">
            <w:pPr>
              <w:adjustRightInd w:val="0"/>
              <w:snapToGrid w:val="0"/>
              <w:spacing w:line="300" w:lineRule="exact"/>
              <w:jc w:val="left"/>
              <w:rPr>
                <w:rFonts w:ascii="仿宋_GB2312" w:eastAsia="仿宋_GB2312" w:hAnsi="华文楷体" w:cs="仿宋_GB2312"/>
                <w:bCs/>
                <w:kern w:val="0"/>
                <w:szCs w:val="21"/>
              </w:rPr>
            </w:pPr>
          </w:p>
        </w:tc>
        <w:tc>
          <w:tcPr>
            <w:tcW w:w="6353" w:type="dxa"/>
            <w:vAlign w:val="center"/>
          </w:tcPr>
          <w:p w:rsidR="005E0753" w:rsidRDefault="00EE59EB">
            <w:pPr>
              <w:adjustRightInd w:val="0"/>
              <w:snapToGrid w:val="0"/>
              <w:jc w:val="left"/>
              <w:rPr>
                <w:rFonts w:ascii="仿宋_GB2312" w:eastAsia="仿宋_GB2312" w:hAnsi="华文楷体" w:cs="仿宋_GB2312"/>
                <w:bCs/>
                <w:kern w:val="0"/>
                <w:szCs w:val="21"/>
              </w:rPr>
            </w:pPr>
            <w:r>
              <w:rPr>
                <w:rFonts w:ascii="仿宋_GB2312" w:eastAsia="仿宋_GB2312" w:hAnsi="华文楷体" w:cs="仿宋_GB2312" w:hint="eastAsia"/>
                <w:bCs/>
                <w:kern w:val="0"/>
                <w:szCs w:val="21"/>
              </w:rPr>
              <w:lastRenderedPageBreak/>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一）未建立医疗质量管理部门或者未指定专（兼）职人员负责医疗质量管理工作的；（二）未建立医疗质量管理相关规章制度的；（三）医疗质量管理制度不落实或者落实不到位，导致医疗质量管理混乱的；（四）发生重大医疗质量安全事件隐匿不报的；（五）未按照规定报送医疗质量安全相关信息的；</w:t>
            </w:r>
          </w:p>
        </w:tc>
        <w:tc>
          <w:tcPr>
            <w:tcW w:w="1425" w:type="dxa"/>
            <w:vAlign w:val="center"/>
          </w:tcPr>
          <w:p w:rsidR="005E0753" w:rsidRDefault="00EE59EB">
            <w:pPr>
              <w:jc w:val="center"/>
              <w:rPr>
                <w:rFonts w:ascii="仿宋_GB2312" w:eastAsia="仿宋_GB2312"/>
                <w:szCs w:val="21"/>
              </w:rPr>
            </w:pPr>
            <w:r>
              <w:rPr>
                <w:rFonts w:ascii="仿宋_GB2312" w:eastAsia="仿宋_GB2312" w:hint="eastAsia"/>
                <w:szCs w:val="21"/>
              </w:rPr>
              <w:t>初次违反</w:t>
            </w:r>
          </w:p>
        </w:tc>
        <w:tc>
          <w:tcPr>
            <w:tcW w:w="2428" w:type="dxa"/>
            <w:vAlign w:val="center"/>
          </w:tcPr>
          <w:p w:rsidR="005E0753" w:rsidRDefault="00EE59EB">
            <w:pPr>
              <w:jc w:val="center"/>
              <w:rPr>
                <w:rFonts w:ascii="仿宋_GB2312" w:eastAsia="仿宋_GB2312"/>
                <w:szCs w:val="21"/>
              </w:rPr>
            </w:pPr>
            <w:r>
              <w:rPr>
                <w:rFonts w:ascii="仿宋_GB2312" w:eastAsia="仿宋_GB2312" w:hAnsi="仿宋_GB2312" w:cs="仿宋_GB2312" w:hint="eastAsia"/>
                <w:bCs/>
                <w:kern w:val="0"/>
                <w:szCs w:val="21"/>
              </w:rPr>
              <w:t>县级以上人民政府卫生行政部门</w:t>
            </w:r>
          </w:p>
        </w:tc>
      </w:tr>
      <w:tr w:rsidR="005E0753">
        <w:trPr>
          <w:jc w:val="center"/>
        </w:trPr>
        <w:tc>
          <w:tcPr>
            <w:tcW w:w="914" w:type="dxa"/>
            <w:vAlign w:val="center"/>
          </w:tcPr>
          <w:p w:rsidR="005E0753" w:rsidRDefault="00EE59EB">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6</w:t>
            </w:r>
          </w:p>
        </w:tc>
        <w:tc>
          <w:tcPr>
            <w:tcW w:w="3907" w:type="dxa"/>
            <w:vAlign w:val="center"/>
          </w:tcPr>
          <w:p w:rsidR="005E0753" w:rsidRDefault="00EE59EB">
            <w:pPr>
              <w:adjustRightInd w:val="0"/>
              <w:snapToGrid w:val="0"/>
              <w:jc w:val="left"/>
              <w:rPr>
                <w:rFonts w:ascii="仿宋_GB2312" w:eastAsia="仿宋_GB2312" w:hAnsi="宋体" w:cs="仿宋_GB2312"/>
                <w:bCs/>
                <w:szCs w:val="21"/>
              </w:rPr>
            </w:pPr>
            <w:r>
              <w:rPr>
                <w:rFonts w:ascii="仿宋_GB2312" w:eastAsia="仿宋_GB2312" w:hAnsi="宋体" w:cs="仿宋_GB2312" w:hint="eastAsia"/>
                <w:bCs/>
                <w:szCs w:val="21"/>
              </w:rPr>
              <w:t>经批准实施人工终止妊娠手术的机构未建立真实完整的终止妊娠药品购进记录的，或者未按照规定为终止妊娠药品使用者建立完整用药档案的，</w:t>
            </w:r>
          </w:p>
        </w:tc>
        <w:tc>
          <w:tcPr>
            <w:tcW w:w="6353" w:type="dxa"/>
            <w:vAlign w:val="center"/>
          </w:tcPr>
          <w:p w:rsidR="005E0753" w:rsidRDefault="00EE59EB">
            <w:pPr>
              <w:adjustRightInd w:val="0"/>
              <w:snapToGrid w:val="0"/>
              <w:jc w:val="left"/>
              <w:rPr>
                <w:rFonts w:ascii="仿宋_GB2312" w:eastAsia="仿宋_GB2312" w:hAnsi="宋体" w:cs="仿宋_GB2312"/>
                <w:bCs/>
                <w:szCs w:val="21"/>
              </w:rPr>
            </w:pPr>
            <w:r>
              <w:rPr>
                <w:rFonts w:ascii="仿宋_GB2312" w:eastAsia="仿宋_GB2312" w:hAnsi="宋体" w:cs="仿宋_GB2312" w:hint="eastAsia"/>
                <w:bCs/>
                <w:szCs w:val="21"/>
              </w:rPr>
              <w:t>《禁止非医学需要的胎儿性别鉴定选择性别人工终止妊娠的规定》第二十条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一万元以上三万元以下罚款；对医疗卫生机构的主要负责人、直接负责的主管人员和直接责任人员，依法进行处理。</w:t>
            </w:r>
          </w:p>
        </w:tc>
        <w:tc>
          <w:tcPr>
            <w:tcW w:w="1425" w:type="dxa"/>
            <w:vAlign w:val="center"/>
          </w:tcPr>
          <w:p w:rsidR="005E0753" w:rsidRDefault="00EE59EB">
            <w:pPr>
              <w:jc w:val="center"/>
              <w:rPr>
                <w:szCs w:val="21"/>
              </w:rPr>
            </w:pPr>
            <w:r>
              <w:rPr>
                <w:rFonts w:ascii="仿宋_GB2312" w:eastAsia="仿宋_GB2312" w:hint="eastAsia"/>
                <w:szCs w:val="21"/>
              </w:rPr>
              <w:t>初次违反</w:t>
            </w:r>
          </w:p>
        </w:tc>
        <w:tc>
          <w:tcPr>
            <w:tcW w:w="2428" w:type="dxa"/>
            <w:vAlign w:val="center"/>
          </w:tcPr>
          <w:p w:rsidR="005E0753" w:rsidRDefault="00EE59EB">
            <w:pPr>
              <w:rPr>
                <w:szCs w:val="21"/>
              </w:rPr>
            </w:pPr>
            <w:r>
              <w:rPr>
                <w:rFonts w:ascii="仿宋_GB2312" w:eastAsia="仿宋_GB2312" w:hAnsi="华文楷体" w:cs="仿宋_GB2312" w:hint="eastAsia"/>
                <w:bCs/>
                <w:kern w:val="0"/>
                <w:szCs w:val="21"/>
              </w:rPr>
              <w:t>县级以上卫生计生行政部门</w:t>
            </w:r>
          </w:p>
        </w:tc>
      </w:tr>
      <w:tr w:rsidR="005E0753">
        <w:trPr>
          <w:jc w:val="center"/>
        </w:trPr>
        <w:tc>
          <w:tcPr>
            <w:tcW w:w="914" w:type="dxa"/>
            <w:vAlign w:val="center"/>
          </w:tcPr>
          <w:p w:rsidR="005E0753" w:rsidRDefault="00EE59EB">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p>
        </w:tc>
        <w:tc>
          <w:tcPr>
            <w:tcW w:w="3907" w:type="dxa"/>
            <w:vAlign w:val="center"/>
          </w:tcPr>
          <w:p w:rsidR="005E0753" w:rsidRDefault="00EE59EB">
            <w:pPr>
              <w:jc w:val="left"/>
              <w:rPr>
                <w:rFonts w:ascii="仿宋_GB2312" w:eastAsia="仿宋_GB2312"/>
                <w:szCs w:val="21"/>
              </w:rPr>
            </w:pPr>
            <w:r>
              <w:rPr>
                <w:rFonts w:ascii="仿宋_GB2312" w:eastAsia="仿宋_GB2312" w:hAnsi="华文楷体" w:cs="仿宋_GB2312" w:hint="eastAsia"/>
                <w:bCs/>
                <w:szCs w:val="21"/>
              </w:rPr>
              <w:t>（一）未建立医疗技术临床应用管理专门组织或者未指定专（兼）职人员负责具体管理工作的；（二）未建立医疗技术临床应用管理相关规章制度的；</w:t>
            </w:r>
            <w:r>
              <w:rPr>
                <w:rFonts w:ascii="华文楷体" w:eastAsia="仿宋_GB2312" w:hAnsi="华文楷体" w:cs="仿宋_GB2312" w:hint="eastAsia"/>
                <w:bCs/>
                <w:szCs w:val="21"/>
              </w:rPr>
              <w:t> </w:t>
            </w:r>
            <w:r>
              <w:rPr>
                <w:rFonts w:ascii="仿宋_GB2312" w:eastAsia="仿宋_GB2312" w:hAnsi="华文楷体" w:cs="仿宋_GB2312" w:hint="eastAsia"/>
                <w:bCs/>
                <w:szCs w:val="21"/>
              </w:rPr>
              <w:t>（三）医疗技术临床应用管理混乱，存在医疗质量和医疗安全隐患的；</w:t>
            </w:r>
            <w:r>
              <w:rPr>
                <w:rFonts w:ascii="华文楷体" w:eastAsia="仿宋_GB2312" w:hAnsi="华文楷体" w:cs="仿宋_GB2312" w:hint="eastAsia"/>
                <w:bCs/>
                <w:szCs w:val="21"/>
              </w:rPr>
              <w:t> </w:t>
            </w:r>
            <w:r>
              <w:rPr>
                <w:rFonts w:ascii="仿宋_GB2312" w:eastAsia="仿宋_GB2312" w:hAnsi="华文楷体" w:cs="仿宋_GB2312" w:hint="eastAsia"/>
                <w:bCs/>
                <w:szCs w:val="21"/>
              </w:rPr>
              <w:t>（四）</w:t>
            </w:r>
            <w:bookmarkStart w:id="0" w:name="_GoBack"/>
            <w:bookmarkEnd w:id="0"/>
            <w:r>
              <w:rPr>
                <w:rFonts w:ascii="仿宋_GB2312" w:eastAsia="仿宋_GB2312" w:hAnsi="华文楷体" w:cs="仿宋_GB2312" w:hint="eastAsia"/>
                <w:bCs/>
                <w:szCs w:val="21"/>
              </w:rPr>
              <w:t>未按照要求向卫生行政部门进行医疗技术临床应用备案的；（五）未按照要求报告或者报告不实信息的；（六）未按照要求向国家和省级医疗技术临床应用信息化管理平台报送相关信息的；（七）未将相关信息纳入院务公开范围向社会公开的；（八）未按要求保障医务人员接受医疗技术临床应用规范化培训权益的。</w:t>
            </w:r>
            <w:r>
              <w:rPr>
                <w:rFonts w:ascii="华文楷体" w:eastAsia="仿宋_GB2312" w:hAnsi="华文楷体" w:cs="仿宋_GB2312" w:hint="eastAsia"/>
                <w:bCs/>
                <w:szCs w:val="21"/>
              </w:rPr>
              <w:t> </w:t>
            </w:r>
          </w:p>
        </w:tc>
        <w:tc>
          <w:tcPr>
            <w:tcW w:w="6353" w:type="dxa"/>
            <w:vAlign w:val="center"/>
          </w:tcPr>
          <w:p w:rsidR="005E0753" w:rsidRDefault="00EE59EB">
            <w:pPr>
              <w:jc w:val="left"/>
              <w:rPr>
                <w:rFonts w:ascii="仿宋_GB2312" w:eastAsia="仿宋_GB2312"/>
                <w:szCs w:val="21"/>
              </w:rPr>
            </w:pPr>
            <w:r>
              <w:rPr>
                <w:rFonts w:ascii="仿宋_GB2312" w:eastAsia="仿宋_GB2312" w:hAnsi="华文楷体" w:cs="仿宋_GB2312" w:hint="eastAsia"/>
                <w:bCs/>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w:t>
            </w:r>
            <w:r>
              <w:rPr>
                <w:rFonts w:ascii="华文楷体" w:eastAsia="仿宋_GB2312" w:hAnsi="华文楷体" w:cs="仿宋_GB2312" w:hint="eastAsia"/>
                <w:bCs/>
                <w:szCs w:val="21"/>
              </w:rPr>
              <w:t> </w:t>
            </w:r>
            <w:r>
              <w:rPr>
                <w:rFonts w:ascii="仿宋_GB2312" w:eastAsia="仿宋_GB2312" w:hAnsi="华文楷体" w:cs="仿宋_GB2312" w:hint="eastAsia"/>
                <w:bCs/>
                <w:szCs w:val="21"/>
              </w:rPr>
              <w:t>（三）医疗技术临床应用管理混乱，存在医疗质量和医疗安全隐患的；</w:t>
            </w:r>
            <w:r>
              <w:rPr>
                <w:rFonts w:ascii="华文楷体" w:eastAsia="仿宋_GB2312" w:hAnsi="华文楷体" w:cs="仿宋_GB2312" w:hint="eastAsia"/>
                <w:bCs/>
                <w:szCs w:val="21"/>
              </w:rPr>
              <w:t> </w:t>
            </w:r>
            <w:r>
              <w:rPr>
                <w:rFonts w:ascii="仿宋_GB2312" w:eastAsia="仿宋_GB2312" w:hAnsi="华文楷体" w:cs="仿宋_GB2312" w:hint="eastAsia"/>
                <w:bCs/>
                <w:szCs w:val="21"/>
              </w:rPr>
              <w:t>（四）未按照要求向卫生行政部门进行医疗技术临床应用备案的；（五）未按照要求报告或者报告不实信息的；（六）未按照要求向国家和省级医疗技术临床应用信息化管理平台报送相关信息的；（七）未将相关信息纳入院务公开范围向社会公开的；（八）未按要求保障医务人员接受医疗技术临床应用规范化培训权益的。</w:t>
            </w:r>
            <w:r>
              <w:rPr>
                <w:rFonts w:ascii="华文楷体" w:eastAsia="仿宋_GB2312" w:hAnsi="华文楷体" w:cs="仿宋_GB2312" w:hint="eastAsia"/>
                <w:bCs/>
                <w:szCs w:val="21"/>
              </w:rPr>
              <w:t> </w:t>
            </w:r>
          </w:p>
        </w:tc>
        <w:tc>
          <w:tcPr>
            <w:tcW w:w="1425" w:type="dxa"/>
            <w:vAlign w:val="center"/>
          </w:tcPr>
          <w:p w:rsidR="005E0753" w:rsidRDefault="00EE59EB">
            <w:pPr>
              <w:jc w:val="center"/>
              <w:rPr>
                <w:rFonts w:ascii="仿宋_GB2312" w:eastAsia="仿宋_GB2312"/>
                <w:szCs w:val="21"/>
              </w:rPr>
            </w:pPr>
            <w:r>
              <w:rPr>
                <w:rFonts w:ascii="仿宋_GB2312" w:eastAsia="仿宋_GB2312" w:hint="eastAsia"/>
                <w:szCs w:val="21"/>
              </w:rPr>
              <w:t>初次违反</w:t>
            </w:r>
          </w:p>
          <w:p w:rsidR="005E0753" w:rsidRDefault="005E0753">
            <w:pPr>
              <w:jc w:val="center"/>
              <w:rPr>
                <w:rFonts w:ascii="仿宋_GB2312" w:eastAsia="仿宋_GB2312"/>
                <w:szCs w:val="21"/>
              </w:rPr>
            </w:pPr>
          </w:p>
          <w:p w:rsidR="005E0753" w:rsidRDefault="005E0753">
            <w:pPr>
              <w:jc w:val="center"/>
              <w:rPr>
                <w:szCs w:val="21"/>
              </w:rPr>
            </w:pPr>
          </w:p>
        </w:tc>
        <w:tc>
          <w:tcPr>
            <w:tcW w:w="2428" w:type="dxa"/>
            <w:vAlign w:val="center"/>
          </w:tcPr>
          <w:p w:rsidR="005E0753" w:rsidRDefault="00EE59EB">
            <w:pPr>
              <w:jc w:val="center"/>
              <w:rPr>
                <w:szCs w:val="21"/>
              </w:rPr>
            </w:pPr>
            <w:r>
              <w:rPr>
                <w:rFonts w:ascii="仿宋_GB2312" w:eastAsia="仿宋_GB2312" w:hAnsi="华文楷体" w:cs="仿宋_GB2312" w:hint="eastAsia"/>
                <w:bCs/>
                <w:szCs w:val="21"/>
              </w:rPr>
              <w:t>县级以上地方卫生行政部门</w:t>
            </w:r>
          </w:p>
        </w:tc>
      </w:tr>
      <w:tr w:rsidR="005E0753">
        <w:trPr>
          <w:jc w:val="center"/>
        </w:trPr>
        <w:tc>
          <w:tcPr>
            <w:tcW w:w="914" w:type="dxa"/>
            <w:vAlign w:val="center"/>
          </w:tcPr>
          <w:p w:rsidR="005E0753" w:rsidRDefault="00EE59EB">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8</w:t>
            </w:r>
          </w:p>
        </w:tc>
        <w:tc>
          <w:tcPr>
            <w:tcW w:w="3907" w:type="dxa"/>
            <w:vAlign w:val="center"/>
          </w:tcPr>
          <w:p w:rsidR="005E0753" w:rsidRDefault="00EE59EB">
            <w:pPr>
              <w:jc w:val="left"/>
              <w:rPr>
                <w:rFonts w:ascii="仿宋_GB2312" w:eastAsia="仿宋_GB2312"/>
                <w:szCs w:val="21"/>
              </w:rPr>
            </w:pPr>
            <w:r>
              <w:rPr>
                <w:rFonts w:ascii="仿宋_GB2312" w:eastAsia="仿宋_GB2312" w:hAnsi="华文楷体" w:cs="仿宋_GB2312" w:hint="eastAsia"/>
                <w:bCs/>
                <w:kern w:val="0"/>
                <w:szCs w:val="21"/>
              </w:rPr>
              <w:t>（一）未建立医疗质量管理部门或者未指定专（兼）职人员负责医疗质量管理工作的；（二）未建立医疗质量管理相关规章</w:t>
            </w:r>
            <w:r>
              <w:rPr>
                <w:rFonts w:ascii="仿宋_GB2312" w:eastAsia="仿宋_GB2312" w:hAnsi="华文楷体" w:cs="仿宋_GB2312" w:hint="eastAsia"/>
                <w:bCs/>
                <w:kern w:val="0"/>
                <w:szCs w:val="21"/>
              </w:rPr>
              <w:lastRenderedPageBreak/>
              <w:t>制度的；（三）医疗质量管理制度不落实或者落实不到位，导致医疗质量管理混乱的；（四）发生重大医疗质量安全事件隐匿不报的；（五）未按照规定报送医疗质量安全相关信息的；（六）其他违反本办法规定的行为。</w:t>
            </w:r>
          </w:p>
        </w:tc>
        <w:tc>
          <w:tcPr>
            <w:tcW w:w="6353" w:type="dxa"/>
            <w:vAlign w:val="center"/>
          </w:tcPr>
          <w:p w:rsidR="005E0753" w:rsidRDefault="00EE59EB">
            <w:pPr>
              <w:adjustRightInd w:val="0"/>
              <w:snapToGrid w:val="0"/>
              <w:jc w:val="left"/>
              <w:rPr>
                <w:rFonts w:ascii="仿宋_GB2312" w:eastAsia="仿宋_GB2312"/>
                <w:szCs w:val="21"/>
              </w:rPr>
            </w:pPr>
            <w:r>
              <w:rPr>
                <w:rFonts w:ascii="仿宋_GB2312" w:eastAsia="仿宋_GB2312" w:hAnsi="华文楷体" w:cs="仿宋_GB2312" w:hint="eastAsia"/>
                <w:bCs/>
                <w:kern w:val="0"/>
                <w:szCs w:val="21"/>
              </w:rPr>
              <w:lastRenderedPageBreak/>
              <w:t>《医疗质量管理办法》第四十四条  医疗机构有下列情形之一的，由县级以上卫生计生行政部门责令限期改正；逾期不改的，给予警告，并处三万元以下罚款；对公立医疗机构负有责任的主管人员和</w:t>
            </w:r>
            <w:r>
              <w:rPr>
                <w:rFonts w:ascii="仿宋_GB2312" w:eastAsia="仿宋_GB2312" w:hAnsi="华文楷体" w:cs="仿宋_GB2312" w:hint="eastAsia"/>
                <w:bCs/>
                <w:kern w:val="0"/>
                <w:szCs w:val="21"/>
              </w:rPr>
              <w:lastRenderedPageBreak/>
              <w:t>其他直接责任人员，依法给予处分：（一）未建立医疗质量管理部门或者未指定专（兼）职人员负责医疗质量管理工作的；（二）未建立医疗质量管理相关规章制度的；（三）医疗质量管理制度不落实或者落实不到位，导致医疗质量管理混乱的；（四）发生重大医疗质量安全事件隐匿不报的；（五）未按照规定报送医疗质量安全相关信息的；（六）其他违反本办法规定的行为。</w:t>
            </w:r>
          </w:p>
        </w:tc>
        <w:tc>
          <w:tcPr>
            <w:tcW w:w="1425" w:type="dxa"/>
            <w:vAlign w:val="center"/>
          </w:tcPr>
          <w:p w:rsidR="005E0753" w:rsidRDefault="00EE59EB">
            <w:pPr>
              <w:jc w:val="center"/>
              <w:rPr>
                <w:szCs w:val="21"/>
              </w:rPr>
            </w:pPr>
            <w:r>
              <w:rPr>
                <w:rFonts w:ascii="仿宋_GB2312" w:eastAsia="仿宋_GB2312" w:hint="eastAsia"/>
                <w:szCs w:val="21"/>
              </w:rPr>
              <w:lastRenderedPageBreak/>
              <w:t>初次违反</w:t>
            </w:r>
          </w:p>
        </w:tc>
        <w:tc>
          <w:tcPr>
            <w:tcW w:w="2428" w:type="dxa"/>
            <w:vAlign w:val="center"/>
          </w:tcPr>
          <w:p w:rsidR="005E0753" w:rsidRDefault="00EE59EB">
            <w:pPr>
              <w:jc w:val="center"/>
              <w:rPr>
                <w:szCs w:val="21"/>
              </w:rPr>
            </w:pPr>
            <w:r>
              <w:rPr>
                <w:rFonts w:ascii="仿宋_GB2312" w:eastAsia="仿宋_GB2312" w:hAnsi="华文楷体" w:cs="仿宋_GB2312" w:hint="eastAsia"/>
                <w:bCs/>
                <w:szCs w:val="21"/>
              </w:rPr>
              <w:t>县级以上地方卫生行政部门</w:t>
            </w:r>
          </w:p>
        </w:tc>
      </w:tr>
    </w:tbl>
    <w:p w:rsidR="005E0753" w:rsidRPr="00EF0B76" w:rsidRDefault="00EF0B76">
      <w:pPr>
        <w:rPr>
          <w:sz w:val="32"/>
          <w:szCs w:val="32"/>
        </w:rPr>
      </w:pPr>
      <w:r w:rsidRPr="00EF0B76">
        <w:rPr>
          <w:sz w:val="32"/>
          <w:szCs w:val="32"/>
        </w:rPr>
        <w:lastRenderedPageBreak/>
        <w:t>填表人：</w:t>
      </w:r>
      <w:r>
        <w:rPr>
          <w:rFonts w:hint="eastAsia"/>
          <w:sz w:val="32"/>
          <w:szCs w:val="32"/>
        </w:rPr>
        <w:t xml:space="preserve">                      </w:t>
      </w:r>
      <w:r w:rsidRPr="00EF0B76">
        <w:rPr>
          <w:rFonts w:hint="eastAsia"/>
          <w:sz w:val="32"/>
          <w:szCs w:val="32"/>
        </w:rPr>
        <w:t xml:space="preserve"> </w:t>
      </w:r>
      <w:r w:rsidRPr="00EF0B76">
        <w:rPr>
          <w:rFonts w:hint="eastAsia"/>
          <w:sz w:val="32"/>
          <w:szCs w:val="32"/>
        </w:rPr>
        <w:t>审核人：</w:t>
      </w:r>
      <w:r w:rsidRPr="00EF0B76">
        <w:rPr>
          <w:rFonts w:hint="eastAsia"/>
          <w:sz w:val="32"/>
          <w:szCs w:val="32"/>
        </w:rPr>
        <w:t xml:space="preserve">                     </w:t>
      </w:r>
      <w:r w:rsidRPr="00EF0B76">
        <w:rPr>
          <w:rFonts w:hint="eastAsia"/>
          <w:sz w:val="32"/>
          <w:szCs w:val="32"/>
        </w:rPr>
        <w:t>电话：</w:t>
      </w:r>
    </w:p>
    <w:sectPr w:rsidR="005E0753" w:rsidRPr="00EF0B76" w:rsidSect="005E075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279" w:rsidRDefault="00FA5279" w:rsidP="005E0753">
      <w:r>
        <w:separator/>
      </w:r>
    </w:p>
  </w:endnote>
  <w:endnote w:type="continuationSeparator" w:id="0">
    <w:p w:rsidR="00FA5279" w:rsidRDefault="00FA5279" w:rsidP="005E07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altName w:val="方正楷体_GBK"/>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279" w:rsidRDefault="00FA5279" w:rsidP="005E0753">
      <w:r>
        <w:separator/>
      </w:r>
    </w:p>
  </w:footnote>
  <w:footnote w:type="continuationSeparator" w:id="0">
    <w:p w:rsidR="00FA5279" w:rsidRDefault="00FA5279" w:rsidP="005E0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A2FDB"/>
    <w:multiLevelType w:val="singleLevel"/>
    <w:tmpl w:val="7F3A2FD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6030"/>
    <w:rsid w:val="BF6C05C1"/>
    <w:rsid w:val="E7CFB83D"/>
    <w:rsid w:val="FBD70962"/>
    <w:rsid w:val="000B00DA"/>
    <w:rsid w:val="00103DFC"/>
    <w:rsid w:val="00182E9F"/>
    <w:rsid w:val="001A0350"/>
    <w:rsid w:val="002A78A9"/>
    <w:rsid w:val="002E3CED"/>
    <w:rsid w:val="002E45F4"/>
    <w:rsid w:val="0032466F"/>
    <w:rsid w:val="003B553D"/>
    <w:rsid w:val="00520BAC"/>
    <w:rsid w:val="005D3725"/>
    <w:rsid w:val="005E0753"/>
    <w:rsid w:val="00620463"/>
    <w:rsid w:val="00673DE6"/>
    <w:rsid w:val="009024F3"/>
    <w:rsid w:val="00924C2B"/>
    <w:rsid w:val="00A13B98"/>
    <w:rsid w:val="00A53C21"/>
    <w:rsid w:val="00A84BE3"/>
    <w:rsid w:val="00AB3BC1"/>
    <w:rsid w:val="00AD5980"/>
    <w:rsid w:val="00AE6030"/>
    <w:rsid w:val="00B971BE"/>
    <w:rsid w:val="00C16717"/>
    <w:rsid w:val="00E0439D"/>
    <w:rsid w:val="00EB611C"/>
    <w:rsid w:val="00EE59EB"/>
    <w:rsid w:val="00EF0B76"/>
    <w:rsid w:val="00FA3458"/>
    <w:rsid w:val="00FA5279"/>
    <w:rsid w:val="0B104FD7"/>
    <w:rsid w:val="16AF3C2C"/>
    <w:rsid w:val="219B195A"/>
    <w:rsid w:val="2C2B2B8C"/>
    <w:rsid w:val="319E3D67"/>
    <w:rsid w:val="3CEF182F"/>
    <w:rsid w:val="50B74BB5"/>
    <w:rsid w:val="53890A55"/>
    <w:rsid w:val="5F0A031C"/>
    <w:rsid w:val="5F410048"/>
    <w:rsid w:val="65417F5C"/>
    <w:rsid w:val="6DEE3D03"/>
    <w:rsid w:val="6FCA1C42"/>
    <w:rsid w:val="70040A78"/>
    <w:rsid w:val="72C418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7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E075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E0753"/>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5E07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qFormat/>
    <w:rsid w:val="005E0753"/>
    <w:rPr>
      <w:color w:val="0000FF"/>
      <w:u w:val="single"/>
    </w:rPr>
  </w:style>
  <w:style w:type="character" w:customStyle="1" w:styleId="Char0">
    <w:name w:val="页眉 Char"/>
    <w:basedOn w:val="a0"/>
    <w:link w:val="a4"/>
    <w:uiPriority w:val="99"/>
    <w:semiHidden/>
    <w:qFormat/>
    <w:rsid w:val="005E0753"/>
    <w:rPr>
      <w:sz w:val="18"/>
      <w:szCs w:val="18"/>
    </w:rPr>
  </w:style>
  <w:style w:type="character" w:customStyle="1" w:styleId="Char">
    <w:name w:val="页脚 Char"/>
    <w:basedOn w:val="a0"/>
    <w:link w:val="a3"/>
    <w:uiPriority w:val="99"/>
    <w:semiHidden/>
    <w:qFormat/>
    <w:rsid w:val="005E075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514</Words>
  <Characters>2930</Characters>
  <Application>Microsoft Office Word</Application>
  <DocSecurity>0</DocSecurity>
  <Lines>24</Lines>
  <Paragraphs>6</Paragraphs>
  <ScaleCrop>false</ScaleCrop>
  <Company>微软中国</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lenovo</cp:lastModifiedBy>
  <cp:revision>9</cp:revision>
  <dcterms:created xsi:type="dcterms:W3CDTF">2021-09-28T10:13:00Z</dcterms:created>
  <dcterms:modified xsi:type="dcterms:W3CDTF">2022-07-04T06:22:00Z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