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1"/>
          <w:lang w:eastAsia="zh-CN"/>
        </w:rPr>
      </w:pPr>
    </w:p>
    <w:p>
      <w:pPr>
        <w:rPr>
          <w:rFonts w:hint="eastAsia"/>
          <w:sz w:val="21"/>
        </w:rPr>
      </w:pPr>
    </w:p>
    <w:p>
      <w:pPr>
        <w:rPr>
          <w:rFonts w:hint="eastAsia"/>
          <w:sz w:val="21"/>
        </w:rPr>
      </w:pPr>
    </w:p>
    <w:p>
      <w:pPr>
        <w:rPr>
          <w:rFonts w:hint="eastAsia"/>
          <w:sz w:val="21"/>
        </w:rPr>
      </w:pPr>
      <w:r>
        <w:rPr>
          <w:rFonts w:hint="eastAsia"/>
          <w:sz w:val="21"/>
        </w:rPr>
        <w:t xml:space="preserve">                                                                        </w:t>
      </w:r>
    </w:p>
    <w:p>
      <w:pPr>
        <w:rPr>
          <w:rFonts w:hint="eastAsia"/>
          <w:sz w:val="21"/>
        </w:rPr>
      </w:pPr>
    </w:p>
    <w:p>
      <w:pPr>
        <w:rPr>
          <w:rFonts w:hint="eastAsia"/>
          <w:sz w:val="21"/>
        </w:rPr>
      </w:pPr>
    </w:p>
    <w:p>
      <w:pPr>
        <w:rPr>
          <w:rFonts w:hint="eastAsia"/>
          <w:sz w:val="21"/>
        </w:rPr>
      </w:pPr>
    </w:p>
    <w:p>
      <w:pPr>
        <w:rPr>
          <w:rFonts w:hint="eastAsia"/>
          <w:sz w:val="21"/>
        </w:rPr>
      </w:pPr>
      <w:r>
        <w:rPr>
          <w:rFonts w:hint="eastAsia"/>
          <w:sz w:val="21"/>
        </w:rPr>
        <w:t xml:space="preserve">                                                                     </w:t>
      </w:r>
    </w:p>
    <w:p>
      <w:pPr>
        <w:ind w:left="227" w:hanging="226"/>
        <w:rPr>
          <w:rFonts w:hint="eastAsia" w:eastAsia="穝灿砰"/>
          <w:spacing w:val="56"/>
          <w:sz w:val="44"/>
        </w:rPr>
      </w:pPr>
    </w:p>
    <w:p>
      <w:pPr>
        <w:ind w:left="227" w:hanging="226"/>
        <w:rPr>
          <w:rFonts w:hint="eastAsia" w:eastAsia="穝灿砰"/>
          <w:b/>
          <w:spacing w:val="56"/>
          <w:sz w:val="44"/>
        </w:rPr>
      </w:pPr>
      <w:r>
        <w:rPr>
          <w:rFonts w:hint="eastAsia" w:eastAsia="穝灿砰"/>
          <w:spacing w:val="56"/>
          <w:sz w:val="44"/>
        </w:rPr>
        <w:t xml:space="preserve">               </w:t>
      </w:r>
      <w:r>
        <w:rPr>
          <w:rFonts w:hint="eastAsia" w:eastAsia="穝灿砰"/>
          <w:b/>
          <w:spacing w:val="56"/>
          <w:sz w:val="44"/>
        </w:rPr>
        <w:t xml:space="preserve"> </w:t>
      </w:r>
    </w:p>
    <w:p>
      <w:pPr>
        <w:ind w:left="0"/>
        <w:rPr>
          <w:rFonts w:hint="eastAsia"/>
          <w:sz w:val="21"/>
          <w:lang w:eastAsia="zh-CN"/>
        </w:rPr>
      </w:pPr>
    </w:p>
    <w:p>
      <w:pPr>
        <w:ind w:left="0"/>
        <w:rPr>
          <w:rFonts w:hint="eastAsia"/>
          <w:color w:val="auto"/>
          <w:sz w:val="21"/>
          <w:lang w:eastAsia="zh-CN"/>
        </w:rPr>
      </w:pPr>
    </w:p>
    <w:p>
      <w:pPr>
        <w:jc w:val="center"/>
        <w:rPr>
          <w:rFonts w:hint="eastAsia" w:ascii="仿宋" w:hAnsi="仿宋" w:eastAsia="仿宋" w:cs="仿宋"/>
          <w:color w:val="auto"/>
          <w:sz w:val="32"/>
        </w:rPr>
      </w:pPr>
    </w:p>
    <w:p>
      <w:pPr>
        <w:jc w:val="center"/>
        <w:rPr>
          <w:rFonts w:hint="eastAsia" w:ascii="仿宋" w:hAnsi="仿宋" w:eastAsia="仿宋" w:cs="仿宋"/>
          <w:color w:val="auto"/>
          <w:sz w:val="32"/>
        </w:rPr>
      </w:pPr>
      <w:r>
        <w:rPr>
          <w:rFonts w:hint="eastAsia" w:ascii="仿宋" w:hAnsi="仿宋" w:eastAsia="仿宋" w:cs="仿宋"/>
          <w:color w:val="auto"/>
          <w:sz w:val="32"/>
          <w:lang w:eastAsia="zh-CN"/>
        </w:rPr>
        <w:t>昆生环</w:t>
      </w:r>
      <w:r>
        <w:rPr>
          <w:rFonts w:hint="eastAsia" w:ascii="仿宋" w:hAnsi="仿宋" w:eastAsia="仿宋" w:cs="仿宋"/>
          <w:color w:val="auto"/>
          <w:sz w:val="32"/>
        </w:rPr>
        <w:t>晋</w:t>
      </w:r>
      <w:r>
        <w:rPr>
          <w:rFonts w:hint="eastAsia" w:ascii="仿宋" w:hAnsi="仿宋" w:eastAsia="仿宋" w:cs="仿宋"/>
          <w:color w:val="auto"/>
          <w:sz w:val="32"/>
          <w:lang w:eastAsia="zh-CN"/>
        </w:rPr>
        <w:t>复</w:t>
      </w:r>
      <w:r>
        <w:rPr>
          <w:rFonts w:hint="eastAsia" w:ascii="仿宋" w:hAnsi="仿宋" w:eastAsia="仿宋" w:cs="仿宋"/>
          <w:color w:val="auto"/>
          <w:sz w:val="32"/>
        </w:rPr>
        <w:t>〔</w:t>
      </w:r>
      <w:r>
        <w:rPr>
          <w:rFonts w:hint="eastAsia" w:ascii="仿宋" w:hAnsi="仿宋" w:eastAsia="仿宋" w:cs="仿宋"/>
          <w:color w:val="auto"/>
          <w:sz w:val="32"/>
          <w:lang w:eastAsia="zh-CN"/>
        </w:rPr>
        <w:t>20</w:t>
      </w:r>
      <w:r>
        <w:rPr>
          <w:rFonts w:hint="eastAsia" w:ascii="仿宋" w:hAnsi="仿宋" w:eastAsia="仿宋" w:cs="仿宋"/>
          <w:color w:val="auto"/>
          <w:sz w:val="32"/>
          <w:lang w:val="en-US" w:eastAsia="zh-CN"/>
        </w:rPr>
        <w:t>22〕33</w:t>
      </w:r>
      <w:r>
        <w:rPr>
          <w:rFonts w:hint="eastAsia" w:ascii="仿宋" w:hAnsi="仿宋" w:eastAsia="仿宋" w:cs="仿宋"/>
          <w:color w:val="auto"/>
          <w:sz w:val="32"/>
        </w:rPr>
        <w:t>号</w:t>
      </w:r>
    </w:p>
    <w:p>
      <w:pPr>
        <w:jc w:val="center"/>
        <w:rPr>
          <w:rFonts w:hint="eastAsia" w:eastAsia="穝灿砰"/>
          <w:color w:val="auto"/>
          <w:sz w:val="32"/>
          <w:lang w:eastAsia="zh-CN"/>
        </w:rPr>
      </w:pPr>
    </w:p>
    <w:p>
      <w:pPr>
        <w:ind w:left="0"/>
        <w:rPr>
          <w:rFonts w:hint="eastAsia" w:eastAsia="穝灿砰"/>
          <w:color w:val="auto"/>
          <w:sz w:val="32"/>
          <w:lang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bottom"/>
        <w:outlineLvl w:val="9"/>
        <w:rPr>
          <w:rFonts w:hint="eastAsia"/>
          <w:b/>
          <w:color w:val="auto"/>
          <w:sz w:val="44"/>
          <w:lang w:eastAsia="zh-CN"/>
        </w:rPr>
      </w:pPr>
      <w:r>
        <w:rPr>
          <w:b/>
          <w:spacing w:val="20"/>
          <w:sz w:val="44"/>
        </w:rPr>
        <w:t>关于对《</w:t>
      </w:r>
      <w:r>
        <w:rPr>
          <w:rFonts w:hint="eastAsia"/>
          <w:b/>
          <w:spacing w:val="20"/>
          <w:sz w:val="44"/>
          <w:lang w:val="en-US" w:eastAsia="zh-CN"/>
        </w:rPr>
        <w:t>年产50万m</w:t>
      </w:r>
      <w:r>
        <w:rPr>
          <w:rFonts w:hint="eastAsia"/>
          <w:b/>
          <w:spacing w:val="20"/>
          <w:sz w:val="44"/>
          <w:vertAlign w:val="superscript"/>
          <w:lang w:val="en-US" w:eastAsia="zh-CN"/>
        </w:rPr>
        <w:t>2</w:t>
      </w:r>
      <w:r>
        <w:rPr>
          <w:rFonts w:hint="eastAsia"/>
          <w:b/>
          <w:spacing w:val="20"/>
          <w:sz w:val="44"/>
          <w:lang w:val="en-US" w:eastAsia="zh-CN"/>
        </w:rPr>
        <w:t>钢化玻璃生产线项目建设项目环境影响报告表</w:t>
      </w:r>
      <w:r>
        <w:rPr>
          <w:rFonts w:hint="eastAsia"/>
          <w:b/>
          <w:sz w:val="44"/>
        </w:rPr>
        <w:t>》的批复</w:t>
      </w:r>
    </w:p>
    <w:p>
      <w:pPr>
        <w:spacing w:line="560" w:lineRule="exact"/>
        <w:textAlignment w:val="baseline"/>
        <w:rPr>
          <w:rFonts w:hint="eastAsia" w:ascii="Times New Roman" w:hAnsi="Times New Roman" w:eastAsia="华文仿宋" w:cs="Times New Roman"/>
          <w:sz w:val="32"/>
          <w:szCs w:val="22"/>
        </w:rPr>
      </w:pPr>
    </w:p>
    <w:p>
      <w:pPr>
        <w:spacing w:line="560" w:lineRule="exact"/>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云南耘锋玻璃制造有限公司：</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你单位委托云南绿蓝环境科技有限公司编制的《年产50万m</w:t>
      </w:r>
      <w:r>
        <w:rPr>
          <w:rFonts w:hint="eastAsia" w:eastAsia="华文仿宋" w:cs="Times New Roman"/>
          <w:sz w:val="32"/>
          <w:szCs w:val="22"/>
          <w:vertAlign w:val="superscript"/>
          <w:lang w:val="en-US" w:eastAsia="zh-CN"/>
        </w:rPr>
        <w:t>2</w:t>
      </w:r>
      <w:r>
        <w:rPr>
          <w:rFonts w:hint="eastAsia" w:ascii="Times New Roman" w:hAnsi="Times New Roman" w:eastAsia="华文仿宋" w:cs="Times New Roman"/>
          <w:sz w:val="32"/>
          <w:szCs w:val="22"/>
          <w:lang w:val="en-US" w:eastAsia="zh-CN"/>
        </w:rPr>
        <w:t>钢化玻璃生产线项目建设项目环境影响报告表》(以下简称《报告表》)收悉。根据《中华人民共和国环境影响评价法》第二十二条、《建设项目环境保护管理条例》第九条，经研究，批复如下：</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eastAsia="华文仿宋" w:cs="Times New Roman"/>
          <w:sz w:val="32"/>
          <w:szCs w:val="22"/>
          <w:lang w:val="en-US" w:eastAsia="zh-CN"/>
        </w:rPr>
        <w:t>一、</w:t>
      </w:r>
      <w:r>
        <w:rPr>
          <w:rFonts w:hint="eastAsia" w:ascii="Times New Roman" w:hAnsi="Times New Roman" w:eastAsia="华文仿宋" w:cs="Times New Roman"/>
          <w:sz w:val="32"/>
          <w:szCs w:val="22"/>
          <w:lang w:val="en-US" w:eastAsia="zh-CN"/>
        </w:rPr>
        <w:t>项目建设地点位于晋宁工业园区二街基地，总占地面积7692.22m</w:t>
      </w:r>
      <w:r>
        <w:rPr>
          <w:rFonts w:hint="eastAsia" w:eastAsia="华文仿宋" w:cs="Times New Roman"/>
          <w:sz w:val="32"/>
          <w:szCs w:val="22"/>
          <w:vertAlign w:val="superscript"/>
          <w:lang w:val="en-US" w:eastAsia="zh-CN"/>
        </w:rPr>
        <w:t>2</w:t>
      </w:r>
      <w:r>
        <w:rPr>
          <w:rFonts w:hint="eastAsia" w:ascii="Times New Roman" w:hAnsi="Times New Roman" w:eastAsia="华文仿宋" w:cs="Times New Roman"/>
          <w:sz w:val="32"/>
          <w:szCs w:val="22"/>
          <w:lang w:val="en-US" w:eastAsia="zh-CN"/>
        </w:rPr>
        <w:t>，总建筑面积8486.67m</w:t>
      </w:r>
      <w:r>
        <w:rPr>
          <w:rFonts w:hint="eastAsia" w:eastAsia="华文仿宋" w:cs="Times New Roman"/>
          <w:sz w:val="32"/>
          <w:szCs w:val="22"/>
          <w:vertAlign w:val="superscript"/>
          <w:lang w:val="en-US" w:eastAsia="zh-CN"/>
        </w:rPr>
        <w:t>2</w:t>
      </w:r>
      <w:r>
        <w:rPr>
          <w:rFonts w:hint="eastAsia" w:ascii="Times New Roman" w:hAnsi="Times New Roman" w:eastAsia="华文仿宋" w:cs="Times New Roman"/>
          <w:sz w:val="32"/>
          <w:szCs w:val="22"/>
          <w:lang w:val="en-US" w:eastAsia="zh-CN"/>
        </w:rPr>
        <w:t>。项目租用的昆明市高欣南粤电源有限公司的厂区，租用了1栋生产厂房、1栋宿舍楼（3层）、1层办公楼、1间值班室、1间食堂。项目建设2条钢化玻璃生产线、2条中空钢化玻璃生产线、1条夹层钢化玻璃生产线以及配套的玻璃切割区、打磨区、清洗区、打孔区。项目总投资2000万元，其中环保投资12.7万元。</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根据《报告表》所述工程内容、规模、功能以及环保对策措施，同意《报告表》结论。</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eastAsia="华文仿宋" w:cs="Times New Roman"/>
          <w:sz w:val="32"/>
          <w:szCs w:val="22"/>
          <w:lang w:val="en-US" w:eastAsia="zh-CN"/>
        </w:rPr>
        <w:t>二、</w:t>
      </w:r>
      <w:r>
        <w:rPr>
          <w:rFonts w:hint="eastAsia" w:ascii="Times New Roman" w:hAnsi="Times New Roman" w:eastAsia="华文仿宋" w:cs="Times New Roman"/>
          <w:sz w:val="32"/>
          <w:szCs w:val="22"/>
          <w:lang w:val="en-US" w:eastAsia="zh-CN"/>
        </w:rPr>
        <w:t>项目应建立完善的“雨污分流”排水系统，并与区域排水系统相协调。</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项目生产用水循环使用不外排。食堂废水经隔油池处理后与其他生活废水一并经化粪池处理达《污水排入城镇下水道水质标准》</w:t>
      </w:r>
      <w:r>
        <w:rPr>
          <w:rFonts w:hint="eastAsia"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GB/T31962-2015</w:t>
      </w:r>
      <w:r>
        <w:rPr>
          <w:rFonts w:hint="eastAsia"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表1A级等级标准后，即：pH值6.5-9.5、SS≤400mg/L、CODcr≤500mg/L、BOD5≤350mg/L、氨氮≤45mg/L、T-P≤8.0mg/L、动物油≤100mg/L，经工业园区污水管网排至二街片区生活污水处理厂处理。</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项目废水污染物总量控制指标：废水排放量为636t/a，其中CODcr：0.2016t/a；氨氮：0.0108t/a；总磷：0.0038t/a；BOD5：0.1158t/a；SS：0.0763t/a；动植物油：0.01145t/a。废水总量纳入二街工业片区生活污水处理厂考核。</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三、项目运营期产生的废气主要有颗粒物、非甲烷总烃。</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项目产生废气的车间应合理布局，加强通风。中空玻璃涂丁基胶、调胶、封胶工段产生的非甲烷总烃以及夹层玻璃预压、高压工段产生的非甲烷总烃通过集气罩或者吸尘管收集后通过两级活性炭（TA001）处理，处理后通过1根15米高的排气筒（DA001）排放，非甲烷总烃排放执行GB16297-1996《大气污染物综合排放标准》表2二级标准限值，即非甲烷总烃≤120mg/m³（有组织）。</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厂界无组织排放的颗粒物、非甲烷总烃执行《大气污染物综合排放标准》（GB16297—1996）表2中二级标准限值，即颗粒物≤1.0mg/m³（无组织）、非甲烷总烃≤0.4mg/m³（无组织）。</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项目厂区内无组织排放非甲烷总烃执行《挥发性有机物无组织排放标准》（GB37822-2019）浓度限值，即：非甲烷总烃≤10mg/m³（监控点处1h平均浓度值），非甲烷总烃≤30mg/m³（监控点处任意一次浓度值）。</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项目废气污染物总量控制指标：废气量为2600万m³/a，挥发性有机物（以非甲烷总烃计）总排放量为0.8196t/a，有组织排放量为0.35t/a，无组织排放量为0.4696t/a；颗粒物总排放量为0.35t/a。</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食堂厨房油烟经油烟净化器处置后须达到《饮食业油烟排放标准》（GB18483-2001）小型规模标准要求，即油烟最高允许排放浓度≦2.0mg/m³，净化设施去除效率≧60%，油烟需通过专门的排气筒排放，排放高度高于周围10米建筑物1.5米以上。</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严格控制施工时产生的扬尘和施工机械排放的燃油烟气，施工现场、临时堆场、运输车辆应采取有效的防治扬尘措施，排放的废气应符合GB16297- 1996《大气污染物综合排放标准》(表2) 二级标准，即：颗粒物无组织排放浓度≤1.0mg/m³，减少对环境敏感点的扬尘污染。</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四、项目产生噪声的场所和设施应合理布局，做隔声降噪处理，项目厂界噪声值达GB12348-2008《工业企业厂界环境噪声排放标准》3类区标准，即：昼间≤65dB，夜间≤55dB。</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施工过程中严格控制各类施工机械产生的噪声，施工场界噪声应符合GB12523-2011《建筑施工场界环境噪声排放标准》表1标准，即：昼间≤70dB，夜间≤55 dB。禁止夜间（22:00至次日6:00）进行产生环境噪声污染的建筑施工作业。</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五、项目固体废物应分类收集，项目产生的生活垃圾、化粪池污泥一同委托环卫部门清运处置；隔油池油污委托有资质的部门清运处置；玻璃边角料以及不合格产品、玻璃沉渣、玻璃粉屑集中收集后定期外售至玻璃生产厂家回收利用；清洗池底渣集中收集后委托环卫部门清运；塑料薄膜边角料以及PVB膜边角料集中收集后外售至废品回收站；PVB膜包装箱由厂家回收利用；危险废物于危废暂存间暂存后委托有资质单位处置，执行《危险废物贮存污染控制标准》（GB18597-2001）。</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六、禁止使用含磷洗涤用品及一次性不可降解塑料餐饮具。</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七、建立完善的环境风险管理制度及风险防范应急措施，防止环境污染事故发生。</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八、 根据《中华人民共和国环境噪声污染防治法》 第二十九条有关规定，施工单位工程开工必须提前十五日向我局办理建筑噪声的排污申报手续。因特殊情况需要夜间连续作业的，施工单位必须持有关主管部门的证明向我局登记备案，于连续施工之日1天前公告附近居民和单位。并按规定到相关部门办理其它有关手续。</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九、《报告表》应当作为项目环境保护设计、建设及运行管理的依据, 项目应认真落实各项环保对策措施, 环保设施应与主体工程同时设计，同时施工，同时投入使用。</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严格遵守《建设项目环境保护条例》、严格遵守《建设项目环境保护条例》，建设项目竣工后，建设单位应当按照国务院生态主管部门规定的标准和程序，对配套的环境保护设施进行验收，经验收合格后方可投入生产或者使用。</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十、项目的性质、规模、地点、采用的生产工艺或者防治污染、防止生态破坏的措施发生变动的，应当重新向我局报批建设项目的环境影响评价文件。</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自本批复之日起超过五年项目方开建设的，环境影响评价文件应当报我局重新审核。</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十一、依法到国土、规划、住建、水务、发改经贸等部门办理其他相关手续。</w:t>
      </w:r>
    </w:p>
    <w:p/>
    <w:p>
      <w:pPr>
        <w:pStyle w:val="2"/>
      </w:pPr>
    </w:p>
    <w:p/>
    <w:p>
      <w:pPr>
        <w:pStyle w:val="2"/>
      </w:pPr>
    </w:p>
    <w:p/>
    <w:p>
      <w:pPr>
        <w:pStyle w:val="2"/>
      </w:pPr>
    </w:p>
    <w:p/>
    <w:p>
      <w:pPr>
        <w:pStyle w:val="2"/>
      </w:pPr>
    </w:p>
    <w:p/>
    <w:p>
      <w:pPr>
        <w:pStyle w:val="2"/>
      </w:pPr>
    </w:p>
    <w:p/>
    <w:p>
      <w:pPr>
        <w:spacing w:line="560" w:lineRule="exact"/>
        <w:textAlignment w:val="baseline"/>
        <w:rPr>
          <w:rFonts w:eastAsia="华文仿宋"/>
          <w:sz w:val="32"/>
        </w:rPr>
      </w:pPr>
      <w:r>
        <w:rPr>
          <w:rFonts w:eastAsia="华文仿宋"/>
          <w:sz w:val="32"/>
        </w:rPr>
        <w:t xml:space="preserve"> </w:t>
      </w:r>
      <w:r>
        <w:rPr>
          <w:rFonts w:hint="eastAsia" w:eastAsia="华文仿宋"/>
          <w:sz w:val="32"/>
          <w:lang w:val="en-US" w:eastAsia="zh-CN"/>
        </w:rPr>
        <w:t xml:space="preserve">                      </w:t>
      </w:r>
      <w:r>
        <w:rPr>
          <w:rFonts w:eastAsia="华文仿宋"/>
          <w:sz w:val="32"/>
        </w:rPr>
        <w:t>昆明市</w:t>
      </w:r>
      <w:r>
        <w:rPr>
          <w:rFonts w:hint="eastAsia" w:eastAsia="华文仿宋"/>
          <w:sz w:val="32"/>
        </w:rPr>
        <w:t>生态</w:t>
      </w:r>
      <w:r>
        <w:rPr>
          <w:rFonts w:eastAsia="华文仿宋"/>
          <w:sz w:val="32"/>
        </w:rPr>
        <w:t>环境局</w:t>
      </w:r>
      <w:r>
        <w:rPr>
          <w:rFonts w:hint="eastAsia" w:eastAsia="华文仿宋"/>
          <w:sz w:val="32"/>
        </w:rPr>
        <w:t>晋宁分局</w:t>
      </w:r>
    </w:p>
    <w:p>
      <w:pPr>
        <w:spacing w:line="560" w:lineRule="exact"/>
        <w:ind w:firstLine="4480" w:firstLineChars="1400"/>
        <w:textAlignment w:val="baseline"/>
        <w:rPr>
          <w:rFonts w:eastAsia="仿宋_GB2312"/>
          <w:color w:val="000000"/>
          <w:sz w:val="32"/>
        </w:rPr>
      </w:pPr>
      <w:r>
        <w:rPr>
          <w:rFonts w:eastAsia="华文仿宋"/>
          <w:color w:val="000000"/>
          <w:sz w:val="32"/>
        </w:rPr>
        <w:t>20</w:t>
      </w:r>
      <w:r>
        <w:rPr>
          <w:rFonts w:hint="eastAsia" w:eastAsia="华文仿宋"/>
          <w:color w:val="000000"/>
          <w:sz w:val="32"/>
        </w:rPr>
        <w:t>2</w:t>
      </w:r>
      <w:r>
        <w:rPr>
          <w:rFonts w:hint="eastAsia" w:eastAsia="华文仿宋"/>
          <w:color w:val="000000"/>
          <w:sz w:val="32"/>
          <w:lang w:val="en-US" w:eastAsia="zh-CN"/>
        </w:rPr>
        <w:t>2</w:t>
      </w:r>
      <w:r>
        <w:rPr>
          <w:rFonts w:eastAsia="华文仿宋"/>
          <w:color w:val="000000"/>
          <w:sz w:val="32"/>
        </w:rPr>
        <w:t>年</w:t>
      </w:r>
      <w:r>
        <w:rPr>
          <w:rFonts w:hint="eastAsia" w:eastAsia="华文仿宋"/>
          <w:color w:val="000000"/>
          <w:sz w:val="32"/>
          <w:lang w:val="en-US" w:eastAsia="zh-CN"/>
        </w:rPr>
        <w:t>8</w:t>
      </w:r>
      <w:r>
        <w:rPr>
          <w:rFonts w:eastAsia="华文仿宋"/>
          <w:color w:val="000000"/>
          <w:sz w:val="32"/>
        </w:rPr>
        <w:t>月</w:t>
      </w:r>
      <w:r>
        <w:rPr>
          <w:rFonts w:hint="eastAsia" w:eastAsia="华文仿宋"/>
          <w:color w:val="000000"/>
          <w:sz w:val="32"/>
          <w:lang w:val="en-US" w:eastAsia="zh-CN"/>
        </w:rPr>
        <w:t>3</w:t>
      </w:r>
      <w:r>
        <w:rPr>
          <w:rFonts w:eastAsia="华文仿宋"/>
          <w:color w:val="000000"/>
          <w:sz w:val="32"/>
        </w:rPr>
        <w:t>日</w:t>
      </w:r>
    </w:p>
    <w:p/>
    <w:p>
      <w:pPr>
        <w:pStyle w:val="8"/>
        <w:ind w:left="0" w:leftChars="0" w:firstLine="0" w:firstLineChars="0"/>
      </w:pPr>
    </w:p>
    <w:p>
      <w:pPr>
        <w:pStyle w:val="2"/>
        <w:ind w:left="0" w:leftChars="0" w:firstLine="0" w:firstLineChars="0"/>
      </w:pPr>
    </w:p>
    <w:p/>
    <w:p>
      <w:pPr>
        <w:pStyle w:val="15"/>
        <w:ind w:left="0" w:leftChars="0" w:firstLine="0" w:firstLineChars="0"/>
        <w:jc w:val="both"/>
      </w:pPr>
    </w:p>
    <w:p/>
    <w:p>
      <w:pPr>
        <w:ind w:left="0" w:leftChars="0" w:firstLine="0" w:firstLineChars="0"/>
      </w:pPr>
    </w:p>
    <w:p/>
    <w:p>
      <w:pPr>
        <w:pStyle w:val="2"/>
      </w:pPr>
    </w:p>
    <w:p/>
    <w:p>
      <w:pPr>
        <w:pStyle w:val="2"/>
      </w:pPr>
    </w:p>
    <w:p/>
    <w:p>
      <w:pPr>
        <w:pStyle w:val="2"/>
      </w:pPr>
    </w:p>
    <w:p/>
    <w:p>
      <w:pPr>
        <w:pStyle w:val="2"/>
      </w:pPr>
      <w:bookmarkStart w:id="0" w:name="_GoBack"/>
      <w:bookmarkEnd w:id="0"/>
    </w:p>
    <w:p/>
    <w:p>
      <w:pPr>
        <w:pStyle w:val="2"/>
      </w:pPr>
    </w:p>
    <w:p>
      <w:pPr>
        <w:ind w:left="0" w:leftChars="0" w:firstLine="0" w:firstLineChars="0"/>
      </w:pPr>
    </w:p>
    <w:p>
      <w:pPr>
        <w:pStyle w:val="2"/>
      </w:pPr>
    </w:p>
    <w:p/>
    <w:p>
      <w:pPr>
        <w:pStyle w:val="2"/>
      </w:pPr>
    </w:p>
    <w:p>
      <w:pPr>
        <w:spacing w:line="560" w:lineRule="exact"/>
        <w:ind w:left="0" w:leftChars="0" w:firstLine="0" w:firstLineChars="0"/>
        <w:textAlignment w:val="baseline"/>
        <w:rPr>
          <w:rFonts w:ascii="Times New Roman" w:hAnsi="Times New Roman" w:eastAsia="华文仿宋"/>
          <w:sz w:val="32"/>
          <w:u w:val="single"/>
        </w:rPr>
      </w:pPr>
      <w:r>
        <w:rPr>
          <w:rFonts w:ascii="Times New Roman" w:hAnsi="Times New Roman" w:eastAsia="仿宋_GB2312"/>
          <w:color w:val="000000"/>
          <w:sz w:val="32"/>
          <w:u w:val="single"/>
        </w:rPr>
        <w:t xml:space="preserve">                      </w:t>
      </w:r>
      <w:r>
        <w:rPr>
          <w:rFonts w:ascii="Times New Roman" w:hAnsi="Times New Roman" w:eastAsia="华文仿宋"/>
          <w:color w:val="000000"/>
          <w:sz w:val="32"/>
          <w:u w:val="single"/>
        </w:rPr>
        <w:t xml:space="preserve">     </w:t>
      </w:r>
      <w:r>
        <w:rPr>
          <w:rFonts w:hint="eastAsia" w:ascii="Times New Roman" w:hAnsi="Times New Roman" w:eastAsia="华文仿宋"/>
          <w:color w:val="000000"/>
          <w:sz w:val="32"/>
          <w:u w:val="single"/>
          <w:lang w:val="en-US" w:eastAsia="zh-CN"/>
        </w:rPr>
        <w:t xml:space="preserve"> </w:t>
      </w:r>
      <w:r>
        <w:rPr>
          <w:rFonts w:ascii="Times New Roman" w:hAnsi="Times New Roman" w:eastAsia="华文仿宋"/>
          <w:sz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0" w:firstLineChars="0"/>
        <w:jc w:val="both"/>
        <w:textAlignment w:val="baseline"/>
        <w:outlineLvl w:val="9"/>
        <w:rPr>
          <w:rFonts w:ascii="Times New Roman" w:hAnsi="Times New Roman" w:eastAsia="华文仿宋"/>
          <w:sz w:val="32"/>
        </w:rPr>
      </w:pPr>
      <w:r>
        <w:rPr>
          <w:rFonts w:ascii="Times New Roman" w:hAnsi="Times New Roman" w:eastAsia="华文仿宋"/>
          <w:sz w:val="32"/>
        </w:rPr>
        <w:t xml:space="preserve">  抄送：昆明市</w:t>
      </w:r>
      <w:r>
        <w:rPr>
          <w:rFonts w:hint="eastAsia" w:ascii="Times New Roman" w:hAnsi="Times New Roman" w:eastAsia="华文仿宋"/>
          <w:sz w:val="32"/>
          <w:lang w:eastAsia="zh-CN"/>
        </w:rPr>
        <w:t>生态</w:t>
      </w:r>
      <w:r>
        <w:rPr>
          <w:rFonts w:ascii="Times New Roman" w:hAnsi="Times New Roman" w:eastAsia="华文仿宋"/>
          <w:sz w:val="32"/>
        </w:rPr>
        <w:t xml:space="preserve">环境局        </w:t>
      </w:r>
      <w:r>
        <w:rPr>
          <w:rFonts w:hint="eastAsia" w:ascii="Times New Roman" w:hAnsi="Times New Roman" w:eastAsia="华文仿宋"/>
          <w:sz w:val="32"/>
          <w:lang w:val="en-US" w:eastAsia="zh-CN"/>
        </w:rPr>
        <w:t xml:space="preserve">        </w:t>
      </w:r>
      <w:r>
        <w:rPr>
          <w:rFonts w:hint="eastAsia" w:eastAsia="华文仿宋"/>
          <w:sz w:val="32"/>
          <w:lang w:val="en-US" w:eastAsia="zh-CN"/>
        </w:rPr>
        <w:t xml:space="preserve">   </w:t>
      </w:r>
      <w:r>
        <w:rPr>
          <w:rFonts w:hint="eastAsia" w:ascii="Times New Roman" w:hAnsi="Times New Roman" w:eastAsia="华文仿宋"/>
          <w:sz w:val="32"/>
          <w:lang w:val="en-US" w:eastAsia="zh-CN"/>
        </w:rPr>
        <w:t xml:space="preserve">  </w:t>
      </w:r>
      <w:r>
        <w:rPr>
          <w:rFonts w:hint="eastAsia" w:eastAsia="华文仿宋"/>
          <w:sz w:val="32"/>
          <w:lang w:val="en-US" w:eastAsia="zh-CN"/>
        </w:rPr>
        <w:t>二街镇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0" w:firstLineChars="0"/>
        <w:jc w:val="both"/>
        <w:outlineLvl w:val="9"/>
        <w:rPr>
          <w:rFonts w:ascii="Times New Roman" w:hAnsi="Times New Roman" w:eastAsia="华文仿宋"/>
          <w:sz w:val="32"/>
          <w:u w:val="single"/>
        </w:rPr>
      </w:pPr>
      <w:r>
        <w:rPr>
          <w:rFonts w:ascii="Times New Roman" w:hAnsi="Times New Roman" w:eastAsia="华文仿宋"/>
          <w:sz w:val="32"/>
          <w:u w:val="single"/>
        </w:rPr>
        <w:t xml:space="preserve">        </w:t>
      </w:r>
      <w:r>
        <w:rPr>
          <w:rFonts w:hint="eastAsia" w:ascii="Times New Roman" w:hAnsi="Times New Roman" w:eastAsia="华文仿宋"/>
          <w:sz w:val="32"/>
          <w:u w:val="single"/>
        </w:rPr>
        <w:t>晋宁区生态环境保护综合执法大队</w:t>
      </w:r>
      <w:r>
        <w:rPr>
          <w:rFonts w:ascii="Times New Roman" w:hAnsi="Times New Roman" w:eastAsia="华文仿宋"/>
          <w:sz w:val="32"/>
          <w:u w:val="single"/>
        </w:rPr>
        <w:t xml:space="preserve">    </w:t>
      </w:r>
      <w:r>
        <w:rPr>
          <w:rFonts w:hint="eastAsia" w:ascii="Times New Roman" w:hAnsi="Times New Roman" w:eastAsia="华文仿宋"/>
          <w:sz w:val="32"/>
          <w:u w:val="single"/>
        </w:rPr>
        <w:t xml:space="preserve">       </w:t>
      </w:r>
      <w:r>
        <w:rPr>
          <w:rFonts w:ascii="Times New Roman" w:hAnsi="Times New Roman" w:eastAsia="华文仿宋"/>
          <w:sz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0" w:firstLineChars="0"/>
        <w:jc w:val="both"/>
        <w:textAlignment w:val="baseline"/>
        <w:outlineLvl w:val="9"/>
        <w:rPr>
          <w:rFonts w:hint="eastAsia"/>
          <w:b/>
          <w:sz w:val="44"/>
          <w:szCs w:val="22"/>
        </w:rPr>
      </w:pPr>
      <w:r>
        <w:rPr>
          <w:rFonts w:hint="eastAsia" w:hAnsi="华文仿宋" w:eastAsia="华文仿宋"/>
          <w:color w:val="000000"/>
          <w:sz w:val="32"/>
          <w:lang w:val="en-US" w:eastAsia="zh-CN"/>
        </w:rPr>
        <w:t xml:space="preserve"> </w:t>
      </w:r>
      <w:r>
        <w:rPr>
          <w:rFonts w:hint="eastAsia" w:hAnsi="华文仿宋" w:eastAsia="华文仿宋"/>
          <w:color w:val="000000"/>
          <w:sz w:val="32"/>
        </w:rPr>
        <w:t>昆明市</w:t>
      </w:r>
      <w:r>
        <w:rPr>
          <w:rFonts w:hint="eastAsia" w:hAnsi="华文仿宋" w:eastAsia="华文仿宋"/>
          <w:color w:val="000000"/>
          <w:sz w:val="32"/>
          <w:lang w:eastAsia="zh-CN"/>
        </w:rPr>
        <w:t>生态</w:t>
      </w:r>
      <w:r>
        <w:rPr>
          <w:rFonts w:hAnsi="华文仿宋" w:eastAsia="华文仿宋"/>
          <w:color w:val="000000"/>
          <w:sz w:val="32"/>
        </w:rPr>
        <w:t>环境局</w:t>
      </w:r>
      <w:r>
        <w:rPr>
          <w:rFonts w:hint="eastAsia" w:hAnsi="华文仿宋" w:eastAsia="华文仿宋"/>
          <w:color w:val="000000"/>
          <w:sz w:val="32"/>
          <w:lang w:eastAsia="zh-CN"/>
        </w:rPr>
        <w:t>晋宁分局</w:t>
      </w:r>
      <w:r>
        <w:rPr>
          <w:rFonts w:eastAsia="华文仿宋"/>
          <w:color w:val="000000"/>
          <w:sz w:val="32"/>
        </w:rPr>
        <w:t xml:space="preserve">      </w:t>
      </w:r>
      <w:r>
        <w:rPr>
          <w:rFonts w:hint="default" w:ascii="Times New Roman" w:hAnsi="Times New Roman" w:eastAsia="华文仿宋" w:cs="Times New Roman"/>
          <w:color w:val="000000"/>
          <w:sz w:val="32"/>
        </w:rPr>
        <w:t xml:space="preserve"> 20</w:t>
      </w:r>
      <w:r>
        <w:rPr>
          <w:rFonts w:hint="default" w:ascii="Times New Roman" w:hAnsi="Times New Roman" w:eastAsia="华文仿宋" w:cs="Times New Roman"/>
          <w:color w:val="000000"/>
          <w:sz w:val="32"/>
          <w:lang w:val="en-US" w:eastAsia="zh-CN"/>
        </w:rPr>
        <w:t>2</w:t>
      </w:r>
      <w:r>
        <w:rPr>
          <w:rFonts w:hint="eastAsia" w:ascii="Times New Roman" w:hAnsi="Times New Roman" w:eastAsia="华文仿宋" w:cs="Times New Roman"/>
          <w:color w:val="000000"/>
          <w:sz w:val="32"/>
          <w:lang w:val="en-US" w:eastAsia="zh-CN"/>
        </w:rPr>
        <w:t>2</w:t>
      </w:r>
      <w:r>
        <w:rPr>
          <w:rFonts w:hint="default" w:ascii="Times New Roman" w:hAnsi="Times New Roman" w:eastAsia="华文仿宋" w:cs="Times New Roman"/>
          <w:color w:val="000000"/>
          <w:sz w:val="32"/>
        </w:rPr>
        <w:t>年</w:t>
      </w:r>
      <w:r>
        <w:rPr>
          <w:rFonts w:hint="eastAsia" w:eastAsia="华文仿宋" w:cs="Times New Roman"/>
          <w:color w:val="000000"/>
          <w:sz w:val="32"/>
          <w:lang w:val="en-US" w:eastAsia="zh-CN"/>
        </w:rPr>
        <w:t>8</w:t>
      </w:r>
      <w:r>
        <w:rPr>
          <w:rFonts w:hint="default" w:ascii="Times New Roman" w:hAnsi="Times New Roman" w:eastAsia="华文仿宋" w:cs="Times New Roman"/>
          <w:color w:val="000000"/>
          <w:sz w:val="32"/>
        </w:rPr>
        <w:t>月</w:t>
      </w:r>
      <w:r>
        <w:rPr>
          <w:rFonts w:hint="eastAsia" w:eastAsia="华文仿宋" w:cs="Times New Roman"/>
          <w:color w:val="000000"/>
          <w:sz w:val="32"/>
          <w:lang w:val="en-US" w:eastAsia="zh-CN"/>
        </w:rPr>
        <w:t>3</w:t>
      </w:r>
      <w:r>
        <w:rPr>
          <w:rFonts w:hint="default" w:ascii="Times New Roman" w:hAnsi="Times New Roman" w:eastAsia="华文仿宋" w:cs="Times New Roman"/>
          <w:color w:val="000000"/>
          <w:sz w:val="32"/>
        </w:rPr>
        <w:t>日印发</w:t>
      </w:r>
    </w:p>
    <w:p>
      <w:pPr>
        <w:jc w:val="center"/>
        <w:rPr>
          <w:rFonts w:hint="eastAsia"/>
          <w:b/>
          <w:sz w:val="44"/>
          <w:szCs w:val="22"/>
        </w:rPr>
      </w:pPr>
    </w:p>
    <w:p>
      <w:pPr>
        <w:ind w:left="0" w:leftChars="0" w:firstLine="0" w:firstLineChars="0"/>
        <w:jc w:val="both"/>
        <w:rPr>
          <w:b/>
          <w:sz w:val="44"/>
        </w:rPr>
      </w:pPr>
      <w:r>
        <w:rPr>
          <w:rFonts w:hint="eastAsia"/>
          <w:b/>
          <w:sz w:val="44"/>
          <w:szCs w:val="22"/>
        </w:rPr>
        <w:t>昆明市</w:t>
      </w:r>
      <w:r>
        <w:rPr>
          <w:rFonts w:hint="eastAsia"/>
          <w:b/>
          <w:sz w:val="44"/>
          <w:szCs w:val="22"/>
          <w:lang w:eastAsia="zh-CN"/>
        </w:rPr>
        <w:t>生态</w:t>
      </w:r>
      <w:r>
        <w:rPr>
          <w:b/>
          <w:sz w:val="44"/>
          <w:szCs w:val="22"/>
        </w:rPr>
        <w:t>环境局</w:t>
      </w:r>
      <w:r>
        <w:rPr>
          <w:rFonts w:hint="eastAsia"/>
          <w:b/>
          <w:sz w:val="44"/>
          <w:szCs w:val="22"/>
          <w:lang w:eastAsia="zh-CN"/>
        </w:rPr>
        <w:t>晋宁分局</w:t>
      </w:r>
      <w:r>
        <w:rPr>
          <w:b/>
          <w:sz w:val="44"/>
          <w:szCs w:val="22"/>
        </w:rPr>
        <w:t>建设</w:t>
      </w:r>
      <w:r>
        <w:rPr>
          <w:b/>
          <w:sz w:val="44"/>
        </w:rPr>
        <w:t>项目</w:t>
      </w:r>
    </w:p>
    <w:p>
      <w:pPr>
        <w:jc w:val="center"/>
        <w:rPr>
          <w:b/>
          <w:sz w:val="44"/>
        </w:rPr>
      </w:pPr>
      <w:r>
        <w:rPr>
          <w:b/>
          <w:sz w:val="44"/>
        </w:rPr>
        <w:t>审批审核签发单</w:t>
      </w:r>
    </w:p>
    <w:p>
      <w:pPr>
        <w:rPr>
          <w:rFonts w:eastAsia="仿宋_GB2312"/>
          <w:b/>
          <w:sz w:val="32"/>
        </w:rPr>
      </w:pPr>
      <w:r>
        <w:rPr>
          <w:rFonts w:eastAsia="仿宋_GB2312"/>
          <w:sz w:val="32"/>
        </w:rPr>
        <w:t>日期：20</w:t>
      </w:r>
      <w:r>
        <w:rPr>
          <w:rFonts w:hint="eastAsia" w:eastAsia="仿宋_GB2312"/>
          <w:sz w:val="32"/>
          <w:lang w:val="en-US" w:eastAsia="zh-CN"/>
        </w:rPr>
        <w:t>22</w:t>
      </w:r>
      <w:r>
        <w:rPr>
          <w:rFonts w:eastAsia="仿宋_GB2312"/>
          <w:sz w:val="32"/>
        </w:rPr>
        <w:t>年</w:t>
      </w:r>
      <w:r>
        <w:rPr>
          <w:rFonts w:hint="eastAsia" w:eastAsia="仿宋_GB2312"/>
          <w:sz w:val="32"/>
          <w:lang w:val="en-US" w:eastAsia="zh-CN"/>
        </w:rPr>
        <w:t>8</w:t>
      </w:r>
      <w:r>
        <w:rPr>
          <w:rFonts w:eastAsia="仿宋_GB2312"/>
          <w:sz w:val="32"/>
        </w:rPr>
        <w:t>月</w:t>
      </w:r>
      <w:r>
        <w:rPr>
          <w:rFonts w:hint="eastAsia" w:eastAsia="仿宋_GB2312"/>
          <w:sz w:val="32"/>
          <w:lang w:val="en-US" w:eastAsia="zh-CN"/>
        </w:rPr>
        <w:t>2</w:t>
      </w:r>
      <w:r>
        <w:rPr>
          <w:rFonts w:eastAsia="仿宋_GB2312"/>
          <w:sz w:val="32"/>
        </w:rPr>
        <w:t>日</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198"/>
        <w:gridCol w:w="1185"/>
        <w:gridCol w:w="360"/>
        <w:gridCol w:w="103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704" w:type="dxa"/>
            <w:vAlign w:val="center"/>
          </w:tcPr>
          <w:p>
            <w:pPr>
              <w:spacing w:line="300" w:lineRule="exact"/>
              <w:jc w:val="center"/>
              <w:rPr>
                <w:b/>
                <w:sz w:val="24"/>
              </w:rPr>
            </w:pPr>
            <w:r>
              <w:rPr>
                <w:b/>
                <w:sz w:val="24"/>
              </w:rPr>
              <w:t>项目名称</w:t>
            </w:r>
          </w:p>
        </w:tc>
        <w:tc>
          <w:tcPr>
            <w:tcW w:w="6818"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00" w:lineRule="exact"/>
              <w:ind w:left="0" w:leftChars="0" w:right="0" w:rightChars="0" w:firstLine="480" w:firstLineChars="200"/>
              <w:jc w:val="both"/>
              <w:textAlignment w:val="bottom"/>
              <w:outlineLvl w:val="9"/>
              <w:rPr>
                <w:rFonts w:hint="eastAsia"/>
                <w:sz w:val="24"/>
              </w:rPr>
            </w:pPr>
            <w:r>
              <w:rPr>
                <w:rFonts w:hint="eastAsia"/>
                <w:sz w:val="24"/>
              </w:rPr>
              <w:t>关于对《</w:t>
            </w:r>
            <w:r>
              <w:rPr>
                <w:rFonts w:hint="eastAsia"/>
                <w:sz w:val="24"/>
                <w:lang w:val="en-US" w:eastAsia="zh-CN"/>
              </w:rPr>
              <w:t>年产50万m2钢化玻璃生产线项目建设项目环境影响报告表</w:t>
            </w:r>
            <w:r>
              <w:rPr>
                <w:rFonts w:hint="eastAsia"/>
                <w:sz w:val="24"/>
              </w:rPr>
              <w:t>》的批复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704" w:type="dxa"/>
            <w:vAlign w:val="center"/>
          </w:tcPr>
          <w:p>
            <w:pPr>
              <w:spacing w:line="300" w:lineRule="exact"/>
              <w:jc w:val="center"/>
              <w:rPr>
                <w:b/>
                <w:sz w:val="24"/>
              </w:rPr>
            </w:pPr>
            <w:r>
              <w:rPr>
                <w:b/>
                <w:sz w:val="24"/>
              </w:rPr>
              <w:t>建设单位</w:t>
            </w:r>
          </w:p>
        </w:tc>
        <w:tc>
          <w:tcPr>
            <w:tcW w:w="6818"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1920" w:firstLineChars="800"/>
              <w:jc w:val="both"/>
              <w:textAlignment w:val="bottom"/>
              <w:outlineLvl w:val="9"/>
              <w:rPr>
                <w:rFonts w:hint="eastAsia"/>
                <w:sz w:val="24"/>
              </w:rPr>
            </w:pPr>
            <w:r>
              <w:rPr>
                <w:rFonts w:hint="eastAsia"/>
                <w:sz w:val="24"/>
                <w:lang w:val="en-US" w:eastAsia="zh-CN"/>
              </w:rPr>
              <w:t>云南耘锋玻璃制造有限公司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704" w:type="dxa"/>
            <w:vAlign w:val="center"/>
          </w:tcPr>
          <w:p>
            <w:pPr>
              <w:spacing w:line="300" w:lineRule="exact"/>
              <w:jc w:val="center"/>
              <w:rPr>
                <w:b/>
                <w:sz w:val="24"/>
              </w:rPr>
            </w:pPr>
            <w:r>
              <w:rPr>
                <w:b/>
                <w:sz w:val="24"/>
              </w:rPr>
              <w:t>建设地点</w:t>
            </w:r>
          </w:p>
        </w:tc>
        <w:tc>
          <w:tcPr>
            <w:tcW w:w="6818" w:type="dxa"/>
            <w:gridSpan w:val="5"/>
            <w:vAlign w:val="center"/>
          </w:tcPr>
          <w:p>
            <w:pPr>
              <w:spacing w:line="300" w:lineRule="exact"/>
              <w:ind w:firstLine="480" w:firstLineChars="200"/>
              <w:jc w:val="center"/>
              <w:textAlignment w:val="baseline"/>
              <w:rPr>
                <w:rFonts w:hint="eastAsia"/>
                <w:sz w:val="24"/>
              </w:rPr>
            </w:pPr>
            <w:r>
              <w:rPr>
                <w:rFonts w:hint="eastAsia" w:ascii="Times New Roman" w:hAnsi="Times New Roman" w:cs="Times New Roman"/>
                <w:sz w:val="24"/>
                <w:szCs w:val="24"/>
                <w:lang w:val="en-US" w:eastAsia="zh-CN"/>
              </w:rPr>
              <w:t>昆明市晋宁区晋宁工业园区</w:t>
            </w:r>
            <w:r>
              <w:rPr>
                <w:rFonts w:hint="eastAsia" w:cs="Times New Roman"/>
                <w:sz w:val="24"/>
                <w:szCs w:val="24"/>
                <w:lang w:val="en-US" w:eastAsia="zh-CN"/>
              </w:rPr>
              <w:t>二街</w:t>
            </w:r>
            <w:r>
              <w:rPr>
                <w:rFonts w:hint="eastAsia" w:ascii="Times New Roman" w:hAnsi="Times New Roman" w:cs="Times New Roman"/>
                <w:sz w:val="24"/>
                <w:szCs w:val="24"/>
                <w:lang w:val="en-US" w:eastAsia="zh-CN"/>
              </w:rPr>
              <w:t>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704" w:type="dxa"/>
            <w:vAlign w:val="center"/>
          </w:tcPr>
          <w:p>
            <w:pPr>
              <w:spacing w:line="300" w:lineRule="exact"/>
              <w:jc w:val="center"/>
              <w:rPr>
                <w:b/>
                <w:sz w:val="24"/>
              </w:rPr>
            </w:pPr>
            <w:r>
              <w:rPr>
                <w:b/>
                <w:sz w:val="24"/>
              </w:rPr>
              <w:t>联系人</w:t>
            </w:r>
          </w:p>
        </w:tc>
        <w:tc>
          <w:tcPr>
            <w:tcW w:w="2198" w:type="dxa"/>
            <w:vAlign w:val="top"/>
          </w:tcPr>
          <w:p>
            <w:pPr>
              <w:jc w:val="center"/>
              <w:rPr>
                <w:rFonts w:hint="eastAsia"/>
                <w:sz w:val="24"/>
              </w:rPr>
            </w:pPr>
          </w:p>
        </w:tc>
        <w:tc>
          <w:tcPr>
            <w:tcW w:w="1545" w:type="dxa"/>
            <w:gridSpan w:val="2"/>
            <w:vAlign w:val="top"/>
          </w:tcPr>
          <w:p>
            <w:pPr>
              <w:spacing w:line="300" w:lineRule="exact"/>
              <w:jc w:val="center"/>
              <w:textAlignment w:val="baseline"/>
              <w:rPr>
                <w:sz w:val="24"/>
              </w:rPr>
            </w:pPr>
            <w:r>
              <w:rPr>
                <w:b/>
                <w:sz w:val="24"/>
              </w:rPr>
              <w:t>联系电话</w:t>
            </w:r>
          </w:p>
        </w:tc>
        <w:tc>
          <w:tcPr>
            <w:tcW w:w="3075" w:type="dxa"/>
            <w:gridSpan w:val="2"/>
            <w:vAlign w:val="top"/>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704" w:type="dxa"/>
            <w:vAlign w:val="center"/>
          </w:tcPr>
          <w:p>
            <w:pPr>
              <w:spacing w:line="300" w:lineRule="exact"/>
              <w:jc w:val="center"/>
              <w:rPr>
                <w:b/>
                <w:sz w:val="24"/>
              </w:rPr>
            </w:pPr>
            <w:r>
              <w:rPr>
                <w:b/>
                <w:sz w:val="24"/>
              </w:rPr>
              <w:t>批文号</w:t>
            </w:r>
          </w:p>
        </w:tc>
        <w:tc>
          <w:tcPr>
            <w:tcW w:w="3383" w:type="dxa"/>
            <w:gridSpan w:val="2"/>
            <w:vAlign w:val="top"/>
          </w:tcPr>
          <w:p>
            <w:pPr>
              <w:spacing w:line="300" w:lineRule="exact"/>
              <w:jc w:val="center"/>
              <w:textAlignment w:val="baseline"/>
              <w:rPr>
                <w:sz w:val="24"/>
              </w:rPr>
            </w:pPr>
            <w:r>
              <w:rPr>
                <w:rFonts w:hint="eastAsia"/>
                <w:sz w:val="24"/>
                <w:lang w:eastAsia="zh-CN"/>
              </w:rPr>
              <w:t>昆生环</w:t>
            </w:r>
            <w:r>
              <w:rPr>
                <w:sz w:val="24"/>
              </w:rPr>
              <w:t>晋复[20</w:t>
            </w:r>
            <w:r>
              <w:rPr>
                <w:rFonts w:hint="eastAsia"/>
                <w:sz w:val="24"/>
                <w:lang w:val="en-US" w:eastAsia="zh-CN"/>
              </w:rPr>
              <w:t>22</w:t>
            </w:r>
            <w:r>
              <w:rPr>
                <w:sz w:val="24"/>
              </w:rPr>
              <w:t>]号</w:t>
            </w:r>
          </w:p>
        </w:tc>
        <w:tc>
          <w:tcPr>
            <w:tcW w:w="1395" w:type="dxa"/>
            <w:gridSpan w:val="2"/>
            <w:vAlign w:val="center"/>
          </w:tcPr>
          <w:p>
            <w:pPr>
              <w:jc w:val="center"/>
              <w:rPr>
                <w:b/>
                <w:sz w:val="24"/>
              </w:rPr>
            </w:pPr>
            <w:r>
              <w:rPr>
                <w:b/>
                <w:sz w:val="24"/>
              </w:rPr>
              <w:t>环评类型</w:t>
            </w:r>
          </w:p>
        </w:tc>
        <w:tc>
          <w:tcPr>
            <w:tcW w:w="2040" w:type="dxa"/>
            <w:vAlign w:val="center"/>
          </w:tcPr>
          <w:p>
            <w:pPr>
              <w:spacing w:line="300" w:lineRule="exact"/>
              <w:jc w:val="center"/>
              <w:textAlignment w:val="baseline"/>
              <w:rPr>
                <w:rFonts w:hint="eastAsia" w:eastAsia="宋体"/>
                <w:lang w:eastAsia="zh-CN"/>
              </w:rPr>
            </w:pPr>
            <w:r>
              <w:rPr>
                <w:rFonts w:hint="eastAsia"/>
                <w:sz w:val="24"/>
                <w:lang w:eastAsia="zh-CN"/>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5" w:hRule="atLeast"/>
        </w:trPr>
        <w:tc>
          <w:tcPr>
            <w:tcW w:w="1704" w:type="dxa"/>
            <w:vAlign w:val="center"/>
          </w:tcPr>
          <w:p>
            <w:pPr>
              <w:jc w:val="center"/>
              <w:rPr>
                <w:rFonts w:eastAsia="仿宋_GB2312"/>
                <w:b/>
                <w:sz w:val="28"/>
              </w:rPr>
            </w:pPr>
            <w:r>
              <w:rPr>
                <w:b/>
                <w:sz w:val="24"/>
              </w:rPr>
              <w:t>主要内容</w:t>
            </w:r>
          </w:p>
        </w:tc>
        <w:tc>
          <w:tcPr>
            <w:tcW w:w="6818"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00" w:lineRule="exact"/>
              <w:ind w:left="0" w:leftChars="0" w:right="0" w:rightChars="0" w:firstLine="480" w:firstLineChars="200"/>
              <w:jc w:val="both"/>
              <w:textAlignment w:val="bottom"/>
              <w:outlineLvl w:val="9"/>
              <w:rPr>
                <w:rFonts w:hint="eastAsia" w:ascii="宋体" w:hAnsi="宋体" w:cs="宋体"/>
                <w:color w:val="000000"/>
                <w:kern w:val="2"/>
                <w:sz w:val="24"/>
                <w:szCs w:val="20"/>
                <w:lang w:val="en-US" w:eastAsia="zh-CN"/>
              </w:rPr>
            </w:pPr>
            <w:r>
              <w:rPr>
                <w:rFonts w:hint="eastAsia" w:ascii="宋体" w:hAnsi="宋体" w:cs="宋体"/>
                <w:color w:val="000000"/>
                <w:kern w:val="2"/>
                <w:sz w:val="24"/>
                <w:szCs w:val="20"/>
                <w:lang w:val="en-US" w:eastAsia="zh-CN"/>
              </w:rPr>
              <w:t>项目建设地点位于晋宁工业园区二街基地，总占地面积7692.22m2，总建筑面积8486.67m2。项目租用的昆明市高欣南粤电源有限公司的厂区，租用了1栋生产厂房、1栋宿舍楼（3层）、1层办公楼、1间值班室、1间食堂。项目建设2条钢化玻璃生产线、2条中空钢化玻璃生产线、1条夹层钢化玻璃生产线以及配套的玻璃切割区、打磨区、清洗区、打孔区。项目总投资2000万元，其中环保投资12.7万元。</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00" w:lineRule="exact"/>
              <w:ind w:left="0" w:leftChars="0" w:right="0" w:rightChars="0" w:firstLine="480" w:firstLineChars="200"/>
              <w:jc w:val="both"/>
              <w:textAlignment w:val="bottom"/>
              <w:outlineLvl w:val="9"/>
              <w:rPr>
                <w:rFonts w:hint="eastAsia" w:ascii="宋体" w:hAnsi="宋体" w:cs="宋体"/>
                <w:color w:val="000000"/>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7" w:hRule="atLeast"/>
        </w:trPr>
        <w:tc>
          <w:tcPr>
            <w:tcW w:w="1704" w:type="dxa"/>
            <w:vAlign w:val="center"/>
          </w:tcPr>
          <w:p>
            <w:pPr>
              <w:jc w:val="center"/>
              <w:rPr>
                <w:b/>
                <w:sz w:val="24"/>
              </w:rPr>
            </w:pPr>
            <w:r>
              <w:rPr>
                <w:b/>
                <w:sz w:val="24"/>
              </w:rPr>
              <w:t>环评科意见</w:t>
            </w:r>
          </w:p>
        </w:tc>
        <w:tc>
          <w:tcPr>
            <w:tcW w:w="6818" w:type="dxa"/>
            <w:gridSpan w:val="5"/>
            <w:vAlign w:val="bottom"/>
          </w:tcPr>
          <w:p>
            <w:pPr>
              <w:jc w:val="left"/>
              <w:rPr>
                <w:rFonts w:eastAsia="仿宋_GB2312"/>
                <w:b/>
                <w:sz w:val="28"/>
              </w:rPr>
            </w:pPr>
            <w:r>
              <w:rPr>
                <w:rFonts w:eastAsia="仿宋_GB2312"/>
                <w:sz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8" w:hRule="atLeast"/>
        </w:trPr>
        <w:tc>
          <w:tcPr>
            <w:tcW w:w="1704" w:type="dxa"/>
            <w:vAlign w:val="center"/>
          </w:tcPr>
          <w:p>
            <w:pPr>
              <w:jc w:val="center"/>
              <w:rPr>
                <w:b/>
                <w:sz w:val="24"/>
              </w:rPr>
            </w:pPr>
            <w:r>
              <w:rPr>
                <w:b/>
                <w:sz w:val="24"/>
              </w:rPr>
              <w:t>分管领导</w:t>
            </w:r>
          </w:p>
          <w:p>
            <w:pPr>
              <w:jc w:val="center"/>
              <w:rPr>
                <w:b/>
                <w:sz w:val="24"/>
              </w:rPr>
            </w:pPr>
            <w:r>
              <w:rPr>
                <w:b/>
                <w:sz w:val="24"/>
              </w:rPr>
              <w:t>意    见</w:t>
            </w:r>
          </w:p>
        </w:tc>
        <w:tc>
          <w:tcPr>
            <w:tcW w:w="6818" w:type="dxa"/>
            <w:gridSpan w:val="5"/>
            <w:vAlign w:val="bottom"/>
          </w:tcPr>
          <w:p>
            <w:pPr>
              <w:ind w:left="1400" w:hanging="1400" w:hangingChars="500"/>
              <w:jc w:val="left"/>
              <w:rPr>
                <w:rFonts w:eastAsia="仿宋_GB2312"/>
                <w:sz w:val="28"/>
              </w:rPr>
            </w:pPr>
            <w:r>
              <w:rPr>
                <w:rFonts w:eastAsia="仿宋_GB2312"/>
                <w:sz w:val="28"/>
              </w:rPr>
              <w:t xml:space="preserve">                          年   月   日</w:t>
            </w:r>
          </w:p>
        </w:tc>
      </w:tr>
    </w:tbl>
    <w:p>
      <w:pPr>
        <w:spacing w:line="560" w:lineRule="exact"/>
        <w:ind w:left="0"/>
        <w:rPr>
          <w:rFonts w:hint="eastAsia" w:ascii="仿宋_GB2312" w:hAnsi="仿宋_GB2312" w:eastAsia="仿宋_GB2312" w:cs="仿宋_GB2312"/>
          <w:color w:val="auto"/>
          <w:sz w:val="28"/>
          <w:szCs w:val="28"/>
          <w:u w:val="single"/>
          <w:lang w:eastAsia="zh-CN"/>
        </w:rPr>
      </w:pPr>
    </w:p>
    <w:p/>
    <w:sectPr>
      <w:headerReference r:id="rId5" w:type="first"/>
      <w:footerReference r:id="rId8" w:type="first"/>
      <w:headerReference r:id="rId3" w:type="default"/>
      <w:footerReference r:id="rId6" w:type="default"/>
      <w:headerReference r:id="rId4" w:type="even"/>
      <w:footerReference r:id="rId7" w:type="even"/>
      <w:footnotePr>
        <w:numFmt w:val="decimalHalfWidth"/>
      </w:footnotePr>
      <w:endnotePr>
        <w:numFmt w:val="chineseCounting"/>
      </w:endnotePr>
      <w:pgSz w:w="11905" w:h="16837"/>
      <w:pgMar w:top="1440" w:right="1797" w:bottom="1440" w:left="1797" w:header="567" w:footer="113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穝灿砰">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Noto Sans CJK JP Regular">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日记字体">
    <w:altName w:val="MS Mincho"/>
    <w:panose1 w:val="03000600000000000000"/>
    <w:charset w:val="80"/>
    <w:family w:val="auto"/>
    <w:pitch w:val="default"/>
    <w:sig w:usb0="00000000" w:usb1="00000000" w:usb2="00000016" w:usb3="00000000" w:csb0="40020001" w:csb1="C0D60000"/>
  </w:font>
  <w:font w:name="Dotum">
    <w:panose1 w:val="020B0600000101010101"/>
    <w:charset w:val="81"/>
    <w:family w:val="auto"/>
    <w:pitch w:val="default"/>
    <w:sig w:usb0="B00002AF" w:usb1="69D77CFB" w:usb2="00000030" w:usb3="00000000" w:csb0="4008009F" w:csb1="DFD70000"/>
  </w:font>
  <w:font w:name="MingLiU_HKSCS">
    <w:panose1 w:val="02020500000000000000"/>
    <w:charset w:val="88"/>
    <w:family w:val="auto"/>
    <w:pitch w:val="default"/>
    <w:sig w:usb0="A00002FF" w:usb1="38CFFCFA" w:usb2="00000016" w:usb3="00000000" w:csb0="00100001" w:csb1="00000000"/>
  </w:font>
  <w:font w:name="Aparajita">
    <w:panose1 w:val="020B0604020202020204"/>
    <w:charset w:val="00"/>
    <w:family w:val="auto"/>
    <w:pitch w:val="default"/>
    <w:sig w:usb0="00008003" w:usb1="00000000" w:usb2="00000000" w:usb3="00000000" w:csb0="00000001" w:csb1="00000000"/>
  </w:font>
  <w:font w:name="Brush Script MT">
    <w:panose1 w:val="030608020404060703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Cordia New">
    <w:panose1 w:val="020B0304020202020204"/>
    <w:charset w:val="00"/>
    <w:family w:val="auto"/>
    <w:pitch w:val="default"/>
    <w:sig w:usb0="81000003" w:usb1="00000000" w:usb2="00000000" w:usb3="00000000" w:csb0="00010001" w:csb1="00000000"/>
  </w:font>
  <w:font w:name="Edwardian Script ITC">
    <w:panose1 w:val="030303020407070D0804"/>
    <w:charset w:val="00"/>
    <w:family w:val="auto"/>
    <w:pitch w:val="default"/>
    <w:sig w:usb0="00000003" w:usb1="00000000" w:usb2="00000000" w:usb3="00000000" w:csb0="20000001" w:csb1="00000000"/>
  </w:font>
  <w:font w:name="Forte">
    <w:panose1 w:val="03060902040502070203"/>
    <w:charset w:val="00"/>
    <w:family w:val="auto"/>
    <w:pitch w:val="default"/>
    <w:sig w:usb0="00000003" w:usb1="00000000" w:usb2="00000000" w:usb3="00000000" w:csb0="20000001" w:csb1="00000000"/>
  </w:font>
  <w:font w:name="Traditional Arabic">
    <w:panose1 w:val="02020603050405020304"/>
    <w:charset w:val="00"/>
    <w:family w:val="auto"/>
    <w:pitch w:val="default"/>
    <w:sig w:usb0="00006003" w:usb1="80000000" w:usb2="00000008" w:usb3="00000000" w:csb0="00000041" w:csb1="2008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spacing w:line="1" w:lineRule="atLeast"/>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59450" cy="179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jc w:val="center"/>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61312;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IKV0aKfAQAAJAMAAA4AAAAAAAAA&#10;AQAgAAAAIwEAAGRycy9lMm9Eb2MueG1sUEsFBgAAAAAGAAYAWQEAADQFAAAAAA==&#10;">
              <v:fill on="f" focussize="0,0"/>
              <v:stroke on="f"/>
              <v:imagedata o:title=""/>
              <o:lock v:ext="edit" aspectratio="f"/>
              <v:textbox inset="0mm,0mm,0mm,0mm">
                <w:txbxContent>
                  <w:p>
                    <w:pPr>
                      <w:spacing w:line="334" w:lineRule="atLeast"/>
                      <w:jc w:val="center"/>
                      <w:rPr>
                        <w:rFonts w:hint="eastAsia"/>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spacing w:line="1" w:lineRule="atLeast"/>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59450" cy="1797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jc w:val="center"/>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60288;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AfNSOOfAQAAJAMAAA4AAAAAAAAA&#10;AQAgAAAAIwEAAGRycy9lMm9Eb2MueG1sUEsFBgAAAAAGAAYAWQEAADQFAAAAAA==&#10;">
              <v:fill on="f" focussize="0,0"/>
              <v:stroke on="f"/>
              <v:imagedata o:title=""/>
              <o:lock v:ext="edit" aspectratio="f"/>
              <v:textbox inset="0mm,0mm,0mm,0mm">
                <w:txbxContent>
                  <w:p>
                    <w:pPr>
                      <w:spacing w:line="334" w:lineRule="atLeast"/>
                      <w:jc w:val="center"/>
                      <w:rPr>
                        <w:rFonts w:hint="eastAsia"/>
                        <w:sz w:val="2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59450" cy="1797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59264;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G0QLDUAAAABAEAAA8AAAAAAAAAAQAg&#10;AAAAIgAAAGRycy9kb3ducmV2LnhtbFBLAQIUABQAAAAIAIdO4kDqC5fsoAEAACQDAAAOAAAAAAAA&#10;AAEAIAAAACMBAABkcnMvZTJvRG9jLnhtbFBLBQYAAAAABgAGAFkBAAA1BQ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59450" cy="1797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58240;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GXiPC6fAQAAJAMAAA4AAAAAAAAA&#10;AQAgAAAAIwEAAGRycy9lMm9Eb2MueG1sUEsFBgAAAAAGAAYAWQEAADQFA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HalfWidth"/>
  </w:footnotePr>
  <w:endnotePr>
    <w:numFmt w:val="chineseCounting"/>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43D51"/>
    <w:rsid w:val="04757361"/>
    <w:rsid w:val="09230D26"/>
    <w:rsid w:val="0A1779E9"/>
    <w:rsid w:val="0EC14A92"/>
    <w:rsid w:val="0FBA7852"/>
    <w:rsid w:val="10FE3254"/>
    <w:rsid w:val="14D226BA"/>
    <w:rsid w:val="1540427C"/>
    <w:rsid w:val="27CB225E"/>
    <w:rsid w:val="388E2262"/>
    <w:rsid w:val="4A202709"/>
    <w:rsid w:val="5235334B"/>
    <w:rsid w:val="58F17395"/>
    <w:rsid w:val="651112E7"/>
    <w:rsid w:val="662A6E9B"/>
    <w:rsid w:val="66D24A56"/>
    <w:rsid w:val="697B10EF"/>
    <w:rsid w:val="6C9B772A"/>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beforeLines="0" w:beforeAutospacing="0" w:after="0" w:afterLines="0" w:afterAutospacing="0" w:line="365" w:lineRule="atLeast"/>
      <w:ind w:left="1" w:right="0" w:firstLine="0" w:firstLineChars="0"/>
      <w:jc w:val="both"/>
      <w:textAlignment w:val="bottom"/>
    </w:pPr>
    <w:rPr>
      <w:rFonts w:ascii="Times New Roman" w:hAnsi="Times New Roman" w:eastAsia="宋体" w:cs="Times New Roman"/>
    </w:rPr>
  </w:style>
  <w:style w:type="paragraph" w:styleId="3">
    <w:name w:val="heading 1"/>
    <w:basedOn w:val="1"/>
    <w:next w:val="1"/>
    <w:qFormat/>
    <w:uiPriority w:val="0"/>
    <w:pPr>
      <w:spacing w:before="104" w:beforeLines="0" w:beforeAutospacing="0" w:after="104" w:afterLines="0" w:afterAutospacing="0" w:line="0" w:lineRule="atLeast"/>
      <w:ind w:firstLine="0" w:firstLineChars="0"/>
      <w:jc w:val="center"/>
    </w:pPr>
    <w:rPr>
      <w:rFonts w:ascii="Arial" w:hAnsi="Arial" w:eastAsia="穝灿砰"/>
      <w:sz w:val="32"/>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1"/>
    <w:qFormat/>
    <w:uiPriority w:val="0"/>
    <w:pPr>
      <w:spacing w:line="480" w:lineRule="exact"/>
      <w:ind w:firstLine="425"/>
    </w:pPr>
    <w:rPr>
      <w:rFonts w:ascii="宋体" w:hAnsi="Courier New"/>
      <w:spacing w:val="16"/>
      <w:sz w:val="24"/>
      <w:szCs w:val="20"/>
    </w:rPr>
  </w:style>
  <w:style w:type="paragraph" w:styleId="4">
    <w:name w:val="Body Text First Indent"/>
    <w:basedOn w:val="5"/>
    <w:next w:val="1"/>
    <w:qFormat/>
    <w:uiPriority w:val="0"/>
    <w:pPr>
      <w:ind w:firstLine="420" w:firstLineChars="100"/>
    </w:pPr>
  </w:style>
  <w:style w:type="paragraph" w:styleId="5">
    <w:name w:val="Body Text"/>
    <w:basedOn w:val="1"/>
    <w:next w:val="1"/>
    <w:qFormat/>
    <w:uiPriority w:val="0"/>
    <w:pPr>
      <w:spacing w:after="120" w:afterLines="0" w:afterAutospacing="0"/>
    </w:pPr>
  </w:style>
  <w:style w:type="paragraph" w:styleId="6">
    <w:name w:val="Body Text Indent"/>
    <w:basedOn w:val="1"/>
    <w:qFormat/>
    <w:uiPriority w:val="0"/>
    <w:pPr>
      <w:spacing w:after="120" w:afterLines="0" w:afterAutospacing="0"/>
      <w:ind w:left="420" w:leftChars="200"/>
    </w:pPr>
  </w:style>
  <w:style w:type="paragraph" w:styleId="7">
    <w:name w:val="footer"/>
    <w:basedOn w:val="1"/>
    <w:qFormat/>
    <w:uiPriority w:val="0"/>
    <w:pPr>
      <w:tabs>
        <w:tab w:val="center" w:pos="4153"/>
        <w:tab w:val="right" w:pos="8306"/>
      </w:tabs>
      <w:snapToGrid w:val="0"/>
      <w:spacing w:line="240" w:lineRule="atLeast"/>
      <w:jc w:val="left"/>
    </w:pPr>
    <w:rPr>
      <w:sz w:val="18"/>
      <w:szCs w:val="18"/>
    </w:rPr>
  </w:style>
  <w:style w:type="paragraph" w:styleId="8">
    <w:name w:val="Body Text First Indent 2"/>
    <w:basedOn w:val="6"/>
    <w:next w:val="1"/>
    <w:qFormat/>
    <w:uiPriority w:val="0"/>
    <w:pPr>
      <w:ind w:firstLine="420" w:firstLineChars="200"/>
    </w:pPr>
  </w:style>
  <w:style w:type="paragraph" w:styleId="9">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11">
    <w:name w:val="page number"/>
    <w:basedOn w:val="10"/>
    <w:qFormat/>
    <w:uiPriority w:val="0"/>
  </w:style>
  <w:style w:type="paragraph" w:customStyle="1" w:styleId="13">
    <w:name w:val="样式 标题 1 + 四号 段前: 0 磅 段后: 0 磅 行距: 1.5 倍行距"/>
    <w:basedOn w:val="3"/>
    <w:next w:val="14"/>
    <w:qFormat/>
    <w:uiPriority w:val="0"/>
    <w:pPr>
      <w:spacing w:line="360" w:lineRule="auto"/>
      <w:jc w:val="center"/>
    </w:pPr>
  </w:style>
  <w:style w:type="paragraph" w:customStyle="1" w:styleId="14">
    <w:name w:val="文本正文"/>
    <w:basedOn w:val="1"/>
    <w:qFormat/>
    <w:uiPriority w:val="0"/>
    <w:pPr>
      <w:snapToGrid w:val="0"/>
      <w:spacing w:line="360" w:lineRule="auto"/>
      <w:ind w:firstLine="510"/>
      <w:jc w:val="left"/>
    </w:pPr>
    <w:rPr>
      <w:spacing w:val="4"/>
      <w:kern w:val="24"/>
      <w:szCs w:val="24"/>
      <w:lang w:val="zh-CN"/>
    </w:rPr>
  </w:style>
  <w:style w:type="paragraph" w:customStyle="1" w:styleId="15">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XSD</dc:creator>
  <cp:lastModifiedBy>NTKO</cp:lastModifiedBy>
  <cp:lastPrinted>2022-08-02T05:53:07Z</cp:lastPrinted>
  <dcterms:modified xsi:type="dcterms:W3CDTF">2022-08-02T05:53:36Z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