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22〕31</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spacing w:val="20"/>
          <w:sz w:val="44"/>
          <w:lang w:val="en-US" w:eastAsia="zh-CN"/>
        </w:rPr>
      </w:pPr>
      <w:r>
        <w:rPr>
          <w:b/>
          <w:spacing w:val="20"/>
          <w:sz w:val="44"/>
        </w:rPr>
        <w:t>关于对《</w:t>
      </w:r>
      <w:r>
        <w:rPr>
          <w:rFonts w:hint="eastAsia"/>
          <w:b/>
          <w:spacing w:val="20"/>
          <w:sz w:val="44"/>
          <w:lang w:val="en-US" w:eastAsia="zh-CN"/>
        </w:rPr>
        <w:t>2000万条/年摩托车、电动自行车、自行车内外轮胎生产线技术升级</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rFonts w:hint="eastAsia"/>
          <w:b/>
          <w:spacing w:val="20"/>
          <w:sz w:val="44"/>
          <w:lang w:val="en-US" w:eastAsia="zh-CN"/>
        </w:rPr>
        <w:t>项目</w:t>
      </w:r>
      <w:r>
        <w:rPr>
          <w:rFonts w:hint="eastAsia"/>
          <w:b/>
          <w:sz w:val="44"/>
          <w:szCs w:val="22"/>
        </w:rPr>
        <w:t>环境影响</w:t>
      </w:r>
      <w:r>
        <w:rPr>
          <w:rFonts w:hint="eastAsia"/>
          <w:b/>
          <w:sz w:val="44"/>
          <w:szCs w:val="22"/>
          <w:lang w:eastAsia="zh-CN"/>
        </w:rPr>
        <w:t>报告书</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昆明云仁轮胎制造</w:t>
      </w:r>
      <w:r>
        <w:rPr>
          <w:rFonts w:hint="eastAsia" w:ascii="Times New Roman" w:hAnsi="Times New Roman" w:eastAsia="华文仿宋" w:cs="Times New Roman"/>
          <w:sz w:val="32"/>
          <w:szCs w:val="22"/>
          <w:lang w:val="en-US" w:eastAsia="zh-CN"/>
        </w:rPr>
        <w:t>有限公司：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w:t>
      </w:r>
      <w:r>
        <w:rPr>
          <w:rFonts w:hint="eastAsia" w:eastAsia="华文仿宋" w:cs="Times New Roman"/>
          <w:sz w:val="32"/>
          <w:szCs w:val="22"/>
          <w:lang w:val="en-US" w:eastAsia="zh-CN"/>
        </w:rPr>
        <w:t>环润环保科技</w:t>
      </w:r>
      <w:r>
        <w:rPr>
          <w:rFonts w:hint="eastAsia" w:ascii="Times New Roman" w:hAnsi="Times New Roman" w:eastAsia="华文仿宋" w:cs="Times New Roman"/>
          <w:sz w:val="32"/>
          <w:szCs w:val="22"/>
          <w:lang w:val="en-US" w:eastAsia="zh-CN"/>
        </w:rPr>
        <w:t>有限公司编制的《2000万条/年摩托车、电动自行车、自行车内外轮胎生产线技术升级</w:t>
      </w:r>
    </w:p>
    <w:p>
      <w:pPr>
        <w:spacing w:line="560" w:lineRule="exact"/>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项目环境影响报告</w:t>
      </w:r>
      <w:r>
        <w:rPr>
          <w:rFonts w:hint="eastAsia" w:eastAsia="华文仿宋" w:cs="Times New Roman"/>
          <w:sz w:val="32"/>
          <w:szCs w:val="22"/>
          <w:lang w:val="en-US" w:eastAsia="zh-CN"/>
        </w:rPr>
        <w:t>书</w:t>
      </w:r>
      <w:r>
        <w:rPr>
          <w:rFonts w:hint="eastAsia" w:ascii="Times New Roman" w:hAnsi="Times New Roman" w:eastAsia="华文仿宋" w:cs="Times New Roman"/>
          <w:sz w:val="32"/>
          <w:szCs w:val="22"/>
          <w:lang w:val="en-US" w:eastAsia="zh-CN"/>
        </w:rPr>
        <w:t>》(以下简称《报告</w:t>
      </w:r>
      <w:r>
        <w:rPr>
          <w:rFonts w:hint="eastAsia" w:eastAsia="华文仿宋" w:cs="Times New Roman"/>
          <w:sz w:val="32"/>
          <w:szCs w:val="22"/>
          <w:lang w:val="en-US" w:eastAsia="zh-CN"/>
        </w:rPr>
        <w:t>书</w:t>
      </w:r>
      <w:r>
        <w:rPr>
          <w:rFonts w:hint="eastAsia" w:ascii="Times New Roman" w:hAnsi="Times New Roman" w:eastAsia="华文仿宋" w:cs="Times New Roman"/>
          <w:sz w:val="32"/>
          <w:szCs w:val="22"/>
          <w:lang w:val="en-US" w:eastAsia="zh-CN"/>
        </w:rPr>
        <w:t>》)收悉。根据《中华人民共和国环境影响评价法》第二十二条、《建设项目环境保护管理条例》第九条，经研究，批复如下：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w:t>
      </w:r>
      <w:r>
        <w:rPr>
          <w:rFonts w:ascii="Times New Roman" w:hAnsi="Times New Roman" w:eastAsia="华文仿宋" w:cs="Times New Roman"/>
          <w:sz w:val="32"/>
          <w:szCs w:val="22"/>
          <w:lang w:val="en-US"/>
        </w:rPr>
        <w:t>项目位于昆明市晋宁工业园区</w:t>
      </w:r>
      <w:r>
        <w:rPr>
          <w:rFonts w:hint="eastAsia" w:eastAsia="华文仿宋" w:cs="Times New Roman"/>
          <w:sz w:val="32"/>
          <w:szCs w:val="22"/>
          <w:lang w:val="en-US" w:eastAsia="zh-CN"/>
        </w:rPr>
        <w:t>上蒜</w:t>
      </w:r>
      <w:r>
        <w:rPr>
          <w:rFonts w:ascii="Times New Roman" w:hAnsi="Times New Roman" w:eastAsia="华文仿宋" w:cs="Times New Roman"/>
          <w:sz w:val="32"/>
          <w:szCs w:val="22"/>
          <w:lang w:val="en-US"/>
        </w:rPr>
        <w:t>基地，</w:t>
      </w:r>
      <w:r>
        <w:rPr>
          <w:rFonts w:hint="eastAsia" w:eastAsia="华文仿宋" w:cs="Times New Roman"/>
          <w:sz w:val="32"/>
          <w:szCs w:val="22"/>
          <w:lang w:val="en-US" w:eastAsia="zh-CN"/>
        </w:rPr>
        <w:t>本次扩建在原有项目基础上进行，主要扩建内容为增加68台硫化设备，淘汰部分老旧设备，对现有环保工程进行完善。项目建成后实现年产1600万条摩托车、电动自行车内外轮胎。</w:t>
      </w:r>
      <w:r>
        <w:rPr>
          <w:rFonts w:hint="eastAsia" w:ascii="Times New Roman" w:hAnsi="Times New Roman" w:eastAsia="华文仿宋" w:cs="Times New Roman"/>
          <w:sz w:val="32"/>
          <w:szCs w:val="22"/>
          <w:lang w:val="en-US"/>
        </w:rPr>
        <w:t>项目</w:t>
      </w:r>
      <w:r>
        <w:rPr>
          <w:rFonts w:hint="eastAsia" w:ascii="Times New Roman" w:hAnsi="Times New Roman" w:eastAsia="华文仿宋" w:cs="Times New Roman"/>
          <w:sz w:val="32"/>
          <w:szCs w:val="22"/>
        </w:rPr>
        <w:t>总投资</w:t>
      </w:r>
      <w:r>
        <w:rPr>
          <w:rFonts w:hint="eastAsia" w:ascii="Times New Roman" w:hAnsi="Times New Roman" w:eastAsia="华文仿宋" w:cs="Times New Roman"/>
          <w:sz w:val="32"/>
          <w:szCs w:val="22"/>
          <w:lang w:val="en-US" w:eastAsia="zh-CN"/>
        </w:rPr>
        <w:t>1</w:t>
      </w:r>
      <w:r>
        <w:rPr>
          <w:rFonts w:hint="eastAsia" w:eastAsia="华文仿宋" w:cs="Times New Roman"/>
          <w:sz w:val="32"/>
          <w:szCs w:val="22"/>
          <w:lang w:val="en-US" w:eastAsia="zh-CN"/>
        </w:rPr>
        <w:t>0</w:t>
      </w:r>
      <w:r>
        <w:rPr>
          <w:rFonts w:hint="eastAsia" w:ascii="Times New Roman" w:hAnsi="Times New Roman" w:eastAsia="华文仿宋" w:cs="Times New Roman"/>
          <w:sz w:val="32"/>
          <w:szCs w:val="22"/>
          <w:lang w:val="en-US" w:eastAsia="zh-CN"/>
        </w:rPr>
        <w:t>00</w:t>
      </w:r>
      <w:r>
        <w:rPr>
          <w:rFonts w:hint="eastAsia" w:ascii="Times New Roman" w:hAnsi="Times New Roman" w:eastAsia="华文仿宋" w:cs="Times New Roman"/>
          <w:sz w:val="32"/>
          <w:szCs w:val="22"/>
          <w:lang w:val="en-US"/>
        </w:rPr>
        <w:t>万元，其中环保投资</w:t>
      </w:r>
      <w:r>
        <w:rPr>
          <w:rFonts w:hint="eastAsia" w:eastAsia="华文仿宋" w:cs="Times New Roman"/>
          <w:sz w:val="32"/>
          <w:szCs w:val="22"/>
          <w:lang w:val="en-US" w:eastAsia="zh-CN"/>
        </w:rPr>
        <w:t>92</w:t>
      </w:r>
      <w:r>
        <w:rPr>
          <w:rFonts w:hint="eastAsia" w:ascii="Times New Roman" w:hAnsi="Times New Roman" w:eastAsia="华文仿宋" w:cs="Times New Roman"/>
          <w:sz w:val="32"/>
          <w:szCs w:val="22"/>
          <w:lang w:val="en-US"/>
        </w:rPr>
        <w:t>万元</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w:t>
      </w:r>
      <w:r>
        <w:rPr>
          <w:rFonts w:hint="eastAsia" w:eastAsia="华文仿宋" w:cs="Times New Roman"/>
          <w:sz w:val="32"/>
          <w:szCs w:val="22"/>
          <w:lang w:val="en-US" w:eastAsia="zh-CN"/>
        </w:rPr>
        <w:t>书</w:t>
      </w:r>
      <w:r>
        <w:rPr>
          <w:rFonts w:hint="default" w:ascii="Times New Roman" w:hAnsi="Times New Roman" w:eastAsia="华文仿宋" w:cs="Times New Roman"/>
          <w:sz w:val="32"/>
          <w:szCs w:val="22"/>
          <w:lang w:val="en-US" w:eastAsia="zh-CN"/>
        </w:rPr>
        <w:t>》所述工程内容、规模、功能以及环保对策措施，同意《报告</w:t>
      </w:r>
      <w:r>
        <w:rPr>
          <w:rFonts w:hint="eastAsia" w:eastAsia="华文仿宋" w:cs="Times New Roman"/>
          <w:sz w:val="32"/>
          <w:szCs w:val="22"/>
          <w:lang w:val="en-US" w:eastAsia="zh-CN"/>
        </w:rPr>
        <w:t>书</w:t>
      </w:r>
      <w:r>
        <w:rPr>
          <w:rFonts w:hint="default" w:ascii="Times New Roman" w:hAnsi="Times New Roman" w:eastAsia="华文仿宋" w:cs="Times New Roman"/>
          <w:sz w:val="32"/>
          <w:szCs w:val="22"/>
          <w:lang w:val="en-US" w:eastAsia="zh-CN"/>
        </w:rPr>
        <w:t>》结论。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eastAsia"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冷却水循环使用不外排。项目</w:t>
      </w:r>
      <w:r>
        <w:rPr>
          <w:rFonts w:hint="eastAsia" w:eastAsia="华文仿宋" w:cs="Times New Roman"/>
          <w:sz w:val="32"/>
          <w:szCs w:val="22"/>
          <w:lang w:val="en-US" w:eastAsia="zh-CN"/>
        </w:rPr>
        <w:t>锅炉软水制备及锅炉使用过程中产生的浓排水，同经隔油池处理后的食堂废水、办公废水、清洁废水经</w:t>
      </w:r>
      <w:r>
        <w:rPr>
          <w:rFonts w:hint="eastAsia" w:ascii="Times New Roman" w:hAnsi="Times New Roman" w:eastAsia="华文仿宋" w:cs="Times New Roman"/>
          <w:sz w:val="32"/>
          <w:szCs w:val="22"/>
          <w:lang w:val="en-US" w:eastAsia="zh-CN"/>
        </w:rPr>
        <w:t>化粪池处理</w:t>
      </w:r>
      <w:r>
        <w:rPr>
          <w:rFonts w:hint="default" w:ascii="Times New Roman" w:hAnsi="Times New Roman" w:eastAsia="华文仿宋" w:cs="Times New Roman"/>
          <w:sz w:val="32"/>
          <w:szCs w:val="22"/>
          <w:lang w:val="en-US" w:eastAsia="zh-CN"/>
        </w:rPr>
        <w:t>达GB/T31962-2015《污水排入城镇下水道水质标准》表1A级等级标准，即：pH值6.5-9.5、SS≤400mg/L、CODcr≤500mg/L、BOD5≤350mg/L、氨氮≤45mg/L、T-P≤8.0mg/L、动物油≤100mg/L，</w:t>
      </w:r>
      <w:r>
        <w:rPr>
          <w:rFonts w:hint="eastAsia" w:ascii="Times New Roman" w:hAnsi="Times New Roman" w:eastAsia="华文仿宋" w:cs="Times New Roman"/>
          <w:sz w:val="32"/>
          <w:szCs w:val="22"/>
        </w:rPr>
        <w:t>然后排入园区污水管网，最终进入</w:t>
      </w:r>
      <w:r>
        <w:rPr>
          <w:rFonts w:hint="eastAsia" w:eastAsia="华文仿宋" w:cs="Times New Roman"/>
          <w:sz w:val="32"/>
          <w:szCs w:val="22"/>
          <w:lang w:eastAsia="zh-CN"/>
        </w:rPr>
        <w:t>白鱼</w:t>
      </w:r>
      <w:r>
        <w:rPr>
          <w:rFonts w:hint="eastAsia" w:ascii="Times New Roman" w:hAnsi="Times New Roman" w:eastAsia="华文仿宋" w:cs="Times New Roman"/>
          <w:sz w:val="32"/>
          <w:szCs w:val="22"/>
        </w:rPr>
        <w:t>河</w:t>
      </w:r>
      <w:r>
        <w:rPr>
          <w:rFonts w:hint="eastAsia" w:eastAsia="华文仿宋" w:cs="Times New Roman"/>
          <w:sz w:val="32"/>
          <w:szCs w:val="22"/>
          <w:lang w:eastAsia="zh-CN"/>
        </w:rPr>
        <w:t>水质净化</w:t>
      </w:r>
      <w:r>
        <w:rPr>
          <w:rFonts w:hint="eastAsia" w:ascii="Times New Roman" w:hAnsi="Times New Roman" w:eastAsia="华文仿宋" w:cs="Times New Roman"/>
          <w:sz w:val="32"/>
          <w:szCs w:val="22"/>
        </w:rPr>
        <w:t>厂。</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eastAsia="zh-CN"/>
        </w:rPr>
        <w:t>废水污染物总量控制指标：</w:t>
      </w:r>
      <w:r>
        <w:rPr>
          <w:rFonts w:ascii="Times New Roman" w:hAnsi="Times New Roman" w:eastAsia="华文仿宋" w:cs="Times New Roman"/>
          <w:sz w:val="32"/>
          <w:szCs w:val="22"/>
        </w:rPr>
        <w:t>废水量：</w:t>
      </w:r>
      <w:r>
        <w:rPr>
          <w:rFonts w:hint="eastAsia" w:eastAsia="华文仿宋" w:cs="Times New Roman"/>
          <w:sz w:val="32"/>
          <w:szCs w:val="22"/>
          <w:lang w:val="en-US" w:eastAsia="zh-CN"/>
        </w:rPr>
        <w:t>7453.8</w:t>
      </w:r>
      <w:r>
        <w:rPr>
          <w:rFonts w:ascii="Times New Roman" w:hAnsi="Times New Roman" w:eastAsia="华文仿宋" w:cs="Times New Roman"/>
          <w:sz w:val="32"/>
          <w:szCs w:val="22"/>
        </w:rPr>
        <w:t>m</w:t>
      </w:r>
      <w:r>
        <w:rPr>
          <w:rFonts w:ascii="Times New Roman" w:hAnsi="Times New Roman" w:eastAsia="华文仿宋" w:cs="Times New Roman"/>
          <w:sz w:val="32"/>
          <w:szCs w:val="22"/>
          <w:vertAlign w:val="superscript"/>
        </w:rPr>
        <w:t>3</w:t>
      </w:r>
      <w:r>
        <w:rPr>
          <w:rFonts w:ascii="Times New Roman" w:hAnsi="Times New Roman" w:eastAsia="华文仿宋" w:cs="Times New Roman"/>
          <w:sz w:val="32"/>
          <w:szCs w:val="22"/>
        </w:rPr>
        <w:t>/a，CODcr：</w:t>
      </w:r>
      <w:r>
        <w:rPr>
          <w:rFonts w:hint="eastAsia" w:eastAsia="华文仿宋" w:cs="Times New Roman"/>
          <w:sz w:val="32"/>
          <w:szCs w:val="22"/>
          <w:lang w:val="en-US" w:eastAsia="zh-CN"/>
        </w:rPr>
        <w:t>0.477</w:t>
      </w:r>
      <w:r>
        <w:rPr>
          <w:rFonts w:ascii="Times New Roman" w:hAnsi="Times New Roman" w:eastAsia="华文仿宋" w:cs="Times New Roman"/>
          <w:sz w:val="32"/>
          <w:szCs w:val="22"/>
        </w:rPr>
        <w:t>t/a、氨氮：</w:t>
      </w:r>
      <w:r>
        <w:rPr>
          <w:rFonts w:hint="eastAsia" w:eastAsia="华文仿宋" w:cs="Times New Roman"/>
          <w:sz w:val="32"/>
          <w:szCs w:val="22"/>
          <w:lang w:val="en-US" w:eastAsia="zh-CN"/>
        </w:rPr>
        <w:t>0.02</w:t>
      </w:r>
      <w:r>
        <w:rPr>
          <w:rFonts w:ascii="Times New Roman" w:hAnsi="Times New Roman" w:eastAsia="华文仿宋" w:cs="Times New Roman"/>
          <w:sz w:val="32"/>
          <w:szCs w:val="22"/>
        </w:rPr>
        <w:t>t/a、总磷：</w:t>
      </w:r>
      <w:r>
        <w:rPr>
          <w:rFonts w:hint="eastAsia" w:eastAsia="华文仿宋" w:cs="Times New Roman"/>
          <w:sz w:val="32"/>
          <w:szCs w:val="22"/>
          <w:lang w:val="en-US" w:eastAsia="zh-CN"/>
        </w:rPr>
        <w:t>0.002</w:t>
      </w:r>
      <w:r>
        <w:rPr>
          <w:rFonts w:ascii="Times New Roman" w:hAnsi="Times New Roman" w:eastAsia="华文仿宋" w:cs="Times New Roman"/>
          <w:sz w:val="32"/>
          <w:szCs w:val="22"/>
        </w:rPr>
        <w:t>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rPr>
        <w:t>三、</w:t>
      </w:r>
      <w:r>
        <w:rPr>
          <w:rFonts w:hint="default" w:ascii="Times New Roman" w:hAnsi="Times New Roman" w:eastAsia="华文仿宋" w:cs="Times New Roman"/>
          <w:sz w:val="32"/>
          <w:szCs w:val="22"/>
          <w:lang w:val="en-US" w:eastAsia="zh-CN"/>
        </w:rPr>
        <w:t>项目运营期产生的废气主要</w:t>
      </w:r>
      <w:r>
        <w:rPr>
          <w:rFonts w:hint="eastAsia" w:eastAsia="华文仿宋" w:cs="Times New Roman"/>
          <w:sz w:val="32"/>
          <w:szCs w:val="22"/>
          <w:lang w:val="en-US" w:eastAsia="zh-CN"/>
        </w:rPr>
        <w:t>为炼胶工段废气、硫化工段废气及锅炉废气</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项目产生废气的车间应合理布局，加强通风。</w:t>
      </w:r>
      <w:r>
        <w:rPr>
          <w:rFonts w:hint="eastAsia"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炼胶车间1#、炼胶车间2#的进料口、炼胶机、密炼机上方分别设置集气罩，经集气罩收集后通过布袋除尘器+UV光氧催化氧化装置+2</w:t>
      </w:r>
      <w:r>
        <w:rPr>
          <w:rFonts w:hint="eastAsia" w:ascii="Times New Roman" w:hAnsi="Times New Roman" w:eastAsia="华文仿宋" w:cs="Times New Roman"/>
          <w:sz w:val="32"/>
          <w:szCs w:val="22"/>
          <w:lang w:val="en-US" w:eastAsia="zh-CN"/>
        </w:rPr>
        <w:t>级活性炭</w:t>
      </w:r>
      <w:r>
        <w:rPr>
          <w:rFonts w:hint="eastAsia" w:eastAsia="华文仿宋" w:cs="Times New Roman"/>
          <w:sz w:val="32"/>
          <w:szCs w:val="22"/>
          <w:lang w:val="en-US" w:eastAsia="zh-CN"/>
        </w:rPr>
        <w:t>床</w:t>
      </w:r>
      <w:r>
        <w:rPr>
          <w:rFonts w:hint="eastAsia" w:ascii="Times New Roman" w:hAnsi="Times New Roman" w:eastAsia="华文仿宋" w:cs="Times New Roman"/>
          <w:sz w:val="32"/>
          <w:szCs w:val="22"/>
          <w:lang w:val="en-US" w:eastAsia="zh-CN"/>
        </w:rPr>
        <w:t>处理</w:t>
      </w:r>
      <w:r>
        <w:rPr>
          <w:rFonts w:hint="eastAsia" w:eastAsia="华文仿宋" w:cs="Times New Roman"/>
          <w:sz w:val="32"/>
          <w:szCs w:val="22"/>
          <w:lang w:val="en-US" w:eastAsia="zh-CN"/>
        </w:rPr>
        <w:t>后</w:t>
      </w:r>
      <w:r>
        <w:rPr>
          <w:rFonts w:hint="eastAsia"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经2根</w:t>
      </w:r>
      <w:r>
        <w:rPr>
          <w:rFonts w:hint="eastAsia" w:ascii="Times New Roman" w:hAnsi="Times New Roman" w:eastAsia="华文仿宋" w:cs="Times New Roman"/>
          <w:sz w:val="32"/>
          <w:szCs w:val="22"/>
          <w:lang w:val="en-US" w:eastAsia="zh-CN"/>
        </w:rPr>
        <w:t>15米高排气筒DA00</w:t>
      </w:r>
      <w:r>
        <w:rPr>
          <w:rFonts w:hint="eastAsia" w:eastAsia="华文仿宋" w:cs="Times New Roman"/>
          <w:sz w:val="32"/>
          <w:szCs w:val="22"/>
          <w:lang w:val="en-US" w:eastAsia="zh-CN"/>
        </w:rPr>
        <w:t>4、</w:t>
      </w:r>
      <w:r>
        <w:rPr>
          <w:rFonts w:hint="eastAsia" w:ascii="Times New Roman" w:hAnsi="Times New Roman" w:eastAsia="华文仿宋" w:cs="Times New Roman"/>
          <w:sz w:val="32"/>
          <w:szCs w:val="22"/>
          <w:lang w:val="en-US" w:eastAsia="zh-CN"/>
        </w:rPr>
        <w:t>DA00</w:t>
      </w:r>
      <w:r>
        <w:rPr>
          <w:rFonts w:hint="eastAsia" w:eastAsia="华文仿宋" w:cs="Times New Roman"/>
          <w:sz w:val="32"/>
          <w:szCs w:val="22"/>
          <w:lang w:val="en-US" w:eastAsia="zh-CN"/>
        </w:rPr>
        <w:t>5</w:t>
      </w:r>
      <w:r>
        <w:rPr>
          <w:rFonts w:hint="eastAsia" w:ascii="Times New Roman" w:hAnsi="Times New Roman" w:eastAsia="华文仿宋" w:cs="Times New Roman"/>
          <w:sz w:val="32"/>
          <w:szCs w:val="22"/>
          <w:lang w:val="en-US" w:eastAsia="zh-CN"/>
        </w:rPr>
        <w:t>排放</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硫化车间1#、炼胶车间2#在产生废气工段均设置集气罩，经集气罩收集后通过UV光氧催化氧化装置+2</w:t>
      </w:r>
      <w:r>
        <w:rPr>
          <w:rFonts w:hint="eastAsia" w:ascii="Times New Roman" w:hAnsi="Times New Roman" w:eastAsia="华文仿宋" w:cs="Times New Roman"/>
          <w:sz w:val="32"/>
          <w:szCs w:val="22"/>
          <w:lang w:val="en-US" w:eastAsia="zh-CN"/>
        </w:rPr>
        <w:t>级活性炭</w:t>
      </w:r>
      <w:r>
        <w:rPr>
          <w:rFonts w:hint="eastAsia" w:eastAsia="华文仿宋" w:cs="Times New Roman"/>
          <w:sz w:val="32"/>
          <w:szCs w:val="22"/>
          <w:lang w:val="en-US" w:eastAsia="zh-CN"/>
        </w:rPr>
        <w:t>箱</w:t>
      </w:r>
      <w:r>
        <w:rPr>
          <w:rFonts w:hint="eastAsia" w:ascii="Times New Roman" w:hAnsi="Times New Roman" w:eastAsia="华文仿宋" w:cs="Times New Roman"/>
          <w:sz w:val="32"/>
          <w:szCs w:val="22"/>
          <w:lang w:val="en-US" w:eastAsia="zh-CN"/>
        </w:rPr>
        <w:t>处理</w:t>
      </w:r>
      <w:r>
        <w:rPr>
          <w:rFonts w:hint="eastAsia" w:eastAsia="华文仿宋" w:cs="Times New Roman"/>
          <w:sz w:val="32"/>
          <w:szCs w:val="22"/>
          <w:lang w:val="en-US" w:eastAsia="zh-CN"/>
        </w:rPr>
        <w:t>后</w:t>
      </w:r>
      <w:r>
        <w:rPr>
          <w:rFonts w:hint="eastAsia"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经2根</w:t>
      </w:r>
      <w:r>
        <w:rPr>
          <w:rFonts w:hint="eastAsia" w:ascii="Times New Roman" w:hAnsi="Times New Roman" w:eastAsia="华文仿宋" w:cs="Times New Roman"/>
          <w:sz w:val="32"/>
          <w:szCs w:val="22"/>
          <w:lang w:val="en-US" w:eastAsia="zh-CN"/>
        </w:rPr>
        <w:t>15米高排气筒DA00</w:t>
      </w:r>
      <w:r>
        <w:rPr>
          <w:rFonts w:hint="eastAsia" w:eastAsia="华文仿宋" w:cs="Times New Roman"/>
          <w:sz w:val="32"/>
          <w:szCs w:val="22"/>
          <w:lang w:val="en-US" w:eastAsia="zh-CN"/>
        </w:rPr>
        <w:t>2、</w:t>
      </w:r>
      <w:r>
        <w:rPr>
          <w:rFonts w:hint="eastAsia" w:ascii="Times New Roman" w:hAnsi="Times New Roman" w:eastAsia="华文仿宋" w:cs="Times New Roman"/>
          <w:sz w:val="32"/>
          <w:szCs w:val="22"/>
          <w:lang w:val="en-US" w:eastAsia="zh-CN"/>
        </w:rPr>
        <w:t>DA00</w:t>
      </w:r>
      <w:r>
        <w:rPr>
          <w:rFonts w:hint="eastAsia" w:eastAsia="华文仿宋" w:cs="Times New Roman"/>
          <w:sz w:val="32"/>
          <w:szCs w:val="22"/>
          <w:lang w:val="en-US" w:eastAsia="zh-CN"/>
        </w:rPr>
        <w:t>3</w:t>
      </w:r>
      <w:r>
        <w:rPr>
          <w:rFonts w:hint="eastAsia" w:ascii="Times New Roman" w:hAnsi="Times New Roman" w:eastAsia="华文仿宋" w:cs="Times New Roman"/>
          <w:sz w:val="32"/>
          <w:szCs w:val="22"/>
          <w:lang w:val="en-US" w:eastAsia="zh-CN"/>
        </w:rPr>
        <w:t>排放</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执行《</w:t>
      </w:r>
      <w:r>
        <w:rPr>
          <w:rFonts w:hint="eastAsia" w:eastAsia="华文仿宋" w:cs="Times New Roman"/>
          <w:sz w:val="32"/>
          <w:szCs w:val="22"/>
          <w:lang w:val="en-US" w:eastAsia="zh-CN"/>
        </w:rPr>
        <w:t>橡胶制品工业污染物</w:t>
      </w:r>
      <w:r>
        <w:rPr>
          <w:rFonts w:hint="default" w:ascii="Times New Roman" w:hAnsi="Times New Roman" w:eastAsia="华文仿宋" w:cs="Times New Roman"/>
          <w:sz w:val="32"/>
          <w:szCs w:val="22"/>
          <w:lang w:val="en-US" w:eastAsia="zh-CN"/>
        </w:rPr>
        <w:t>排放标准》（GB</w:t>
      </w:r>
      <w:r>
        <w:rPr>
          <w:rFonts w:hint="eastAsia" w:eastAsia="华文仿宋" w:cs="Times New Roman"/>
          <w:sz w:val="32"/>
          <w:szCs w:val="22"/>
          <w:lang w:val="en-US" w:eastAsia="zh-CN"/>
        </w:rPr>
        <w:t>27623</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2011</w:t>
      </w:r>
      <w:r>
        <w:rPr>
          <w:rFonts w:hint="default" w:ascii="Times New Roman" w:hAnsi="Times New Roman" w:eastAsia="华文仿宋" w:cs="Times New Roman"/>
          <w:sz w:val="32"/>
          <w:szCs w:val="22"/>
          <w:lang w:val="en-US" w:eastAsia="zh-CN"/>
        </w:rPr>
        <w:t>）表</w:t>
      </w:r>
      <w:r>
        <w:rPr>
          <w:rFonts w:hint="eastAsia" w:eastAsia="华文仿宋" w:cs="Times New Roman"/>
          <w:sz w:val="32"/>
          <w:szCs w:val="22"/>
          <w:lang w:val="en-US" w:eastAsia="zh-CN"/>
        </w:rPr>
        <w:t>5</w:t>
      </w:r>
      <w:r>
        <w:rPr>
          <w:rFonts w:hint="default" w:ascii="Times New Roman" w:hAnsi="Times New Roman" w:eastAsia="华文仿宋" w:cs="Times New Roman"/>
          <w:sz w:val="32"/>
          <w:szCs w:val="22"/>
          <w:lang w:val="en-US" w:eastAsia="zh-CN"/>
        </w:rPr>
        <w:t>标准，即：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，非甲烷总烃</w:t>
      </w:r>
      <w:r>
        <w:rPr>
          <w:rFonts w:hint="eastAsia" w:eastAsia="华文仿宋" w:cs="Times New Roman"/>
          <w:sz w:val="32"/>
          <w:szCs w:val="22"/>
          <w:lang w:val="en-US" w:eastAsia="zh-CN"/>
        </w:rPr>
        <w:t>（周界外浓度最高点）</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4.</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≤12mg/m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项目</w:t>
      </w:r>
      <w:r>
        <w:rPr>
          <w:rFonts w:hint="eastAsia" w:eastAsia="华文仿宋" w:cs="Times New Roman"/>
          <w:sz w:val="32"/>
          <w:szCs w:val="22"/>
          <w:lang w:val="en-US" w:eastAsia="zh-CN"/>
        </w:rPr>
        <w:t>设置6t/h生物质锅炉，锅炉废气通过旋风+</w:t>
      </w:r>
      <w:r>
        <w:rPr>
          <w:rFonts w:hint="eastAsia" w:ascii="Times New Roman" w:hAnsi="Times New Roman" w:eastAsia="华文仿宋" w:cs="Times New Roman"/>
          <w:sz w:val="32"/>
          <w:szCs w:val="22"/>
          <w:lang w:val="en-US" w:eastAsia="zh-CN"/>
        </w:rPr>
        <w:t>布袋除尘器</w:t>
      </w:r>
      <w:r>
        <w:rPr>
          <w:rFonts w:hint="eastAsia" w:eastAsia="华文仿宋" w:cs="Times New Roman"/>
          <w:sz w:val="32"/>
          <w:szCs w:val="22"/>
          <w:lang w:val="en-US" w:eastAsia="zh-CN"/>
        </w:rPr>
        <w:t>+SNCR</w:t>
      </w:r>
      <w:r>
        <w:rPr>
          <w:rFonts w:hint="eastAsia" w:ascii="Times New Roman" w:hAnsi="Times New Roman" w:eastAsia="华文仿宋" w:cs="Times New Roman"/>
          <w:sz w:val="32"/>
          <w:szCs w:val="22"/>
          <w:lang w:val="en-US" w:eastAsia="zh-CN"/>
        </w:rPr>
        <w:t>处理后，</w:t>
      </w:r>
      <w:r>
        <w:rPr>
          <w:rFonts w:hint="eastAsia" w:eastAsia="华文仿宋" w:cs="Times New Roman"/>
          <w:sz w:val="32"/>
          <w:szCs w:val="22"/>
          <w:lang w:val="en-US" w:eastAsia="zh-CN"/>
        </w:rPr>
        <w:t>通过</w:t>
      </w:r>
      <w:r>
        <w:rPr>
          <w:rFonts w:hint="eastAsia" w:ascii="Times New Roman" w:hAnsi="Times New Roman" w:eastAsia="华文仿宋" w:cs="Times New Roman"/>
          <w:sz w:val="32"/>
          <w:szCs w:val="22"/>
          <w:lang w:val="en-US" w:eastAsia="zh-CN"/>
        </w:rPr>
        <w:t>15米高排气筒DA00</w:t>
      </w:r>
      <w:r>
        <w:rPr>
          <w:rFonts w:hint="eastAsia" w:eastAsia="华文仿宋" w:cs="Times New Roman"/>
          <w:sz w:val="32"/>
          <w:szCs w:val="22"/>
          <w:lang w:val="en-US" w:eastAsia="zh-CN"/>
        </w:rPr>
        <w:t>1</w:t>
      </w:r>
      <w:r>
        <w:rPr>
          <w:rFonts w:hint="eastAsia" w:ascii="Times New Roman" w:hAnsi="Times New Roman" w:eastAsia="华文仿宋" w:cs="Times New Roman"/>
          <w:sz w:val="32"/>
          <w:szCs w:val="22"/>
          <w:lang w:val="en-US" w:eastAsia="zh-CN"/>
        </w:rPr>
        <w:t>排放，</w:t>
      </w:r>
      <w:r>
        <w:rPr>
          <w:rFonts w:hint="default" w:ascii="Times New Roman" w:hAnsi="Times New Roman" w:eastAsia="华文仿宋" w:cs="Times New Roman"/>
          <w:sz w:val="32"/>
          <w:szCs w:val="22"/>
          <w:lang w:val="en-US" w:eastAsia="zh-CN"/>
        </w:rPr>
        <w:t>执行《</w:t>
      </w:r>
      <w:r>
        <w:rPr>
          <w:rFonts w:hint="eastAsia" w:eastAsia="华文仿宋" w:cs="Times New Roman"/>
          <w:sz w:val="32"/>
          <w:szCs w:val="22"/>
          <w:lang w:val="en-US" w:eastAsia="zh-CN"/>
        </w:rPr>
        <w:t>锅炉</w:t>
      </w:r>
      <w:r>
        <w:rPr>
          <w:rFonts w:hint="default" w:ascii="Times New Roman" w:hAnsi="Times New Roman" w:eastAsia="华文仿宋" w:cs="Times New Roman"/>
          <w:sz w:val="32"/>
          <w:szCs w:val="22"/>
          <w:lang w:val="en-US" w:eastAsia="zh-CN"/>
        </w:rPr>
        <w:t>大气污染排放标准》（GB</w:t>
      </w:r>
      <w:r>
        <w:rPr>
          <w:rFonts w:hint="eastAsia" w:eastAsia="华文仿宋" w:cs="Times New Roman"/>
          <w:sz w:val="32"/>
          <w:szCs w:val="22"/>
          <w:lang w:val="en-US" w:eastAsia="zh-CN"/>
        </w:rPr>
        <w:t>13271</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2014</w:t>
      </w:r>
      <w:r>
        <w:rPr>
          <w:rFonts w:hint="default" w:ascii="Times New Roman" w:hAnsi="Times New Roman" w:eastAsia="华文仿宋" w:cs="Times New Roman"/>
          <w:sz w:val="32"/>
          <w:szCs w:val="22"/>
          <w:lang w:val="en-US" w:eastAsia="zh-CN"/>
        </w:rPr>
        <w:t>）表2标准，即：</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5</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，颗粒物</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无</w:t>
      </w:r>
      <w:r>
        <w:rPr>
          <w:rFonts w:hint="default" w:ascii="Times New Roman" w:hAnsi="Times New Roman" w:eastAsia="华文仿宋" w:cs="Times New Roman"/>
          <w:sz w:val="32"/>
          <w:szCs w:val="22"/>
          <w:lang w:val="en-US" w:eastAsia="zh-CN"/>
        </w:rPr>
        <w:t>组织）</w:t>
      </w:r>
      <w:r>
        <w:rPr>
          <w:rFonts w:hint="eastAsia" w:ascii="Times New Roman" w:hAnsi="Times New Roman" w:eastAsia="华文仿宋" w:cs="Times New Roman"/>
          <w:sz w:val="32"/>
          <w:szCs w:val="22"/>
          <w:lang w:val="en-US" w:eastAsia="zh-CN"/>
        </w:rPr>
        <w:t>；二氧化硫</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30</w:t>
      </w:r>
      <w:r>
        <w:rPr>
          <w:rFonts w:hint="eastAsia" w:ascii="Times New Roman" w:hAnsi="Times New Roman" w:eastAsia="华文仿宋" w:cs="Times New Roman"/>
          <w:sz w:val="32"/>
          <w:szCs w:val="22"/>
          <w:lang w:val="en-US" w:eastAsia="zh-CN"/>
        </w:rPr>
        <w:t>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氮氧化物</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300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eastAsia" w:ascii="Times New Roman" w:hAnsi="Times New Roman" w:eastAsia="华文仿宋" w:cs="Times New Roman"/>
          <w:sz w:val="32"/>
          <w:szCs w:val="22"/>
          <w:lang w:eastAsia="zh-CN"/>
        </w:rPr>
      </w:pPr>
      <w:r>
        <w:rPr>
          <w:rFonts w:hint="default" w:ascii="Times New Roman" w:hAnsi="Times New Roman" w:eastAsia="华文仿宋" w:cs="Times New Roman"/>
          <w:sz w:val="32"/>
          <w:szCs w:val="22"/>
          <w:lang w:val="en-US" w:eastAsia="zh-CN"/>
        </w:rPr>
        <w:t>项目废气污染物总量控制指标：</w:t>
      </w:r>
      <w:r>
        <w:rPr>
          <w:rFonts w:hint="eastAsia" w:eastAsia="华文仿宋" w:cs="Times New Roman"/>
          <w:sz w:val="32"/>
          <w:szCs w:val="22"/>
          <w:lang w:val="en-US" w:eastAsia="zh-CN"/>
        </w:rPr>
        <w:t>本次技改废气量7.4975.54万Nm</w:t>
      </w:r>
      <w:r>
        <w:rPr>
          <w:rFonts w:hint="eastAsia"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a，颗粒物的增加量为2.5806</w:t>
      </w:r>
      <w:r>
        <w:rPr>
          <w:rFonts w:hint="eastAsia" w:ascii="Times New Roman" w:hAnsi="Times New Roman" w:eastAsia="华文仿宋" w:cs="Times New Roman"/>
          <w:sz w:val="32"/>
          <w:szCs w:val="22"/>
          <w:lang w:val="en-US" w:eastAsia="zh-CN"/>
        </w:rPr>
        <w:t>t/a</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eastAsia="zh-CN"/>
        </w:rPr>
        <w:t>二氧化硫</w:t>
      </w:r>
      <w:r>
        <w:rPr>
          <w:rFonts w:hint="eastAsia" w:eastAsia="华文仿宋" w:cs="Times New Roman"/>
          <w:sz w:val="32"/>
          <w:szCs w:val="22"/>
          <w:lang w:val="en-US" w:eastAsia="zh-CN"/>
        </w:rPr>
        <w:t>8.1052</w:t>
      </w:r>
      <w:r>
        <w:rPr>
          <w:rFonts w:hint="eastAsia" w:ascii="Times New Roman" w:hAnsi="Times New Roman" w:eastAsia="华文仿宋" w:cs="Times New Roman"/>
          <w:sz w:val="32"/>
          <w:szCs w:val="22"/>
          <w:lang w:val="en-US" w:eastAsia="zh-CN"/>
        </w:rPr>
        <w:t>t/a，氮氧化物</w:t>
      </w:r>
      <w:r>
        <w:rPr>
          <w:rFonts w:hint="eastAsia" w:eastAsia="华文仿宋" w:cs="Times New Roman"/>
          <w:sz w:val="32"/>
          <w:szCs w:val="22"/>
          <w:lang w:val="en-US" w:eastAsia="zh-CN"/>
        </w:rPr>
        <w:t>4.734</w:t>
      </w:r>
      <w:r>
        <w:rPr>
          <w:rFonts w:hint="eastAsia" w:ascii="Times New Roman" w:hAnsi="Times New Roman" w:eastAsia="华文仿宋" w:cs="Times New Roman"/>
          <w:sz w:val="32"/>
          <w:szCs w:val="22"/>
          <w:lang w:val="en-US" w:eastAsia="zh-CN"/>
        </w:rPr>
        <w:t>t/a</w:t>
      </w:r>
      <w:r>
        <w:rPr>
          <w:rFonts w:hint="eastAsia" w:eastAsia="华文仿宋" w:cs="Times New Roman"/>
          <w:sz w:val="32"/>
          <w:szCs w:val="22"/>
          <w:lang w:val="en-US" w:eastAsia="zh-CN"/>
        </w:rPr>
        <w:t>，</w:t>
      </w:r>
      <w:r>
        <w:rPr>
          <w:rFonts w:hint="eastAsia" w:ascii="Times New Roman" w:hAnsi="Times New Roman" w:eastAsia="华文仿宋" w:cs="Times New Roman"/>
          <w:sz w:val="32"/>
          <w:szCs w:val="22"/>
          <w:lang w:val="en-US" w:eastAsia="zh-CN"/>
        </w:rPr>
        <w:t>非甲烷总烃</w:t>
      </w:r>
      <w:r>
        <w:rPr>
          <w:rFonts w:hint="eastAsia" w:eastAsia="华文仿宋" w:cs="Times New Roman"/>
          <w:sz w:val="32"/>
          <w:szCs w:val="22"/>
          <w:lang w:val="en-US" w:eastAsia="zh-CN"/>
        </w:rPr>
        <w:t>8.1768</w:t>
      </w:r>
      <w:r>
        <w:rPr>
          <w:rFonts w:hint="eastAsia" w:ascii="Times New Roman" w:hAnsi="Times New Roman" w:eastAsia="华文仿宋" w:cs="Times New Roman"/>
          <w:sz w:val="32"/>
          <w:szCs w:val="22"/>
          <w:lang w:val="en-US" w:eastAsia="zh-CN"/>
        </w:rPr>
        <w:t>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 xml:space="preserve">严格控制施工时产生的扬尘和施工机械排放的燃油烟气，施工现场、临时堆场、运输 车辆应采取有效的防治扬尘 措施，排放的废气应符合GB162297-1996《大气污染物综合排放标准》(表2)二级标准，即:颗粒物无组织排放浓度 </w:t>
      </w:r>
      <w:r>
        <w:rPr>
          <w:rFonts w:hint="default" w:ascii="Times New Roman" w:hAnsi="Times New Roman" w:eastAsia="华文仿宋" w:cs="Times New Roman"/>
          <w:sz w:val="32"/>
          <w:szCs w:val="22"/>
        </w:rPr>
        <w:t>≤</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，减少对环境敏感点的扬尘污染。</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四、项目运营期产生噪声的场所应合理布局，</w:t>
      </w:r>
      <w:r>
        <w:rPr>
          <w:rFonts w:hint="eastAsia" w:ascii="Times New Roman" w:hAnsi="Times New Roman" w:eastAsia="华文仿宋" w:cs="Times New Roman"/>
          <w:sz w:val="32"/>
          <w:szCs w:val="22"/>
          <w:lang w:val="en-US" w:eastAsia="zh-CN"/>
        </w:rPr>
        <w:t>做</w:t>
      </w:r>
      <w:r>
        <w:rPr>
          <w:rFonts w:hint="default" w:ascii="Times New Roman" w:hAnsi="Times New Roman" w:eastAsia="华文仿宋" w:cs="Times New Roman"/>
          <w:sz w:val="32"/>
          <w:szCs w:val="22"/>
          <w:lang w:val="en-US" w:eastAsia="zh-CN"/>
        </w:rPr>
        <w:t>隔声降噪处理，</w:t>
      </w:r>
      <w:r>
        <w:rPr>
          <w:rFonts w:hint="eastAsia" w:ascii="Times New Roman" w:hAnsi="Times New Roman" w:eastAsia="华文仿宋" w:cs="Times New Roman"/>
          <w:sz w:val="32"/>
          <w:szCs w:val="22"/>
          <w:lang w:val="en-US" w:eastAsia="zh-CN"/>
        </w:rPr>
        <w:t>项目厂界噪声执行</w:t>
      </w:r>
      <w:r>
        <w:rPr>
          <w:rFonts w:hint="default" w:ascii="Times New Roman" w:hAnsi="Times New Roman" w:eastAsia="华文仿宋" w:cs="Times New Roman"/>
          <w:sz w:val="32"/>
          <w:szCs w:val="22"/>
          <w:lang w:val="en-US" w:eastAsia="zh-CN"/>
        </w:rPr>
        <w:t>GB12348-2008《工业企业厂界环境噪声排放标准》3类区标准，即：昼间≤65dB, 夜间≤55dB</w:t>
      </w:r>
      <w:r>
        <w:rPr>
          <w:rFonts w:hint="eastAsia" w:ascii="Times New Roman" w:hAnsi="Times New Roman" w:eastAsia="华文仿宋" w:cs="Times New Roman"/>
          <w:sz w:val="32"/>
          <w:szCs w:val="22"/>
          <w:lang w:val="en-US" w:eastAsia="zh-CN"/>
        </w:rPr>
        <w:t>；</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 GB12523-2011《建筑施工场界环境噪声排放标准》表 1标准，即:昼间≤70 dB 夜间≤55dB。禁止夜间(22:00至次日6:00)进行产生环境噪声污染的建筑施工作业。</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eastAsia="华文仿宋" w:cs="Times New Roman"/>
          <w:sz w:val="32"/>
          <w:szCs w:val="22"/>
          <w:lang w:val="en-US" w:eastAsia="zh-CN"/>
        </w:rPr>
        <w:t>五、</w:t>
      </w:r>
      <w:r>
        <w:rPr>
          <w:rFonts w:hint="default" w:ascii="Times New Roman" w:hAnsi="Times New Roman" w:eastAsia="华文仿宋" w:cs="Times New Roman"/>
          <w:sz w:val="32"/>
          <w:szCs w:val="22"/>
          <w:lang w:val="en-US" w:eastAsia="zh-CN"/>
        </w:rPr>
        <w:t>项目固体废物应分类收集，</w:t>
      </w:r>
      <w:r>
        <w:rPr>
          <w:rFonts w:hint="eastAsia" w:eastAsia="华文仿宋" w:cs="Times New Roman"/>
          <w:sz w:val="32"/>
          <w:szCs w:val="22"/>
          <w:lang w:val="en-US" w:eastAsia="zh-CN"/>
        </w:rPr>
        <w:t>妥善处置</w:t>
      </w:r>
      <w:r>
        <w:rPr>
          <w:rFonts w:hint="default" w:ascii="Times New Roman" w:hAnsi="Times New Roman" w:eastAsia="华文仿宋" w:cs="Times New Roman"/>
          <w:sz w:val="32"/>
          <w:szCs w:val="22"/>
          <w:lang w:val="en-US" w:eastAsia="zh-CN"/>
        </w:rPr>
        <w:t>；</w:t>
      </w:r>
      <w:r>
        <w:rPr>
          <w:rFonts w:hint="eastAsia" w:eastAsia="华文仿宋" w:cs="Times New Roman"/>
          <w:sz w:val="32"/>
          <w:szCs w:val="22"/>
          <w:lang w:val="en-US" w:eastAsia="zh-CN"/>
        </w:rPr>
        <w:t>危险废物</w:t>
      </w:r>
      <w:r>
        <w:rPr>
          <w:rFonts w:hint="default" w:ascii="Times New Roman" w:hAnsi="Times New Roman" w:eastAsia="华文仿宋" w:cs="Times New Roman"/>
          <w:sz w:val="32"/>
          <w:szCs w:val="22"/>
          <w:lang w:val="en-US" w:eastAsia="zh-CN"/>
        </w:rPr>
        <w:t>委托有资质单位处置</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执行《危险废物贮存污染控制标准》（GB18597-2001）。</w:t>
      </w:r>
    </w:p>
    <w:p>
      <w:pPr>
        <w:spacing w:line="560" w:lineRule="exact"/>
        <w:ind w:firstLine="640" w:firstLineChars="200"/>
        <w:textAlignment w:val="baseline"/>
        <w:rPr>
          <w:rFonts w:hint="default" w:ascii="Times New Roman" w:hAnsi="Times New Roman" w:eastAsia="华文仿宋" w:cs="Times New Roman"/>
          <w:sz w:val="32"/>
          <w:szCs w:val="22"/>
        </w:rPr>
      </w:pPr>
      <w:r>
        <w:rPr>
          <w:rFonts w:hint="eastAsia" w:ascii="Times New Roman" w:hAnsi="Times New Roman" w:eastAsia="华文仿宋" w:cs="Times New Roman"/>
          <w:sz w:val="32"/>
          <w:szCs w:val="22"/>
          <w:lang w:val="en-US" w:eastAsia="zh-CN"/>
        </w:rPr>
        <w:t>施工产生的建筑固体废弃物应收集并及时清运，妥善处置，不得随意乱倒。</w:t>
      </w:r>
    </w:p>
    <w:p>
      <w:pPr>
        <w:spacing w:line="560" w:lineRule="exact"/>
        <w:ind w:firstLine="640" w:firstLineChars="200"/>
        <w:textAlignment w:val="baseline"/>
        <w:rPr>
          <w:rFonts w:hint="default"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六、</w:t>
      </w:r>
      <w:r>
        <w:rPr>
          <w:rFonts w:hint="default" w:ascii="Times New Roman" w:hAnsi="Times New Roman" w:eastAsia="华文仿宋" w:cs="Times New Roman"/>
          <w:sz w:val="32"/>
          <w:szCs w:val="22"/>
        </w:rPr>
        <w:t>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 态环境行政主管部门规定的标准和程序，对配套建设的环境境保护设施进行验收，经验收合格后方可投入生产或者使用。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自本批复之日起超过五年项目方开建设的，环境影响评价文件应当报我局重新审核。</w:t>
      </w:r>
    </w:p>
    <w:p>
      <w:pPr>
        <w:spacing w:line="560" w:lineRule="exact"/>
        <w:ind w:firstLine="640" w:firstLineChars="200"/>
        <w:textAlignment w:val="baseline"/>
        <w:rPr>
          <w:rFonts w:ascii="Times New Roman" w:hAnsi="Times New Roman" w:eastAsia="华文仿宋" w:cs="Times New Roman"/>
          <w:sz w:val="32"/>
          <w:szCs w:val="22"/>
        </w:rPr>
      </w:pPr>
      <w:r>
        <w:rPr>
          <w:rFonts w:hint="default" w:ascii="Times New Roman" w:hAnsi="Times New Roman" w:eastAsia="华文仿宋" w:cs="Times New Roman"/>
          <w:sz w:val="32"/>
          <w:szCs w:val="22"/>
          <w:lang w:val="en-US" w:eastAsia="zh-CN"/>
        </w:rPr>
        <w:t>十一、依法到</w:t>
      </w:r>
      <w:r>
        <w:rPr>
          <w:rFonts w:hint="eastAsia" w:ascii="Times New Roman" w:hAnsi="Times New Roman" w:eastAsia="华文仿宋" w:cs="Times New Roman"/>
          <w:sz w:val="32"/>
          <w:szCs w:val="22"/>
          <w:lang w:val="en-US" w:eastAsia="zh-CN"/>
        </w:rPr>
        <w:t>自然资源</w:t>
      </w:r>
      <w:r>
        <w:rPr>
          <w:rFonts w:hint="default" w:ascii="Times New Roman" w:hAnsi="Times New Roman" w:eastAsia="华文仿宋" w:cs="Times New Roman"/>
          <w:sz w:val="32"/>
          <w:szCs w:val="22"/>
          <w:lang w:val="en-US" w:eastAsia="zh-CN"/>
        </w:rPr>
        <w:t>、住建、水务、发改经贸等部门办理其他相关手续。</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left="0" w:leftChars="0" w:right="0" w:rightChars="0" w:firstLine="640" w:firstLineChars="200"/>
        <w:jc w:val="both"/>
        <w:rPr>
          <w:rFonts w:hint="eastAsia" w:eastAsia="华文仿宋"/>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640" w:firstLineChars="200"/>
        <w:jc w:val="left"/>
        <w:textAlignment w:val="baseline"/>
        <w:outlineLvl w:val="9"/>
        <w:rPr>
          <w:rFonts w:hint="default" w:ascii="Times New Roman" w:hAnsi="Times New Roman" w:eastAsia="华文仿宋" w:cs="Times New Roman"/>
          <w:sz w:val="32"/>
          <w:szCs w:val="22"/>
          <w:lang w:val="en-US" w:eastAsia="zh-CN"/>
        </w:rPr>
      </w:pPr>
    </w:p>
    <w:p>
      <w:pPr>
        <w:pStyle w:val="2"/>
        <w:ind w:left="0" w:leftChars="0" w:firstLine="0" w:firstLineChars="0"/>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仿宋_GB2312"/>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7</w:t>
      </w:r>
      <w:r>
        <w:rPr>
          <w:rFonts w:eastAsia="华文仿宋"/>
          <w:color w:val="000000"/>
          <w:sz w:val="32"/>
        </w:rPr>
        <w:t>月</w:t>
      </w:r>
      <w:r>
        <w:rPr>
          <w:rFonts w:hint="eastAsia" w:eastAsia="华文仿宋"/>
          <w:color w:val="000000"/>
          <w:sz w:val="32"/>
          <w:lang w:val="en-US" w:eastAsia="zh-CN"/>
        </w:rPr>
        <w:t>25</w:t>
      </w:r>
      <w:r>
        <w:rPr>
          <w:rFonts w:eastAsia="华文仿宋"/>
          <w:color w:val="000000"/>
          <w:sz w:val="32"/>
        </w:rPr>
        <w:t>日</w:t>
      </w:r>
    </w:p>
    <w:p/>
    <w:p>
      <w:pPr>
        <w:pStyle w:val="9"/>
        <w:ind w:left="0" w:leftChars="0" w:firstLine="0" w:firstLineChars="0"/>
      </w:pPr>
    </w:p>
    <w:p>
      <w:pPr>
        <w:pStyle w:val="2"/>
        <w:ind w:left="0" w:leftChars="0" w:firstLine="0" w:firstLineChars="0"/>
      </w:pPr>
    </w:p>
    <w:p/>
    <w:p>
      <w:pPr>
        <w:pStyle w:val="15"/>
        <w:ind w:left="0" w:leftChars="0" w:firstLine="0" w:firstLineChars="0"/>
        <w:jc w:val="both"/>
      </w:pPr>
    </w:p>
    <w:p/>
    <w:p>
      <w:pPr>
        <w:ind w:left="0" w:leftChars="0" w:firstLine="0" w:firstLineChars="0"/>
      </w:pPr>
    </w:p>
    <w:p/>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上蒜镇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7</w:t>
      </w:r>
      <w:r>
        <w:rPr>
          <w:rFonts w:hint="default" w:ascii="Times New Roman" w:hAnsi="Times New Roman" w:eastAsia="华文仿宋" w:cs="Times New Roman"/>
          <w:color w:val="000000"/>
          <w:sz w:val="32"/>
        </w:rPr>
        <w:t>月</w:t>
      </w:r>
      <w:bookmarkStart w:id="0" w:name="_GoBack"/>
      <w:bookmarkEnd w:id="0"/>
      <w:r>
        <w:rPr>
          <w:rFonts w:hint="eastAsia" w:eastAsia="华文仿宋" w:cs="Times New Roman"/>
          <w:color w:val="000000"/>
          <w:sz w:val="32"/>
          <w:lang w:val="en-US" w:eastAsia="zh-CN"/>
        </w:rPr>
        <w:t>25</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7</w:t>
      </w:r>
      <w:r>
        <w:rPr>
          <w:rFonts w:eastAsia="仿宋_GB2312"/>
          <w:sz w:val="32"/>
        </w:rPr>
        <w:t>月</w:t>
      </w:r>
      <w:r>
        <w:rPr>
          <w:rFonts w:hint="eastAsia" w:eastAsia="仿宋_GB2312"/>
          <w:sz w:val="32"/>
          <w:lang w:val="en-US" w:eastAsia="zh-CN"/>
        </w:rPr>
        <w:t>11</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sz w:val="24"/>
              </w:rPr>
            </w:pPr>
            <w:r>
              <w:rPr>
                <w:rFonts w:hint="eastAsia" w:ascii="宋体" w:hAnsi="宋体" w:cs="宋体"/>
                <w:color w:val="000000"/>
                <w:kern w:val="2"/>
                <w:sz w:val="24"/>
                <w:szCs w:val="20"/>
                <w:lang w:val="en-US" w:eastAsia="zh-CN"/>
              </w:rPr>
              <w:t>关于对《2000万条/年摩托车、电动自行车、自行车内外轮胎生产线技术升级项目环境影响报告书》的批复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0" w:leftChars="0" w:right="0" w:rightChars="0" w:firstLine="1920" w:firstLineChars="800"/>
              <w:jc w:val="both"/>
              <w:textAlignment w:val="bottom"/>
              <w:outlineLvl w:val="9"/>
              <w:rPr>
                <w:rFonts w:hint="eastAsia"/>
                <w:sz w:val="24"/>
              </w:rPr>
            </w:pPr>
            <w:r>
              <w:rPr>
                <w:rFonts w:hint="eastAsia"/>
                <w:sz w:val="24"/>
                <w:lang w:val="en-US" w:eastAsia="zh-CN"/>
              </w:rPr>
              <w:t>昆明云仁轮胎制造有限公司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上蒜</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r>
              <w:rPr>
                <w:rFonts w:hint="eastAsia" w:ascii="宋体" w:hAnsi="宋体" w:cs="宋体"/>
                <w:color w:val="000000"/>
                <w:kern w:val="2"/>
                <w:sz w:val="24"/>
                <w:szCs w:val="20"/>
                <w:lang w:val="en-US"/>
              </w:rPr>
              <w:t>项目位于昆明市晋宁工业园区</w:t>
            </w:r>
            <w:r>
              <w:rPr>
                <w:rFonts w:hint="eastAsia" w:ascii="宋体" w:hAnsi="宋体" w:cs="宋体"/>
                <w:color w:val="000000"/>
                <w:kern w:val="2"/>
                <w:sz w:val="24"/>
                <w:szCs w:val="20"/>
                <w:lang w:val="en-US" w:eastAsia="zh-CN"/>
              </w:rPr>
              <w:t>上蒜</w:t>
            </w:r>
            <w:r>
              <w:rPr>
                <w:rFonts w:hint="eastAsia" w:ascii="宋体" w:hAnsi="宋体" w:cs="宋体"/>
                <w:color w:val="000000"/>
                <w:kern w:val="2"/>
                <w:sz w:val="24"/>
                <w:szCs w:val="20"/>
                <w:lang w:val="en-US"/>
              </w:rPr>
              <w:t>基地，</w:t>
            </w:r>
            <w:r>
              <w:rPr>
                <w:rFonts w:hint="eastAsia" w:ascii="宋体" w:hAnsi="宋体" w:cs="宋体"/>
                <w:color w:val="000000"/>
                <w:kern w:val="2"/>
                <w:sz w:val="24"/>
                <w:szCs w:val="20"/>
                <w:lang w:val="en-US" w:eastAsia="zh-CN"/>
              </w:rPr>
              <w:t>本次扩建在原有项目基础上进行，主要扩建内容为增加68台硫化设备，淘汰部分老旧设备，对现有环保工程进行完善。项目建成后实现年产1600万条摩托车、电动自行车内外轮胎。</w:t>
            </w:r>
            <w:r>
              <w:rPr>
                <w:rFonts w:hint="eastAsia" w:ascii="宋体" w:hAnsi="宋体" w:cs="宋体"/>
                <w:color w:val="000000"/>
                <w:kern w:val="2"/>
                <w:sz w:val="24"/>
                <w:szCs w:val="20"/>
                <w:lang w:val="en-US"/>
              </w:rPr>
              <w:t>项目</w:t>
            </w:r>
            <w:r>
              <w:rPr>
                <w:rFonts w:hint="eastAsia" w:ascii="宋体" w:hAnsi="宋体" w:cs="宋体"/>
                <w:color w:val="000000"/>
                <w:kern w:val="2"/>
                <w:sz w:val="24"/>
                <w:szCs w:val="20"/>
              </w:rPr>
              <w:t>总投资</w:t>
            </w:r>
            <w:r>
              <w:rPr>
                <w:rFonts w:hint="eastAsia" w:ascii="宋体" w:hAnsi="宋体" w:cs="宋体"/>
                <w:color w:val="000000"/>
                <w:kern w:val="2"/>
                <w:sz w:val="24"/>
                <w:szCs w:val="20"/>
                <w:lang w:val="en-US" w:eastAsia="zh-CN"/>
              </w:rPr>
              <w:t>1000</w:t>
            </w:r>
            <w:r>
              <w:rPr>
                <w:rFonts w:hint="eastAsia" w:ascii="宋体" w:hAnsi="宋体" w:cs="宋体"/>
                <w:color w:val="000000"/>
                <w:kern w:val="2"/>
                <w:sz w:val="24"/>
                <w:szCs w:val="20"/>
                <w:lang w:val="en-US"/>
              </w:rPr>
              <w:t>万元，其中环保投资</w:t>
            </w:r>
            <w:r>
              <w:rPr>
                <w:rFonts w:hint="eastAsia" w:ascii="宋体" w:hAnsi="宋体" w:cs="宋体"/>
                <w:color w:val="000000"/>
                <w:kern w:val="2"/>
                <w:sz w:val="24"/>
                <w:szCs w:val="20"/>
                <w:lang w:val="en-US" w:eastAsia="zh-CN"/>
              </w:rPr>
              <w:t>92</w:t>
            </w:r>
            <w:r>
              <w:rPr>
                <w:rFonts w:hint="eastAsia" w:ascii="宋体" w:hAnsi="宋体" w:cs="宋体"/>
                <w:color w:val="000000"/>
                <w:kern w:val="2"/>
                <w:sz w:val="24"/>
                <w:szCs w:val="20"/>
                <w:lang w:val="en-US"/>
              </w:rPr>
              <w:t>万元</w:t>
            </w:r>
            <w:r>
              <w:rPr>
                <w:rFonts w:hint="eastAsia" w:ascii="宋体" w:hAnsi="宋体" w:cs="宋体"/>
                <w:color w:val="000000"/>
                <w:kern w:val="2"/>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9230D26"/>
    <w:rsid w:val="0A1779E9"/>
    <w:rsid w:val="0EC14A92"/>
    <w:rsid w:val="0FBA7852"/>
    <w:rsid w:val="10FE3254"/>
    <w:rsid w:val="14D226BA"/>
    <w:rsid w:val="1540427C"/>
    <w:rsid w:val="27CB225E"/>
    <w:rsid w:val="388E2262"/>
    <w:rsid w:val="4A202709"/>
    <w:rsid w:val="58F17395"/>
    <w:rsid w:val="651112E7"/>
    <w:rsid w:val="66D24A56"/>
    <w:rsid w:val="697B10EF"/>
    <w:rsid w:val="6C9B7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2022-07-11T02:21:00Z</cp:lastPrinted>
  <dcterms:modified xsi:type="dcterms:W3CDTF">2022-07-26T01:28:05Z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