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22〕29</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b/>
          <w:spacing w:val="20"/>
          <w:sz w:val="44"/>
        </w:rPr>
        <w:t>关于对《</w:t>
      </w:r>
      <w:r>
        <w:rPr>
          <w:rFonts w:hint="default"/>
          <w:b/>
          <w:spacing w:val="20"/>
          <w:sz w:val="44"/>
        </w:rPr>
        <w:t>晋宁区柴河水库水质提升工程</w:t>
      </w:r>
      <w:r>
        <w:rPr>
          <w:rFonts w:hint="eastAsia"/>
          <w:b/>
          <w:spacing w:val="20"/>
          <w:sz w:val="44"/>
          <w:lang w:eastAsia="zh-CN"/>
        </w:rPr>
        <w:t>项目</w:t>
      </w:r>
      <w:r>
        <w:rPr>
          <w:rFonts w:hint="eastAsia"/>
          <w:b/>
          <w:sz w:val="44"/>
          <w:szCs w:val="22"/>
        </w:rPr>
        <w:t>环境影响</w:t>
      </w:r>
      <w:r>
        <w:rPr>
          <w:rFonts w:hint="eastAsia"/>
          <w:b/>
          <w:sz w:val="44"/>
          <w:szCs w:val="22"/>
          <w:lang w:eastAsia="zh-CN"/>
        </w:rPr>
        <w:t>报告表</w:t>
      </w:r>
      <w:r>
        <w:rPr>
          <w:rFonts w:hint="eastAsia"/>
          <w:b/>
          <w:sz w:val="44"/>
        </w:rPr>
        <w:t>》的批复</w:t>
      </w:r>
    </w:p>
    <w:p>
      <w:pPr>
        <w:spacing w:line="600" w:lineRule="exact"/>
        <w:ind w:firstLine="696" w:firstLineChars="200"/>
        <w:rPr>
          <w:rFonts w:hint="eastAsia" w:ascii="仿宋_GB2312" w:eastAsia="仿宋_GB2312"/>
          <w:color w:val="auto"/>
          <w:spacing w:val="14"/>
          <w:sz w:val="32"/>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right="0" w:rightChars="0"/>
        <w:jc w:val="left"/>
        <w:textAlignment w:val="bottom"/>
        <w:outlineLvl w:val="9"/>
        <w:rPr>
          <w:rFonts w:hint="eastAsia" w:eastAsia="华文仿宋"/>
          <w:color w:val="auto"/>
          <w:sz w:val="32"/>
          <w:lang w:eastAsia="zh-CN"/>
        </w:rPr>
      </w:pPr>
      <w:r>
        <w:rPr>
          <w:rFonts w:hint="eastAsia" w:eastAsia="华文仿宋"/>
          <w:color w:val="auto"/>
          <w:sz w:val="32"/>
          <w:lang w:eastAsia="zh-CN"/>
        </w:rPr>
        <w:t>昆明市晋宁区水务局：</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left="0" w:leftChars="0" w:right="0" w:rightChars="0" w:firstLine="470" w:firstLineChars="147"/>
        <w:jc w:val="both"/>
        <w:rPr>
          <w:rFonts w:hint="eastAsia" w:eastAsia="华文仿宋"/>
          <w:color w:val="auto"/>
          <w:sz w:val="32"/>
          <w:szCs w:val="22"/>
          <w:lang w:eastAsia="zh-CN"/>
        </w:rPr>
      </w:pPr>
      <w:r>
        <w:rPr>
          <w:rFonts w:hint="eastAsia" w:eastAsia="华文仿宋"/>
          <w:color w:val="auto"/>
          <w:sz w:val="32"/>
          <w:lang w:eastAsia="zh-CN"/>
        </w:rPr>
        <w:t xml:space="preserve"> 你单位委托云南弘睿天净环保科技有限公司编制的《晋宁区柴河水库水质提升工程项目环境影响报告表》(以下简称《报告表》)收悉。根据《中华人民共和国环境影响评价法》第二十二条、《建</w:t>
      </w:r>
      <w:r>
        <w:rPr>
          <w:rFonts w:hint="eastAsia" w:eastAsia="华文仿宋"/>
          <w:color w:val="auto"/>
          <w:sz w:val="32"/>
          <w:szCs w:val="22"/>
          <w:lang w:eastAsia="zh-CN"/>
        </w:rPr>
        <w:t>设项目环境保护管理条例》第九条，经研究，批复如下：</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eastAsia" w:eastAsia="华文仿宋"/>
          <w:color w:val="auto"/>
          <w:sz w:val="32"/>
          <w:szCs w:val="22"/>
          <w:lang w:val="en-US" w:eastAsia="zh-CN"/>
        </w:rPr>
      </w:pPr>
      <w:bookmarkStart w:id="0" w:name="_Hlk75459699"/>
      <w:r>
        <w:rPr>
          <w:rFonts w:hint="eastAsia" w:ascii="Times New Roman" w:hAnsi="Times New Roman" w:eastAsia="华文仿宋" w:cs="Times New Roman"/>
          <w:sz w:val="32"/>
          <w:szCs w:val="22"/>
          <w:lang w:val="en-US" w:eastAsia="zh-CN"/>
        </w:rPr>
        <w:t>一、</w:t>
      </w:r>
      <w:bookmarkEnd w:id="0"/>
      <w:r>
        <w:rPr>
          <w:rFonts w:hint="eastAsia" w:eastAsia="华文仿宋"/>
          <w:color w:val="auto"/>
          <w:sz w:val="32"/>
          <w:szCs w:val="22"/>
          <w:lang w:val="en-US" w:eastAsia="zh-CN"/>
        </w:rPr>
        <w:t>晋宁区柴河水库水质提升工程立项批复总投资 9202.49 万元。六街集镇污水处理厂建设工程为晋宁区柴河水库水质提升工程的一个子项目，工程总投资 1552.96 万元，本次环境影响评价仅针对六街污水处理厂建设工程开展，其他子项目另行履行环保手续。本项目为已建补办项目，新建提水泵站、大营村的高位水池以及从氧化塘引入高位水池的管网，并对六街村的高位水池进行修缮。</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left="0" w:leftChars="0" w:right="0" w:rightChars="0" w:firstLine="470" w:firstLineChars="147"/>
        <w:jc w:val="both"/>
        <w:rPr>
          <w:rFonts w:hint="eastAsia" w:eastAsia="华文仿宋"/>
          <w:color w:val="auto"/>
          <w:sz w:val="32"/>
          <w:szCs w:val="22"/>
          <w:lang w:val="en-US" w:eastAsia="zh-CN"/>
        </w:rPr>
      </w:pPr>
      <w:r>
        <w:rPr>
          <w:rFonts w:hint="eastAsia" w:eastAsia="华文仿宋"/>
          <w:color w:val="auto"/>
          <w:sz w:val="32"/>
          <w:szCs w:val="22"/>
          <w:lang w:val="en-US" w:eastAsia="zh-CN"/>
        </w:rPr>
        <w:t>根据《报告表》所述工程内容、规模、功能以及环保对策措施，同意《报告表》结论。</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eastAsia" w:eastAsia="华文仿宋"/>
          <w:color w:val="auto"/>
          <w:sz w:val="32"/>
          <w:szCs w:val="22"/>
          <w:lang w:val="en-US" w:eastAsia="zh-CN"/>
        </w:rPr>
      </w:pPr>
      <w:r>
        <w:rPr>
          <w:rFonts w:hint="eastAsia" w:eastAsia="华文仿宋"/>
          <w:color w:val="auto"/>
          <w:sz w:val="32"/>
          <w:szCs w:val="22"/>
          <w:lang w:val="en-US" w:eastAsia="zh-CN"/>
        </w:rPr>
        <w:t>二、项目应建立完善的“雨污分流”排水系统，并与区域排水系统相协调。</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eastAsia" w:eastAsia="华文仿宋"/>
          <w:color w:val="auto"/>
          <w:sz w:val="32"/>
          <w:szCs w:val="22"/>
          <w:lang w:val="en-US" w:eastAsia="zh-CN"/>
        </w:rPr>
      </w:pPr>
      <w:r>
        <w:rPr>
          <w:rFonts w:hint="eastAsia" w:eastAsia="华文仿宋"/>
          <w:color w:val="auto"/>
          <w:sz w:val="32"/>
          <w:szCs w:val="22"/>
          <w:lang w:val="en-US" w:eastAsia="zh-CN"/>
        </w:rPr>
        <w:t>项目产生废水为污泥脱水产生的滤液、滤布滤池反冲洗废水和生活污水及尾水，污泥脱水产生的滤液、滤布滤池反冲洗废水和生活污水均引入污水处理厂的粗格栅进入污水处理系统，不外排，尾水全部回用于农灌，不外排。项目污水处理厂出水进入氧化塘进行处理后提升至高位水池回用于农田灌溉，主要水污染物排放限值执行《城镇污水处理厂主要水污染物排放限值》（DB5301/T43-2020）D级限值，鉴于尾水不外排，回用于农灌，其余污染物排放指标需同时执行《城镇污水处理厂污染物排放标准》（GB18918-2002）一级 A 标准和《城市污水再生利用 农田灌溉用水水质》（GB20922-2007）中的旱地谷物类型标准限值。</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eastAsia" w:ascii="Times New Roman" w:hAnsi="Times New Roman" w:eastAsia="华文仿宋" w:cs="Times New Roman"/>
          <w:color w:val="auto"/>
          <w:sz w:val="32"/>
          <w:szCs w:val="22"/>
          <w:lang w:val="en-US" w:eastAsia="zh-CN"/>
        </w:rPr>
      </w:pPr>
      <w:r>
        <w:rPr>
          <w:rFonts w:hint="eastAsia" w:eastAsia="华文仿宋"/>
          <w:color w:val="auto"/>
          <w:sz w:val="32"/>
          <w:szCs w:val="22"/>
          <w:lang w:val="en-US" w:eastAsia="zh-CN"/>
        </w:rPr>
        <w:t>三、运营期废气主要为臭气、H</w:t>
      </w:r>
      <w:r>
        <w:rPr>
          <w:rFonts w:hint="eastAsia" w:eastAsia="华文仿宋"/>
          <w:color w:val="auto"/>
          <w:sz w:val="32"/>
          <w:szCs w:val="22"/>
          <w:vertAlign w:val="subscript"/>
          <w:lang w:val="en-US" w:eastAsia="zh-CN"/>
        </w:rPr>
        <w:t>2</w:t>
      </w:r>
      <w:r>
        <w:rPr>
          <w:rFonts w:hint="eastAsia" w:eastAsia="华文仿宋"/>
          <w:color w:val="auto"/>
          <w:sz w:val="32"/>
          <w:szCs w:val="22"/>
          <w:lang w:val="en-US" w:eastAsia="zh-CN"/>
        </w:rPr>
        <w:t>S、NH</w:t>
      </w:r>
      <w:r>
        <w:rPr>
          <w:rFonts w:hint="eastAsia" w:eastAsia="华文仿宋"/>
          <w:color w:val="auto"/>
          <w:sz w:val="32"/>
          <w:szCs w:val="22"/>
          <w:vertAlign w:val="subscript"/>
          <w:lang w:val="en-US" w:eastAsia="zh-CN"/>
        </w:rPr>
        <w:t>3、</w:t>
      </w:r>
      <w:r>
        <w:rPr>
          <w:rFonts w:hint="eastAsia" w:ascii="Times New Roman" w:hAnsi="Times New Roman" w:eastAsia="华文仿宋" w:cs="Times New Roman"/>
          <w:color w:val="auto"/>
          <w:sz w:val="32"/>
          <w:szCs w:val="22"/>
          <w:lang w:val="en-US" w:eastAsia="zh-CN"/>
        </w:rPr>
        <w:t>甲烷。</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default" w:ascii="Times New Roman" w:hAnsi="Times New Roman" w:eastAsia="华文仿宋" w:cs="Times New Roman"/>
          <w:color w:val="auto"/>
          <w:sz w:val="32"/>
          <w:szCs w:val="22"/>
          <w:lang w:val="en-US" w:eastAsia="zh-CN"/>
        </w:rPr>
      </w:pPr>
      <w:r>
        <w:rPr>
          <w:rFonts w:hint="eastAsia" w:eastAsia="华文仿宋"/>
          <w:color w:val="auto"/>
          <w:sz w:val="32"/>
          <w:szCs w:val="22"/>
          <w:lang w:val="en-US" w:eastAsia="zh-CN"/>
        </w:rPr>
        <w:t>项目施工期粉尘无组织排放执行《大气污染物综合排放标准》（GB16297-1996）表 2 无组织排放监测浓度限值，即：颗粒物周界外浓度最高点≤1.0mg/m</w:t>
      </w:r>
      <w:r>
        <w:rPr>
          <w:rFonts w:hint="eastAsia" w:eastAsia="华文仿宋"/>
          <w:color w:val="auto"/>
          <w:sz w:val="32"/>
          <w:szCs w:val="22"/>
          <w:vertAlign w:val="superscript"/>
          <w:lang w:val="en-US" w:eastAsia="zh-CN"/>
        </w:rPr>
        <w:t>3</w:t>
      </w:r>
      <w:r>
        <w:rPr>
          <w:rFonts w:hint="eastAsia" w:eastAsia="华文仿宋"/>
          <w:color w:val="auto"/>
          <w:sz w:val="32"/>
          <w:szCs w:val="22"/>
          <w:lang w:val="en-US" w:eastAsia="zh-CN"/>
        </w:rPr>
        <w:t>；项目产生的恶臭气体氨、硫化氢、臭气浓度执行《城镇污水处理厂污染物排放标准》（GB18918-2002）中表 4 中的二级标准，即：NH</w:t>
      </w:r>
      <w:r>
        <w:rPr>
          <w:rFonts w:hint="eastAsia" w:eastAsia="华文仿宋"/>
          <w:color w:val="auto"/>
          <w:sz w:val="32"/>
          <w:szCs w:val="22"/>
          <w:vertAlign w:val="subscript"/>
          <w:lang w:val="en-US" w:eastAsia="zh-CN"/>
        </w:rPr>
        <w:t xml:space="preserve">3 </w:t>
      </w:r>
      <w:r>
        <w:rPr>
          <w:rFonts w:hint="eastAsia" w:eastAsia="华文仿宋"/>
          <w:color w:val="auto"/>
          <w:sz w:val="32"/>
          <w:szCs w:val="22"/>
          <w:lang w:val="en-US" w:eastAsia="zh-CN"/>
        </w:rPr>
        <w:t>≤1.5mg/m</w:t>
      </w:r>
      <w:r>
        <w:rPr>
          <w:rFonts w:hint="eastAsia" w:eastAsia="华文仿宋"/>
          <w:color w:val="auto"/>
          <w:sz w:val="32"/>
          <w:szCs w:val="22"/>
          <w:vertAlign w:val="superscript"/>
          <w:lang w:val="en-US" w:eastAsia="zh-CN"/>
        </w:rPr>
        <w:t>3</w:t>
      </w:r>
      <w:r>
        <w:rPr>
          <w:rFonts w:hint="eastAsia" w:ascii="Times New Roman" w:hAnsi="Times New Roman" w:eastAsia="华文仿宋" w:cs="Times New Roman"/>
          <w:color w:val="auto"/>
          <w:sz w:val="32"/>
          <w:szCs w:val="22"/>
          <w:lang w:val="en-US" w:eastAsia="zh-CN"/>
        </w:rPr>
        <w:t xml:space="preserve"> ，</w:t>
      </w:r>
      <w:r>
        <w:rPr>
          <w:rFonts w:hint="eastAsia" w:eastAsia="华文仿宋"/>
          <w:color w:val="auto"/>
          <w:sz w:val="32"/>
          <w:szCs w:val="22"/>
          <w:lang w:val="en-US" w:eastAsia="zh-CN"/>
        </w:rPr>
        <w:t>H</w:t>
      </w:r>
      <w:r>
        <w:rPr>
          <w:rFonts w:hint="eastAsia" w:eastAsia="华文仿宋"/>
          <w:color w:val="auto"/>
          <w:sz w:val="32"/>
          <w:szCs w:val="22"/>
          <w:vertAlign w:val="subscript"/>
          <w:lang w:val="en-US" w:eastAsia="zh-CN"/>
        </w:rPr>
        <w:t>2</w:t>
      </w:r>
      <w:r>
        <w:rPr>
          <w:rFonts w:hint="eastAsia" w:eastAsia="华文仿宋"/>
          <w:color w:val="auto"/>
          <w:sz w:val="32"/>
          <w:szCs w:val="22"/>
          <w:lang w:val="en-US" w:eastAsia="zh-CN"/>
        </w:rPr>
        <w:t>S≤0.06mg/m</w:t>
      </w:r>
      <w:r>
        <w:rPr>
          <w:rFonts w:hint="eastAsia" w:eastAsia="华文仿宋"/>
          <w:color w:val="auto"/>
          <w:sz w:val="32"/>
          <w:szCs w:val="22"/>
          <w:vertAlign w:val="superscript"/>
          <w:lang w:val="en-US" w:eastAsia="zh-CN"/>
        </w:rPr>
        <w:t>3</w:t>
      </w:r>
      <w:r>
        <w:rPr>
          <w:rFonts w:hint="eastAsia" w:ascii="Times New Roman" w:hAnsi="Times New Roman" w:eastAsia="华文仿宋" w:cs="Times New Roman"/>
          <w:color w:val="auto"/>
          <w:sz w:val="32"/>
          <w:szCs w:val="22"/>
          <w:lang w:val="en-US" w:eastAsia="zh-CN"/>
        </w:rPr>
        <w:t>，</w:t>
      </w:r>
      <w:r>
        <w:rPr>
          <w:rFonts w:hint="default" w:ascii="Times New Roman" w:hAnsi="Times New Roman" w:eastAsia="华文仿宋" w:cs="Times New Roman"/>
          <w:sz w:val="32"/>
          <w:szCs w:val="22"/>
          <w:lang w:val="en-US" w:eastAsia="zh-CN"/>
        </w:rPr>
        <w:t>臭气浓度≤20(无量纲)</w:t>
      </w:r>
      <w:r>
        <w:rPr>
          <w:rFonts w:hint="eastAsia" w:ascii="Times New Roman" w:hAnsi="Times New Roman" w:eastAsia="华文仿宋" w:cs="Times New Roman"/>
          <w:sz w:val="32"/>
          <w:szCs w:val="22"/>
          <w:lang w:val="en-US" w:eastAsia="zh-CN"/>
        </w:rPr>
        <w:t>，甲烷（处理站内最高体积浓度%）</w:t>
      </w:r>
      <w:r>
        <w:rPr>
          <w:rFonts w:hint="eastAsia" w:eastAsia="华文仿宋"/>
          <w:color w:val="auto"/>
          <w:sz w:val="32"/>
          <w:szCs w:val="22"/>
          <w:lang w:val="en-US" w:eastAsia="zh-CN"/>
        </w:rPr>
        <w:t>≤1。</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eastAsia" w:eastAsia="华文仿宋"/>
          <w:color w:val="auto"/>
          <w:sz w:val="32"/>
          <w:szCs w:val="22"/>
          <w:lang w:val="en-US" w:eastAsia="zh-CN"/>
        </w:rPr>
      </w:pPr>
      <w:r>
        <w:rPr>
          <w:rFonts w:hint="eastAsia" w:ascii="Times New Roman" w:hAnsi="Times New Roman" w:eastAsia="华文仿宋" w:cs="Times New Roman"/>
          <w:color w:val="auto"/>
          <w:sz w:val="32"/>
          <w:szCs w:val="22"/>
          <w:lang w:val="en-US" w:eastAsia="zh-CN"/>
        </w:rPr>
        <w:t>四、项目运</w:t>
      </w:r>
      <w:r>
        <w:rPr>
          <w:rFonts w:hint="eastAsia" w:eastAsia="华文仿宋"/>
          <w:color w:val="auto"/>
          <w:sz w:val="32"/>
          <w:szCs w:val="22"/>
          <w:lang w:val="en-US" w:eastAsia="zh-CN"/>
        </w:rPr>
        <w:t>营期产生噪声的场所应合理布局，选择低噪声设备；项目厂界昼、夜噪声满足《工业企业厂界环境噪声排放标准》（GB12348-2008）2类标准，即：昼间≤60dB（A），夜间≤50dB（A）。</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eastAsia" w:eastAsia="华文仿宋"/>
          <w:color w:val="auto"/>
          <w:sz w:val="32"/>
          <w:szCs w:val="22"/>
          <w:lang w:val="en-US" w:eastAsia="zh-CN"/>
        </w:rPr>
      </w:pPr>
      <w:r>
        <w:rPr>
          <w:rFonts w:hint="eastAsia" w:eastAsia="华文仿宋"/>
          <w:color w:val="auto"/>
          <w:sz w:val="32"/>
          <w:szCs w:val="22"/>
          <w:lang w:val="en-US" w:eastAsia="zh-CN"/>
        </w:rPr>
        <w:t>五、项目固体废物应分类收集。生活垃圾委托环卫部门统一清运，污泥脱水处理后应妥善处置，执行《城镇污水处理厂污染物排放标准》（GB18918-2002）和《生活垃圾填埋场污染控制标准》（GB16889-2008）污泥控制标准；在线监测分析的废液，废矿物油属于危险废物，执行《危险废物贮存污染控制标准》（GB18597-2001）及其修改单。</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default" w:eastAsia="华文仿宋"/>
          <w:color w:val="auto"/>
          <w:sz w:val="32"/>
          <w:szCs w:val="22"/>
          <w:lang w:val="en-US" w:eastAsia="zh-CN"/>
        </w:rPr>
      </w:pPr>
      <w:r>
        <w:rPr>
          <w:rFonts w:hint="eastAsia" w:eastAsia="华文仿宋"/>
          <w:color w:val="auto"/>
          <w:sz w:val="32"/>
          <w:szCs w:val="22"/>
          <w:lang w:val="en-US" w:eastAsia="zh-CN"/>
        </w:rPr>
        <w:t>六</w:t>
      </w:r>
      <w:r>
        <w:rPr>
          <w:rFonts w:hint="default" w:eastAsia="华文仿宋"/>
          <w:color w:val="auto"/>
          <w:sz w:val="32"/>
          <w:szCs w:val="22"/>
          <w:lang w:val="en-US" w:eastAsia="zh-CN"/>
        </w:rPr>
        <w:t>、禁止使用含磷洗涤用品及一次性不可降解塑料餐饮具。</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default" w:eastAsia="华文仿宋"/>
          <w:color w:val="auto"/>
          <w:sz w:val="32"/>
          <w:szCs w:val="22"/>
          <w:lang w:val="en-US" w:eastAsia="zh-CN"/>
        </w:rPr>
      </w:pPr>
      <w:r>
        <w:rPr>
          <w:rFonts w:hint="eastAsia" w:eastAsia="华文仿宋"/>
          <w:color w:val="auto"/>
          <w:sz w:val="32"/>
          <w:szCs w:val="22"/>
          <w:lang w:val="en-US" w:eastAsia="zh-CN"/>
        </w:rPr>
        <w:t>七</w:t>
      </w:r>
      <w:r>
        <w:rPr>
          <w:rFonts w:hint="default" w:eastAsia="华文仿宋"/>
          <w:color w:val="auto"/>
          <w:sz w:val="32"/>
          <w:szCs w:val="22"/>
          <w:lang w:val="en-US" w:eastAsia="zh-CN"/>
        </w:rPr>
        <w:t>、建立完善的环境风险管理制度及风险防范应急措施，防止环境污染事故发生。</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default" w:eastAsia="华文仿宋"/>
          <w:color w:val="auto"/>
          <w:sz w:val="32"/>
          <w:szCs w:val="22"/>
          <w:lang w:val="en-US" w:eastAsia="zh-CN"/>
        </w:rPr>
      </w:pPr>
      <w:r>
        <w:rPr>
          <w:rFonts w:hint="eastAsia" w:eastAsia="华文仿宋"/>
          <w:color w:val="auto"/>
          <w:sz w:val="32"/>
          <w:szCs w:val="22"/>
          <w:lang w:val="en-US" w:eastAsia="zh-CN"/>
        </w:rPr>
        <w:t>八</w:t>
      </w:r>
      <w:r>
        <w:rPr>
          <w:rFonts w:hint="default" w:eastAsia="华文仿宋"/>
          <w:color w:val="auto"/>
          <w:sz w:val="32"/>
          <w:szCs w:val="22"/>
          <w:lang w:val="en-US" w:eastAsia="zh-CN"/>
        </w:rPr>
        <w:t>、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default" w:eastAsia="华文仿宋"/>
          <w:color w:val="auto"/>
          <w:sz w:val="32"/>
          <w:szCs w:val="22"/>
          <w:lang w:val="en-US" w:eastAsia="zh-CN"/>
        </w:rPr>
      </w:pPr>
      <w:r>
        <w:rPr>
          <w:rFonts w:hint="eastAsia" w:eastAsia="华文仿宋"/>
          <w:color w:val="auto"/>
          <w:sz w:val="32"/>
          <w:szCs w:val="22"/>
          <w:lang w:val="en-US" w:eastAsia="zh-CN"/>
        </w:rPr>
        <w:t>九</w:t>
      </w:r>
      <w:r>
        <w:rPr>
          <w:rFonts w:hint="default" w:eastAsia="华文仿宋"/>
          <w:color w:val="auto"/>
          <w:sz w:val="32"/>
          <w:szCs w:val="22"/>
          <w:lang w:val="en-US" w:eastAsia="zh-CN"/>
        </w:rPr>
        <w:t>、《报告表》应当作为项目环境保护设计、建设及运行管理的依据，项目应认真落实各项环保对策措施，环保设施须与主体工程同时设计、同时施工、同时投产使用。</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default" w:eastAsia="华文仿宋"/>
          <w:color w:val="auto"/>
          <w:sz w:val="32"/>
          <w:szCs w:val="22"/>
          <w:lang w:val="en-US" w:eastAsia="zh-CN"/>
        </w:rPr>
      </w:pPr>
      <w:r>
        <w:rPr>
          <w:rFonts w:hint="default" w:eastAsia="华文仿宋"/>
          <w:color w:val="auto"/>
          <w:sz w:val="32"/>
          <w:szCs w:val="22"/>
          <w:lang w:val="en-US" w:eastAsia="zh-CN"/>
        </w:rPr>
        <w:t>严格遵守《建设项目环境保护条例》，建设项目竣工后，建设单位应当按照国务院生态环境行政主管部门规定的标准和程序，对配套建设的环境保护设施进行验收，经验收合格后方可投入生产或者使用。</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right="0" w:rightChars="0" w:firstLine="640" w:firstLineChars="200"/>
        <w:jc w:val="both"/>
        <w:rPr>
          <w:rFonts w:hint="default" w:eastAsia="华文仿宋"/>
          <w:color w:val="auto"/>
          <w:sz w:val="32"/>
          <w:szCs w:val="22"/>
          <w:lang w:val="en-US" w:eastAsia="zh-CN"/>
        </w:rPr>
      </w:pPr>
      <w:r>
        <w:rPr>
          <w:rFonts w:hint="eastAsia" w:eastAsia="华文仿宋"/>
          <w:color w:val="auto"/>
          <w:sz w:val="32"/>
          <w:szCs w:val="22"/>
          <w:lang w:val="en-US" w:eastAsia="zh-CN"/>
        </w:rPr>
        <w:t>十、</w:t>
      </w:r>
      <w:r>
        <w:rPr>
          <w:rFonts w:hint="default" w:eastAsia="华文仿宋"/>
          <w:color w:val="auto"/>
          <w:sz w:val="32"/>
          <w:szCs w:val="22"/>
          <w:lang w:val="en-US" w:eastAsia="zh-CN"/>
        </w:rPr>
        <w:t>项目的性质、规模、地点、采用的生产工艺或者防治污染、防止生态破坏的措施发生变动的，应当重新向我局报批建设项目的环境影响评价文件。</w:t>
      </w:r>
    </w:p>
    <w:p>
      <w:pPr>
        <w:keepNext w:val="0"/>
        <w:keepLines w:val="0"/>
        <w:pageBreakBefore w:val="0"/>
        <w:widowControl/>
        <w:numPr>
          <w:ilvl w:val="0"/>
          <w:numId w:val="0"/>
        </w:numPr>
        <w:kinsoku/>
        <w:wordWrap/>
        <w:overflowPunct/>
        <w:topLinePunct w:val="0"/>
        <w:autoSpaceDE/>
        <w:autoSpaceDN/>
        <w:bidi w:val="0"/>
        <w:snapToGrid w:val="0"/>
        <w:spacing w:before="0" w:beforeLines="0" w:after="0" w:afterLines="0" w:line="600" w:lineRule="exact"/>
        <w:ind w:right="0" w:rightChars="0" w:firstLine="640" w:firstLineChars="200"/>
        <w:jc w:val="both"/>
        <w:rPr>
          <w:rFonts w:hint="default" w:eastAsia="华文仿宋"/>
          <w:color w:val="auto"/>
          <w:sz w:val="32"/>
          <w:szCs w:val="22"/>
          <w:lang w:val="en-US" w:eastAsia="zh-CN"/>
        </w:rPr>
      </w:pPr>
      <w:r>
        <w:rPr>
          <w:rFonts w:hint="default" w:eastAsia="华文仿宋"/>
          <w:color w:val="auto"/>
          <w:sz w:val="32"/>
          <w:szCs w:val="22"/>
          <w:lang w:val="en-US" w:eastAsia="zh-CN"/>
        </w:rPr>
        <w:t>自本批复之日起超过五年项目方开建设的，环境影响评价文件应当报我局重新审核。</w:t>
      </w:r>
    </w:p>
    <w:p>
      <w:pPr>
        <w:keepNext w:val="0"/>
        <w:keepLines w:val="0"/>
        <w:pageBreakBefore w:val="0"/>
        <w:widowControl/>
        <w:kinsoku/>
        <w:wordWrap/>
        <w:overflowPunct/>
        <w:topLinePunct w:val="0"/>
        <w:autoSpaceDE/>
        <w:autoSpaceDN/>
        <w:bidi w:val="0"/>
        <w:snapToGrid w:val="0"/>
        <w:spacing w:before="0" w:beforeLines="0" w:after="0" w:afterLines="0" w:line="600" w:lineRule="exact"/>
        <w:ind w:left="0" w:leftChars="0" w:right="0" w:rightChars="0" w:firstLine="640" w:firstLineChars="200"/>
        <w:jc w:val="both"/>
        <w:rPr>
          <w:rFonts w:hint="eastAsia" w:eastAsia="华文仿宋"/>
          <w:color w:val="auto"/>
          <w:sz w:val="32"/>
          <w:szCs w:val="22"/>
          <w:lang w:val="en-US" w:eastAsia="zh-CN"/>
        </w:rPr>
      </w:pPr>
      <w:r>
        <w:rPr>
          <w:rFonts w:hint="default" w:eastAsia="华文仿宋"/>
          <w:color w:val="auto"/>
          <w:sz w:val="32"/>
          <w:szCs w:val="22"/>
          <w:lang w:val="en-US" w:eastAsia="zh-CN"/>
        </w:rPr>
        <w:t>十</w:t>
      </w:r>
      <w:r>
        <w:rPr>
          <w:rFonts w:hint="eastAsia" w:eastAsia="华文仿宋"/>
          <w:color w:val="auto"/>
          <w:sz w:val="32"/>
          <w:szCs w:val="22"/>
          <w:lang w:val="en-US" w:eastAsia="zh-CN"/>
        </w:rPr>
        <w:t>一</w:t>
      </w:r>
      <w:r>
        <w:rPr>
          <w:rFonts w:hint="default" w:eastAsia="华文仿宋"/>
          <w:color w:val="auto"/>
          <w:sz w:val="32"/>
          <w:szCs w:val="22"/>
          <w:lang w:val="en-US" w:eastAsia="zh-CN"/>
        </w:rPr>
        <w:t>、依法到国土、规划、住建、水务、发改经贸等部门办理其他相关手续。</w:t>
      </w:r>
    </w:p>
    <w:p>
      <w:pPr>
        <w:pStyle w:val="2"/>
        <w:ind w:left="0" w:leftChars="0" w:firstLine="0" w:firstLineChars="0"/>
      </w:pPr>
    </w:p>
    <w:p>
      <w:pPr>
        <w:spacing w:line="560" w:lineRule="exact"/>
        <w:textAlignment w:val="baseline"/>
        <w:rPr>
          <w:rFonts w:eastAsia="华文仿宋"/>
          <w:sz w:val="32"/>
        </w:rPr>
      </w:pPr>
      <w:r>
        <w:rPr>
          <w:rFonts w:eastAsia="华文仿宋"/>
          <w:sz w:val="32"/>
        </w:rPr>
        <w:t xml:space="preserve"> </w:t>
      </w: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7</w:t>
      </w:r>
      <w:r>
        <w:rPr>
          <w:rFonts w:eastAsia="华文仿宋"/>
          <w:color w:val="000000"/>
          <w:sz w:val="32"/>
        </w:rPr>
        <w:t>月</w:t>
      </w:r>
      <w:r>
        <w:rPr>
          <w:rFonts w:hint="eastAsia" w:eastAsia="华文仿宋"/>
          <w:color w:val="000000"/>
          <w:sz w:val="32"/>
          <w:lang w:val="en-US" w:eastAsia="zh-CN"/>
        </w:rPr>
        <w:t>25</w:t>
      </w:r>
      <w:r>
        <w:rPr>
          <w:rFonts w:eastAsia="华文仿宋"/>
          <w:color w:val="000000"/>
          <w:sz w:val="32"/>
        </w:rPr>
        <w:t>日</w:t>
      </w:r>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六街镇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baseline"/>
        <w:outlineLvl w:val="9"/>
        <w:rPr>
          <w:rFonts w:hint="eastAsia"/>
          <w:b/>
          <w:sz w:val="44"/>
          <w:szCs w:val="22"/>
        </w:rPr>
      </w:pPr>
      <w:r>
        <w:rPr>
          <w:rFonts w:hint="eastAsia" w:hAnsi="华文仿宋" w:eastAsia="华文仿宋"/>
          <w:color w:val="000000"/>
          <w:sz w:val="32"/>
          <w:lang w:val="en-US" w:eastAsia="zh-CN"/>
        </w:rPr>
        <w:t xml:space="preserve"> </w:t>
      </w: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ascii="Times New Roman" w:hAnsi="Times New Roman" w:eastAsia="华文仿宋" w:cs="Times New Roman"/>
          <w:color w:val="000000"/>
          <w:sz w:val="32"/>
          <w:lang w:val="en-US" w:eastAsia="zh-CN"/>
        </w:rPr>
        <w:t>2</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7</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2</w:t>
      </w:r>
      <w:bookmarkStart w:id="1" w:name="_GoBack"/>
      <w:bookmarkEnd w:id="1"/>
      <w:r>
        <w:rPr>
          <w:rFonts w:hint="eastAsia" w:eastAsia="华文仿宋" w:cs="Times New Roman"/>
          <w:color w:val="000000"/>
          <w:sz w:val="32"/>
          <w:lang w:val="en-US" w:eastAsia="zh-CN"/>
        </w:rPr>
        <w:t>5</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0" w:firstLineChars="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7</w:t>
      </w:r>
      <w:r>
        <w:rPr>
          <w:rFonts w:eastAsia="仿宋_GB2312"/>
          <w:sz w:val="32"/>
        </w:rPr>
        <w:t>月</w:t>
      </w:r>
      <w:r>
        <w:rPr>
          <w:rFonts w:hint="eastAsia" w:eastAsia="仿宋_GB2312"/>
          <w:sz w:val="32"/>
          <w:lang w:val="en-US" w:eastAsia="zh-CN"/>
        </w:rPr>
        <w:t>13</w:t>
      </w:r>
      <w:r>
        <w:rPr>
          <w:rFonts w:eastAsia="仿宋_GB2312"/>
          <w:sz w:val="32"/>
        </w:rPr>
        <w:t>日</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spacing w:line="300" w:lineRule="exact"/>
              <w:jc w:val="center"/>
              <w:textAlignment w:val="baseline"/>
              <w:rPr>
                <w:rFonts w:hint="eastAsia"/>
                <w:sz w:val="24"/>
              </w:rPr>
            </w:pPr>
            <w:r>
              <w:rPr>
                <w:rFonts w:hint="eastAsia"/>
                <w:sz w:val="24"/>
              </w:rPr>
              <w:t>关于对《 晋宁区柴河水库水质提升工程</w:t>
            </w:r>
            <w:r>
              <w:rPr>
                <w:rFonts w:hint="eastAsia"/>
                <w:sz w:val="24"/>
                <w:lang w:eastAsia="zh-CN"/>
              </w:rPr>
              <w:t>项目</w:t>
            </w:r>
            <w:r>
              <w:rPr>
                <w:rFonts w:hint="eastAsia"/>
                <w:sz w:val="24"/>
              </w:rPr>
              <w:t>环境影响</w:t>
            </w:r>
            <w:r>
              <w:rPr>
                <w:rFonts w:hint="eastAsia"/>
                <w:sz w:val="24"/>
                <w:lang w:eastAsia="zh-CN"/>
              </w:rPr>
              <w:t>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left="1" w:leftChars="0" w:right="0" w:rightChars="0" w:firstLine="480" w:firstLineChars="200"/>
              <w:jc w:val="center"/>
              <w:textAlignment w:val="bottom"/>
              <w:outlineLvl w:val="9"/>
              <w:rPr>
                <w:rFonts w:hint="eastAsia" w:eastAsia="宋体"/>
                <w:sz w:val="24"/>
                <w:lang w:eastAsia="zh-CN"/>
              </w:rPr>
            </w:pPr>
            <w:r>
              <w:rPr>
                <w:rFonts w:hint="eastAsia" w:cs="Times New Roman"/>
                <w:sz w:val="24"/>
                <w:szCs w:val="22"/>
                <w:lang w:eastAsia="zh-CN"/>
              </w:rPr>
              <w:t>昆明市晋宁区水务局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w:t>
            </w:r>
            <w:r>
              <w:rPr>
                <w:rFonts w:hint="eastAsia" w:cs="Times New Roman"/>
                <w:sz w:val="24"/>
                <w:szCs w:val="24"/>
                <w:lang w:val="en-US" w:eastAsia="zh-CN"/>
              </w:rPr>
              <w:t>六街镇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22</w:t>
            </w:r>
            <w:r>
              <w:rPr>
                <w:sz w:val="24"/>
              </w:rPr>
              <w:t>]号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r>
              <w:rPr>
                <w:rFonts w:hint="eastAsia" w:ascii="宋体" w:hAnsi="宋体" w:cs="宋体"/>
                <w:color w:val="000000"/>
                <w:kern w:val="2"/>
                <w:sz w:val="24"/>
                <w:szCs w:val="20"/>
                <w:lang w:val="en-US" w:eastAsia="zh-CN"/>
              </w:rPr>
              <w:t>晋宁区柴河水库水质提升工程立项批复总投资 9202.49 万元。六街集镇污水处理厂建设工程为晋宁区柴河水库水质提升工程的一个子项目，工程总投资 1552.96 万元，本次环境影响评价仅针对六街污水处理厂建设工程开展，其他子项目另行履行环保手续。本项目为已建补办项目，污水处理厂的所有构筑物、设备、设施以及氧化塘和六街村的高位水池均已建成，新建提水泵站、大营村的高位水池以及从氧化塘引入高位水池的管网，并对六街村的高位水池进行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A7852"/>
    <w:rsid w:val="10FE3254"/>
    <w:rsid w:val="14D226BA"/>
    <w:rsid w:val="1540427C"/>
    <w:rsid w:val="370F2CD1"/>
    <w:rsid w:val="46F83562"/>
    <w:rsid w:val="50693E34"/>
    <w:rsid w:val="538608EE"/>
    <w:rsid w:val="58F17395"/>
    <w:rsid w:val="613F6746"/>
    <w:rsid w:val="651112E7"/>
    <w:rsid w:val="66D24A56"/>
    <w:rsid w:val="67D75030"/>
    <w:rsid w:val="697B10EF"/>
    <w:rsid w:val="6FA07A57"/>
    <w:rsid w:val="77F537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spacing w:line="480" w:lineRule="exact"/>
      <w:ind w:firstLine="425"/>
    </w:pPr>
    <w:rPr>
      <w:rFonts w:ascii="宋体" w:hAnsi="Courier New"/>
      <w:spacing w:val="16"/>
      <w:sz w:val="24"/>
      <w:szCs w:val="20"/>
    </w:rPr>
  </w:style>
  <w:style w:type="paragraph" w:styleId="4">
    <w:name w:val="Body Text"/>
    <w:basedOn w:val="1"/>
    <w:next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First Indent"/>
    <w:basedOn w:val="4"/>
    <w:next w:val="1"/>
    <w:qFormat/>
    <w:uiPriority w:val="0"/>
    <w:pPr>
      <w:ind w:firstLine="420" w:firstLineChars="100"/>
    </w:pPr>
  </w:style>
  <w:style w:type="paragraph" w:styleId="9">
    <w:name w:val="Body Text First Indent 2"/>
    <w:basedOn w:val="5"/>
    <w:next w:val="1"/>
    <w:qFormat/>
    <w:uiPriority w:val="0"/>
    <w:pPr>
      <w:ind w:firstLine="420" w:firstLineChars="200"/>
    </w:pPr>
  </w:style>
  <w:style w:type="character" w:styleId="12">
    <w:name w:val="page number"/>
    <w:basedOn w:val="11"/>
    <w:qFormat/>
    <w:uiPriority w:val="0"/>
  </w:style>
  <w:style w:type="paragraph" w:customStyle="1" w:styleId="13">
    <w:name w:val="样式 标题 1 + 四号 段前: 0 磅 段后: 0 磅 行距: 1.5 倍行距"/>
    <w:basedOn w:val="3"/>
    <w:next w:val="14"/>
    <w:qFormat/>
    <w:uiPriority w:val="0"/>
    <w:pPr>
      <w:spacing w:line="360" w:lineRule="auto"/>
      <w:jc w:val="center"/>
    </w:pPr>
  </w:style>
  <w:style w:type="paragraph" w:customStyle="1" w:styleId="14">
    <w:name w:val="文本正文"/>
    <w:basedOn w:val="1"/>
    <w:qFormat/>
    <w:uiPriority w:val="0"/>
    <w:pPr>
      <w:snapToGrid w:val="0"/>
      <w:spacing w:line="360" w:lineRule="auto"/>
      <w:ind w:firstLine="510"/>
      <w:jc w:val="left"/>
    </w:pPr>
    <w:rPr>
      <w:spacing w:val="4"/>
      <w:kern w:val="24"/>
      <w:szCs w:val="24"/>
      <w:lang w:val="zh-CN"/>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2022-07-13T05:15:00Z</cp:lastPrinted>
  <dcterms:modified xsi:type="dcterms:W3CDTF">2022-07-26T01:27:10Z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