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1"/>
          <w:lang w:eastAsia="zh-CN"/>
        </w:rPr>
      </w:pPr>
    </w:p>
    <w:p>
      <w:pPr>
        <w:rPr>
          <w:rFonts w:hint="eastAsia"/>
          <w:sz w:val="21"/>
        </w:rPr>
      </w:pPr>
    </w:p>
    <w:p>
      <w:pPr>
        <w:rPr>
          <w:rFonts w:hint="eastAsia"/>
          <w:sz w:val="21"/>
        </w:rPr>
      </w:pPr>
    </w:p>
    <w:p>
      <w:pPr>
        <w:rPr>
          <w:rFonts w:hint="eastAsia"/>
          <w:sz w:val="21"/>
        </w:rPr>
      </w:pPr>
      <w:r>
        <w:rPr>
          <w:rFonts w:hint="eastAsia"/>
          <w:sz w:val="21"/>
        </w:rPr>
        <w:t xml:space="preserve">                                                                        </w:t>
      </w:r>
    </w:p>
    <w:p>
      <w:pPr>
        <w:rPr>
          <w:rFonts w:hint="eastAsia"/>
          <w:sz w:val="21"/>
        </w:rPr>
      </w:pPr>
    </w:p>
    <w:p>
      <w:pPr>
        <w:rPr>
          <w:rFonts w:hint="eastAsia"/>
          <w:sz w:val="21"/>
        </w:rPr>
      </w:pPr>
    </w:p>
    <w:p>
      <w:pPr>
        <w:rPr>
          <w:rFonts w:hint="eastAsia"/>
          <w:sz w:val="21"/>
        </w:rPr>
      </w:pPr>
    </w:p>
    <w:p>
      <w:pPr>
        <w:rPr>
          <w:rFonts w:hint="eastAsia"/>
          <w:sz w:val="21"/>
        </w:rPr>
      </w:pPr>
      <w:r>
        <w:rPr>
          <w:rFonts w:hint="eastAsia"/>
          <w:sz w:val="21"/>
        </w:rPr>
        <w:t xml:space="preserve">                                                                     </w:t>
      </w:r>
    </w:p>
    <w:p>
      <w:pPr>
        <w:ind w:left="227" w:hanging="226"/>
        <w:rPr>
          <w:rFonts w:hint="eastAsia" w:eastAsia="穝灿砰"/>
          <w:spacing w:val="56"/>
          <w:sz w:val="44"/>
        </w:rPr>
      </w:pPr>
    </w:p>
    <w:p>
      <w:pPr>
        <w:ind w:left="227" w:hanging="226"/>
        <w:rPr>
          <w:rFonts w:hint="eastAsia" w:eastAsia="穝灿砰"/>
          <w:b/>
          <w:spacing w:val="56"/>
          <w:sz w:val="44"/>
        </w:rPr>
      </w:pPr>
      <w:r>
        <w:rPr>
          <w:rFonts w:hint="eastAsia" w:eastAsia="穝灿砰"/>
          <w:spacing w:val="56"/>
          <w:sz w:val="44"/>
        </w:rPr>
        <w:t xml:space="preserve">               </w:t>
      </w:r>
      <w:r>
        <w:rPr>
          <w:rFonts w:hint="eastAsia" w:eastAsia="穝灿砰"/>
          <w:b/>
          <w:spacing w:val="56"/>
          <w:sz w:val="44"/>
        </w:rPr>
        <w:t xml:space="preserve"> </w:t>
      </w:r>
    </w:p>
    <w:p>
      <w:pPr>
        <w:ind w:left="0"/>
        <w:rPr>
          <w:rFonts w:hint="eastAsia"/>
          <w:sz w:val="21"/>
          <w:lang w:eastAsia="zh-CN"/>
        </w:rPr>
      </w:pPr>
    </w:p>
    <w:p>
      <w:pPr>
        <w:ind w:left="0"/>
        <w:rPr>
          <w:rFonts w:hint="eastAsia"/>
          <w:color w:val="auto"/>
          <w:sz w:val="21"/>
          <w:lang w:eastAsia="zh-CN"/>
        </w:rPr>
      </w:pPr>
    </w:p>
    <w:p>
      <w:pPr>
        <w:jc w:val="center"/>
        <w:rPr>
          <w:rFonts w:hint="eastAsia" w:ascii="仿宋" w:hAnsi="仿宋" w:eastAsia="仿宋" w:cs="仿宋"/>
          <w:color w:val="auto"/>
          <w:sz w:val="32"/>
        </w:rPr>
      </w:pPr>
    </w:p>
    <w:p>
      <w:pPr>
        <w:jc w:val="center"/>
        <w:rPr>
          <w:rFonts w:hint="eastAsia" w:ascii="仿宋" w:hAnsi="仿宋" w:eastAsia="仿宋" w:cs="仿宋"/>
          <w:color w:val="auto"/>
          <w:sz w:val="32"/>
        </w:rPr>
      </w:pPr>
      <w:r>
        <w:rPr>
          <w:rFonts w:hint="eastAsia" w:ascii="仿宋" w:hAnsi="仿宋" w:eastAsia="仿宋" w:cs="仿宋"/>
          <w:color w:val="auto"/>
          <w:sz w:val="32"/>
          <w:lang w:eastAsia="zh-CN"/>
        </w:rPr>
        <w:t>昆生环</w:t>
      </w:r>
      <w:r>
        <w:rPr>
          <w:rFonts w:hint="eastAsia" w:ascii="仿宋" w:hAnsi="仿宋" w:eastAsia="仿宋" w:cs="仿宋"/>
          <w:color w:val="auto"/>
          <w:sz w:val="32"/>
        </w:rPr>
        <w:t>晋</w:t>
      </w:r>
      <w:r>
        <w:rPr>
          <w:rFonts w:hint="eastAsia" w:ascii="仿宋" w:hAnsi="仿宋" w:eastAsia="仿宋" w:cs="仿宋"/>
          <w:color w:val="auto"/>
          <w:sz w:val="32"/>
          <w:lang w:eastAsia="zh-CN"/>
        </w:rPr>
        <w:t>复</w:t>
      </w:r>
      <w:r>
        <w:rPr>
          <w:rFonts w:hint="eastAsia" w:ascii="仿宋" w:hAnsi="仿宋" w:eastAsia="仿宋" w:cs="仿宋"/>
          <w:color w:val="auto"/>
          <w:sz w:val="32"/>
        </w:rPr>
        <w:t>〔</w:t>
      </w:r>
      <w:r>
        <w:rPr>
          <w:rFonts w:hint="eastAsia" w:ascii="仿宋" w:hAnsi="仿宋" w:eastAsia="仿宋" w:cs="仿宋"/>
          <w:color w:val="auto"/>
          <w:sz w:val="32"/>
          <w:lang w:eastAsia="zh-CN"/>
        </w:rPr>
        <w:t>20</w:t>
      </w:r>
      <w:r>
        <w:rPr>
          <w:rFonts w:hint="eastAsia" w:ascii="仿宋" w:hAnsi="仿宋" w:eastAsia="仿宋" w:cs="仿宋"/>
          <w:color w:val="auto"/>
          <w:sz w:val="32"/>
          <w:lang w:val="en-US" w:eastAsia="zh-CN"/>
        </w:rPr>
        <w:t>22〕24</w:t>
      </w:r>
      <w:r>
        <w:rPr>
          <w:rFonts w:hint="eastAsia" w:ascii="仿宋" w:hAnsi="仿宋" w:eastAsia="仿宋" w:cs="仿宋"/>
          <w:color w:val="auto"/>
          <w:sz w:val="32"/>
        </w:rPr>
        <w:t>号</w:t>
      </w:r>
    </w:p>
    <w:p>
      <w:pPr>
        <w:jc w:val="center"/>
        <w:rPr>
          <w:rFonts w:hint="eastAsia" w:eastAsia="穝灿砰"/>
          <w:color w:val="auto"/>
          <w:sz w:val="32"/>
          <w:lang w:eastAsia="zh-CN"/>
        </w:rPr>
      </w:pPr>
    </w:p>
    <w:p>
      <w:pPr>
        <w:ind w:left="0"/>
        <w:rPr>
          <w:rFonts w:hint="eastAsia" w:eastAsia="穝灿砰"/>
          <w:color w:val="auto"/>
          <w:sz w:val="32"/>
          <w:lang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bottom"/>
        <w:outlineLvl w:val="9"/>
        <w:rPr>
          <w:rFonts w:hint="eastAsia"/>
          <w:b/>
          <w:color w:val="auto"/>
          <w:sz w:val="44"/>
          <w:lang w:eastAsia="zh-CN"/>
        </w:rPr>
      </w:pPr>
      <w:r>
        <w:rPr>
          <w:b/>
          <w:spacing w:val="20"/>
          <w:sz w:val="44"/>
        </w:rPr>
        <w:t>关于对《</w:t>
      </w:r>
      <w:r>
        <w:rPr>
          <w:rFonts w:hint="default"/>
          <w:b/>
          <w:spacing w:val="20"/>
          <w:sz w:val="44"/>
        </w:rPr>
        <w:t>特种干粉砂浆的生产与销售项目</w:t>
      </w:r>
      <w:r>
        <w:rPr>
          <w:rFonts w:hint="eastAsia"/>
          <w:b/>
          <w:sz w:val="44"/>
          <w:szCs w:val="22"/>
        </w:rPr>
        <w:t>环境影响</w:t>
      </w:r>
      <w:r>
        <w:rPr>
          <w:rFonts w:hint="eastAsia"/>
          <w:b/>
          <w:sz w:val="44"/>
          <w:szCs w:val="22"/>
          <w:lang w:eastAsia="zh-CN"/>
        </w:rPr>
        <w:t>报告表</w:t>
      </w:r>
      <w:r>
        <w:rPr>
          <w:rFonts w:hint="eastAsia"/>
          <w:b/>
          <w:sz w:val="44"/>
        </w:rPr>
        <w:t>》的批复</w:t>
      </w:r>
    </w:p>
    <w:p>
      <w:pPr>
        <w:spacing w:line="600" w:lineRule="exact"/>
        <w:ind w:firstLine="696" w:firstLineChars="200"/>
        <w:rPr>
          <w:rFonts w:hint="eastAsia" w:ascii="仿宋_GB2312" w:eastAsia="仿宋_GB2312"/>
          <w:color w:val="auto"/>
          <w:spacing w:val="14"/>
          <w:sz w:val="32"/>
          <w:szCs w:val="32"/>
        </w:rPr>
      </w:pP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right="0" w:rightChars="0"/>
        <w:jc w:val="left"/>
        <w:textAlignment w:val="bottom"/>
        <w:outlineLvl w:val="9"/>
        <w:rPr>
          <w:rFonts w:hint="eastAsia" w:eastAsia="华文仿宋"/>
          <w:color w:val="auto"/>
          <w:sz w:val="32"/>
          <w:lang w:eastAsia="zh-CN"/>
        </w:rPr>
      </w:pPr>
      <w:r>
        <w:rPr>
          <w:rFonts w:hint="eastAsia" w:eastAsia="华文仿宋"/>
          <w:color w:val="auto"/>
          <w:sz w:val="32"/>
          <w:lang w:eastAsia="zh-CN"/>
        </w:rPr>
        <w:t>云南奥楚科技有限公司：</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eastAsia" w:eastAsia="华文仿宋"/>
          <w:color w:val="auto"/>
          <w:sz w:val="32"/>
          <w:szCs w:val="22"/>
          <w:lang w:eastAsia="zh-CN"/>
        </w:rPr>
      </w:pPr>
      <w:r>
        <w:rPr>
          <w:rFonts w:hint="eastAsia" w:eastAsia="华文仿宋"/>
          <w:color w:val="auto"/>
          <w:sz w:val="32"/>
          <w:lang w:eastAsia="zh-CN"/>
        </w:rPr>
        <w:t xml:space="preserve"> 你单位委托云南绿蓝环境科技有限公司编制的《特种干粉砂浆的生产与销售项目环境影响报告表》(以下简称《报告表》)收悉。根据《中华人民共和国环境影响评价法》第二十二条、《建</w:t>
      </w:r>
      <w:r>
        <w:rPr>
          <w:rFonts w:hint="eastAsia" w:eastAsia="华文仿宋"/>
          <w:color w:val="auto"/>
          <w:sz w:val="32"/>
          <w:szCs w:val="22"/>
          <w:lang w:eastAsia="zh-CN"/>
        </w:rPr>
        <w:t>设项目环境保护管理条例》第九条，经研究，批复如下：</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right="0" w:rightChars="0" w:firstLine="640" w:firstLineChars="200"/>
        <w:jc w:val="both"/>
        <w:rPr>
          <w:rFonts w:hint="eastAsia" w:eastAsia="华文仿宋"/>
          <w:color w:val="auto"/>
          <w:sz w:val="32"/>
          <w:szCs w:val="22"/>
          <w:lang w:val="en-US" w:eastAsia="zh-CN"/>
        </w:rPr>
      </w:pPr>
      <w:bookmarkStart w:id="0" w:name="_Hlk75459699"/>
      <w:r>
        <w:rPr>
          <w:rFonts w:hint="eastAsia" w:ascii="Times New Roman" w:hAnsi="Times New Roman" w:eastAsia="华文仿宋" w:cs="Times New Roman"/>
          <w:sz w:val="32"/>
          <w:szCs w:val="22"/>
          <w:lang w:val="en-US" w:eastAsia="zh-CN"/>
        </w:rPr>
        <w:t>一、</w:t>
      </w:r>
      <w:bookmarkEnd w:id="0"/>
      <w:r>
        <w:rPr>
          <w:rFonts w:hint="eastAsia" w:eastAsia="华文仿宋"/>
          <w:color w:val="auto"/>
          <w:sz w:val="32"/>
          <w:szCs w:val="22"/>
          <w:lang w:val="en-US" w:eastAsia="zh-CN"/>
        </w:rPr>
        <w:t>项目位于云南省昆明市晋宁工业园区上蒜基地，项目占地面积3600m</w:t>
      </w:r>
      <w:r>
        <w:rPr>
          <w:rFonts w:hint="eastAsia" w:eastAsia="华文仿宋"/>
          <w:color w:val="auto"/>
          <w:sz w:val="32"/>
          <w:szCs w:val="22"/>
          <w:vertAlign w:val="superscript"/>
          <w:lang w:val="en-US" w:eastAsia="zh-CN"/>
        </w:rPr>
        <w:t>2</w:t>
      </w:r>
      <w:r>
        <w:rPr>
          <w:rFonts w:hint="eastAsia" w:eastAsia="华文仿宋"/>
          <w:color w:val="auto"/>
          <w:sz w:val="32"/>
          <w:szCs w:val="22"/>
          <w:lang w:val="en-US" w:eastAsia="zh-CN"/>
        </w:rPr>
        <w:t>，建筑面积3600m</w:t>
      </w:r>
      <w:r>
        <w:rPr>
          <w:rFonts w:hint="eastAsia" w:eastAsia="华文仿宋"/>
          <w:color w:val="auto"/>
          <w:sz w:val="32"/>
          <w:szCs w:val="22"/>
          <w:vertAlign w:val="superscript"/>
          <w:lang w:val="en-US" w:eastAsia="zh-CN"/>
        </w:rPr>
        <w:t>2</w:t>
      </w:r>
      <w:r>
        <w:rPr>
          <w:rFonts w:hint="eastAsia" w:eastAsia="华文仿宋"/>
          <w:color w:val="auto"/>
          <w:sz w:val="32"/>
          <w:szCs w:val="22"/>
          <w:lang w:val="en-US" w:eastAsia="zh-CN"/>
        </w:rPr>
        <w:t>。建设内容为改扩建一条干粉砂浆生产线，建设完成后年产10万吨特种干粉砂浆。改扩建项目工程内容主要包括主体工程、储运工程、公用工程及环保工程等。项目总投资650万元，其中环保投资16.6万元。</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eastAsia" w:eastAsia="华文仿宋"/>
          <w:color w:val="auto"/>
          <w:sz w:val="32"/>
          <w:szCs w:val="22"/>
          <w:lang w:val="en-US" w:eastAsia="zh-CN"/>
        </w:rPr>
      </w:pPr>
      <w:r>
        <w:rPr>
          <w:rFonts w:hint="eastAsia" w:eastAsia="华文仿宋"/>
          <w:color w:val="auto"/>
          <w:sz w:val="32"/>
          <w:szCs w:val="22"/>
          <w:lang w:val="en-US" w:eastAsia="zh-CN"/>
        </w:rPr>
        <w:t>根据《报告表》所述工程内容、规模、功能以及环保对策措施，同意《报告表》结论。</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right="0" w:rightChars="0" w:firstLine="640" w:firstLineChars="200"/>
        <w:jc w:val="both"/>
        <w:rPr>
          <w:rFonts w:hint="eastAsia" w:eastAsia="华文仿宋"/>
          <w:color w:val="auto"/>
          <w:sz w:val="32"/>
          <w:szCs w:val="22"/>
          <w:lang w:val="en-US" w:eastAsia="zh-CN"/>
        </w:rPr>
      </w:pPr>
      <w:r>
        <w:rPr>
          <w:rFonts w:hint="eastAsia" w:eastAsia="华文仿宋"/>
          <w:color w:val="auto"/>
          <w:sz w:val="32"/>
          <w:szCs w:val="22"/>
          <w:lang w:val="en-US" w:eastAsia="zh-CN"/>
        </w:rPr>
        <w:t>二、项目应建立完善的“雨污分流”排水系统，并与区域排水系统相协调。</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right="0" w:rightChars="0" w:firstLine="640" w:firstLineChars="200"/>
        <w:jc w:val="both"/>
        <w:rPr>
          <w:rFonts w:hint="eastAsia" w:eastAsia="华文仿宋"/>
          <w:color w:val="auto"/>
          <w:sz w:val="32"/>
          <w:szCs w:val="22"/>
          <w:lang w:val="en-US" w:eastAsia="zh-CN"/>
        </w:rPr>
      </w:pPr>
      <w:r>
        <w:rPr>
          <w:rFonts w:hint="eastAsia" w:eastAsia="华文仿宋"/>
          <w:color w:val="auto"/>
          <w:sz w:val="32"/>
          <w:szCs w:val="22"/>
          <w:lang w:val="en-US" w:eastAsia="zh-CN"/>
        </w:rPr>
        <w:t>项目无生产废水产生，食堂废水及生活废水依托原有设施处理。食堂污水经隔油池预处理，与其它生活废水经化粪池处理，进入污水管网水质达GB/T31962-2015《污水排入城镇下水道水质标准》表1A级等级标准，即：pH值6.5-9.5、SS≤400mg/L、CODcr≤500mg/L、BOD5≤350mg/L、氨氮≤45mg/L、T-P≤8.0mg/L、动物油≤100mg/L，最终排至白鱼河水质净化厂；项目限设1个规范化污水排放口，并在污水排放口处设立明显的标识。</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right="0" w:rightChars="0" w:firstLine="640" w:firstLineChars="200"/>
        <w:jc w:val="both"/>
        <w:rPr>
          <w:rFonts w:hint="eastAsia" w:eastAsia="华文仿宋"/>
          <w:color w:val="auto"/>
          <w:sz w:val="32"/>
          <w:szCs w:val="22"/>
          <w:lang w:val="en-US" w:eastAsia="zh-CN"/>
        </w:rPr>
      </w:pPr>
      <w:r>
        <w:rPr>
          <w:rFonts w:hint="eastAsia" w:eastAsia="华文仿宋"/>
          <w:color w:val="auto"/>
          <w:sz w:val="32"/>
          <w:szCs w:val="22"/>
          <w:lang w:val="en-US" w:eastAsia="zh-CN"/>
        </w:rPr>
        <w:t>三、运营期废气主要为颗粒物。</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right="0" w:rightChars="0" w:firstLine="640" w:firstLineChars="200"/>
        <w:jc w:val="both"/>
        <w:rPr>
          <w:rFonts w:hint="eastAsia" w:eastAsia="华文仿宋"/>
          <w:color w:val="auto"/>
          <w:sz w:val="32"/>
          <w:szCs w:val="22"/>
          <w:lang w:val="en-US" w:eastAsia="zh-CN"/>
        </w:rPr>
      </w:pPr>
      <w:r>
        <w:rPr>
          <w:rFonts w:hint="eastAsia" w:eastAsia="华文仿宋"/>
          <w:color w:val="auto"/>
          <w:sz w:val="32"/>
          <w:szCs w:val="22"/>
          <w:lang w:val="en-US" w:eastAsia="zh-CN"/>
        </w:rPr>
        <w:t>项目产生废气的车间应合理布局，加强通风。项目粗磨产生的粉尘经脉冲布袋除尘器处理后通过15m高1#排气筒排放；项目辅料投料产生的粉尘经脉冲布袋除尘器处理后通过15m高2#排气筒排放；项目碎石料卸料、皮带输送、破碎、堆场产生的粉尘通过喷淋管和雾炮机水雾降尘处理无组织排放。项目细磨工序卸料粉尘无组织排放，筒仓呼吸粉尘经仓顶除尘器处理后由呼吸孔无组织排放。</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eastAsia" w:eastAsia="华文仿宋"/>
          <w:color w:val="auto"/>
          <w:sz w:val="32"/>
          <w:szCs w:val="22"/>
          <w:lang w:val="en-US" w:eastAsia="zh-CN"/>
        </w:rPr>
      </w:pPr>
      <w:r>
        <w:rPr>
          <w:rFonts w:hint="eastAsia" w:eastAsia="华文仿宋"/>
          <w:color w:val="auto"/>
          <w:sz w:val="32"/>
          <w:szCs w:val="22"/>
          <w:lang w:val="en-US" w:eastAsia="zh-CN"/>
        </w:rPr>
        <w:t>项目破碎、粗磨、皮带输送、堆场、筛分、卸料粉尘、辅料投料粉尘、筒仓呼吸粉尘排放浓度执行GB16297-1996《大气污染物综合排放标准》表2二级排放标准，即：有组织排颗粒物≤120mg/m</w:t>
      </w:r>
      <w:r>
        <w:rPr>
          <w:rFonts w:hint="eastAsia" w:eastAsia="华文仿宋"/>
          <w:color w:val="auto"/>
          <w:sz w:val="32"/>
          <w:szCs w:val="22"/>
          <w:vertAlign w:val="superscript"/>
          <w:lang w:val="en-US" w:eastAsia="zh-CN"/>
        </w:rPr>
        <w:t>3</w:t>
      </w:r>
      <w:r>
        <w:rPr>
          <w:rFonts w:hint="eastAsia" w:eastAsia="华文仿宋"/>
          <w:color w:val="auto"/>
          <w:sz w:val="32"/>
          <w:szCs w:val="22"/>
          <w:lang w:val="en-US" w:eastAsia="zh-CN"/>
        </w:rPr>
        <w:t>，无组织颗粒物≤1.0mg/m</w:t>
      </w:r>
      <w:r>
        <w:rPr>
          <w:rFonts w:hint="eastAsia" w:eastAsia="华文仿宋"/>
          <w:color w:val="auto"/>
          <w:sz w:val="32"/>
          <w:szCs w:val="22"/>
          <w:vertAlign w:val="superscript"/>
          <w:lang w:val="en-US" w:eastAsia="zh-CN"/>
        </w:rPr>
        <w:t>3</w:t>
      </w:r>
      <w:r>
        <w:rPr>
          <w:rFonts w:hint="eastAsia" w:eastAsia="华文仿宋"/>
          <w:color w:val="auto"/>
          <w:sz w:val="32"/>
          <w:szCs w:val="22"/>
          <w:lang w:val="en-US" w:eastAsia="zh-CN"/>
        </w:rPr>
        <w:t>。</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eastAsia" w:eastAsia="华文仿宋"/>
          <w:color w:val="auto"/>
          <w:sz w:val="32"/>
          <w:szCs w:val="22"/>
          <w:lang w:val="en-US" w:eastAsia="zh-CN"/>
        </w:rPr>
      </w:pPr>
      <w:r>
        <w:rPr>
          <w:rFonts w:hint="eastAsia" w:eastAsia="华文仿宋"/>
          <w:color w:val="auto"/>
          <w:sz w:val="32"/>
          <w:szCs w:val="22"/>
          <w:lang w:val="en-US" w:eastAsia="zh-CN"/>
        </w:rPr>
        <w:t>项目废气污染物总量控制指标：有组织颗粒物排放量为1.065t/a。</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right="0" w:rightChars="0" w:firstLine="640" w:firstLineChars="200"/>
        <w:jc w:val="both"/>
        <w:rPr>
          <w:rFonts w:hint="eastAsia" w:eastAsia="华文仿宋"/>
          <w:color w:val="auto"/>
          <w:sz w:val="32"/>
          <w:szCs w:val="22"/>
          <w:lang w:val="en-US" w:eastAsia="zh-CN"/>
        </w:rPr>
      </w:pPr>
      <w:r>
        <w:rPr>
          <w:rFonts w:hint="eastAsia" w:eastAsia="华文仿宋"/>
          <w:color w:val="auto"/>
          <w:sz w:val="32"/>
          <w:szCs w:val="22"/>
          <w:lang w:val="en-US" w:eastAsia="zh-CN"/>
        </w:rPr>
        <w:t>四、项目运营期产生噪声的场所应合理布局，选择低噪声设备；项目厂界昼、夜噪声满足《工业企业厂界环境噪声排放标准》（GB12348-2008）3类标准，即：昼间≤65dB（A），夜间≤55dB（A）。</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right="0" w:rightChars="0" w:firstLine="640" w:firstLineChars="200"/>
        <w:jc w:val="both"/>
        <w:rPr>
          <w:rFonts w:hint="eastAsia" w:eastAsia="华文仿宋"/>
          <w:color w:val="auto"/>
          <w:sz w:val="32"/>
          <w:szCs w:val="22"/>
          <w:lang w:val="en-US" w:eastAsia="zh-CN"/>
        </w:rPr>
      </w:pPr>
      <w:r>
        <w:rPr>
          <w:rFonts w:hint="eastAsia" w:eastAsia="华文仿宋"/>
          <w:color w:val="auto"/>
          <w:sz w:val="32"/>
          <w:szCs w:val="22"/>
          <w:lang w:val="en-US" w:eastAsia="zh-CN"/>
        </w:rPr>
        <w:t>五、项目固体废物应分类收集，除尘器收集的粉尘回用于生产；生活垃圾定期委托环卫部门统一清运；隔油池油污定期委托有资质的单位清运处置；废包装收集后外售废品收购站；废机油经暂存定期委托有资质的单位清运处置，按《危险废物贮存污染控制标准》（GB18597-2001）规范设置危险废物暂存间。</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right="0" w:rightChars="0" w:firstLine="640" w:firstLineChars="200"/>
        <w:jc w:val="both"/>
        <w:rPr>
          <w:rFonts w:hint="default" w:eastAsia="华文仿宋"/>
          <w:color w:val="auto"/>
          <w:sz w:val="32"/>
          <w:szCs w:val="22"/>
          <w:lang w:val="en-US" w:eastAsia="zh-CN"/>
        </w:rPr>
      </w:pPr>
      <w:r>
        <w:rPr>
          <w:rFonts w:hint="eastAsia" w:eastAsia="华文仿宋"/>
          <w:color w:val="auto"/>
          <w:sz w:val="32"/>
          <w:szCs w:val="22"/>
          <w:lang w:val="en-US" w:eastAsia="zh-CN"/>
        </w:rPr>
        <w:t>六</w:t>
      </w:r>
      <w:r>
        <w:rPr>
          <w:rFonts w:hint="default" w:eastAsia="华文仿宋"/>
          <w:color w:val="auto"/>
          <w:sz w:val="32"/>
          <w:szCs w:val="22"/>
          <w:lang w:val="en-US" w:eastAsia="zh-CN"/>
        </w:rPr>
        <w:t>、禁止使用含磷洗涤用品及一次性不可降解塑料餐饮具。</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right="0" w:rightChars="0" w:firstLine="640" w:firstLineChars="200"/>
        <w:jc w:val="both"/>
        <w:rPr>
          <w:rFonts w:hint="default" w:eastAsia="华文仿宋"/>
          <w:color w:val="auto"/>
          <w:sz w:val="32"/>
          <w:szCs w:val="22"/>
          <w:lang w:val="en-US" w:eastAsia="zh-CN"/>
        </w:rPr>
      </w:pPr>
      <w:r>
        <w:rPr>
          <w:rFonts w:hint="eastAsia" w:eastAsia="华文仿宋"/>
          <w:color w:val="auto"/>
          <w:sz w:val="32"/>
          <w:szCs w:val="22"/>
          <w:lang w:val="en-US" w:eastAsia="zh-CN"/>
        </w:rPr>
        <w:t>七</w:t>
      </w:r>
      <w:r>
        <w:rPr>
          <w:rFonts w:hint="default" w:eastAsia="华文仿宋"/>
          <w:color w:val="auto"/>
          <w:sz w:val="32"/>
          <w:szCs w:val="22"/>
          <w:lang w:val="en-US" w:eastAsia="zh-CN"/>
        </w:rPr>
        <w:t>、建立完善的环境风险管理制度及风险防范应急措施，防止环境污染事故发生。</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right="0" w:rightChars="0" w:firstLine="640" w:firstLineChars="200"/>
        <w:jc w:val="both"/>
        <w:rPr>
          <w:rFonts w:hint="default" w:eastAsia="华文仿宋"/>
          <w:color w:val="auto"/>
          <w:sz w:val="32"/>
          <w:szCs w:val="22"/>
          <w:lang w:val="en-US" w:eastAsia="zh-CN"/>
        </w:rPr>
      </w:pPr>
      <w:r>
        <w:rPr>
          <w:rFonts w:hint="eastAsia" w:eastAsia="华文仿宋"/>
          <w:color w:val="auto"/>
          <w:sz w:val="32"/>
          <w:szCs w:val="22"/>
          <w:lang w:val="en-US" w:eastAsia="zh-CN"/>
        </w:rPr>
        <w:t>八</w:t>
      </w:r>
      <w:r>
        <w:rPr>
          <w:rFonts w:hint="default" w:eastAsia="华文仿宋"/>
          <w:color w:val="auto"/>
          <w:sz w:val="32"/>
          <w:szCs w:val="22"/>
          <w:lang w:val="en-US" w:eastAsia="zh-CN"/>
        </w:rPr>
        <w:t>、 根据《中华人民共和国环境噪声污染防治法》 第二十九条有关规定，施工单位工程开工必须提前十五日向我局办理建筑噪声的排污申报手续。因特殊情况需要夜间连续作业的，施工单位必须持有关主管部门的证明向我局登记备案，于连续施工之日1天前公告附近居民和单位。并按规定到相关部门办理其它有关手续。</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right="0" w:rightChars="0" w:firstLine="640" w:firstLineChars="200"/>
        <w:jc w:val="both"/>
        <w:rPr>
          <w:rFonts w:hint="default" w:eastAsia="华文仿宋"/>
          <w:color w:val="auto"/>
          <w:sz w:val="32"/>
          <w:szCs w:val="22"/>
          <w:lang w:val="en-US" w:eastAsia="zh-CN"/>
        </w:rPr>
      </w:pPr>
      <w:r>
        <w:rPr>
          <w:rFonts w:hint="eastAsia" w:eastAsia="华文仿宋"/>
          <w:color w:val="auto"/>
          <w:sz w:val="32"/>
          <w:szCs w:val="22"/>
          <w:lang w:val="en-US" w:eastAsia="zh-CN"/>
        </w:rPr>
        <w:t>九</w:t>
      </w:r>
      <w:r>
        <w:rPr>
          <w:rFonts w:hint="default" w:eastAsia="华文仿宋"/>
          <w:color w:val="auto"/>
          <w:sz w:val="32"/>
          <w:szCs w:val="22"/>
          <w:lang w:val="en-US" w:eastAsia="zh-CN"/>
        </w:rPr>
        <w:t>、《报告表》应当作为项目环境保护设计、建设及运行管理的依据，项目应认真落实各项环保对策措施，环保设施须与主体工程同时设计、同时施工、同时投产使用。</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eastAsia="华文仿宋"/>
          <w:color w:val="auto"/>
          <w:sz w:val="32"/>
          <w:szCs w:val="22"/>
          <w:lang w:val="en-US" w:eastAsia="zh-CN"/>
        </w:rPr>
      </w:pPr>
      <w:r>
        <w:rPr>
          <w:rFonts w:hint="default" w:eastAsia="华文仿宋"/>
          <w:color w:val="auto"/>
          <w:sz w:val="32"/>
          <w:szCs w:val="22"/>
          <w:lang w:val="en-US" w:eastAsia="zh-CN"/>
        </w:rPr>
        <w:t>严格遵守《建设项目环境保护条例》，建设项目竣工后，建设单位应当按照国务院生态环境行政主管部门规定的标准和程序，对配套建设的环境保护设施进行验收，经验收合格后方可投入生产或者使用。</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right="0" w:rightChars="0" w:firstLine="640" w:firstLineChars="200"/>
        <w:jc w:val="both"/>
        <w:rPr>
          <w:rFonts w:hint="default" w:eastAsia="华文仿宋"/>
          <w:color w:val="auto"/>
          <w:sz w:val="32"/>
          <w:szCs w:val="22"/>
          <w:lang w:val="en-US" w:eastAsia="zh-CN"/>
        </w:rPr>
      </w:pPr>
      <w:r>
        <w:rPr>
          <w:rFonts w:hint="eastAsia" w:eastAsia="华文仿宋"/>
          <w:color w:val="auto"/>
          <w:sz w:val="32"/>
          <w:szCs w:val="22"/>
          <w:lang w:val="en-US" w:eastAsia="zh-CN"/>
        </w:rPr>
        <w:t>十、</w:t>
      </w:r>
      <w:r>
        <w:rPr>
          <w:rFonts w:hint="default" w:eastAsia="华文仿宋"/>
          <w:color w:val="auto"/>
          <w:sz w:val="32"/>
          <w:szCs w:val="22"/>
          <w:lang w:val="en-US" w:eastAsia="zh-CN"/>
        </w:rPr>
        <w:t>项目的性质、规模、地点、采用的生产工艺或者防治污染、防止生态破坏的措施发生变动的，应当重新向我局报批建设项目的环境影响评价文件。</w:t>
      </w:r>
    </w:p>
    <w:p>
      <w:pPr>
        <w:keepNext w:val="0"/>
        <w:keepLines w:val="0"/>
        <w:pageBreakBefore w:val="0"/>
        <w:widowControl/>
        <w:numPr>
          <w:ilvl w:val="0"/>
          <w:numId w:val="0"/>
        </w:numPr>
        <w:kinsoku/>
        <w:wordWrap/>
        <w:overflowPunct/>
        <w:topLinePunct w:val="0"/>
        <w:autoSpaceDE/>
        <w:autoSpaceDN/>
        <w:bidi w:val="0"/>
        <w:snapToGrid w:val="0"/>
        <w:spacing w:before="0" w:beforeLines="0" w:after="0" w:afterLines="0" w:line="600" w:lineRule="exact"/>
        <w:ind w:right="0" w:rightChars="0" w:firstLine="640" w:firstLineChars="200"/>
        <w:jc w:val="both"/>
        <w:rPr>
          <w:rFonts w:hint="default" w:eastAsia="华文仿宋"/>
          <w:color w:val="auto"/>
          <w:sz w:val="32"/>
          <w:szCs w:val="22"/>
          <w:lang w:val="en-US" w:eastAsia="zh-CN"/>
        </w:rPr>
      </w:pPr>
      <w:r>
        <w:rPr>
          <w:rFonts w:hint="default" w:eastAsia="华文仿宋"/>
          <w:color w:val="auto"/>
          <w:sz w:val="32"/>
          <w:szCs w:val="22"/>
          <w:lang w:val="en-US" w:eastAsia="zh-CN"/>
        </w:rPr>
        <w:t>自本批复之日起超过五年项目方开建设的，环境影响评价文件应当报我局重新审核。</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640" w:firstLineChars="200"/>
        <w:jc w:val="both"/>
      </w:pPr>
      <w:r>
        <w:rPr>
          <w:rFonts w:hint="default" w:eastAsia="华文仿宋"/>
          <w:color w:val="auto"/>
          <w:sz w:val="32"/>
          <w:szCs w:val="22"/>
          <w:lang w:val="en-US" w:eastAsia="zh-CN"/>
        </w:rPr>
        <w:t>十</w:t>
      </w:r>
      <w:r>
        <w:rPr>
          <w:rFonts w:hint="eastAsia" w:eastAsia="华文仿宋"/>
          <w:color w:val="auto"/>
          <w:sz w:val="32"/>
          <w:szCs w:val="22"/>
          <w:lang w:val="en-US" w:eastAsia="zh-CN"/>
        </w:rPr>
        <w:t>一</w:t>
      </w:r>
      <w:r>
        <w:rPr>
          <w:rFonts w:hint="default" w:eastAsia="华文仿宋"/>
          <w:color w:val="auto"/>
          <w:sz w:val="32"/>
          <w:szCs w:val="22"/>
          <w:lang w:val="en-US" w:eastAsia="zh-CN"/>
        </w:rPr>
        <w:t>、依法到国土、规划、住建、水务、发改经贸等部门办理其他相关手续。</w:t>
      </w:r>
    </w:p>
    <w:p>
      <w:pPr>
        <w:spacing w:line="560" w:lineRule="exact"/>
        <w:textAlignment w:val="baseline"/>
        <w:rPr>
          <w:rFonts w:eastAsia="华文仿宋"/>
          <w:sz w:val="32"/>
        </w:rPr>
      </w:pPr>
      <w:r>
        <w:rPr>
          <w:rFonts w:eastAsia="华文仿宋"/>
          <w:sz w:val="32"/>
        </w:rPr>
        <w:t xml:space="preserve"> </w:t>
      </w:r>
      <w:r>
        <w:rPr>
          <w:rFonts w:hint="eastAsia" w:eastAsia="华文仿宋"/>
          <w:sz w:val="32"/>
          <w:lang w:val="en-US" w:eastAsia="zh-CN"/>
        </w:rPr>
        <w:t xml:space="preserve">                      </w:t>
      </w:r>
      <w:r>
        <w:rPr>
          <w:rFonts w:eastAsia="华文仿宋"/>
          <w:sz w:val="32"/>
        </w:rPr>
        <w:t>昆明市</w:t>
      </w:r>
      <w:r>
        <w:rPr>
          <w:rFonts w:hint="eastAsia" w:eastAsia="华文仿宋"/>
          <w:sz w:val="32"/>
        </w:rPr>
        <w:t>生态</w:t>
      </w:r>
      <w:r>
        <w:rPr>
          <w:rFonts w:eastAsia="华文仿宋"/>
          <w:sz w:val="32"/>
        </w:rPr>
        <w:t>环境局</w:t>
      </w:r>
      <w:r>
        <w:rPr>
          <w:rFonts w:hint="eastAsia" w:eastAsia="华文仿宋"/>
          <w:sz w:val="32"/>
        </w:rPr>
        <w:t>晋宁分局</w:t>
      </w:r>
    </w:p>
    <w:p>
      <w:pPr>
        <w:spacing w:line="560" w:lineRule="exact"/>
        <w:ind w:firstLine="4480" w:firstLineChars="1400"/>
        <w:textAlignment w:val="baseline"/>
      </w:pPr>
      <w:bookmarkStart w:id="1" w:name="_GoBack"/>
      <w:bookmarkEnd w:id="1"/>
      <w:r>
        <w:rPr>
          <w:rFonts w:eastAsia="华文仿宋"/>
          <w:color w:val="000000"/>
          <w:sz w:val="32"/>
        </w:rPr>
        <w:t>20</w:t>
      </w:r>
      <w:r>
        <w:rPr>
          <w:rFonts w:hint="eastAsia" w:eastAsia="华文仿宋"/>
          <w:color w:val="000000"/>
          <w:sz w:val="32"/>
        </w:rPr>
        <w:t>2</w:t>
      </w:r>
      <w:r>
        <w:rPr>
          <w:rFonts w:hint="eastAsia" w:eastAsia="华文仿宋"/>
          <w:color w:val="000000"/>
          <w:sz w:val="32"/>
          <w:lang w:val="en-US" w:eastAsia="zh-CN"/>
        </w:rPr>
        <w:t>2</w:t>
      </w:r>
      <w:r>
        <w:rPr>
          <w:rFonts w:eastAsia="华文仿宋"/>
          <w:color w:val="000000"/>
          <w:sz w:val="32"/>
        </w:rPr>
        <w:t>年</w:t>
      </w:r>
      <w:r>
        <w:rPr>
          <w:rFonts w:hint="eastAsia" w:eastAsia="华文仿宋"/>
          <w:color w:val="000000"/>
          <w:sz w:val="32"/>
          <w:lang w:val="en-US" w:eastAsia="zh-CN"/>
        </w:rPr>
        <w:t>6</w:t>
      </w:r>
      <w:r>
        <w:rPr>
          <w:rFonts w:eastAsia="华文仿宋"/>
          <w:color w:val="000000"/>
          <w:sz w:val="32"/>
        </w:rPr>
        <w:t>月</w:t>
      </w:r>
      <w:r>
        <w:rPr>
          <w:rFonts w:hint="eastAsia" w:eastAsia="华文仿宋"/>
          <w:color w:val="000000"/>
          <w:sz w:val="32"/>
          <w:lang w:val="en-US" w:eastAsia="zh-CN"/>
        </w:rPr>
        <w:t>14</w:t>
      </w:r>
      <w:r>
        <w:rPr>
          <w:rFonts w:eastAsia="华文仿宋"/>
          <w:color w:val="000000"/>
          <w:sz w:val="32"/>
        </w:rPr>
        <w:t>日</w:t>
      </w:r>
    </w:p>
    <w:p>
      <w:pPr>
        <w:spacing w:line="560" w:lineRule="exact"/>
        <w:ind w:left="0" w:leftChars="0" w:firstLine="0" w:firstLineChars="0"/>
        <w:textAlignment w:val="baseline"/>
        <w:rPr>
          <w:rFonts w:ascii="Times New Roman" w:hAnsi="Times New Roman" w:eastAsia="华文仿宋"/>
          <w:sz w:val="32"/>
          <w:u w:val="single"/>
        </w:rPr>
      </w:pPr>
      <w:r>
        <w:rPr>
          <w:rFonts w:ascii="Times New Roman" w:hAnsi="Times New Roman" w:eastAsia="仿宋_GB2312"/>
          <w:color w:val="000000"/>
          <w:sz w:val="32"/>
          <w:u w:val="single"/>
        </w:rPr>
        <w:t xml:space="preserve">                      </w:t>
      </w:r>
      <w:r>
        <w:rPr>
          <w:rFonts w:ascii="Times New Roman" w:hAnsi="Times New Roman" w:eastAsia="华文仿宋"/>
          <w:color w:val="000000"/>
          <w:sz w:val="32"/>
          <w:u w:val="single"/>
        </w:rPr>
        <w:t xml:space="preserve">     </w:t>
      </w:r>
      <w:r>
        <w:rPr>
          <w:rFonts w:hint="eastAsia" w:ascii="Times New Roman" w:hAnsi="Times New Roman" w:eastAsia="华文仿宋"/>
          <w:color w:val="000000"/>
          <w:sz w:val="32"/>
          <w:u w:val="single"/>
          <w:lang w:val="en-US" w:eastAsia="zh-CN"/>
        </w:rPr>
        <w:t xml:space="preserve"> </w:t>
      </w:r>
      <w:r>
        <w:rPr>
          <w:rFonts w:ascii="Times New Roman" w:hAnsi="Times New Roman" w:eastAsia="华文仿宋"/>
          <w:sz w:val="32"/>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rightChars="0" w:firstLine="0" w:firstLineChars="0"/>
        <w:jc w:val="both"/>
        <w:textAlignment w:val="baseline"/>
        <w:outlineLvl w:val="9"/>
        <w:rPr>
          <w:rFonts w:ascii="Times New Roman" w:hAnsi="Times New Roman" w:eastAsia="华文仿宋"/>
          <w:sz w:val="32"/>
        </w:rPr>
      </w:pPr>
      <w:r>
        <w:rPr>
          <w:rFonts w:ascii="Times New Roman" w:hAnsi="Times New Roman" w:eastAsia="华文仿宋"/>
          <w:sz w:val="32"/>
        </w:rPr>
        <w:t xml:space="preserve">  抄送：昆明市</w:t>
      </w:r>
      <w:r>
        <w:rPr>
          <w:rFonts w:hint="eastAsia" w:ascii="Times New Roman" w:hAnsi="Times New Roman" w:eastAsia="华文仿宋"/>
          <w:sz w:val="32"/>
          <w:lang w:eastAsia="zh-CN"/>
        </w:rPr>
        <w:t>生态</w:t>
      </w:r>
      <w:r>
        <w:rPr>
          <w:rFonts w:ascii="Times New Roman" w:hAnsi="Times New Roman" w:eastAsia="华文仿宋"/>
          <w:sz w:val="32"/>
        </w:rPr>
        <w:t xml:space="preserve">环境局        </w:t>
      </w:r>
      <w:r>
        <w:rPr>
          <w:rFonts w:hint="eastAsia" w:ascii="Times New Roman" w:hAnsi="Times New Roman" w:eastAsia="华文仿宋"/>
          <w:sz w:val="32"/>
          <w:lang w:val="en-US" w:eastAsia="zh-CN"/>
        </w:rPr>
        <w:t xml:space="preserve">        </w:t>
      </w:r>
      <w:r>
        <w:rPr>
          <w:rFonts w:hint="eastAsia" w:eastAsia="华文仿宋"/>
          <w:sz w:val="32"/>
          <w:lang w:val="en-US" w:eastAsia="zh-CN"/>
        </w:rPr>
        <w:t xml:space="preserve">   </w:t>
      </w:r>
      <w:r>
        <w:rPr>
          <w:rFonts w:hint="eastAsia" w:ascii="Times New Roman" w:hAnsi="Times New Roman" w:eastAsia="华文仿宋"/>
          <w:sz w:val="32"/>
          <w:lang w:val="en-US" w:eastAsia="zh-CN"/>
        </w:rPr>
        <w:t xml:space="preserve">  </w:t>
      </w:r>
      <w:r>
        <w:rPr>
          <w:rFonts w:hint="eastAsia" w:eastAsia="华文仿宋"/>
          <w:sz w:val="32"/>
          <w:lang w:val="en-US" w:eastAsia="zh-CN"/>
        </w:rPr>
        <w:t>上蒜镇</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rightChars="0" w:firstLine="0" w:firstLineChars="0"/>
        <w:jc w:val="both"/>
        <w:outlineLvl w:val="9"/>
        <w:rPr>
          <w:rFonts w:ascii="Times New Roman" w:hAnsi="Times New Roman" w:eastAsia="华文仿宋"/>
          <w:sz w:val="32"/>
          <w:u w:val="single"/>
        </w:rPr>
      </w:pPr>
      <w:r>
        <w:rPr>
          <w:rFonts w:ascii="Times New Roman" w:hAnsi="Times New Roman" w:eastAsia="华文仿宋"/>
          <w:sz w:val="32"/>
          <w:u w:val="single"/>
        </w:rPr>
        <w:t xml:space="preserve">        </w:t>
      </w:r>
      <w:r>
        <w:rPr>
          <w:rFonts w:hint="eastAsia" w:ascii="Times New Roman" w:hAnsi="Times New Roman" w:eastAsia="华文仿宋"/>
          <w:sz w:val="32"/>
          <w:u w:val="single"/>
        </w:rPr>
        <w:t>晋宁区生态环境保护综合执法大队</w:t>
      </w:r>
      <w:r>
        <w:rPr>
          <w:rFonts w:ascii="Times New Roman" w:hAnsi="Times New Roman" w:eastAsia="华文仿宋"/>
          <w:sz w:val="32"/>
          <w:u w:val="single"/>
        </w:rPr>
        <w:t xml:space="preserve">    </w:t>
      </w:r>
      <w:r>
        <w:rPr>
          <w:rFonts w:hint="eastAsia" w:ascii="Times New Roman" w:hAnsi="Times New Roman" w:eastAsia="华文仿宋"/>
          <w:sz w:val="32"/>
          <w:u w:val="single"/>
        </w:rPr>
        <w:t xml:space="preserve">       </w:t>
      </w:r>
      <w:r>
        <w:rPr>
          <w:rFonts w:ascii="Times New Roman" w:hAnsi="Times New Roman" w:eastAsia="华文仿宋"/>
          <w:sz w:val="32"/>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0" w:firstLineChars="0"/>
        <w:jc w:val="both"/>
        <w:textAlignment w:val="baseline"/>
        <w:outlineLvl w:val="9"/>
        <w:rPr>
          <w:rFonts w:hint="eastAsia"/>
          <w:b/>
          <w:sz w:val="44"/>
          <w:szCs w:val="22"/>
        </w:rPr>
      </w:pPr>
      <w:r>
        <w:rPr>
          <w:rFonts w:hint="eastAsia" w:hAnsi="华文仿宋" w:eastAsia="华文仿宋"/>
          <w:color w:val="000000"/>
          <w:sz w:val="32"/>
          <w:lang w:val="en-US" w:eastAsia="zh-CN"/>
        </w:rPr>
        <w:t xml:space="preserve"> </w:t>
      </w:r>
      <w:r>
        <w:rPr>
          <w:rFonts w:hint="eastAsia" w:hAnsi="华文仿宋" w:eastAsia="华文仿宋"/>
          <w:color w:val="000000"/>
          <w:sz w:val="32"/>
        </w:rPr>
        <w:t>昆明市</w:t>
      </w:r>
      <w:r>
        <w:rPr>
          <w:rFonts w:hint="eastAsia" w:hAnsi="华文仿宋" w:eastAsia="华文仿宋"/>
          <w:color w:val="000000"/>
          <w:sz w:val="32"/>
          <w:lang w:eastAsia="zh-CN"/>
        </w:rPr>
        <w:t>生态</w:t>
      </w:r>
      <w:r>
        <w:rPr>
          <w:rFonts w:hAnsi="华文仿宋" w:eastAsia="华文仿宋"/>
          <w:color w:val="000000"/>
          <w:sz w:val="32"/>
        </w:rPr>
        <w:t>环境局</w:t>
      </w:r>
      <w:r>
        <w:rPr>
          <w:rFonts w:hint="eastAsia" w:hAnsi="华文仿宋" w:eastAsia="华文仿宋"/>
          <w:color w:val="000000"/>
          <w:sz w:val="32"/>
          <w:lang w:eastAsia="zh-CN"/>
        </w:rPr>
        <w:t>晋宁分局</w:t>
      </w:r>
      <w:r>
        <w:rPr>
          <w:rFonts w:eastAsia="华文仿宋"/>
          <w:color w:val="000000"/>
          <w:sz w:val="32"/>
        </w:rPr>
        <w:t xml:space="preserve">      </w:t>
      </w:r>
      <w:r>
        <w:rPr>
          <w:rFonts w:hint="default" w:ascii="Times New Roman" w:hAnsi="Times New Roman" w:eastAsia="华文仿宋" w:cs="Times New Roman"/>
          <w:color w:val="000000"/>
          <w:sz w:val="32"/>
        </w:rPr>
        <w:t xml:space="preserve"> 20</w:t>
      </w:r>
      <w:r>
        <w:rPr>
          <w:rFonts w:hint="default" w:ascii="Times New Roman" w:hAnsi="Times New Roman" w:eastAsia="华文仿宋" w:cs="Times New Roman"/>
          <w:color w:val="000000"/>
          <w:sz w:val="32"/>
          <w:lang w:val="en-US" w:eastAsia="zh-CN"/>
        </w:rPr>
        <w:t>2</w:t>
      </w:r>
      <w:r>
        <w:rPr>
          <w:rFonts w:hint="eastAsia" w:ascii="Times New Roman" w:hAnsi="Times New Roman" w:eastAsia="华文仿宋" w:cs="Times New Roman"/>
          <w:color w:val="000000"/>
          <w:sz w:val="32"/>
          <w:lang w:val="en-US" w:eastAsia="zh-CN"/>
        </w:rPr>
        <w:t>2</w:t>
      </w:r>
      <w:r>
        <w:rPr>
          <w:rFonts w:hint="default" w:ascii="Times New Roman" w:hAnsi="Times New Roman" w:eastAsia="华文仿宋" w:cs="Times New Roman"/>
          <w:color w:val="000000"/>
          <w:sz w:val="32"/>
        </w:rPr>
        <w:t>年</w:t>
      </w:r>
      <w:r>
        <w:rPr>
          <w:rFonts w:hint="eastAsia" w:ascii="Times New Roman" w:hAnsi="Times New Roman" w:eastAsia="华文仿宋" w:cs="Times New Roman"/>
          <w:color w:val="000000"/>
          <w:sz w:val="32"/>
          <w:lang w:val="en-US" w:eastAsia="zh-CN"/>
        </w:rPr>
        <w:t>6</w:t>
      </w:r>
      <w:r>
        <w:rPr>
          <w:rFonts w:hint="default" w:ascii="Times New Roman" w:hAnsi="Times New Roman" w:eastAsia="华文仿宋" w:cs="Times New Roman"/>
          <w:color w:val="000000"/>
          <w:sz w:val="32"/>
        </w:rPr>
        <w:t>月</w:t>
      </w:r>
      <w:r>
        <w:rPr>
          <w:rFonts w:hint="eastAsia" w:eastAsia="华文仿宋" w:cs="Times New Roman"/>
          <w:color w:val="000000"/>
          <w:sz w:val="32"/>
          <w:lang w:val="en-US" w:eastAsia="zh-CN"/>
        </w:rPr>
        <w:t>14</w:t>
      </w:r>
      <w:r>
        <w:rPr>
          <w:rFonts w:hint="default" w:ascii="Times New Roman" w:hAnsi="Times New Roman" w:eastAsia="华文仿宋" w:cs="Times New Roman"/>
          <w:color w:val="000000"/>
          <w:sz w:val="32"/>
        </w:rPr>
        <w:t>日印发</w:t>
      </w:r>
    </w:p>
    <w:p>
      <w:pPr>
        <w:jc w:val="center"/>
        <w:rPr>
          <w:rFonts w:hint="eastAsia"/>
          <w:b/>
          <w:sz w:val="44"/>
          <w:szCs w:val="22"/>
        </w:rPr>
      </w:pPr>
    </w:p>
    <w:p>
      <w:pPr>
        <w:ind w:left="0" w:leftChars="0" w:firstLine="0" w:firstLineChars="0"/>
        <w:jc w:val="both"/>
        <w:rPr>
          <w:b/>
          <w:sz w:val="44"/>
        </w:rPr>
      </w:pPr>
      <w:r>
        <w:rPr>
          <w:rFonts w:hint="eastAsia"/>
          <w:b/>
          <w:sz w:val="44"/>
          <w:szCs w:val="22"/>
        </w:rPr>
        <w:t>昆明市</w:t>
      </w:r>
      <w:r>
        <w:rPr>
          <w:rFonts w:hint="eastAsia"/>
          <w:b/>
          <w:sz w:val="44"/>
          <w:szCs w:val="22"/>
          <w:lang w:eastAsia="zh-CN"/>
        </w:rPr>
        <w:t>生态</w:t>
      </w:r>
      <w:r>
        <w:rPr>
          <w:b/>
          <w:sz w:val="44"/>
          <w:szCs w:val="22"/>
        </w:rPr>
        <w:t>环境局</w:t>
      </w:r>
      <w:r>
        <w:rPr>
          <w:rFonts w:hint="eastAsia"/>
          <w:b/>
          <w:sz w:val="44"/>
          <w:szCs w:val="22"/>
          <w:lang w:eastAsia="zh-CN"/>
        </w:rPr>
        <w:t>晋宁分局</w:t>
      </w:r>
      <w:r>
        <w:rPr>
          <w:b/>
          <w:sz w:val="44"/>
          <w:szCs w:val="22"/>
        </w:rPr>
        <w:t>建设</w:t>
      </w:r>
      <w:r>
        <w:rPr>
          <w:b/>
          <w:sz w:val="44"/>
        </w:rPr>
        <w:t>项目</w:t>
      </w:r>
    </w:p>
    <w:p>
      <w:pPr>
        <w:jc w:val="center"/>
        <w:rPr>
          <w:b/>
          <w:sz w:val="44"/>
        </w:rPr>
      </w:pPr>
      <w:r>
        <w:rPr>
          <w:b/>
          <w:sz w:val="44"/>
        </w:rPr>
        <w:t>审批审核签发单</w:t>
      </w:r>
    </w:p>
    <w:p>
      <w:pPr>
        <w:rPr>
          <w:rFonts w:eastAsia="仿宋_GB2312"/>
          <w:b/>
          <w:sz w:val="32"/>
        </w:rPr>
      </w:pPr>
      <w:r>
        <w:rPr>
          <w:rFonts w:eastAsia="仿宋_GB2312"/>
          <w:sz w:val="32"/>
        </w:rPr>
        <w:t>日期：20</w:t>
      </w:r>
      <w:r>
        <w:rPr>
          <w:rFonts w:hint="eastAsia" w:eastAsia="仿宋_GB2312"/>
          <w:sz w:val="32"/>
          <w:lang w:val="en-US" w:eastAsia="zh-CN"/>
        </w:rPr>
        <w:t>22</w:t>
      </w:r>
      <w:r>
        <w:rPr>
          <w:rFonts w:eastAsia="仿宋_GB2312"/>
          <w:sz w:val="32"/>
        </w:rPr>
        <w:t>年</w:t>
      </w:r>
      <w:r>
        <w:rPr>
          <w:rFonts w:hint="eastAsia" w:eastAsia="仿宋_GB2312"/>
          <w:sz w:val="32"/>
          <w:lang w:val="en-US" w:eastAsia="zh-CN"/>
        </w:rPr>
        <w:t>6</w:t>
      </w:r>
      <w:r>
        <w:rPr>
          <w:rFonts w:eastAsia="仿宋_GB2312"/>
          <w:sz w:val="32"/>
        </w:rPr>
        <w:t>月</w:t>
      </w:r>
      <w:r>
        <w:rPr>
          <w:rFonts w:hint="eastAsia" w:eastAsia="仿宋_GB2312"/>
          <w:sz w:val="32"/>
          <w:lang w:val="en-US" w:eastAsia="zh-CN"/>
        </w:rPr>
        <w:t>14</w:t>
      </w:r>
      <w:r>
        <w:rPr>
          <w:rFonts w:eastAsia="仿宋_GB2312"/>
          <w:sz w:val="32"/>
        </w:rPr>
        <w:t>日</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198"/>
        <w:gridCol w:w="1185"/>
        <w:gridCol w:w="360"/>
        <w:gridCol w:w="1035"/>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04" w:type="dxa"/>
            <w:vAlign w:val="center"/>
          </w:tcPr>
          <w:p>
            <w:pPr>
              <w:spacing w:line="300" w:lineRule="exact"/>
              <w:jc w:val="center"/>
              <w:rPr>
                <w:b/>
                <w:sz w:val="24"/>
              </w:rPr>
            </w:pPr>
            <w:r>
              <w:rPr>
                <w:b/>
                <w:sz w:val="24"/>
              </w:rPr>
              <w:t>项目名称</w:t>
            </w:r>
          </w:p>
        </w:tc>
        <w:tc>
          <w:tcPr>
            <w:tcW w:w="6818" w:type="dxa"/>
            <w:gridSpan w:val="5"/>
            <w:vAlign w:val="center"/>
          </w:tcPr>
          <w:p>
            <w:pPr>
              <w:spacing w:line="300" w:lineRule="exact"/>
              <w:jc w:val="center"/>
              <w:textAlignment w:val="baseline"/>
              <w:rPr>
                <w:rFonts w:hint="eastAsia"/>
                <w:sz w:val="24"/>
              </w:rPr>
            </w:pPr>
            <w:r>
              <w:rPr>
                <w:rFonts w:hint="eastAsia"/>
                <w:sz w:val="24"/>
                <w:szCs w:val="22"/>
              </w:rPr>
              <w:t>关于对《</w:t>
            </w:r>
            <w:r>
              <w:rPr>
                <w:rFonts w:hint="eastAsia"/>
                <w:sz w:val="24"/>
                <w:szCs w:val="22"/>
                <w:lang w:eastAsia="zh-CN"/>
              </w:rPr>
              <w:t>特种干粉砂浆的生产与销售项目</w:t>
            </w:r>
            <w:r>
              <w:rPr>
                <w:rFonts w:hint="eastAsia"/>
                <w:sz w:val="24"/>
                <w:szCs w:val="22"/>
              </w:rPr>
              <w:t>环</w:t>
            </w:r>
            <w:r>
              <w:rPr>
                <w:rFonts w:hint="eastAsia"/>
                <w:sz w:val="24"/>
              </w:rPr>
              <w:t>境影响</w:t>
            </w:r>
            <w:r>
              <w:rPr>
                <w:rFonts w:hint="eastAsia"/>
                <w:sz w:val="24"/>
                <w:lang w:eastAsia="zh-CN"/>
              </w:rPr>
              <w:t>报告表</w:t>
            </w:r>
            <w:r>
              <w:rPr>
                <w:rFonts w:hint="eastAsia"/>
                <w:sz w:val="24"/>
              </w:rPr>
              <w:t>》的批复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1704" w:type="dxa"/>
            <w:vAlign w:val="center"/>
          </w:tcPr>
          <w:p>
            <w:pPr>
              <w:spacing w:line="300" w:lineRule="exact"/>
              <w:jc w:val="center"/>
              <w:rPr>
                <w:b/>
                <w:sz w:val="24"/>
              </w:rPr>
            </w:pPr>
            <w:r>
              <w:rPr>
                <w:b/>
                <w:sz w:val="24"/>
              </w:rPr>
              <w:t>建设单位</w:t>
            </w:r>
          </w:p>
        </w:tc>
        <w:tc>
          <w:tcPr>
            <w:tcW w:w="6818" w:type="dxa"/>
            <w:gridSpan w:val="5"/>
            <w:vAlign w:val="center"/>
          </w:tcPr>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left="1" w:leftChars="0" w:right="0" w:rightChars="0" w:firstLine="480" w:firstLineChars="200"/>
              <w:jc w:val="center"/>
              <w:textAlignment w:val="bottom"/>
              <w:outlineLvl w:val="9"/>
              <w:rPr>
                <w:rFonts w:hint="eastAsia"/>
                <w:sz w:val="24"/>
              </w:rPr>
            </w:pPr>
            <w:r>
              <w:rPr>
                <w:rFonts w:hint="default" w:ascii="Times New Roman" w:hAnsi="Times New Roman" w:eastAsia="宋体" w:cs="Times New Roman"/>
                <w:sz w:val="24"/>
                <w:szCs w:val="22"/>
              </w:rPr>
              <w:t>云南奥楚科技有限公司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704" w:type="dxa"/>
            <w:vAlign w:val="center"/>
          </w:tcPr>
          <w:p>
            <w:pPr>
              <w:spacing w:line="300" w:lineRule="exact"/>
              <w:jc w:val="center"/>
              <w:rPr>
                <w:b/>
                <w:sz w:val="24"/>
              </w:rPr>
            </w:pPr>
            <w:r>
              <w:rPr>
                <w:b/>
                <w:sz w:val="24"/>
              </w:rPr>
              <w:t>建设地点</w:t>
            </w:r>
          </w:p>
        </w:tc>
        <w:tc>
          <w:tcPr>
            <w:tcW w:w="6818" w:type="dxa"/>
            <w:gridSpan w:val="5"/>
            <w:vAlign w:val="center"/>
          </w:tcPr>
          <w:p>
            <w:pPr>
              <w:spacing w:line="300" w:lineRule="exact"/>
              <w:ind w:firstLine="480" w:firstLineChars="200"/>
              <w:jc w:val="center"/>
              <w:textAlignment w:val="baseline"/>
              <w:rPr>
                <w:rFonts w:hint="eastAsia"/>
                <w:sz w:val="24"/>
              </w:rPr>
            </w:pPr>
            <w:r>
              <w:rPr>
                <w:rFonts w:hint="eastAsia" w:ascii="Times New Roman" w:hAnsi="Times New Roman" w:cs="Times New Roman"/>
                <w:sz w:val="24"/>
                <w:szCs w:val="24"/>
                <w:lang w:val="en-US" w:eastAsia="zh-CN"/>
              </w:rPr>
              <w:t>昆明市晋宁区晋宁工业园区</w:t>
            </w:r>
            <w:r>
              <w:rPr>
                <w:rFonts w:hint="eastAsia" w:cs="Times New Roman"/>
                <w:sz w:val="24"/>
                <w:szCs w:val="24"/>
                <w:lang w:val="en-US" w:eastAsia="zh-CN"/>
              </w:rPr>
              <w:t>上蒜</w:t>
            </w:r>
            <w:r>
              <w:rPr>
                <w:rFonts w:hint="eastAsia" w:ascii="Times New Roman" w:hAnsi="Times New Roman" w:cs="Times New Roman"/>
                <w:sz w:val="24"/>
                <w:szCs w:val="24"/>
                <w:lang w:val="en-US" w:eastAsia="zh-CN"/>
              </w:rPr>
              <w:t>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704" w:type="dxa"/>
            <w:vAlign w:val="center"/>
          </w:tcPr>
          <w:p>
            <w:pPr>
              <w:spacing w:line="300" w:lineRule="exact"/>
              <w:jc w:val="center"/>
              <w:rPr>
                <w:b/>
                <w:sz w:val="24"/>
              </w:rPr>
            </w:pPr>
            <w:r>
              <w:rPr>
                <w:b/>
                <w:sz w:val="24"/>
              </w:rPr>
              <w:t>联系人</w:t>
            </w:r>
          </w:p>
        </w:tc>
        <w:tc>
          <w:tcPr>
            <w:tcW w:w="2198" w:type="dxa"/>
            <w:vAlign w:val="top"/>
          </w:tcPr>
          <w:p>
            <w:pPr>
              <w:jc w:val="center"/>
              <w:rPr>
                <w:rFonts w:hint="eastAsia"/>
                <w:sz w:val="24"/>
              </w:rPr>
            </w:pPr>
          </w:p>
        </w:tc>
        <w:tc>
          <w:tcPr>
            <w:tcW w:w="1545" w:type="dxa"/>
            <w:gridSpan w:val="2"/>
            <w:vAlign w:val="top"/>
          </w:tcPr>
          <w:p>
            <w:pPr>
              <w:spacing w:line="300" w:lineRule="exact"/>
              <w:jc w:val="center"/>
              <w:textAlignment w:val="baseline"/>
              <w:rPr>
                <w:sz w:val="24"/>
              </w:rPr>
            </w:pPr>
            <w:r>
              <w:rPr>
                <w:b/>
                <w:sz w:val="24"/>
              </w:rPr>
              <w:t>联系电话</w:t>
            </w:r>
          </w:p>
        </w:tc>
        <w:tc>
          <w:tcPr>
            <w:tcW w:w="3075" w:type="dxa"/>
            <w:gridSpan w:val="2"/>
            <w:vAlign w:val="top"/>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trPr>
        <w:tc>
          <w:tcPr>
            <w:tcW w:w="1704" w:type="dxa"/>
            <w:vAlign w:val="center"/>
          </w:tcPr>
          <w:p>
            <w:pPr>
              <w:spacing w:line="300" w:lineRule="exact"/>
              <w:jc w:val="center"/>
              <w:rPr>
                <w:b/>
                <w:sz w:val="24"/>
              </w:rPr>
            </w:pPr>
            <w:r>
              <w:rPr>
                <w:b/>
                <w:sz w:val="24"/>
              </w:rPr>
              <w:t>批文号</w:t>
            </w:r>
          </w:p>
        </w:tc>
        <w:tc>
          <w:tcPr>
            <w:tcW w:w="3383" w:type="dxa"/>
            <w:gridSpan w:val="2"/>
            <w:vAlign w:val="top"/>
          </w:tcPr>
          <w:p>
            <w:pPr>
              <w:spacing w:line="300" w:lineRule="exact"/>
              <w:jc w:val="center"/>
              <w:textAlignment w:val="baseline"/>
              <w:rPr>
                <w:sz w:val="24"/>
              </w:rPr>
            </w:pPr>
            <w:r>
              <w:rPr>
                <w:rFonts w:hint="eastAsia"/>
                <w:sz w:val="24"/>
                <w:lang w:eastAsia="zh-CN"/>
              </w:rPr>
              <w:t>昆生环</w:t>
            </w:r>
            <w:r>
              <w:rPr>
                <w:sz w:val="24"/>
              </w:rPr>
              <w:t>晋复[20</w:t>
            </w:r>
            <w:r>
              <w:rPr>
                <w:rFonts w:hint="eastAsia"/>
                <w:sz w:val="24"/>
                <w:lang w:val="en-US" w:eastAsia="zh-CN"/>
              </w:rPr>
              <w:t>22</w:t>
            </w:r>
            <w:r>
              <w:rPr>
                <w:sz w:val="24"/>
              </w:rPr>
              <w:t>]号</w:t>
            </w:r>
          </w:p>
        </w:tc>
        <w:tc>
          <w:tcPr>
            <w:tcW w:w="1395" w:type="dxa"/>
            <w:gridSpan w:val="2"/>
            <w:vAlign w:val="center"/>
          </w:tcPr>
          <w:p>
            <w:pPr>
              <w:jc w:val="center"/>
              <w:rPr>
                <w:b/>
                <w:sz w:val="24"/>
              </w:rPr>
            </w:pPr>
            <w:r>
              <w:rPr>
                <w:b/>
                <w:sz w:val="24"/>
              </w:rPr>
              <w:t>环评类型</w:t>
            </w:r>
          </w:p>
        </w:tc>
        <w:tc>
          <w:tcPr>
            <w:tcW w:w="2040" w:type="dxa"/>
            <w:vAlign w:val="center"/>
          </w:tcPr>
          <w:p>
            <w:pPr>
              <w:spacing w:line="300" w:lineRule="exact"/>
              <w:jc w:val="center"/>
              <w:textAlignment w:val="baseline"/>
              <w:rPr>
                <w:rFonts w:hint="eastAsia" w:eastAsia="宋体"/>
                <w:lang w:eastAsia="zh-CN"/>
              </w:rPr>
            </w:pPr>
            <w:r>
              <w:rPr>
                <w:rFonts w:hint="eastAsia"/>
                <w:sz w:val="24"/>
                <w:lang w:eastAsia="zh-CN"/>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5" w:hRule="atLeast"/>
        </w:trPr>
        <w:tc>
          <w:tcPr>
            <w:tcW w:w="1704" w:type="dxa"/>
            <w:vAlign w:val="center"/>
          </w:tcPr>
          <w:p>
            <w:pPr>
              <w:jc w:val="center"/>
              <w:rPr>
                <w:rFonts w:eastAsia="仿宋_GB2312"/>
                <w:b/>
                <w:sz w:val="28"/>
              </w:rPr>
            </w:pPr>
            <w:r>
              <w:rPr>
                <w:b/>
                <w:sz w:val="24"/>
              </w:rPr>
              <w:t>主要内容</w:t>
            </w:r>
          </w:p>
        </w:tc>
        <w:tc>
          <w:tcPr>
            <w:tcW w:w="6818" w:type="dxa"/>
            <w:gridSpan w:val="5"/>
            <w:vAlign w:val="center"/>
          </w:tcPr>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400" w:lineRule="exact"/>
              <w:ind w:left="0" w:leftChars="0" w:right="0" w:rightChars="0" w:firstLine="480" w:firstLineChars="200"/>
              <w:jc w:val="both"/>
              <w:textAlignment w:val="bottom"/>
              <w:outlineLvl w:val="9"/>
              <w:rPr>
                <w:rFonts w:hint="eastAsia" w:ascii="宋体" w:hAnsi="宋体" w:cs="宋体"/>
                <w:color w:val="000000"/>
                <w:kern w:val="2"/>
                <w:sz w:val="24"/>
                <w:szCs w:val="20"/>
              </w:rPr>
            </w:pPr>
            <w:r>
              <w:rPr>
                <w:rFonts w:hint="eastAsia" w:ascii="宋体" w:hAnsi="宋体" w:cs="宋体"/>
                <w:color w:val="000000"/>
                <w:kern w:val="2"/>
                <w:sz w:val="24"/>
                <w:szCs w:val="20"/>
                <w:lang w:val="en-US" w:eastAsia="zh-CN"/>
              </w:rPr>
              <w:t>项目位于云南省昆明市晋宁工业园区上蒜基地，项目占地面积3600m2，建筑面积3600m2。建设内容为改扩建一条干粉砂浆生产线，建设完成后年产10万吨特种干粉砂浆。改扩建项目工程内容主要包括主体工程、储运工程、公用工程及环保工程等。项目总投资650万元，其中环保投资16.6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7" w:hRule="atLeast"/>
        </w:trPr>
        <w:tc>
          <w:tcPr>
            <w:tcW w:w="1704" w:type="dxa"/>
            <w:vAlign w:val="center"/>
          </w:tcPr>
          <w:p>
            <w:pPr>
              <w:jc w:val="center"/>
              <w:rPr>
                <w:b/>
                <w:sz w:val="24"/>
              </w:rPr>
            </w:pPr>
            <w:r>
              <w:rPr>
                <w:b/>
                <w:sz w:val="24"/>
              </w:rPr>
              <w:t>环评科意见</w:t>
            </w:r>
          </w:p>
        </w:tc>
        <w:tc>
          <w:tcPr>
            <w:tcW w:w="6818" w:type="dxa"/>
            <w:gridSpan w:val="5"/>
            <w:vAlign w:val="bottom"/>
          </w:tcPr>
          <w:p>
            <w:pPr>
              <w:jc w:val="left"/>
              <w:rPr>
                <w:rFonts w:eastAsia="仿宋_GB2312"/>
                <w:b/>
                <w:sz w:val="28"/>
              </w:rPr>
            </w:pPr>
            <w:r>
              <w:rPr>
                <w:rFonts w:eastAsia="仿宋_GB2312"/>
                <w:sz w:val="2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8" w:hRule="atLeast"/>
        </w:trPr>
        <w:tc>
          <w:tcPr>
            <w:tcW w:w="1704" w:type="dxa"/>
            <w:vAlign w:val="center"/>
          </w:tcPr>
          <w:p>
            <w:pPr>
              <w:jc w:val="center"/>
              <w:rPr>
                <w:b/>
                <w:sz w:val="24"/>
              </w:rPr>
            </w:pPr>
            <w:r>
              <w:rPr>
                <w:b/>
                <w:sz w:val="24"/>
              </w:rPr>
              <w:t>分管领导</w:t>
            </w:r>
          </w:p>
          <w:p>
            <w:pPr>
              <w:jc w:val="center"/>
              <w:rPr>
                <w:b/>
                <w:sz w:val="24"/>
              </w:rPr>
            </w:pPr>
            <w:r>
              <w:rPr>
                <w:b/>
                <w:sz w:val="24"/>
              </w:rPr>
              <w:t>意    见</w:t>
            </w:r>
          </w:p>
        </w:tc>
        <w:tc>
          <w:tcPr>
            <w:tcW w:w="6818" w:type="dxa"/>
            <w:gridSpan w:val="5"/>
            <w:vAlign w:val="bottom"/>
          </w:tcPr>
          <w:p>
            <w:pPr>
              <w:ind w:left="1400" w:hanging="1400" w:hangingChars="500"/>
              <w:jc w:val="left"/>
              <w:rPr>
                <w:rFonts w:eastAsia="仿宋_GB2312"/>
                <w:sz w:val="28"/>
              </w:rPr>
            </w:pPr>
            <w:r>
              <w:rPr>
                <w:rFonts w:eastAsia="仿宋_GB2312"/>
                <w:sz w:val="28"/>
              </w:rPr>
              <w:t xml:space="preserve">                          年   月   日</w:t>
            </w:r>
          </w:p>
        </w:tc>
      </w:tr>
    </w:tbl>
    <w:p>
      <w:pPr>
        <w:spacing w:line="560" w:lineRule="exact"/>
        <w:ind w:left="0"/>
        <w:rPr>
          <w:rFonts w:hint="eastAsia" w:ascii="仿宋_GB2312" w:hAnsi="仿宋_GB2312" w:eastAsia="仿宋_GB2312" w:cs="仿宋_GB2312"/>
          <w:color w:val="auto"/>
          <w:sz w:val="28"/>
          <w:szCs w:val="28"/>
          <w:u w:val="single"/>
          <w:lang w:eastAsia="zh-CN"/>
        </w:rPr>
      </w:pPr>
    </w:p>
    <w:p/>
    <w:sectPr>
      <w:headerReference r:id="rId5" w:type="first"/>
      <w:footerReference r:id="rId8" w:type="first"/>
      <w:headerReference r:id="rId3" w:type="default"/>
      <w:footerReference r:id="rId6" w:type="default"/>
      <w:headerReference r:id="rId4" w:type="even"/>
      <w:footerReference r:id="rId7" w:type="even"/>
      <w:footnotePr>
        <w:numFmt w:val="decimalHalfWidth"/>
      </w:footnotePr>
      <w:endnotePr>
        <w:numFmt w:val="chineseCounting"/>
      </w:endnotePr>
      <w:pgSz w:w="11905" w:h="16837"/>
      <w:pgMar w:top="1440" w:right="1797" w:bottom="1440" w:left="1797" w:header="567" w:footer="1134"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穝灿砰">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spacing w:line="1" w:lineRule="atLeast"/>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759450" cy="1797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txbx>
                      <w:txbxContent>
                        <w:p>
                          <w:pPr>
                            <w:spacing w:line="334" w:lineRule="atLeast"/>
                            <w:jc w:val="center"/>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left:0pt;margin-top:0pt;height:14.15pt;width:453.5pt;z-index:251661312;mso-width-relative:page;mso-height-relative:page;" filled="f" stroked="f" coordsize="21600,21600" o:gfxdata="UEsDBAoAAAAAAIdO4kAAAAAAAAAAAAAAAAAEAAAAZHJzL1BLAwQUAAAACACHTuJAEbRAsNQAAAAE&#10;AQAADwAAAGRycy9kb3ducmV2LnhtbE2PzU7DMBCE70i8g7VIvVG7rVTaEKdCqD0hIdJw4OjE28Rq&#10;vA6x+8Pbs3CBy0ijWc18m2+uvhdnHKMLpGE2VSCQmmAdtRreq939CkRMhqzpA6GGL4ywKW5vcpPZ&#10;cKESz/vUCi6hmBkNXUpDJmVsOvQmTsOAxNkhjN4ktmMr7WguXO57OVdqKb1xxAudGfC5w+a4P3kN&#10;Tx9Ubt3na/1WHkpXVWtFL8uj1pO7mXoEkfCa/o7hB5/RoWCmOpzIRtFr4EfSr3K2Vg9saw3z1QJk&#10;kcv/8MU3UEsDBBQAAAAIAIdO4kCCldGinwEAACQDAAAOAAAAZHJzL2Uyb0RvYy54bWytUkuOEzEQ&#10;3SNxB8t74s6IEKaVzkhoNAgJAdLAARy3nbZku6yyJ925ANyAFRv2nCvnoOx8hs8OsakuV1U/v/fK&#10;q5vJO7bTmCyEjs9nDWc6KOht2Hb808e7Zy85S1mGXjoIuuN7nfjN+umT1RhbfQUDuF4jI5CQ2jF2&#10;fMg5tkIkNWgv0wyiDtQ0gF5mOuJW9ChHQvdOXDXNCzEC9hFB6ZSoents8nXFN0ar/N6YpDNzHSdu&#10;uUascVOiWK9ku0UZB6tONOQ/sPDSBrr0AnUrs2QPaP+C8lYhJDB5psALMMYqXTWQmnnzh5r7QUZd&#10;tZA5KV5sSv8PVr3bfUBme9odZ0F6WtHh65fDtx+H75/ZvNgzxtTS1H2kuTy9gqmMnuqJikX1ZNCX&#10;L+lh1Cej9xdz9ZSZouJiubh+vqCWot58eb1sFgVGPP4dMeXXGjwrSceRllc9lbu3KR9HzyPlsgB3&#10;1jmqy9aF3wqEWSqiUD9SLFmeNtOJ9wb6PclxbwJZWZ7FOcFzsjknDxHtdiA6VXSFpFVU3qdnU3b9&#10;67le/Pi41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EbRAsNQAAAAEAQAADwAAAAAAAAABACAA&#10;AAAiAAAAZHJzL2Rvd25yZXYueG1sUEsBAhQAFAAAAAgAh07iQIKV0aKfAQAAJAMAAA4AAAAAAAAA&#10;AQAgAAAAIwEAAGRycy9lMm9Eb2MueG1sUEsFBgAAAAAGAAYAWQEAADQFAAAAAA==&#10;">
              <v:fill on="f" focussize="0,0"/>
              <v:stroke on="f"/>
              <v:imagedata o:title=""/>
              <o:lock v:ext="edit" aspectratio="f"/>
              <v:textbox inset="0mm,0mm,0mm,0mm">
                <w:txbxContent>
                  <w:p>
                    <w:pPr>
                      <w:spacing w:line="334" w:lineRule="atLeast"/>
                      <w:jc w:val="center"/>
                      <w:rPr>
                        <w:rFonts w:hint="eastAsia"/>
                        <w:sz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spacing w:line="1" w:lineRule="atLeast"/>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759450" cy="1797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txbx>
                      <w:txbxContent>
                        <w:p>
                          <w:pPr>
                            <w:spacing w:line="334" w:lineRule="atLeast"/>
                            <w:jc w:val="center"/>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left:0pt;margin-top:0pt;height:14.15pt;width:453.5pt;z-index:251660288;mso-width-relative:page;mso-height-relative:page;" filled="f" stroked="f" coordsize="21600,21600" o:gfxdata="UEsDBAoAAAAAAIdO4kAAAAAAAAAAAAAAAAAEAAAAZHJzL1BLAwQUAAAACACHTuJAEbRAsNQAAAAE&#10;AQAADwAAAGRycy9kb3ducmV2LnhtbE2PzU7DMBCE70i8g7VIvVG7rVTaEKdCqD0hIdJw4OjE28Rq&#10;vA6x+8Pbs3CBy0ijWc18m2+uvhdnHKMLpGE2VSCQmmAdtRreq939CkRMhqzpA6GGL4ywKW5vcpPZ&#10;cKESz/vUCi6hmBkNXUpDJmVsOvQmTsOAxNkhjN4ktmMr7WguXO57OVdqKb1xxAudGfC5w+a4P3kN&#10;Tx9Ubt3na/1WHkpXVWtFL8uj1pO7mXoEkfCa/o7hB5/RoWCmOpzIRtFr4EfSr3K2Vg9saw3z1QJk&#10;kcv/8MU3UEsDBBQAAAAIAIdO4kAHzUjjnwEAACQDAAAOAAAAZHJzL2Uyb0RvYy54bWytUktu2zAQ&#10;3RfoHQjua8pJHSeC5QBFkKJAkRRIcwCaIi0C/GHIWPIF2ht01U33OZfP0SFtOb9d0c1oODN6fO8N&#10;F5eDNWQjIWrvGjqdVJRIJ3yr3bqh99+vP5xTEhN3LTfeyYZuZaSXy/fvFn2o5YnvvGklEARxse5D&#10;Q7uUQs1YFJ20PE58kA6byoPlCY+wZi3wHtGtYSdVdcZ6D20AL2SMWL3aN+my4CslRbpVKspETEOR&#10;WyoRSlzlyJYLXq+Bh06LAw3+Dyws1w4vPUJd8cTJA+g3UFYL8NGrNBHeMq+UFrJoQDXT6pWau44H&#10;WbSgOTEcbYr/D1bcbL4B0W1DTylx3OKKdr9+7n4/7v78IKfZnj7EGqfuAs6l4ZMfcM1jPWIxqx4U&#10;2PxFPQT7aPT2aK4cEhFYnM1nFx9n2BLYm84v5tUsw7CnvwPE9Fl6S3LSUMDlFU/55mtM+9FxJF/m&#10;/LU2pizQuBcFxMwVlqnvKeYsDavhoGfl2y3KMV8cWpmfxZjAmKzG5CGAXndIp4gukLiKwvvwbPKu&#10;n5/LxU+Pe/k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EbRAsNQAAAAEAQAADwAAAAAAAAABACAA&#10;AAAiAAAAZHJzL2Rvd25yZXYueG1sUEsBAhQAFAAAAAgAh07iQAfNSOOfAQAAJAMAAA4AAAAAAAAA&#10;AQAgAAAAIwEAAGRycy9lMm9Eb2MueG1sUEsFBgAAAAAGAAYAWQEAADQFAAAAAA==&#10;">
              <v:fill on="f" focussize="0,0"/>
              <v:stroke on="f"/>
              <v:imagedata o:title=""/>
              <o:lock v:ext="edit" aspectratio="f"/>
              <v:textbox inset="0mm,0mm,0mm,0mm">
                <w:txbxContent>
                  <w:p>
                    <w:pPr>
                      <w:spacing w:line="334" w:lineRule="atLeast"/>
                      <w:jc w:val="center"/>
                      <w:rPr>
                        <w:rFonts w:hint="eastAsia"/>
                        <w:sz w:val="21"/>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759450" cy="1797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txbx>
                      <w:txbxContent>
                        <w:p>
                          <w:pPr>
                            <w:spacing w:line="334" w:lineRule="atLeast"/>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left:0pt;margin-top:0pt;height:14.15pt;width:453.5pt;z-index:251659264;mso-width-relative:page;mso-height-relative:page;" filled="f" stroked="f" coordsize="21600,21600" o:gfxdata="UEsDBAoAAAAAAIdO4kAAAAAAAAAAAAAAAAAEAAAAZHJzL1BLAwQUAAAACACHTuJAEbRAsNQAAAAE&#10;AQAADwAAAGRycy9kb3ducmV2LnhtbE2PzU7DMBCE70i8g7VIvVG7rVTaEKdCqD0hIdJw4OjE28Rq&#10;vA6x+8Pbs3CBy0ijWc18m2+uvhdnHKMLpGE2VSCQmmAdtRreq939CkRMhqzpA6GGL4ywKW5vcpPZ&#10;cKESz/vUCi6hmBkNXUpDJmVsOvQmTsOAxNkhjN4ktmMr7WguXO57OVdqKb1xxAudGfC5w+a4P3kN&#10;Tx9Ubt3na/1WHkpXVWtFL8uj1pO7mXoEkfCa/o7hB5/RoWCmOpzIRtFr4EfSr3K2Vg9saw3z1QJk&#10;kcv/8MU3UEsDBBQAAAAIAIdO4kDqC5fsoAEAACQDAAAOAAAAZHJzL2Uyb0RvYy54bWytUktu2zAQ&#10;3RfIHQjua8qBHTeC5QBFkKBA0QRIegCaIi0CJIcgGUu+QHqDrrLpvufyOTKkLaefXdHNaDgzenzv&#10;DZdXgzVkK0PU4Bo6nVSUSCeg1W7T0K+PN+8/UBITdy034GRDdzLSq9XZu2Xva3kOHZhWBoIgLta9&#10;b2iXkq8Zi6KTlscJeOmwqSBYnvAYNqwNvEd0a9h5VV2wHkLrAwgZI1avD026KvhKSZHulIoyEdNQ&#10;5JZKDCWuc2SrJa83gftOiyMN/g8sLNcOLz1BXfPEyVPQf0FZLQJEUGkiwDJQSgtZNKCaafWHmoeO&#10;e1m0oDnRn2yK/w9WfNneB6Lbhs4ocdziivbfv+1ffu5/PJNZtqf3scapB49zafgIA655rEcsZtWD&#10;CjZ/UQ/BPhq9O5krh0QEFueL+eVsji2BveniclHNMwx7+9uHmG4lWJKThgZcXvGUbz/HdBgdR/Jl&#10;Dm60MWWBxv1WQMxcYZn6gWLO0rAejnrW0O5Qjvnk0Mr8LMYkjMl6TJ580JsO6RTRBRJXUXgfn03e&#10;9a/ncvHb416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G0QLDUAAAABAEAAA8AAAAAAAAAAQAg&#10;AAAAIgAAAGRycy9kb3ducmV2LnhtbFBLAQIUABQAAAAIAIdO4kDqC5fsoAEAACQDAAAOAAAAAAAA&#10;AAEAIAAAACMBAABkcnMvZTJvRG9jLnhtbFBLBQYAAAAABgAGAFkBAAA1BQAAAAA=&#10;">
              <v:fill on="f" focussize="0,0"/>
              <v:stroke on="f"/>
              <v:imagedata o:title=""/>
              <o:lock v:ext="edit" aspectratio="f"/>
              <v:textbox inset="0mm,0mm,0mm,0mm">
                <w:txbxContent>
                  <w:p>
                    <w:pPr>
                      <w:spacing w:line="334" w:lineRule="atLeast"/>
                      <w:rPr>
                        <w:rFonts w:hint="eastAsia"/>
                        <w:sz w:val="21"/>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759450" cy="1797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txbx>
                      <w:txbxContent>
                        <w:p>
                          <w:pPr>
                            <w:spacing w:line="334" w:lineRule="atLeast"/>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left:0pt;margin-top:0pt;height:14.15pt;width:453.5pt;z-index:251658240;mso-width-relative:page;mso-height-relative:page;" filled="f" stroked="f" coordsize="21600,21600" o:gfxdata="UEsDBAoAAAAAAIdO4kAAAAAAAAAAAAAAAAAEAAAAZHJzL1BLAwQUAAAACACHTuJAEbRAsNQAAAAE&#10;AQAADwAAAGRycy9kb3ducmV2LnhtbE2PzU7DMBCE70i8g7VIvVG7rVTaEKdCqD0hIdJw4OjE28Rq&#10;vA6x+8Pbs3CBy0ijWc18m2+uvhdnHKMLpGE2VSCQmmAdtRreq939CkRMhqzpA6GGL4ywKW5vcpPZ&#10;cKESz/vUCi6hmBkNXUpDJmVsOvQmTsOAxNkhjN4ktmMr7WguXO57OVdqKb1xxAudGfC5w+a4P3kN&#10;Tx9Ubt3na/1WHkpXVWtFL8uj1pO7mXoEkfCa/o7hB5/RoWCmOpzIRtFr4EfSr3K2Vg9saw3z1QJk&#10;kcv/8MU3UEsDBBQAAAAIAIdO4kBl4jwunwEAACQDAAAOAAAAZHJzL2Uyb0RvYy54bWytUkFu2zAQ&#10;vBfoHwjeY8pGXNeC5QBFkCJA0BZI+wCaIi0CJJcgGUv+QPuDnnrpve/yO7qkLadJbkEvq+Xuajgz&#10;y9XVYA3ZyRA1uIZOJxUl0glotds29NvXm4v3lMTEXcsNONnQvYz0av32zar3tZxBB6aVgSCIi3Xv&#10;G9ql5GvGouik5XECXjpsKgiWJzyGLWsD7xHdGjarqnesh9D6AELGiNXrY5OuC75SUqTPSkWZiGko&#10;ckslhhI3ObL1itfbwH2nxYkGfwULy7XDS89Q1zxx8hD0CyirRYAIKk0EWAZKaSGLBlQzrZ6pue+4&#10;l0ULmhP92ab4/2DFp92XQHTb0Bkljltc0eHnj8OvP4ff38ks29P7WOPUvce5NHyAAdc81iMWs+pB&#10;BZu/qIdgH43en82VQyICi/PFfHk5x5bA3nSxXFTzDMMe//Yhpo8SLMlJQwMur3jKd3cxHUfHkXyZ&#10;gxttTFmgcU8KiJkrLFM/UsxZGjbDSc8G2j3KMbcOrczPYkzCmGzG5MEHve2QThFdIHEVhffp2eRd&#10;/3suFz8+7v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EbRAsNQAAAAEAQAADwAAAAAAAAABACAA&#10;AAAiAAAAZHJzL2Rvd25yZXYueG1sUEsBAhQAFAAAAAgAh07iQGXiPC6fAQAAJAMAAA4AAAAAAAAA&#10;AQAgAAAAIwEAAGRycy9lMm9Eb2MueG1sUEsFBgAAAAAGAAYAWQEAADQFAAAAAA==&#10;">
              <v:fill on="f" focussize="0,0"/>
              <v:stroke on="f"/>
              <v:imagedata o:title=""/>
              <o:lock v:ext="edit" aspectratio="f"/>
              <v:textbox inset="0mm,0mm,0mm,0mm">
                <w:txbxContent>
                  <w:p>
                    <w:pPr>
                      <w:spacing w:line="334" w:lineRule="atLeast"/>
                      <w:rPr>
                        <w:rFonts w:hint="eastAsia"/>
                        <w:sz w:val="21"/>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HalfWidth"/>
  </w:footnotePr>
  <w:endnotePr>
    <w:numFmt w:val="chineseCounting"/>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BA7852"/>
    <w:rsid w:val="10FE3254"/>
    <w:rsid w:val="14D226BA"/>
    <w:rsid w:val="1540427C"/>
    <w:rsid w:val="534B2176"/>
    <w:rsid w:val="58F17395"/>
    <w:rsid w:val="651112E7"/>
    <w:rsid w:val="66D24A56"/>
    <w:rsid w:val="697B10EF"/>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0" w:beforeLines="0" w:beforeAutospacing="0" w:after="0" w:afterLines="0" w:afterAutospacing="0" w:line="365" w:lineRule="atLeast"/>
      <w:ind w:left="1" w:right="0" w:firstLine="0" w:firstLineChars="0"/>
      <w:jc w:val="both"/>
      <w:textAlignment w:val="bottom"/>
    </w:pPr>
    <w:rPr>
      <w:rFonts w:ascii="Times New Roman" w:hAnsi="Times New Roman" w:eastAsia="宋体" w:cs="Times New Roman"/>
    </w:rPr>
  </w:style>
  <w:style w:type="paragraph" w:styleId="3">
    <w:name w:val="heading 1"/>
    <w:basedOn w:val="1"/>
    <w:next w:val="1"/>
    <w:qFormat/>
    <w:uiPriority w:val="0"/>
    <w:pPr>
      <w:spacing w:before="104" w:beforeLines="0" w:beforeAutospacing="0" w:after="104" w:afterLines="0" w:afterAutospacing="0" w:line="0" w:lineRule="atLeast"/>
      <w:ind w:firstLine="0" w:firstLineChars="0"/>
      <w:jc w:val="center"/>
    </w:pPr>
    <w:rPr>
      <w:rFonts w:ascii="Arial" w:hAnsi="Arial" w:eastAsia="穝灿砰"/>
      <w:sz w:val="32"/>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next w:val="1"/>
    <w:qFormat/>
    <w:uiPriority w:val="0"/>
    <w:pPr>
      <w:spacing w:line="480" w:lineRule="exact"/>
      <w:ind w:firstLine="425"/>
    </w:pPr>
    <w:rPr>
      <w:rFonts w:ascii="宋体" w:hAnsi="Courier New"/>
      <w:spacing w:val="16"/>
      <w:sz w:val="24"/>
      <w:szCs w:val="20"/>
    </w:rPr>
  </w:style>
  <w:style w:type="paragraph" w:styleId="4">
    <w:name w:val="Body Text First Indent"/>
    <w:basedOn w:val="5"/>
    <w:next w:val="1"/>
    <w:qFormat/>
    <w:uiPriority w:val="0"/>
    <w:pPr>
      <w:ind w:firstLine="420" w:firstLineChars="100"/>
    </w:pPr>
  </w:style>
  <w:style w:type="paragraph" w:styleId="5">
    <w:name w:val="Body Text"/>
    <w:basedOn w:val="1"/>
    <w:next w:val="1"/>
    <w:qFormat/>
    <w:uiPriority w:val="0"/>
    <w:pPr>
      <w:spacing w:after="120" w:afterLines="0" w:afterAutospacing="0"/>
    </w:pPr>
  </w:style>
  <w:style w:type="paragraph" w:styleId="6">
    <w:name w:val="Body Text Indent"/>
    <w:basedOn w:val="1"/>
    <w:qFormat/>
    <w:uiPriority w:val="0"/>
    <w:pPr>
      <w:spacing w:after="120" w:afterLines="0" w:afterAutospacing="0"/>
      <w:ind w:left="420" w:leftChars="200"/>
    </w:p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 w:type="paragraph" w:styleId="8">
    <w:name w:val="Body Text First Indent 2"/>
    <w:basedOn w:val="6"/>
    <w:next w:val="1"/>
    <w:qFormat/>
    <w:uiPriority w:val="0"/>
    <w:pPr>
      <w:ind w:firstLine="420" w:firstLineChars="200"/>
    </w:pPr>
  </w:style>
  <w:style w:type="paragraph" w:styleId="9">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11">
    <w:name w:val="page number"/>
    <w:basedOn w:val="10"/>
    <w:qFormat/>
    <w:uiPriority w:val="0"/>
  </w:style>
  <w:style w:type="paragraph" w:customStyle="1" w:styleId="13">
    <w:name w:val="样式 标题 1 + 四号 段前: 0 磅 段后: 0 磅 行距: 1.5 倍行距"/>
    <w:basedOn w:val="3"/>
    <w:next w:val="14"/>
    <w:qFormat/>
    <w:uiPriority w:val="0"/>
    <w:pPr>
      <w:spacing w:line="360" w:lineRule="auto"/>
      <w:jc w:val="center"/>
    </w:pPr>
  </w:style>
  <w:style w:type="paragraph" w:customStyle="1" w:styleId="14">
    <w:name w:val="文本正文"/>
    <w:basedOn w:val="1"/>
    <w:qFormat/>
    <w:uiPriority w:val="0"/>
    <w:pPr>
      <w:snapToGrid w:val="0"/>
      <w:spacing w:line="360" w:lineRule="auto"/>
      <w:ind w:firstLine="510"/>
      <w:jc w:val="left"/>
    </w:pPr>
    <w:rPr>
      <w:spacing w:val="4"/>
      <w:kern w:val="24"/>
      <w:szCs w:val="24"/>
      <w:lang w:val="zh-CN"/>
    </w:rPr>
  </w:style>
  <w:style w:type="paragraph" w:customStyle="1" w:styleId="15">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XSD</dc:creator>
  <cp:lastModifiedBy>NTKO</cp:lastModifiedBy>
  <cp:lastPrinted>2022-06-14T04:03:46Z</cp:lastPrinted>
  <dcterms:modified xsi:type="dcterms:W3CDTF">2022-06-14T06:46:56Z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