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lang w:eastAsia="zh-CN"/>
        </w:rPr>
      </w:pPr>
    </w:p>
    <w:p>
      <w:pPr>
        <w:rPr>
          <w:rFonts w:hint="eastAsia"/>
          <w:sz w:val="21"/>
        </w:rPr>
      </w:pPr>
    </w:p>
    <w:p>
      <w:pPr>
        <w:rPr>
          <w:rFonts w:hint="eastAsia"/>
          <w:sz w:val="21"/>
        </w:rPr>
      </w:pPr>
    </w:p>
    <w:p>
      <w:pPr>
        <w:rPr>
          <w:rFonts w:hint="eastAsia"/>
          <w:sz w:val="21"/>
        </w:rPr>
      </w:pPr>
      <w:r>
        <w:rPr>
          <w:rFonts w:hint="eastAsia"/>
          <w:sz w:val="21"/>
        </w:rPr>
        <w:t xml:space="preserve">                                                                        </w:t>
      </w:r>
    </w:p>
    <w:p>
      <w:pPr>
        <w:rPr>
          <w:rFonts w:hint="eastAsia"/>
          <w:sz w:val="21"/>
        </w:rPr>
      </w:pPr>
    </w:p>
    <w:p>
      <w:pPr>
        <w:rPr>
          <w:rFonts w:hint="eastAsia"/>
          <w:sz w:val="21"/>
        </w:rPr>
      </w:pPr>
    </w:p>
    <w:p>
      <w:pPr>
        <w:rPr>
          <w:rFonts w:hint="eastAsia"/>
          <w:sz w:val="21"/>
        </w:rPr>
      </w:pPr>
    </w:p>
    <w:p>
      <w:pPr>
        <w:rPr>
          <w:rFonts w:hint="eastAsia"/>
          <w:sz w:val="21"/>
        </w:rPr>
      </w:pPr>
      <w:r>
        <w:rPr>
          <w:rFonts w:hint="eastAsia"/>
          <w:sz w:val="21"/>
        </w:rPr>
        <w:t xml:space="preserve">                                                                     </w:t>
      </w:r>
    </w:p>
    <w:p>
      <w:pPr>
        <w:ind w:left="227" w:hanging="226"/>
        <w:rPr>
          <w:rFonts w:hint="eastAsia" w:eastAsia="穝灿砰"/>
          <w:spacing w:val="56"/>
          <w:sz w:val="44"/>
        </w:rPr>
      </w:pPr>
    </w:p>
    <w:p>
      <w:pPr>
        <w:ind w:left="227" w:hanging="226"/>
        <w:rPr>
          <w:rFonts w:hint="eastAsia" w:eastAsia="穝灿砰"/>
          <w:b/>
          <w:spacing w:val="56"/>
          <w:sz w:val="44"/>
        </w:rPr>
      </w:pPr>
      <w:r>
        <w:rPr>
          <w:rFonts w:hint="eastAsia" w:eastAsia="穝灿砰"/>
          <w:spacing w:val="56"/>
          <w:sz w:val="44"/>
        </w:rPr>
        <w:t xml:space="preserve">               </w:t>
      </w:r>
      <w:r>
        <w:rPr>
          <w:rFonts w:hint="eastAsia" w:eastAsia="穝灿砰"/>
          <w:b/>
          <w:spacing w:val="56"/>
          <w:sz w:val="44"/>
        </w:rPr>
        <w:t xml:space="preserve"> </w:t>
      </w:r>
    </w:p>
    <w:p>
      <w:pPr>
        <w:ind w:left="0"/>
        <w:rPr>
          <w:rFonts w:hint="eastAsia"/>
          <w:sz w:val="21"/>
          <w:lang w:eastAsia="zh-CN"/>
        </w:rPr>
      </w:pPr>
    </w:p>
    <w:p>
      <w:pPr>
        <w:ind w:left="0"/>
        <w:rPr>
          <w:rFonts w:hint="eastAsia"/>
          <w:color w:val="auto"/>
          <w:sz w:val="21"/>
          <w:lang w:eastAsia="zh-CN"/>
        </w:rPr>
      </w:pPr>
    </w:p>
    <w:p>
      <w:pPr>
        <w:jc w:val="center"/>
        <w:rPr>
          <w:rFonts w:hint="eastAsia" w:ascii="仿宋" w:hAnsi="仿宋" w:eastAsia="仿宋" w:cs="仿宋"/>
          <w:color w:val="auto"/>
          <w:sz w:val="32"/>
        </w:rPr>
      </w:pPr>
    </w:p>
    <w:p>
      <w:pPr>
        <w:jc w:val="center"/>
        <w:rPr>
          <w:rFonts w:hint="eastAsia" w:ascii="仿宋" w:hAnsi="仿宋" w:eastAsia="仿宋" w:cs="仿宋"/>
          <w:color w:val="auto"/>
          <w:sz w:val="32"/>
        </w:rPr>
      </w:pPr>
      <w:r>
        <w:rPr>
          <w:rFonts w:hint="eastAsia" w:ascii="仿宋" w:hAnsi="仿宋" w:eastAsia="仿宋" w:cs="仿宋"/>
          <w:color w:val="auto"/>
          <w:sz w:val="32"/>
          <w:lang w:eastAsia="zh-CN"/>
        </w:rPr>
        <w:t>昆生环</w:t>
      </w:r>
      <w:r>
        <w:rPr>
          <w:rFonts w:hint="eastAsia" w:ascii="仿宋" w:hAnsi="仿宋" w:eastAsia="仿宋" w:cs="仿宋"/>
          <w:color w:val="auto"/>
          <w:sz w:val="32"/>
        </w:rPr>
        <w:t>晋</w:t>
      </w:r>
      <w:r>
        <w:rPr>
          <w:rFonts w:hint="eastAsia" w:ascii="仿宋" w:hAnsi="仿宋" w:eastAsia="仿宋" w:cs="仿宋"/>
          <w:color w:val="auto"/>
          <w:sz w:val="32"/>
          <w:lang w:eastAsia="zh-CN"/>
        </w:rPr>
        <w:t>复</w:t>
      </w:r>
      <w:r>
        <w:rPr>
          <w:rFonts w:hint="eastAsia" w:ascii="仿宋" w:hAnsi="仿宋" w:eastAsia="仿宋" w:cs="仿宋"/>
          <w:color w:val="auto"/>
          <w:sz w:val="32"/>
        </w:rPr>
        <w:t>〔</w:t>
      </w:r>
      <w:r>
        <w:rPr>
          <w:rFonts w:hint="eastAsia" w:ascii="仿宋" w:hAnsi="仿宋" w:eastAsia="仿宋" w:cs="仿宋"/>
          <w:color w:val="auto"/>
          <w:sz w:val="32"/>
          <w:lang w:eastAsia="zh-CN"/>
        </w:rPr>
        <w:t>20</w:t>
      </w:r>
      <w:r>
        <w:rPr>
          <w:rFonts w:hint="eastAsia" w:ascii="仿宋" w:hAnsi="仿宋" w:eastAsia="仿宋" w:cs="仿宋"/>
          <w:color w:val="auto"/>
          <w:sz w:val="32"/>
          <w:lang w:val="en-US" w:eastAsia="zh-CN"/>
        </w:rPr>
        <w:t>22〕23</w:t>
      </w:r>
      <w:r>
        <w:rPr>
          <w:rFonts w:hint="eastAsia" w:ascii="仿宋" w:hAnsi="仿宋" w:eastAsia="仿宋" w:cs="仿宋"/>
          <w:color w:val="auto"/>
          <w:sz w:val="32"/>
        </w:rPr>
        <w:t>号</w:t>
      </w:r>
    </w:p>
    <w:p>
      <w:pPr>
        <w:jc w:val="center"/>
        <w:rPr>
          <w:rFonts w:hint="eastAsia" w:eastAsia="穝灿砰"/>
          <w:color w:val="auto"/>
          <w:sz w:val="32"/>
          <w:lang w:eastAsia="zh-CN"/>
        </w:rPr>
      </w:pPr>
    </w:p>
    <w:p>
      <w:pPr>
        <w:ind w:left="0"/>
        <w:rPr>
          <w:rFonts w:hint="eastAsia" w:eastAsia="穝灿砰"/>
          <w:color w:val="auto"/>
          <w:sz w:val="32"/>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bottom"/>
        <w:outlineLvl w:val="9"/>
        <w:rPr>
          <w:rFonts w:hint="eastAsia"/>
          <w:b/>
          <w:sz w:val="44"/>
        </w:rPr>
      </w:pPr>
      <w:r>
        <w:rPr>
          <w:b/>
          <w:spacing w:val="20"/>
          <w:sz w:val="44"/>
        </w:rPr>
        <w:t>关于对《</w:t>
      </w:r>
      <w:r>
        <w:rPr>
          <w:rFonts w:hint="eastAsia"/>
          <w:b/>
          <w:spacing w:val="20"/>
          <w:sz w:val="44"/>
          <w:lang w:eastAsia="zh-CN"/>
        </w:rPr>
        <w:t>功能香精香料及芳香产品定向分离产业化项目</w:t>
      </w:r>
      <w:r>
        <w:rPr>
          <w:rFonts w:hint="eastAsia"/>
          <w:b/>
          <w:sz w:val="44"/>
          <w:szCs w:val="22"/>
        </w:rPr>
        <w:t>环境影响</w:t>
      </w:r>
      <w:r>
        <w:rPr>
          <w:rFonts w:hint="eastAsia"/>
          <w:b/>
          <w:sz w:val="44"/>
          <w:szCs w:val="22"/>
          <w:lang w:eastAsia="zh-CN"/>
        </w:rPr>
        <w:t>报告表</w:t>
      </w:r>
      <w:r>
        <w:rPr>
          <w:rFonts w:hint="eastAsia"/>
          <w:b/>
          <w:sz w:val="44"/>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bottom"/>
        <w:outlineLvl w:val="9"/>
        <w:rPr>
          <w:rFonts w:hint="eastAsia"/>
          <w:b/>
          <w:color w:val="auto"/>
          <w:sz w:val="44"/>
          <w:lang w:eastAsia="zh-CN"/>
        </w:rPr>
      </w:pPr>
      <w:r>
        <w:rPr>
          <w:rFonts w:hint="eastAsia"/>
          <w:b/>
          <w:sz w:val="44"/>
        </w:rPr>
        <w:t>的批复</w:t>
      </w:r>
    </w:p>
    <w:p>
      <w:pPr>
        <w:spacing w:line="600" w:lineRule="exact"/>
        <w:ind w:firstLine="696" w:firstLineChars="200"/>
        <w:rPr>
          <w:rFonts w:hint="eastAsia" w:ascii="仿宋_GB2312" w:eastAsia="仿宋_GB2312"/>
          <w:color w:val="auto"/>
          <w:spacing w:val="14"/>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jc w:val="left"/>
        <w:textAlignment w:val="bottom"/>
        <w:outlineLvl w:val="9"/>
        <w:rPr>
          <w:rFonts w:hint="eastAsia" w:eastAsia="华文仿宋"/>
          <w:color w:val="auto"/>
          <w:sz w:val="32"/>
          <w:lang w:eastAsia="zh-CN"/>
        </w:rPr>
      </w:pPr>
      <w:r>
        <w:rPr>
          <w:rFonts w:hint="eastAsia" w:eastAsia="华文仿宋"/>
          <w:color w:val="auto"/>
          <w:sz w:val="32"/>
          <w:lang w:eastAsia="zh-CN"/>
        </w:rPr>
        <w:t>云南恒罡科技有限公司：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lang w:eastAsia="zh-CN"/>
        </w:rPr>
        <w:t xml:space="preserve"> 你单位委托云南绿蓝环境科技有限公司编制的《功能香精香料及芳香产品定向分离产业化项目环境影响报告表》(以下简称《报告表》)收悉。根据《中华人民共和国环境影响评价法》第二十二条、《建</w:t>
      </w:r>
      <w:r>
        <w:rPr>
          <w:rFonts w:hint="eastAsia" w:eastAsia="华文仿宋"/>
          <w:color w:val="auto"/>
          <w:sz w:val="32"/>
          <w:szCs w:val="22"/>
          <w:lang w:eastAsia="zh-CN"/>
        </w:rPr>
        <w:t>设项目环境保护管理条例》第九条，经研究，批复如下：</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left"/>
        <w:textAlignment w:val="baseline"/>
        <w:outlineLvl w:val="9"/>
        <w:rPr>
          <w:rFonts w:hint="default"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 xml:space="preserve">   一、</w:t>
      </w:r>
      <w:bookmarkStart w:id="0" w:name="_Hlk75459699"/>
      <w:r>
        <w:rPr>
          <w:rFonts w:ascii="Times New Roman" w:hAnsi="Times New Roman" w:eastAsia="华文仿宋" w:cs="Times New Roman"/>
          <w:sz w:val="32"/>
          <w:szCs w:val="22"/>
        </w:rPr>
        <w:t>项目位于</w:t>
      </w:r>
      <w:r>
        <w:rPr>
          <w:rFonts w:hint="default" w:ascii="Times New Roman" w:hAnsi="Times New Roman" w:eastAsia="华文仿宋" w:cs="Times New Roman"/>
          <w:sz w:val="32"/>
          <w:szCs w:val="22"/>
          <w:lang w:val="en-US" w:eastAsia="zh-CN"/>
        </w:rPr>
        <w:t>晋宁工业园区青山基地</w:t>
      </w:r>
      <w:r>
        <w:rPr>
          <w:rFonts w:ascii="Times New Roman" w:hAnsi="Times New Roman" w:eastAsia="华文仿宋" w:cs="Times New Roman"/>
          <w:sz w:val="32"/>
          <w:szCs w:val="22"/>
        </w:rPr>
        <w:t>，</w:t>
      </w:r>
      <w:bookmarkEnd w:id="0"/>
      <w:r>
        <w:rPr>
          <w:rFonts w:ascii="Times New Roman" w:hAnsi="Times New Roman" w:eastAsia="华文仿宋" w:cs="Times New Roman"/>
          <w:sz w:val="32"/>
          <w:szCs w:val="22"/>
        </w:rPr>
        <w:t>根据项目建设和生产需求，项目</w:t>
      </w:r>
      <w:bookmarkStart w:id="1" w:name="_Hlk75459712"/>
      <w:r>
        <w:rPr>
          <w:rFonts w:ascii="Times New Roman" w:hAnsi="Times New Roman" w:eastAsia="华文仿宋" w:cs="Times New Roman"/>
          <w:sz w:val="32"/>
          <w:szCs w:val="22"/>
        </w:rPr>
        <w:t>占地面积约为</w:t>
      </w:r>
      <w:r>
        <w:rPr>
          <w:rFonts w:hint="eastAsia" w:ascii="Times New Roman" w:hAnsi="Times New Roman" w:eastAsia="华文仿宋" w:cs="Times New Roman"/>
          <w:sz w:val="32"/>
          <w:szCs w:val="22"/>
          <w:lang w:val="en-US" w:eastAsia="zh-CN"/>
        </w:rPr>
        <w:t>1500</w:t>
      </w:r>
      <w:r>
        <w:rPr>
          <w:rFonts w:ascii="Times New Roman" w:hAnsi="Times New Roman" w:eastAsia="华文仿宋" w:cs="Times New Roman"/>
          <w:sz w:val="32"/>
          <w:szCs w:val="22"/>
        </w:rPr>
        <w:t>m</w:t>
      </w:r>
      <w:r>
        <w:rPr>
          <w:rFonts w:ascii="Times New Roman" w:hAnsi="Times New Roman" w:eastAsia="华文仿宋" w:cs="Times New Roman"/>
          <w:sz w:val="32"/>
          <w:szCs w:val="22"/>
          <w:vertAlign w:val="superscript"/>
        </w:rPr>
        <w:t>2</w:t>
      </w:r>
      <w:bookmarkEnd w:id="1"/>
      <w:r>
        <w:rPr>
          <w:rFonts w:ascii="Times New Roman" w:hAnsi="Times New Roman" w:eastAsia="华文仿宋" w:cs="Times New Roman"/>
          <w:sz w:val="32"/>
          <w:szCs w:val="22"/>
        </w:rPr>
        <w:t>，建筑面积约为</w:t>
      </w:r>
      <w:r>
        <w:rPr>
          <w:rFonts w:hint="eastAsia" w:ascii="Times New Roman" w:hAnsi="Times New Roman" w:eastAsia="华文仿宋" w:cs="Times New Roman"/>
          <w:sz w:val="32"/>
          <w:szCs w:val="22"/>
          <w:lang w:val="en-US" w:eastAsia="zh-CN"/>
        </w:rPr>
        <w:t>1500</w:t>
      </w:r>
      <w:r>
        <w:rPr>
          <w:rFonts w:ascii="Times New Roman" w:hAnsi="Times New Roman" w:eastAsia="华文仿宋" w:cs="Times New Roman"/>
          <w:sz w:val="32"/>
          <w:szCs w:val="22"/>
        </w:rPr>
        <w:t>m</w:t>
      </w:r>
      <w:r>
        <w:rPr>
          <w:rFonts w:ascii="Times New Roman" w:hAnsi="Times New Roman" w:eastAsia="华文仿宋" w:cs="Times New Roman"/>
          <w:sz w:val="32"/>
          <w:szCs w:val="22"/>
          <w:vertAlign w:val="superscript"/>
        </w:rPr>
        <w:t>2</w:t>
      </w:r>
      <w:r>
        <w:rPr>
          <w:rFonts w:ascii="Times New Roman" w:hAnsi="Times New Roman" w:eastAsia="华文仿宋" w:cs="Times New Roman"/>
          <w:sz w:val="32"/>
          <w:szCs w:val="22"/>
        </w:rPr>
        <w:t>，</w:t>
      </w:r>
      <w:r>
        <w:rPr>
          <w:rFonts w:hint="default" w:ascii="Times New Roman" w:hAnsi="Times New Roman" w:eastAsia="华文仿宋" w:cs="Times New Roman"/>
          <w:sz w:val="32"/>
          <w:szCs w:val="22"/>
          <w:lang w:val="en-US" w:eastAsia="zh-CN"/>
        </w:rPr>
        <w:t>生产车间</w:t>
      </w:r>
      <w:r>
        <w:rPr>
          <w:rFonts w:hint="default" w:ascii="Times New Roman" w:hAnsi="Times New Roman" w:eastAsia="华文仿宋" w:cs="Times New Roman"/>
          <w:sz w:val="32"/>
          <w:szCs w:val="22"/>
        </w:rPr>
        <w:t>建筑面积为</w:t>
      </w:r>
      <w:r>
        <w:rPr>
          <w:rFonts w:hint="default" w:ascii="Times New Roman" w:hAnsi="Times New Roman" w:eastAsia="华文仿宋" w:cs="Times New Roman"/>
          <w:sz w:val="32"/>
          <w:szCs w:val="22"/>
          <w:lang w:val="en-US" w:eastAsia="zh-CN"/>
        </w:rPr>
        <w:t>660</w:t>
      </w:r>
      <w:r>
        <w:rPr>
          <w:rFonts w:hint="default" w:ascii="Times New Roman" w:hAnsi="Times New Roman" w:eastAsia="华文仿宋" w:cs="Times New Roman"/>
          <w:sz w:val="32"/>
          <w:szCs w:val="22"/>
        </w:rPr>
        <w:t>m</w:t>
      </w:r>
      <w:r>
        <w:rPr>
          <w:rFonts w:hint="default" w:ascii="Times New Roman" w:hAnsi="Times New Roman" w:eastAsia="华文仿宋" w:cs="Times New Roman"/>
          <w:sz w:val="32"/>
          <w:szCs w:val="22"/>
          <w:vertAlign w:val="superscript"/>
        </w:rPr>
        <w:t>2</w:t>
      </w:r>
      <w:r>
        <w:rPr>
          <w:rFonts w:hint="default"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lang w:val="en-US" w:eastAsia="zh-CN"/>
        </w:rPr>
        <w:t>办公楼建筑面积200m</w:t>
      </w:r>
      <w:r>
        <w:rPr>
          <w:rFonts w:hint="default" w:ascii="Times New Roman" w:hAnsi="Times New Roman" w:eastAsia="华文仿宋" w:cs="Times New Roman"/>
          <w:sz w:val="32"/>
          <w:szCs w:val="22"/>
          <w:vertAlign w:val="superscript"/>
          <w:lang w:val="en-US" w:eastAsia="zh-CN"/>
        </w:rPr>
        <w:t>2</w:t>
      </w:r>
      <w:r>
        <w:rPr>
          <w:rFonts w:hint="default"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lang w:val="en-US" w:eastAsia="zh-CN"/>
        </w:rPr>
        <w:t>仓库面积</w:t>
      </w:r>
      <w:r>
        <w:rPr>
          <w:rFonts w:hint="eastAsia" w:ascii="Times New Roman" w:hAnsi="Times New Roman" w:eastAsia="华文仿宋" w:cs="Times New Roman"/>
          <w:sz w:val="32"/>
          <w:szCs w:val="22"/>
          <w:lang w:val="en-US" w:eastAsia="zh-CN"/>
        </w:rPr>
        <w:t xml:space="preserve">640 </w:t>
      </w:r>
      <w:r>
        <w:rPr>
          <w:rFonts w:hint="default" w:ascii="Times New Roman" w:hAnsi="Times New Roman" w:eastAsia="华文仿宋" w:cs="Times New Roman"/>
          <w:sz w:val="32"/>
          <w:szCs w:val="22"/>
          <w:lang w:val="en-US" w:eastAsia="zh-CN"/>
        </w:rPr>
        <w:t>m</w:t>
      </w:r>
      <w:r>
        <w:rPr>
          <w:rFonts w:hint="default" w:ascii="Times New Roman" w:hAnsi="Times New Roman" w:eastAsia="华文仿宋" w:cs="Times New Roman"/>
          <w:sz w:val="32"/>
          <w:szCs w:val="22"/>
          <w:vertAlign w:val="superscript"/>
          <w:lang w:val="en-US" w:eastAsia="zh-CN"/>
        </w:rPr>
        <w:t>2</w:t>
      </w:r>
      <w:r>
        <w:rPr>
          <w:rFonts w:hint="default" w:ascii="Times New Roman" w:hAnsi="Times New Roman" w:eastAsia="华文仿宋" w:cs="Times New Roman"/>
          <w:sz w:val="32"/>
          <w:szCs w:val="22"/>
        </w:rPr>
        <w:t>，建设内容包含主体工程、辅助工程、公用工程和环保工程、依托工程，共建设</w:t>
      </w:r>
      <w:r>
        <w:rPr>
          <w:rFonts w:hint="eastAsia" w:ascii="Times New Roman" w:hAnsi="Times New Roman" w:eastAsia="华文仿宋" w:cs="Times New Roman"/>
          <w:sz w:val="32"/>
          <w:szCs w:val="22"/>
          <w:lang w:val="en-US" w:eastAsia="zh-CN"/>
        </w:rPr>
        <w:t>1</w:t>
      </w:r>
      <w:r>
        <w:rPr>
          <w:rFonts w:hint="default" w:ascii="Times New Roman" w:hAnsi="Times New Roman" w:eastAsia="华文仿宋" w:cs="Times New Roman"/>
          <w:sz w:val="32"/>
          <w:szCs w:val="22"/>
        </w:rPr>
        <w:t>条</w:t>
      </w:r>
      <w:r>
        <w:rPr>
          <w:rFonts w:hint="default" w:ascii="Times New Roman" w:hAnsi="Times New Roman" w:eastAsia="华文仿宋" w:cs="Times New Roman"/>
          <w:sz w:val="32"/>
          <w:szCs w:val="22"/>
          <w:lang w:val="en-US" w:eastAsia="zh-CN"/>
        </w:rPr>
        <w:t>调香产品生产线，</w:t>
      </w:r>
      <w:r>
        <w:rPr>
          <w:rFonts w:hint="default" w:ascii="Times New Roman" w:hAnsi="Times New Roman" w:eastAsia="华文仿宋" w:cs="Times New Roman"/>
          <w:sz w:val="32"/>
          <w:szCs w:val="22"/>
        </w:rPr>
        <w:t>年产</w:t>
      </w:r>
      <w:r>
        <w:rPr>
          <w:rFonts w:hint="default" w:ascii="Times New Roman" w:hAnsi="Times New Roman" w:eastAsia="华文仿宋" w:cs="Times New Roman"/>
          <w:sz w:val="32"/>
          <w:szCs w:val="22"/>
          <w:lang w:val="en-US" w:eastAsia="zh-CN"/>
        </w:rPr>
        <w:t>调香产品100t</w:t>
      </w:r>
      <w:r>
        <w:rPr>
          <w:rFonts w:hint="default" w:ascii="Times New Roman" w:hAnsi="Times New Roman" w:eastAsia="华文仿宋" w:cs="Times New Roman"/>
          <w:sz w:val="32"/>
          <w:szCs w:val="22"/>
        </w:rPr>
        <w:t>。</w:t>
      </w:r>
      <w:r>
        <w:rPr>
          <w:rFonts w:hint="default" w:ascii="Times New Roman" w:hAnsi="Times New Roman" w:eastAsia="华文仿宋" w:cs="Times New Roman"/>
          <w:sz w:val="32"/>
          <w:szCs w:val="22"/>
          <w:lang w:val="en-US" w:eastAsia="zh-CN"/>
        </w:rPr>
        <w:t>项目总投资</w:t>
      </w:r>
      <w:r>
        <w:rPr>
          <w:rFonts w:hint="eastAsia" w:ascii="Times New Roman" w:hAnsi="Times New Roman" w:eastAsia="华文仿宋" w:cs="Times New Roman"/>
          <w:sz w:val="32"/>
          <w:szCs w:val="22"/>
          <w:lang w:val="en-US" w:eastAsia="zh-CN"/>
        </w:rPr>
        <w:t>2200</w:t>
      </w:r>
      <w:r>
        <w:rPr>
          <w:rFonts w:hint="default" w:ascii="Times New Roman" w:hAnsi="Times New Roman" w:eastAsia="华文仿宋" w:cs="Times New Roman"/>
          <w:sz w:val="32"/>
          <w:szCs w:val="22"/>
          <w:lang w:val="en-US" w:eastAsia="zh-CN"/>
        </w:rPr>
        <w:t>万元，其中环保投资26.4万元。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根据《报告表》所述工程内容、规模、功能以及环保对策措施，同意《报告表》结论。</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二、</w:t>
      </w:r>
      <w:r>
        <w:rPr>
          <w:rFonts w:hint="default" w:ascii="Times New Roman" w:hAnsi="Times New Roman" w:eastAsia="华文仿宋" w:cs="Times New Roman"/>
          <w:sz w:val="32"/>
          <w:szCs w:val="22"/>
          <w:lang w:val="en-US" w:eastAsia="zh-CN"/>
        </w:rPr>
        <w:t>项目应建立完善的“雨污分流”排水系统，并与区域排水系统相协调。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主要生产废水为实验室废水及生产设备清洗废水；实验室废水及生产设备清洗废水进入自建污水处理；项目食堂废水先经隔油池处理后，再同生活污水排入办公区域的化粪池，经化粪池处理后再进入自建的污水处理站与生产废水一同处理；经污水处理站理达《污水排入城镇下水道水质标准》（GB/T31962-2015）A级标准后排污园区污水管网，最终进入</w:t>
      </w:r>
      <w:r>
        <w:rPr>
          <w:rFonts w:hint="eastAsia" w:ascii="Times New Roman" w:hAnsi="Times New Roman" w:eastAsia="华文仿宋" w:cs="Times New Roman"/>
          <w:sz w:val="32"/>
          <w:szCs w:val="22"/>
          <w:lang w:val="en-US" w:eastAsia="zh-CN"/>
        </w:rPr>
        <w:t>古城水质净化</w:t>
      </w:r>
      <w:r>
        <w:rPr>
          <w:rFonts w:hint="default" w:ascii="Times New Roman" w:hAnsi="Times New Roman" w:eastAsia="华文仿宋" w:cs="Times New Roman"/>
          <w:sz w:val="32"/>
          <w:szCs w:val="22"/>
          <w:lang w:val="en-US" w:eastAsia="zh-CN"/>
        </w:rPr>
        <w:t>厂。</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rPr>
        <w:t>三、</w:t>
      </w:r>
      <w:r>
        <w:rPr>
          <w:rFonts w:ascii="Times New Roman" w:hAnsi="Times New Roman" w:eastAsia="华文仿宋" w:cs="Times New Roman"/>
          <w:sz w:val="32"/>
          <w:szCs w:val="22"/>
        </w:rPr>
        <w:t>项目运营期大气污染物主要为</w:t>
      </w:r>
      <w:r>
        <w:rPr>
          <w:rFonts w:hint="default" w:ascii="Times New Roman" w:hAnsi="Times New Roman" w:eastAsia="华文仿宋" w:cs="Times New Roman"/>
          <w:sz w:val="32"/>
          <w:szCs w:val="22"/>
          <w:lang w:val="en-US" w:eastAsia="zh-CN"/>
        </w:rPr>
        <w:t>废气有计量、搅拌、过滤过程产生的有机废气，实验室小试调配有机</w:t>
      </w:r>
      <w:r>
        <w:rPr>
          <w:rFonts w:hint="default" w:ascii="Times New Roman" w:hAnsi="Times New Roman" w:eastAsia="华文仿宋" w:cs="Times New Roman"/>
          <w:sz w:val="32"/>
          <w:szCs w:val="22"/>
        </w:rPr>
        <w:t>废气</w:t>
      </w:r>
      <w:r>
        <w:rPr>
          <w:rFonts w:hint="default" w:ascii="Times New Roman" w:hAnsi="Times New Roman" w:eastAsia="华文仿宋" w:cs="Times New Roman"/>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产生废气的车间应合理布局，加强通风。项目计量、搅拌、过滤过程产生的有机废气经负压收集后由UV光氧+活性炭吸附装置处理后通过15m高的排气简排放，废气排放执行《大气污染物综合排放标准》(GB16297-1996)中表2标准，即:非甲烷总烃≤120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(有组织);非甲烷总烃≤4.0mg/m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(无组织)。</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项目厂区内无组织排放的挥发性有机物执行《挥发性有机物无组织排放控制标准》(GB37822-2019)表A.1厂内挥发性有机物无组织排放限值，即:NMHC≤10mg/m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(监控点处1h平均浓度值)，NMHC≤30mg/m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(监控点处任意一次浓度值)。</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项目恶臭污染物执行GB14554-93《恶臭污染物排放标准》表1中新改扩建二级标准，即:臭气浓度≤20(无量纲)。</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项目废气污染物总量控制指标:废气量:</w:t>
      </w:r>
      <w:r>
        <w:rPr>
          <w:rFonts w:hint="eastAsia" w:ascii="Times New Roman" w:hAnsi="Times New Roman" w:eastAsia="华文仿宋" w:cs="Times New Roman"/>
          <w:sz w:val="32"/>
          <w:szCs w:val="22"/>
          <w:lang w:val="en-US" w:eastAsia="zh-CN"/>
        </w:rPr>
        <w:t>2400</w:t>
      </w:r>
      <w:r>
        <w:rPr>
          <w:rFonts w:hint="default" w:ascii="Times New Roman" w:hAnsi="Times New Roman" w:eastAsia="华文仿宋" w:cs="Times New Roman"/>
          <w:sz w:val="32"/>
          <w:szCs w:val="22"/>
          <w:lang w:val="en-US" w:eastAsia="zh-CN"/>
        </w:rPr>
        <w:t>万m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/a，挥发性有机物有组织排放量：0.</w:t>
      </w:r>
      <w:r>
        <w:rPr>
          <w:rFonts w:hint="eastAsia" w:ascii="Times New Roman" w:hAnsi="Times New Roman" w:eastAsia="华文仿宋" w:cs="Times New Roman"/>
          <w:sz w:val="32"/>
          <w:szCs w:val="22"/>
          <w:lang w:val="en-US" w:eastAsia="zh-CN"/>
        </w:rPr>
        <w:t>008</w:t>
      </w:r>
      <w:r>
        <w:rPr>
          <w:rFonts w:hint="default" w:ascii="Times New Roman" w:hAnsi="Times New Roman" w:eastAsia="华文仿宋" w:cs="Times New Roman"/>
          <w:sz w:val="32"/>
          <w:szCs w:val="22"/>
          <w:lang w:val="en-US" w:eastAsia="zh-CN"/>
        </w:rPr>
        <w:t>t/a。</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eastAsia="zh-CN"/>
        </w:rPr>
      </w:pPr>
      <w:r>
        <w:rPr>
          <w:rFonts w:hint="default" w:ascii="Times New Roman" w:hAnsi="Times New Roman" w:eastAsia="华文仿宋" w:cs="Times New Roman"/>
          <w:sz w:val="32"/>
          <w:szCs w:val="22"/>
          <w:lang w:val="en-US" w:eastAsia="zh-CN"/>
        </w:rPr>
        <w:t>四、项目运营期产生噪声的场所应合理布局，采取安装减震垫等相应的隔声降噪处理措施，使</w:t>
      </w:r>
      <w:r>
        <w:rPr>
          <w:rFonts w:hint="default" w:ascii="Times New Roman" w:hAnsi="Times New Roman" w:eastAsia="华文仿宋" w:cs="Times New Roman"/>
          <w:sz w:val="32"/>
          <w:szCs w:val="22"/>
        </w:rPr>
        <w:t>营运期</w:t>
      </w:r>
      <w:r>
        <w:rPr>
          <w:rFonts w:hint="default" w:ascii="Times New Roman" w:hAnsi="Times New Roman" w:eastAsia="华文仿宋" w:cs="Times New Roman"/>
          <w:sz w:val="32"/>
          <w:szCs w:val="22"/>
          <w:lang w:val="en-US" w:eastAsia="zh-CN"/>
        </w:rPr>
        <w:t>南、北</w:t>
      </w:r>
      <w:r>
        <w:rPr>
          <w:rFonts w:hint="default" w:ascii="Times New Roman" w:hAnsi="Times New Roman" w:eastAsia="华文仿宋" w:cs="Times New Roman"/>
          <w:sz w:val="32"/>
          <w:szCs w:val="22"/>
        </w:rPr>
        <w:t>厂界噪声执行《工业企业厂界环境噪声排放标准》（GB12348-2008）中的3类标准，</w:t>
      </w:r>
      <w:r>
        <w:rPr>
          <w:rFonts w:hint="default" w:ascii="Times New Roman" w:hAnsi="Times New Roman" w:eastAsia="华文仿宋" w:cs="Times New Roman"/>
          <w:sz w:val="32"/>
          <w:szCs w:val="22"/>
          <w:lang w:val="en-US" w:eastAsia="zh-CN"/>
        </w:rPr>
        <w:t>即：昼间≤65dB, 夜间≤55dB。东、西</w:t>
      </w:r>
      <w:r>
        <w:rPr>
          <w:rFonts w:hint="default" w:ascii="Times New Roman" w:hAnsi="Times New Roman" w:eastAsia="华文仿宋" w:cs="Times New Roman"/>
          <w:sz w:val="32"/>
          <w:szCs w:val="22"/>
        </w:rPr>
        <w:t>厂界噪声执行《工业企业厂界环境噪声排放标准》（GB12348-2008）中的</w:t>
      </w:r>
      <w:r>
        <w:rPr>
          <w:rFonts w:hint="default" w:ascii="Times New Roman" w:hAnsi="Times New Roman" w:eastAsia="华文仿宋" w:cs="Times New Roman"/>
          <w:sz w:val="32"/>
          <w:szCs w:val="22"/>
          <w:lang w:val="en-US" w:eastAsia="zh-CN"/>
        </w:rPr>
        <w:t>4</w:t>
      </w:r>
      <w:r>
        <w:rPr>
          <w:rFonts w:hint="default" w:ascii="Times New Roman" w:hAnsi="Times New Roman" w:eastAsia="华文仿宋" w:cs="Times New Roman"/>
          <w:sz w:val="32"/>
          <w:szCs w:val="22"/>
        </w:rPr>
        <w:t>类标准</w:t>
      </w:r>
      <w:r>
        <w:rPr>
          <w:rFonts w:hint="default" w:ascii="Times New Roman" w:hAnsi="Times New Roman" w:eastAsia="华文仿宋" w:cs="Times New Roman"/>
          <w:sz w:val="32"/>
          <w:szCs w:val="22"/>
          <w:lang w:val="en-US" w:eastAsia="zh-CN"/>
        </w:rPr>
        <w:t>，即：昼间≤</w:t>
      </w:r>
      <w:r>
        <w:rPr>
          <w:rFonts w:hint="eastAsia" w:ascii="Times New Roman" w:hAnsi="Times New Roman" w:eastAsia="华文仿宋" w:cs="Times New Roman"/>
          <w:sz w:val="32"/>
          <w:szCs w:val="22"/>
          <w:lang w:val="en-US" w:eastAsia="zh-CN"/>
        </w:rPr>
        <w:t>70</w:t>
      </w:r>
      <w:r>
        <w:rPr>
          <w:rFonts w:hint="default" w:ascii="Times New Roman" w:hAnsi="Times New Roman" w:eastAsia="华文仿宋" w:cs="Times New Roman"/>
          <w:sz w:val="32"/>
          <w:szCs w:val="22"/>
          <w:lang w:val="en-US" w:eastAsia="zh-CN"/>
        </w:rPr>
        <w:t>dB, 夜间≤55dB。</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rPr>
      </w:pPr>
      <w:r>
        <w:rPr>
          <w:rFonts w:hint="default" w:ascii="Times New Roman" w:hAnsi="Times New Roman" w:eastAsia="华文仿宋" w:cs="Times New Roman"/>
          <w:sz w:val="32"/>
          <w:szCs w:val="22"/>
        </w:rPr>
        <w:t>五、</w:t>
      </w:r>
      <w:r>
        <w:rPr>
          <w:rFonts w:hint="default" w:ascii="Times New Roman" w:hAnsi="Times New Roman" w:eastAsia="华文仿宋" w:cs="Times New Roman"/>
          <w:sz w:val="32"/>
          <w:szCs w:val="22"/>
          <w:lang w:val="en-US" w:eastAsia="zh-CN"/>
        </w:rPr>
        <w:t>项目固体废物应分类收集，</w:t>
      </w:r>
      <w:r>
        <w:rPr>
          <w:rFonts w:ascii="Times New Roman" w:hAnsi="Times New Roman" w:eastAsia="华文仿宋" w:cs="Times New Roman"/>
          <w:sz w:val="32"/>
          <w:szCs w:val="22"/>
        </w:rPr>
        <w:t>生活垃圾、</w:t>
      </w:r>
      <w:r>
        <w:rPr>
          <w:rFonts w:hint="eastAsia" w:ascii="Times New Roman" w:hAnsi="Times New Roman" w:eastAsia="华文仿宋" w:cs="Times New Roman"/>
          <w:sz w:val="32"/>
          <w:szCs w:val="22"/>
        </w:rPr>
        <w:t>化学试剂的一般废包装材料</w:t>
      </w:r>
      <w:r>
        <w:rPr>
          <w:rFonts w:hint="eastAsia" w:ascii="Times New Roman" w:hAnsi="Times New Roman" w:eastAsia="华文仿宋" w:cs="Times New Roman"/>
          <w:sz w:val="32"/>
          <w:szCs w:val="22"/>
          <w:lang w:eastAsia="zh-CN"/>
        </w:rPr>
        <w:t>、未沾染化学试剂的破碎玻璃</w:t>
      </w:r>
      <w:r>
        <w:rPr>
          <w:rFonts w:ascii="Times New Roman" w:hAnsi="Times New Roman" w:eastAsia="华文仿宋" w:cs="Times New Roman"/>
          <w:sz w:val="32"/>
          <w:szCs w:val="22"/>
        </w:rPr>
        <w:t>分类收集；</w:t>
      </w:r>
      <w:r>
        <w:rPr>
          <w:rFonts w:hint="default" w:ascii="Times New Roman" w:hAnsi="Times New Roman" w:eastAsia="华文仿宋" w:cs="Times New Roman"/>
          <w:sz w:val="32"/>
          <w:szCs w:val="22"/>
        </w:rPr>
        <w:t>废弃原料包装、实验器皿第一二道清洗</w:t>
      </w:r>
      <w:r>
        <w:rPr>
          <w:rFonts w:hint="eastAsia" w:ascii="Times New Roman" w:hAnsi="Times New Roman" w:eastAsia="华文仿宋" w:cs="Times New Roman"/>
          <w:sz w:val="32"/>
          <w:szCs w:val="22"/>
          <w:lang w:val="en-US" w:eastAsia="zh-CN"/>
        </w:rPr>
        <w:t>废水</w:t>
      </w:r>
      <w:r>
        <w:rPr>
          <w:rFonts w:hint="default" w:ascii="Times New Roman" w:hAnsi="Times New Roman" w:eastAsia="华文仿宋" w:cs="Times New Roman"/>
          <w:sz w:val="32"/>
          <w:szCs w:val="22"/>
        </w:rPr>
        <w:t>、</w:t>
      </w:r>
      <w:r>
        <w:rPr>
          <w:rFonts w:hint="eastAsia" w:ascii="Times New Roman" w:hAnsi="Times New Roman" w:eastAsia="华文仿宋" w:cs="Times New Roman"/>
          <w:sz w:val="32"/>
          <w:szCs w:val="22"/>
          <w:lang w:val="en-US" w:eastAsia="zh-CN"/>
        </w:rPr>
        <w:t>车间废液、废有机溶剂包装桶、废UV灯管、</w:t>
      </w:r>
      <w:r>
        <w:rPr>
          <w:rFonts w:hint="default" w:ascii="Times New Roman" w:hAnsi="Times New Roman" w:eastAsia="华文仿宋" w:cs="Times New Roman"/>
          <w:sz w:val="32"/>
          <w:szCs w:val="22"/>
        </w:rPr>
        <w:t>废弃活性炭</w:t>
      </w:r>
      <w:r>
        <w:rPr>
          <w:rFonts w:hint="eastAsia"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rPr>
        <w:t>废机油</w:t>
      </w:r>
      <w:r>
        <w:rPr>
          <w:rFonts w:hint="eastAsia" w:ascii="Times New Roman" w:hAnsi="Times New Roman" w:eastAsia="华文仿宋" w:cs="Times New Roman"/>
          <w:sz w:val="32"/>
          <w:szCs w:val="22"/>
          <w:lang w:eastAsia="zh-CN"/>
        </w:rPr>
        <w:t>、</w:t>
      </w:r>
      <w:r>
        <w:rPr>
          <w:rFonts w:hint="eastAsia" w:ascii="Times New Roman" w:hAnsi="Times New Roman" w:eastAsia="华文仿宋" w:cs="Times New Roman"/>
          <w:sz w:val="32"/>
          <w:szCs w:val="22"/>
        </w:rPr>
        <w:t>报废化学试剂</w:t>
      </w:r>
      <w:r>
        <w:rPr>
          <w:rFonts w:hint="eastAsia" w:ascii="Times New Roman" w:hAnsi="Times New Roman" w:eastAsia="华文仿宋" w:cs="Times New Roman"/>
          <w:sz w:val="32"/>
          <w:szCs w:val="22"/>
          <w:lang w:eastAsia="zh-CN"/>
        </w:rPr>
        <w:t>、</w:t>
      </w:r>
      <w:r>
        <w:rPr>
          <w:rFonts w:hint="eastAsia" w:ascii="Times New Roman" w:hAnsi="Times New Roman" w:eastAsia="华文仿宋" w:cs="Times New Roman"/>
          <w:sz w:val="32"/>
          <w:szCs w:val="22"/>
          <w:lang w:val="en-US" w:eastAsia="zh-CN"/>
        </w:rPr>
        <w:t>污水处理站污泥</w:t>
      </w:r>
      <w:r>
        <w:rPr>
          <w:rFonts w:ascii="Times New Roman" w:hAnsi="Times New Roman" w:eastAsia="华文仿宋" w:cs="Times New Roman"/>
          <w:sz w:val="32"/>
          <w:szCs w:val="22"/>
        </w:rPr>
        <w:t>等暂存于危废暂存间，由有资质的单位处</w:t>
      </w:r>
      <w:r>
        <w:rPr>
          <w:rFonts w:hint="eastAsia"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lang w:val="en-US" w:eastAsia="zh-CN"/>
        </w:rPr>
        <w:t>执行《危险废物贮存污染控制标准》（GB18597-2001）。</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rPr>
      </w:pPr>
      <w:r>
        <w:rPr>
          <w:rFonts w:hint="default" w:ascii="Times New Roman" w:hAnsi="Times New Roman" w:eastAsia="华文仿宋" w:cs="Times New Roman"/>
          <w:sz w:val="32"/>
          <w:szCs w:val="22"/>
          <w:lang w:val="en-US" w:eastAsia="zh-CN"/>
        </w:rPr>
        <w:t>六、</w:t>
      </w:r>
      <w:r>
        <w:rPr>
          <w:rFonts w:hint="default" w:ascii="Times New Roman" w:hAnsi="Times New Roman" w:eastAsia="华文仿宋" w:cs="Times New Roman"/>
          <w:sz w:val="32"/>
          <w:szCs w:val="22"/>
        </w:rPr>
        <w:t>禁止使用含磷洗涤用品及一次性不可降解塑料餐饮具。</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七、建立完善的环境风险管理制度及风险防范应急措施，防止环境污染事故发生。</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八、 根据《中华人民共和国环境噪声污染防治法》 第二十九条有关规定，施工单位工程开工必须提前十五日向我局办理建筑噪声的排污申报手续。因特殊情况需要夜间连续作业的，施工单位必须持有关主管部门的证明向我局登记备案，于连续施工之日1天前公告附近居民和单位。并按规定到相关部门办理其它有关手续。</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九、《报告表》应当作为项目环境保护设计、建设及运行管理的依据，项目应认真落实各项环保对策措施，环保设施须与主体工程同时设计、同时施工、同时投产使用。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严格遵守《建设项目环境保护条例》，建设项目竣工后，建设单位应当按照国务院生态环境行政主管部门规定的标准和程序，对配套建设的环境保护设施进行验收，经验收合格后方可投入生产或者使用。</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项目的性质、规模、地点、采用的生产工艺或者防治污染、防止生态破坏的措施发生变</w:t>
      </w:r>
      <w:bookmarkStart w:id="2" w:name="_GoBack"/>
      <w:bookmarkEnd w:id="2"/>
      <w:r>
        <w:rPr>
          <w:rFonts w:hint="default" w:ascii="Times New Roman" w:hAnsi="Times New Roman" w:eastAsia="华文仿宋" w:cs="Times New Roman"/>
          <w:sz w:val="32"/>
          <w:szCs w:val="22"/>
          <w:lang w:val="en-US" w:eastAsia="zh-CN"/>
        </w:rPr>
        <w:t>动的，应当重新向我局报批建设项目的环境影响评价文件。</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自本批复之日起超过五年项目方开建设的，环境影响评价文件应当报我局重新审核。</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640" w:firstLineChars="200"/>
        <w:jc w:val="left"/>
        <w:textAlignment w:val="baseline"/>
        <w:outlineLvl w:val="9"/>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十一、依法到国土、规划、住建、水务、发改经贸等部门办理其他相关手续。</w:t>
      </w:r>
    </w:p>
    <w:p>
      <w:pPr>
        <w:pStyle w:val="8"/>
        <w:ind w:left="0" w:leftChars="0" w:firstLine="0" w:firstLineChars="0"/>
      </w:pPr>
    </w:p>
    <w:p>
      <w:pPr>
        <w:spacing w:line="560" w:lineRule="exact"/>
        <w:textAlignment w:val="baseline"/>
        <w:rPr>
          <w:rFonts w:hint="eastAsia" w:eastAsia="华文仿宋"/>
          <w:sz w:val="32"/>
          <w:lang w:val="en-US" w:eastAsia="zh-CN"/>
        </w:rPr>
      </w:pPr>
      <w:r>
        <w:rPr>
          <w:rFonts w:eastAsia="华文仿宋"/>
          <w:sz w:val="32"/>
        </w:rPr>
        <w:t xml:space="preserve"> </w:t>
      </w:r>
      <w:r>
        <w:rPr>
          <w:rFonts w:hint="eastAsia" w:eastAsia="华文仿宋"/>
          <w:sz w:val="32"/>
          <w:lang w:val="en-US" w:eastAsia="zh-CN"/>
        </w:rPr>
        <w:t xml:space="preserve">                     </w:t>
      </w:r>
    </w:p>
    <w:p>
      <w:pPr>
        <w:spacing w:line="560" w:lineRule="exact"/>
        <w:ind w:firstLine="3840" w:firstLineChars="1200"/>
        <w:textAlignment w:val="baseline"/>
        <w:rPr>
          <w:rFonts w:hint="eastAsia" w:eastAsia="华文仿宋"/>
          <w:sz w:val="32"/>
          <w:lang w:val="en-US" w:eastAsia="zh-CN"/>
        </w:rPr>
      </w:pPr>
    </w:p>
    <w:p>
      <w:pPr>
        <w:spacing w:line="560" w:lineRule="exact"/>
        <w:ind w:firstLine="3840" w:firstLineChars="1200"/>
        <w:textAlignment w:val="baseline"/>
        <w:rPr>
          <w:rFonts w:hint="eastAsia" w:eastAsia="华文仿宋"/>
          <w:sz w:val="32"/>
          <w:lang w:val="en-US" w:eastAsia="zh-CN"/>
        </w:rPr>
      </w:pPr>
    </w:p>
    <w:p>
      <w:pPr>
        <w:spacing w:line="560" w:lineRule="exact"/>
        <w:ind w:firstLine="3840" w:firstLineChars="1200"/>
        <w:textAlignment w:val="baseline"/>
        <w:rPr>
          <w:rFonts w:hint="eastAsia" w:eastAsia="华文仿宋"/>
          <w:sz w:val="32"/>
          <w:lang w:val="en-US" w:eastAsia="zh-CN"/>
        </w:rPr>
      </w:pPr>
    </w:p>
    <w:p>
      <w:pPr>
        <w:spacing w:line="560" w:lineRule="exact"/>
        <w:ind w:firstLine="3840" w:firstLineChars="1200"/>
        <w:textAlignment w:val="baseline"/>
        <w:rPr>
          <w:rFonts w:eastAsia="华文仿宋"/>
          <w:sz w:val="32"/>
        </w:rPr>
      </w:pPr>
      <w:r>
        <w:rPr>
          <w:rFonts w:hint="eastAsia" w:eastAsia="华文仿宋"/>
          <w:sz w:val="32"/>
          <w:lang w:val="en-US" w:eastAsia="zh-CN"/>
        </w:rPr>
        <w:t xml:space="preserve"> </w:t>
      </w:r>
      <w:r>
        <w:rPr>
          <w:rFonts w:eastAsia="华文仿宋"/>
          <w:sz w:val="32"/>
        </w:rPr>
        <w:t>昆明市</w:t>
      </w:r>
      <w:r>
        <w:rPr>
          <w:rFonts w:hint="eastAsia" w:eastAsia="华文仿宋"/>
          <w:sz w:val="32"/>
        </w:rPr>
        <w:t>生态</w:t>
      </w:r>
      <w:r>
        <w:rPr>
          <w:rFonts w:eastAsia="华文仿宋"/>
          <w:sz w:val="32"/>
        </w:rPr>
        <w:t>环境局</w:t>
      </w:r>
      <w:r>
        <w:rPr>
          <w:rFonts w:hint="eastAsia" w:eastAsia="华文仿宋"/>
          <w:sz w:val="32"/>
        </w:rPr>
        <w:t>晋宁分局</w:t>
      </w:r>
    </w:p>
    <w:p>
      <w:pPr>
        <w:spacing w:line="560" w:lineRule="exact"/>
        <w:ind w:firstLine="4800" w:firstLineChars="1500"/>
        <w:textAlignment w:val="baseline"/>
        <w:rPr>
          <w:rFonts w:eastAsia="仿宋_GB2312"/>
          <w:color w:val="000000"/>
          <w:sz w:val="32"/>
        </w:rPr>
      </w:pPr>
      <w:r>
        <w:rPr>
          <w:rFonts w:eastAsia="华文仿宋"/>
          <w:color w:val="000000"/>
          <w:sz w:val="32"/>
        </w:rPr>
        <w:t>20</w:t>
      </w:r>
      <w:r>
        <w:rPr>
          <w:rFonts w:hint="eastAsia" w:eastAsia="华文仿宋"/>
          <w:color w:val="000000"/>
          <w:sz w:val="32"/>
        </w:rPr>
        <w:t>2</w:t>
      </w:r>
      <w:r>
        <w:rPr>
          <w:rFonts w:hint="eastAsia" w:eastAsia="华文仿宋"/>
          <w:color w:val="000000"/>
          <w:sz w:val="32"/>
          <w:lang w:val="en-US" w:eastAsia="zh-CN"/>
        </w:rPr>
        <w:t>2</w:t>
      </w:r>
      <w:r>
        <w:rPr>
          <w:rFonts w:eastAsia="华文仿宋"/>
          <w:color w:val="000000"/>
          <w:sz w:val="32"/>
        </w:rPr>
        <w:t>年</w:t>
      </w:r>
      <w:r>
        <w:rPr>
          <w:rFonts w:hint="eastAsia" w:eastAsia="华文仿宋"/>
          <w:color w:val="000000"/>
          <w:sz w:val="32"/>
          <w:lang w:val="en-US" w:eastAsia="zh-CN"/>
        </w:rPr>
        <w:t>6</w:t>
      </w:r>
      <w:r>
        <w:rPr>
          <w:rFonts w:eastAsia="华文仿宋"/>
          <w:color w:val="000000"/>
          <w:sz w:val="32"/>
        </w:rPr>
        <w:t>月</w:t>
      </w:r>
      <w:r>
        <w:rPr>
          <w:rFonts w:hint="eastAsia" w:eastAsia="华文仿宋"/>
          <w:color w:val="000000"/>
          <w:sz w:val="32"/>
          <w:lang w:val="en-US" w:eastAsia="zh-CN"/>
        </w:rPr>
        <w:t>14</w:t>
      </w:r>
      <w:r>
        <w:rPr>
          <w:rFonts w:eastAsia="华文仿宋"/>
          <w:color w:val="000000"/>
          <w:sz w:val="32"/>
        </w:rPr>
        <w:t>日</w:t>
      </w:r>
    </w:p>
    <w:p/>
    <w:p>
      <w:pPr>
        <w:pStyle w:val="6"/>
      </w:pPr>
    </w:p>
    <w:p>
      <w:pPr>
        <w:pStyle w:val="15"/>
      </w:pPr>
    </w:p>
    <w:p/>
    <w:p>
      <w:pPr>
        <w:pStyle w:val="10"/>
      </w:pPr>
    </w:p>
    <w:p>
      <w:pPr>
        <w:pStyle w:val="5"/>
      </w:pPr>
    </w:p>
    <w:p/>
    <w:p>
      <w:pPr>
        <w:pStyle w:val="10"/>
      </w:pPr>
    </w:p>
    <w:p>
      <w:pPr>
        <w:pStyle w:val="5"/>
      </w:pPr>
    </w:p>
    <w:p/>
    <w:p>
      <w:pPr>
        <w:pStyle w:val="10"/>
      </w:pPr>
    </w:p>
    <w:p>
      <w:pPr>
        <w:pStyle w:val="5"/>
      </w:pPr>
    </w:p>
    <w:p/>
    <w:p>
      <w:pPr>
        <w:pStyle w:val="10"/>
      </w:pPr>
    </w:p>
    <w:p>
      <w:pPr>
        <w:pStyle w:val="5"/>
      </w:pPr>
    </w:p>
    <w:p/>
    <w:p>
      <w:pPr>
        <w:pStyle w:val="10"/>
      </w:pPr>
    </w:p>
    <w:p/>
    <w:p>
      <w:pPr>
        <w:spacing w:line="560" w:lineRule="exact"/>
        <w:ind w:left="0" w:leftChars="0" w:firstLine="0" w:firstLineChars="0"/>
        <w:textAlignment w:val="baseline"/>
        <w:rPr>
          <w:rFonts w:ascii="Times New Roman" w:hAnsi="Times New Roman" w:eastAsia="华文仿宋"/>
          <w:sz w:val="32"/>
          <w:u w:val="single"/>
        </w:rPr>
      </w:pPr>
      <w:r>
        <w:rPr>
          <w:rFonts w:ascii="Times New Roman" w:hAnsi="Times New Roman" w:eastAsia="仿宋_GB2312"/>
          <w:color w:val="000000"/>
          <w:sz w:val="32"/>
          <w:u w:val="single"/>
        </w:rPr>
        <w:t xml:space="preserve">                      </w:t>
      </w:r>
      <w:r>
        <w:rPr>
          <w:rFonts w:ascii="Times New Roman" w:hAnsi="Times New Roman" w:eastAsia="华文仿宋"/>
          <w:color w:val="000000"/>
          <w:sz w:val="32"/>
          <w:u w:val="single"/>
        </w:rPr>
        <w:t xml:space="preserve">     </w:t>
      </w:r>
      <w:r>
        <w:rPr>
          <w:rFonts w:hint="eastAsia" w:ascii="Times New Roman" w:hAnsi="Times New Roman" w:eastAsia="华文仿宋"/>
          <w:color w:val="000000"/>
          <w:sz w:val="32"/>
          <w:u w:val="single"/>
          <w:lang w:val="en-US" w:eastAsia="zh-CN"/>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textAlignment w:val="baseline"/>
        <w:outlineLvl w:val="9"/>
        <w:rPr>
          <w:rFonts w:ascii="Times New Roman" w:hAnsi="Times New Roman" w:eastAsia="华文仿宋"/>
          <w:sz w:val="32"/>
        </w:rPr>
      </w:pPr>
      <w:r>
        <w:rPr>
          <w:rFonts w:ascii="Times New Roman" w:hAnsi="Times New Roman" w:eastAsia="华文仿宋"/>
          <w:sz w:val="32"/>
        </w:rPr>
        <w:t xml:space="preserve">  抄送：昆明市</w:t>
      </w:r>
      <w:r>
        <w:rPr>
          <w:rFonts w:hint="eastAsia" w:ascii="Times New Roman" w:hAnsi="Times New Roman" w:eastAsia="华文仿宋"/>
          <w:sz w:val="32"/>
          <w:lang w:eastAsia="zh-CN"/>
        </w:rPr>
        <w:t>生态</w:t>
      </w:r>
      <w:r>
        <w:rPr>
          <w:rFonts w:ascii="Times New Roman" w:hAnsi="Times New Roman" w:eastAsia="华文仿宋"/>
          <w:sz w:val="32"/>
        </w:rPr>
        <w:t xml:space="preserve">环境局        </w:t>
      </w:r>
      <w:r>
        <w:rPr>
          <w:rFonts w:hint="eastAsia" w:ascii="Times New Roman" w:hAnsi="Times New Roman" w:eastAsia="华文仿宋"/>
          <w:sz w:val="32"/>
          <w:lang w:val="en-US" w:eastAsia="zh-CN"/>
        </w:rPr>
        <w:t xml:space="preserve">          </w:t>
      </w:r>
      <w:r>
        <w:rPr>
          <w:rFonts w:hint="eastAsia" w:eastAsia="华文仿宋"/>
          <w:sz w:val="32"/>
          <w:lang w:val="en-US" w:eastAsia="zh-CN"/>
        </w:rPr>
        <w:t>昆阳街道</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outlineLvl w:val="9"/>
        <w:rPr>
          <w:rFonts w:ascii="Times New Roman" w:hAnsi="Times New Roman" w:eastAsia="华文仿宋"/>
          <w:sz w:val="32"/>
          <w:u w:val="single"/>
        </w:rPr>
      </w:pPr>
      <w:r>
        <w:rPr>
          <w:rFonts w:ascii="Times New Roman" w:hAnsi="Times New Roman" w:eastAsia="华文仿宋"/>
          <w:sz w:val="32"/>
          <w:u w:val="single"/>
        </w:rPr>
        <w:t xml:space="preserve">        </w:t>
      </w:r>
      <w:r>
        <w:rPr>
          <w:rFonts w:hint="eastAsia" w:ascii="Times New Roman" w:hAnsi="Times New Roman" w:eastAsia="华文仿宋"/>
          <w:sz w:val="32"/>
          <w:u w:val="single"/>
        </w:rPr>
        <w:t>晋宁区生态环境保护综合执法大队</w:t>
      </w:r>
      <w:r>
        <w:rPr>
          <w:rFonts w:ascii="Times New Roman" w:hAnsi="Times New Roman" w:eastAsia="华文仿宋"/>
          <w:sz w:val="32"/>
          <w:u w:val="single"/>
        </w:rPr>
        <w:t xml:space="preserve">    </w:t>
      </w:r>
      <w:r>
        <w:rPr>
          <w:rFonts w:hint="eastAsia" w:ascii="Times New Roman" w:hAnsi="Times New Roman" w:eastAsia="华文仿宋"/>
          <w:sz w:val="32"/>
          <w:u w:val="single"/>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both"/>
        <w:textAlignment w:val="baseline"/>
        <w:outlineLvl w:val="9"/>
        <w:rPr>
          <w:rFonts w:hint="default" w:ascii="Times New Roman" w:hAnsi="Times New Roman" w:eastAsia="华文仿宋" w:cs="Times New Roman"/>
          <w:color w:val="000000"/>
          <w:sz w:val="32"/>
          <w:u w:val="single"/>
        </w:rPr>
      </w:pPr>
      <w:r>
        <w:rPr>
          <w:rFonts w:hint="eastAsia" w:hAnsi="华文仿宋" w:eastAsia="华文仿宋"/>
          <w:color w:val="000000"/>
          <w:sz w:val="32"/>
          <w:lang w:val="en-US" w:eastAsia="zh-CN"/>
        </w:rPr>
        <w:t xml:space="preserve"> </w:t>
      </w:r>
      <w:r>
        <w:rPr>
          <w:rFonts w:hint="eastAsia" w:hAnsi="华文仿宋" w:eastAsia="华文仿宋"/>
          <w:color w:val="000000"/>
          <w:sz w:val="32"/>
        </w:rPr>
        <w:t>昆明市</w:t>
      </w:r>
      <w:r>
        <w:rPr>
          <w:rFonts w:hint="eastAsia" w:hAnsi="华文仿宋" w:eastAsia="华文仿宋"/>
          <w:color w:val="000000"/>
          <w:sz w:val="32"/>
          <w:lang w:eastAsia="zh-CN"/>
        </w:rPr>
        <w:t>生态</w:t>
      </w:r>
      <w:r>
        <w:rPr>
          <w:rFonts w:hAnsi="华文仿宋" w:eastAsia="华文仿宋"/>
          <w:color w:val="000000"/>
          <w:sz w:val="32"/>
        </w:rPr>
        <w:t>环境局</w:t>
      </w:r>
      <w:r>
        <w:rPr>
          <w:rFonts w:hint="eastAsia" w:hAnsi="华文仿宋" w:eastAsia="华文仿宋"/>
          <w:color w:val="000000"/>
          <w:sz w:val="32"/>
          <w:lang w:eastAsia="zh-CN"/>
        </w:rPr>
        <w:t>晋宁分局</w:t>
      </w:r>
      <w:r>
        <w:rPr>
          <w:rFonts w:eastAsia="华文仿宋"/>
          <w:color w:val="000000"/>
          <w:sz w:val="32"/>
        </w:rPr>
        <w:t xml:space="preserve">      </w:t>
      </w:r>
      <w:r>
        <w:rPr>
          <w:rFonts w:hint="default" w:ascii="Times New Roman" w:hAnsi="Times New Roman" w:eastAsia="华文仿宋" w:cs="Times New Roman"/>
          <w:color w:val="000000"/>
          <w:sz w:val="32"/>
        </w:rPr>
        <w:t xml:space="preserve"> 20</w:t>
      </w:r>
      <w:r>
        <w:rPr>
          <w:rFonts w:hint="default" w:ascii="Times New Roman" w:hAnsi="Times New Roman" w:eastAsia="华文仿宋" w:cs="Times New Roman"/>
          <w:color w:val="000000"/>
          <w:sz w:val="32"/>
          <w:lang w:val="en-US" w:eastAsia="zh-CN"/>
        </w:rPr>
        <w:t>2</w:t>
      </w:r>
      <w:r>
        <w:rPr>
          <w:rFonts w:hint="eastAsia" w:ascii="Times New Roman" w:hAnsi="Times New Roman" w:eastAsia="华文仿宋" w:cs="Times New Roman"/>
          <w:color w:val="000000"/>
          <w:sz w:val="32"/>
          <w:lang w:val="en-US" w:eastAsia="zh-CN"/>
        </w:rPr>
        <w:t>2</w:t>
      </w:r>
      <w:r>
        <w:rPr>
          <w:rFonts w:hint="default" w:ascii="Times New Roman" w:hAnsi="Times New Roman" w:eastAsia="华文仿宋" w:cs="Times New Roman"/>
          <w:color w:val="000000"/>
          <w:sz w:val="32"/>
        </w:rPr>
        <w:t>年</w:t>
      </w:r>
      <w:r>
        <w:rPr>
          <w:rFonts w:hint="eastAsia" w:ascii="Times New Roman" w:hAnsi="Times New Roman" w:eastAsia="华文仿宋" w:cs="Times New Roman"/>
          <w:color w:val="000000"/>
          <w:sz w:val="32"/>
          <w:lang w:val="en-US" w:eastAsia="zh-CN"/>
        </w:rPr>
        <w:t>6</w:t>
      </w:r>
      <w:r>
        <w:rPr>
          <w:rFonts w:hint="default" w:ascii="Times New Roman" w:hAnsi="Times New Roman" w:eastAsia="华文仿宋" w:cs="Times New Roman"/>
          <w:color w:val="000000"/>
          <w:sz w:val="32"/>
        </w:rPr>
        <w:t>月</w:t>
      </w:r>
      <w:r>
        <w:rPr>
          <w:rFonts w:hint="eastAsia" w:eastAsia="华文仿宋" w:cs="Times New Roman"/>
          <w:color w:val="000000"/>
          <w:sz w:val="32"/>
          <w:lang w:val="en-US" w:eastAsia="zh-CN"/>
        </w:rPr>
        <w:t>14</w:t>
      </w:r>
      <w:r>
        <w:rPr>
          <w:rFonts w:hint="default" w:ascii="Times New Roman" w:hAnsi="Times New Roman" w:eastAsia="华文仿宋" w:cs="Times New Roman"/>
          <w:color w:val="000000"/>
          <w:sz w:val="32"/>
        </w:rPr>
        <w:t>日印发</w:t>
      </w:r>
    </w:p>
    <w:p>
      <w:pPr>
        <w:ind w:left="0" w:leftChars="0" w:firstLine="0" w:firstLineChars="0"/>
        <w:jc w:val="both"/>
        <w:rPr>
          <w:rFonts w:hint="eastAsia"/>
          <w:b/>
          <w:sz w:val="44"/>
          <w:szCs w:val="22"/>
        </w:rPr>
      </w:pPr>
    </w:p>
    <w:p>
      <w:pPr>
        <w:jc w:val="center"/>
        <w:rPr>
          <w:rFonts w:hint="eastAsia"/>
          <w:b/>
          <w:sz w:val="44"/>
          <w:szCs w:val="22"/>
        </w:rPr>
      </w:pPr>
    </w:p>
    <w:p>
      <w:pPr>
        <w:ind w:left="0" w:leftChars="0" w:firstLine="0" w:firstLineChars="0"/>
        <w:jc w:val="both"/>
        <w:rPr>
          <w:b/>
          <w:sz w:val="44"/>
        </w:rPr>
      </w:pPr>
      <w:r>
        <w:rPr>
          <w:rFonts w:hint="eastAsia"/>
          <w:b/>
          <w:sz w:val="44"/>
          <w:szCs w:val="22"/>
        </w:rPr>
        <w:t>昆明市</w:t>
      </w:r>
      <w:r>
        <w:rPr>
          <w:rFonts w:hint="eastAsia"/>
          <w:b/>
          <w:sz w:val="44"/>
          <w:szCs w:val="22"/>
          <w:lang w:eastAsia="zh-CN"/>
        </w:rPr>
        <w:t>生态</w:t>
      </w:r>
      <w:r>
        <w:rPr>
          <w:b/>
          <w:sz w:val="44"/>
          <w:szCs w:val="22"/>
        </w:rPr>
        <w:t>环境局</w:t>
      </w:r>
      <w:r>
        <w:rPr>
          <w:rFonts w:hint="eastAsia"/>
          <w:b/>
          <w:sz w:val="44"/>
          <w:szCs w:val="22"/>
          <w:lang w:eastAsia="zh-CN"/>
        </w:rPr>
        <w:t>晋宁分局</w:t>
      </w:r>
      <w:r>
        <w:rPr>
          <w:b/>
          <w:sz w:val="44"/>
          <w:szCs w:val="22"/>
        </w:rPr>
        <w:t>建设</w:t>
      </w:r>
      <w:r>
        <w:rPr>
          <w:b/>
          <w:sz w:val="44"/>
        </w:rPr>
        <w:t>项目</w:t>
      </w:r>
    </w:p>
    <w:p>
      <w:pPr>
        <w:jc w:val="center"/>
        <w:rPr>
          <w:b/>
          <w:sz w:val="44"/>
        </w:rPr>
      </w:pPr>
      <w:r>
        <w:rPr>
          <w:b/>
          <w:sz w:val="44"/>
        </w:rPr>
        <w:t>审批审核签发单</w:t>
      </w:r>
    </w:p>
    <w:p>
      <w:pPr>
        <w:rPr>
          <w:rFonts w:eastAsia="仿宋_GB2312"/>
          <w:b/>
          <w:sz w:val="32"/>
        </w:rPr>
      </w:pPr>
      <w:r>
        <w:rPr>
          <w:rFonts w:eastAsia="仿宋_GB2312"/>
          <w:sz w:val="32"/>
        </w:rPr>
        <w:t>日期：20</w:t>
      </w:r>
      <w:r>
        <w:rPr>
          <w:rFonts w:hint="eastAsia" w:eastAsia="仿宋_GB2312"/>
          <w:sz w:val="32"/>
          <w:lang w:val="en-US" w:eastAsia="zh-CN"/>
        </w:rPr>
        <w:t>22</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14</w:t>
      </w:r>
      <w:r>
        <w:rPr>
          <w:rFonts w:eastAsia="仿宋_GB2312"/>
          <w:sz w:val="32"/>
        </w:rPr>
        <w:t>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98"/>
        <w:gridCol w:w="1185"/>
        <w:gridCol w:w="360"/>
        <w:gridCol w:w="103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04" w:type="dxa"/>
            <w:vAlign w:val="center"/>
          </w:tcPr>
          <w:p>
            <w:pPr>
              <w:spacing w:line="300" w:lineRule="exact"/>
              <w:jc w:val="center"/>
              <w:rPr>
                <w:b/>
                <w:sz w:val="24"/>
              </w:rPr>
            </w:pPr>
            <w:r>
              <w:rPr>
                <w:b/>
                <w:sz w:val="24"/>
              </w:rPr>
              <w:t>项目名称</w:t>
            </w:r>
          </w:p>
        </w:tc>
        <w:tc>
          <w:tcPr>
            <w:tcW w:w="6818" w:type="dxa"/>
            <w:gridSpan w:val="5"/>
            <w:vAlign w:val="center"/>
          </w:tcPr>
          <w:p>
            <w:pPr>
              <w:spacing w:line="300" w:lineRule="exact"/>
              <w:jc w:val="center"/>
              <w:textAlignment w:val="baseline"/>
              <w:rPr>
                <w:rFonts w:hint="eastAsia"/>
                <w:sz w:val="24"/>
              </w:rPr>
            </w:pPr>
            <w:r>
              <w:rPr>
                <w:rFonts w:hint="eastAsia"/>
                <w:sz w:val="24"/>
              </w:rPr>
              <w:t>关于对《</w:t>
            </w:r>
            <w:r>
              <w:rPr>
                <w:rFonts w:hint="eastAsia"/>
                <w:sz w:val="24"/>
                <w:lang w:eastAsia="zh-CN"/>
              </w:rPr>
              <w:t>功能香精香料及芳香产品定向分离产业化项目</w:t>
            </w:r>
            <w:r>
              <w:rPr>
                <w:rFonts w:hint="eastAsia"/>
                <w:sz w:val="24"/>
              </w:rPr>
              <w:t>环境影响</w:t>
            </w:r>
            <w:r>
              <w:rPr>
                <w:rFonts w:hint="eastAsia"/>
                <w:sz w:val="24"/>
                <w:lang w:eastAsia="zh-CN"/>
              </w:rPr>
              <w:t>报告表</w:t>
            </w:r>
            <w:r>
              <w:rPr>
                <w:rFonts w:hint="eastAsia"/>
                <w:sz w:val="24"/>
              </w:rPr>
              <w:t>》的批复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704" w:type="dxa"/>
            <w:vAlign w:val="center"/>
          </w:tcPr>
          <w:p>
            <w:pPr>
              <w:spacing w:line="300" w:lineRule="exact"/>
              <w:jc w:val="center"/>
              <w:rPr>
                <w:b/>
                <w:sz w:val="24"/>
              </w:rPr>
            </w:pPr>
            <w:r>
              <w:rPr>
                <w:b/>
                <w:sz w:val="24"/>
              </w:rPr>
              <w:t>建设单位</w:t>
            </w:r>
          </w:p>
        </w:tc>
        <w:tc>
          <w:tcPr>
            <w:tcW w:w="6818"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1" w:leftChars="0" w:right="0" w:rightChars="0" w:firstLine="480" w:firstLineChars="200"/>
              <w:jc w:val="both"/>
              <w:textAlignment w:val="bottom"/>
              <w:outlineLvl w:val="9"/>
              <w:rPr>
                <w:rFonts w:hint="eastAsia"/>
                <w:sz w:val="24"/>
              </w:rPr>
            </w:pPr>
            <w:r>
              <w:rPr>
                <w:rFonts w:hint="eastAsia" w:ascii="Times New Roman" w:hAnsi="Times New Roman" w:eastAsia="宋体" w:cs="Times New Roman"/>
                <w:sz w:val="24"/>
                <w:szCs w:val="22"/>
                <w:lang w:eastAsia="zh-CN"/>
              </w:rPr>
              <w:t>云南恒罡科技有限公司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04" w:type="dxa"/>
            <w:vAlign w:val="center"/>
          </w:tcPr>
          <w:p>
            <w:pPr>
              <w:spacing w:line="300" w:lineRule="exact"/>
              <w:jc w:val="center"/>
              <w:rPr>
                <w:b/>
                <w:sz w:val="24"/>
              </w:rPr>
            </w:pPr>
            <w:r>
              <w:rPr>
                <w:b/>
                <w:sz w:val="24"/>
              </w:rPr>
              <w:t>建设地点</w:t>
            </w:r>
          </w:p>
        </w:tc>
        <w:tc>
          <w:tcPr>
            <w:tcW w:w="6818" w:type="dxa"/>
            <w:gridSpan w:val="5"/>
            <w:vAlign w:val="center"/>
          </w:tcPr>
          <w:p>
            <w:pPr>
              <w:spacing w:line="300" w:lineRule="exact"/>
              <w:ind w:firstLine="480" w:firstLineChars="200"/>
              <w:jc w:val="both"/>
              <w:textAlignment w:val="baseline"/>
              <w:rPr>
                <w:rFonts w:hint="eastAsia"/>
                <w:sz w:val="24"/>
              </w:rPr>
            </w:pPr>
            <w:r>
              <w:rPr>
                <w:rFonts w:hint="eastAsia" w:ascii="Times New Roman" w:hAnsi="Times New Roman" w:cs="Times New Roman"/>
                <w:sz w:val="24"/>
                <w:szCs w:val="24"/>
                <w:lang w:val="en-US" w:eastAsia="zh-CN"/>
              </w:rPr>
              <w:t>昆明市晋宁区晋宁工业园区</w:t>
            </w:r>
            <w:r>
              <w:rPr>
                <w:rFonts w:hint="eastAsia" w:cs="Times New Roman"/>
                <w:sz w:val="24"/>
                <w:szCs w:val="24"/>
                <w:lang w:val="en-US" w:eastAsia="zh-CN"/>
              </w:rPr>
              <w:t>青山</w:t>
            </w:r>
            <w:r>
              <w:rPr>
                <w:rFonts w:hint="eastAsia" w:ascii="Times New Roman" w:hAnsi="Times New Roman" w:cs="Times New Roman"/>
                <w:sz w:val="24"/>
                <w:szCs w:val="24"/>
                <w:lang w:val="en-US" w:eastAsia="zh-CN"/>
              </w:rPr>
              <w:t>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704" w:type="dxa"/>
            <w:vAlign w:val="center"/>
          </w:tcPr>
          <w:p>
            <w:pPr>
              <w:spacing w:line="300" w:lineRule="exact"/>
              <w:jc w:val="center"/>
              <w:rPr>
                <w:b/>
                <w:sz w:val="24"/>
              </w:rPr>
            </w:pPr>
            <w:r>
              <w:rPr>
                <w:b/>
                <w:sz w:val="24"/>
              </w:rPr>
              <w:t>联系人</w:t>
            </w:r>
          </w:p>
        </w:tc>
        <w:tc>
          <w:tcPr>
            <w:tcW w:w="2198" w:type="dxa"/>
            <w:vAlign w:val="top"/>
          </w:tcPr>
          <w:p>
            <w:pPr>
              <w:jc w:val="center"/>
              <w:rPr>
                <w:rFonts w:hint="eastAsia"/>
                <w:sz w:val="24"/>
              </w:rPr>
            </w:pPr>
          </w:p>
        </w:tc>
        <w:tc>
          <w:tcPr>
            <w:tcW w:w="1545" w:type="dxa"/>
            <w:gridSpan w:val="2"/>
            <w:vAlign w:val="top"/>
          </w:tcPr>
          <w:p>
            <w:pPr>
              <w:spacing w:line="300" w:lineRule="exact"/>
              <w:jc w:val="center"/>
              <w:textAlignment w:val="baseline"/>
              <w:rPr>
                <w:sz w:val="24"/>
              </w:rPr>
            </w:pPr>
            <w:r>
              <w:rPr>
                <w:b/>
                <w:sz w:val="24"/>
              </w:rPr>
              <w:t>联系电话</w:t>
            </w:r>
          </w:p>
        </w:tc>
        <w:tc>
          <w:tcPr>
            <w:tcW w:w="3075" w:type="dxa"/>
            <w:gridSpan w:val="2"/>
            <w:vAlign w:val="top"/>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704" w:type="dxa"/>
            <w:vAlign w:val="center"/>
          </w:tcPr>
          <w:p>
            <w:pPr>
              <w:spacing w:line="300" w:lineRule="exact"/>
              <w:jc w:val="center"/>
              <w:rPr>
                <w:b/>
                <w:sz w:val="24"/>
              </w:rPr>
            </w:pPr>
            <w:r>
              <w:rPr>
                <w:b/>
                <w:sz w:val="24"/>
              </w:rPr>
              <w:t>批文号</w:t>
            </w:r>
          </w:p>
        </w:tc>
        <w:tc>
          <w:tcPr>
            <w:tcW w:w="3383" w:type="dxa"/>
            <w:gridSpan w:val="2"/>
            <w:vAlign w:val="top"/>
          </w:tcPr>
          <w:p>
            <w:pPr>
              <w:spacing w:line="300" w:lineRule="exact"/>
              <w:jc w:val="center"/>
              <w:textAlignment w:val="baseline"/>
              <w:rPr>
                <w:sz w:val="24"/>
              </w:rPr>
            </w:pPr>
            <w:r>
              <w:rPr>
                <w:rFonts w:hint="eastAsia"/>
                <w:sz w:val="24"/>
                <w:lang w:eastAsia="zh-CN"/>
              </w:rPr>
              <w:t>昆生环</w:t>
            </w:r>
            <w:r>
              <w:rPr>
                <w:sz w:val="24"/>
              </w:rPr>
              <w:t>晋复[20</w:t>
            </w:r>
            <w:r>
              <w:rPr>
                <w:rFonts w:hint="eastAsia"/>
                <w:sz w:val="24"/>
                <w:lang w:val="en-US" w:eastAsia="zh-CN"/>
              </w:rPr>
              <w:t>22</w:t>
            </w:r>
            <w:r>
              <w:rPr>
                <w:sz w:val="24"/>
              </w:rPr>
              <w:t>]号</w:t>
            </w:r>
          </w:p>
        </w:tc>
        <w:tc>
          <w:tcPr>
            <w:tcW w:w="1395" w:type="dxa"/>
            <w:gridSpan w:val="2"/>
            <w:vAlign w:val="center"/>
          </w:tcPr>
          <w:p>
            <w:pPr>
              <w:jc w:val="center"/>
              <w:rPr>
                <w:b/>
                <w:sz w:val="24"/>
              </w:rPr>
            </w:pPr>
            <w:r>
              <w:rPr>
                <w:b/>
                <w:sz w:val="24"/>
              </w:rPr>
              <w:t>环评类型</w:t>
            </w:r>
          </w:p>
        </w:tc>
        <w:tc>
          <w:tcPr>
            <w:tcW w:w="2040" w:type="dxa"/>
            <w:vAlign w:val="center"/>
          </w:tcPr>
          <w:p>
            <w:pPr>
              <w:spacing w:line="300" w:lineRule="exact"/>
              <w:jc w:val="center"/>
              <w:textAlignment w:val="baseline"/>
              <w:rPr>
                <w:rFonts w:hint="eastAsia" w:eastAsia="宋体"/>
                <w:lang w:eastAsia="zh-CN"/>
              </w:rPr>
            </w:pPr>
            <w:r>
              <w:rPr>
                <w:rFonts w:hint="eastAsia"/>
                <w:sz w:val="24"/>
                <w:lang w:eastAsia="zh-CN"/>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1704" w:type="dxa"/>
            <w:vAlign w:val="center"/>
          </w:tcPr>
          <w:p>
            <w:pPr>
              <w:jc w:val="center"/>
              <w:rPr>
                <w:rFonts w:eastAsia="仿宋_GB2312"/>
                <w:b/>
                <w:sz w:val="28"/>
              </w:rPr>
            </w:pPr>
            <w:r>
              <w:rPr>
                <w:b/>
                <w:sz w:val="24"/>
              </w:rPr>
              <w:t>主要内容</w:t>
            </w:r>
          </w:p>
        </w:tc>
        <w:tc>
          <w:tcPr>
            <w:tcW w:w="6818"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00" w:lineRule="exact"/>
              <w:ind w:left="0" w:leftChars="0" w:right="0" w:rightChars="0" w:firstLine="480" w:firstLineChars="200"/>
              <w:jc w:val="both"/>
              <w:textAlignment w:val="bottom"/>
              <w:outlineLvl w:val="9"/>
              <w:rPr>
                <w:rFonts w:hint="eastAsia" w:ascii="宋体" w:hAnsi="宋体" w:cs="宋体"/>
                <w:color w:val="000000"/>
                <w:kern w:val="2"/>
                <w:sz w:val="24"/>
                <w:szCs w:val="20"/>
              </w:rPr>
            </w:pPr>
            <w:r>
              <w:rPr>
                <w:rFonts w:hint="eastAsia" w:ascii="宋体" w:hAnsi="宋体" w:cs="宋体"/>
                <w:color w:val="000000"/>
                <w:kern w:val="2"/>
                <w:sz w:val="24"/>
                <w:szCs w:val="20"/>
              </w:rPr>
              <w:t>项目位于</w:t>
            </w:r>
            <w:r>
              <w:rPr>
                <w:rFonts w:hint="eastAsia" w:ascii="宋体" w:hAnsi="宋体" w:cs="宋体"/>
                <w:color w:val="000000"/>
                <w:kern w:val="2"/>
                <w:sz w:val="24"/>
                <w:szCs w:val="20"/>
                <w:lang w:val="en-US" w:eastAsia="zh-CN"/>
              </w:rPr>
              <w:t>晋宁工业园区青山基地</w:t>
            </w:r>
            <w:r>
              <w:rPr>
                <w:rFonts w:hint="eastAsia" w:ascii="宋体" w:hAnsi="宋体" w:cs="宋体"/>
                <w:color w:val="000000"/>
                <w:kern w:val="2"/>
                <w:sz w:val="24"/>
                <w:szCs w:val="20"/>
              </w:rPr>
              <w:t>，根据项目建设和生产需求，项目占地面积约为</w:t>
            </w:r>
            <w:r>
              <w:rPr>
                <w:rFonts w:hint="eastAsia" w:ascii="宋体" w:hAnsi="宋体" w:cs="宋体"/>
                <w:color w:val="000000"/>
                <w:kern w:val="2"/>
                <w:sz w:val="24"/>
                <w:szCs w:val="20"/>
                <w:lang w:val="en-US" w:eastAsia="zh-CN"/>
              </w:rPr>
              <w:t>1500</w:t>
            </w:r>
            <w:r>
              <w:rPr>
                <w:rFonts w:hint="eastAsia" w:ascii="宋体" w:hAnsi="宋体" w:cs="宋体"/>
                <w:color w:val="000000"/>
                <w:kern w:val="2"/>
                <w:sz w:val="24"/>
                <w:szCs w:val="20"/>
              </w:rPr>
              <w:t>m2，建筑面积约为</w:t>
            </w:r>
            <w:r>
              <w:rPr>
                <w:rFonts w:hint="eastAsia" w:ascii="宋体" w:hAnsi="宋体" w:cs="宋体"/>
                <w:color w:val="000000"/>
                <w:kern w:val="2"/>
                <w:sz w:val="24"/>
                <w:szCs w:val="20"/>
                <w:lang w:val="en-US" w:eastAsia="zh-CN"/>
              </w:rPr>
              <w:t>1500</w:t>
            </w:r>
            <w:r>
              <w:rPr>
                <w:rFonts w:hint="eastAsia" w:ascii="宋体" w:hAnsi="宋体" w:cs="宋体"/>
                <w:color w:val="000000"/>
                <w:kern w:val="2"/>
                <w:sz w:val="24"/>
                <w:szCs w:val="20"/>
              </w:rPr>
              <w:t>m2，</w:t>
            </w:r>
            <w:r>
              <w:rPr>
                <w:rFonts w:hint="eastAsia" w:ascii="宋体" w:hAnsi="宋体" w:cs="宋体"/>
                <w:color w:val="000000"/>
                <w:kern w:val="2"/>
                <w:sz w:val="24"/>
                <w:szCs w:val="20"/>
                <w:lang w:val="en-US" w:eastAsia="zh-CN"/>
              </w:rPr>
              <w:t>生产车间</w:t>
            </w:r>
            <w:r>
              <w:rPr>
                <w:rFonts w:hint="eastAsia" w:ascii="宋体" w:hAnsi="宋体" w:cs="宋体"/>
                <w:color w:val="000000"/>
                <w:kern w:val="2"/>
                <w:sz w:val="24"/>
                <w:szCs w:val="20"/>
              </w:rPr>
              <w:t>建筑面积为</w:t>
            </w:r>
            <w:r>
              <w:rPr>
                <w:rFonts w:hint="eastAsia" w:ascii="宋体" w:hAnsi="宋体" w:cs="宋体"/>
                <w:color w:val="000000"/>
                <w:kern w:val="2"/>
                <w:sz w:val="24"/>
                <w:szCs w:val="20"/>
                <w:lang w:val="en-US" w:eastAsia="zh-CN"/>
              </w:rPr>
              <w:t>660</w:t>
            </w:r>
            <w:r>
              <w:rPr>
                <w:rFonts w:hint="eastAsia" w:ascii="宋体" w:hAnsi="宋体" w:cs="宋体"/>
                <w:color w:val="000000"/>
                <w:kern w:val="2"/>
                <w:sz w:val="24"/>
                <w:szCs w:val="20"/>
              </w:rPr>
              <w:t>m2</w:t>
            </w:r>
            <w:r>
              <w:rPr>
                <w:rFonts w:hint="eastAsia" w:ascii="宋体" w:hAnsi="宋体" w:cs="宋体"/>
                <w:color w:val="000000"/>
                <w:kern w:val="2"/>
                <w:sz w:val="24"/>
                <w:szCs w:val="20"/>
                <w:lang w:eastAsia="zh-CN"/>
              </w:rPr>
              <w:t>、</w:t>
            </w:r>
            <w:r>
              <w:rPr>
                <w:rFonts w:hint="eastAsia" w:ascii="宋体" w:hAnsi="宋体" w:cs="宋体"/>
                <w:color w:val="000000"/>
                <w:kern w:val="2"/>
                <w:sz w:val="24"/>
                <w:szCs w:val="20"/>
                <w:lang w:val="en-US" w:eastAsia="zh-CN"/>
              </w:rPr>
              <w:t>办公楼建筑面积200m2</w:t>
            </w:r>
            <w:r>
              <w:rPr>
                <w:rFonts w:hint="eastAsia" w:ascii="宋体" w:hAnsi="宋体" w:cs="宋体"/>
                <w:color w:val="000000"/>
                <w:kern w:val="2"/>
                <w:sz w:val="24"/>
                <w:szCs w:val="20"/>
                <w:lang w:eastAsia="zh-CN"/>
              </w:rPr>
              <w:t>、</w:t>
            </w:r>
            <w:r>
              <w:rPr>
                <w:rFonts w:hint="eastAsia" w:ascii="宋体" w:hAnsi="宋体" w:cs="宋体"/>
                <w:color w:val="000000"/>
                <w:kern w:val="2"/>
                <w:sz w:val="24"/>
                <w:szCs w:val="20"/>
                <w:lang w:val="en-US" w:eastAsia="zh-CN"/>
              </w:rPr>
              <w:t>仓库面积640 m2</w:t>
            </w:r>
            <w:r>
              <w:rPr>
                <w:rFonts w:hint="eastAsia" w:ascii="宋体" w:hAnsi="宋体" w:cs="宋体"/>
                <w:color w:val="000000"/>
                <w:kern w:val="2"/>
                <w:sz w:val="24"/>
                <w:szCs w:val="20"/>
              </w:rPr>
              <w:t>，建设内容包含主体工程、辅助工程、公用工程和环保工程、依托工程，共建设</w:t>
            </w:r>
            <w:r>
              <w:rPr>
                <w:rFonts w:hint="eastAsia" w:ascii="宋体" w:hAnsi="宋体" w:cs="宋体"/>
                <w:color w:val="000000"/>
                <w:kern w:val="2"/>
                <w:sz w:val="24"/>
                <w:szCs w:val="20"/>
                <w:lang w:val="en-US" w:eastAsia="zh-CN"/>
              </w:rPr>
              <w:t>1</w:t>
            </w:r>
            <w:r>
              <w:rPr>
                <w:rFonts w:hint="eastAsia" w:ascii="宋体" w:hAnsi="宋体" w:cs="宋体"/>
                <w:color w:val="000000"/>
                <w:kern w:val="2"/>
                <w:sz w:val="24"/>
                <w:szCs w:val="20"/>
              </w:rPr>
              <w:t>条</w:t>
            </w:r>
            <w:r>
              <w:rPr>
                <w:rFonts w:hint="eastAsia" w:ascii="宋体" w:hAnsi="宋体" w:cs="宋体"/>
                <w:color w:val="000000"/>
                <w:kern w:val="2"/>
                <w:sz w:val="24"/>
                <w:szCs w:val="20"/>
                <w:lang w:val="en-US" w:eastAsia="zh-CN"/>
              </w:rPr>
              <w:t>调香产品生产线，</w:t>
            </w:r>
            <w:r>
              <w:rPr>
                <w:rFonts w:hint="eastAsia" w:ascii="宋体" w:hAnsi="宋体" w:cs="宋体"/>
                <w:color w:val="000000"/>
                <w:kern w:val="2"/>
                <w:sz w:val="24"/>
                <w:szCs w:val="20"/>
              </w:rPr>
              <w:t>年产</w:t>
            </w:r>
            <w:r>
              <w:rPr>
                <w:rFonts w:hint="eastAsia" w:ascii="宋体" w:hAnsi="宋体" w:cs="宋体"/>
                <w:color w:val="000000"/>
                <w:kern w:val="2"/>
                <w:sz w:val="24"/>
                <w:szCs w:val="20"/>
                <w:lang w:val="en-US" w:eastAsia="zh-CN"/>
              </w:rPr>
              <w:t>调香产品100t</w:t>
            </w:r>
            <w:r>
              <w:rPr>
                <w:rFonts w:hint="eastAsia" w:ascii="宋体" w:hAnsi="宋体" w:cs="宋体"/>
                <w:color w:val="000000"/>
                <w:kern w:val="2"/>
                <w:sz w:val="24"/>
                <w:szCs w:val="20"/>
              </w:rPr>
              <w:t>。</w:t>
            </w:r>
            <w:r>
              <w:rPr>
                <w:rFonts w:hint="eastAsia" w:ascii="宋体" w:hAnsi="宋体" w:cs="宋体"/>
                <w:color w:val="000000"/>
                <w:kern w:val="2"/>
                <w:sz w:val="24"/>
                <w:szCs w:val="20"/>
                <w:lang w:val="en-US" w:eastAsia="zh-CN"/>
              </w:rPr>
              <w:t>项目总投资2200万元，其中环保投资26.4万元。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trPr>
        <w:tc>
          <w:tcPr>
            <w:tcW w:w="1704" w:type="dxa"/>
            <w:vAlign w:val="center"/>
          </w:tcPr>
          <w:p>
            <w:pPr>
              <w:jc w:val="center"/>
              <w:rPr>
                <w:b/>
                <w:sz w:val="24"/>
              </w:rPr>
            </w:pPr>
            <w:r>
              <w:rPr>
                <w:b/>
                <w:sz w:val="24"/>
              </w:rPr>
              <w:t>环评科意见</w:t>
            </w:r>
          </w:p>
        </w:tc>
        <w:tc>
          <w:tcPr>
            <w:tcW w:w="6818" w:type="dxa"/>
            <w:gridSpan w:val="5"/>
            <w:vAlign w:val="bottom"/>
          </w:tcPr>
          <w:p>
            <w:pPr>
              <w:jc w:val="left"/>
              <w:rPr>
                <w:rFonts w:eastAsia="仿宋_GB2312"/>
                <w:b/>
                <w:sz w:val="28"/>
              </w:rPr>
            </w:pPr>
            <w:r>
              <w:rPr>
                <w:rFonts w:eastAsia="仿宋_GB2312"/>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1704" w:type="dxa"/>
            <w:vAlign w:val="center"/>
          </w:tcPr>
          <w:p>
            <w:pPr>
              <w:jc w:val="center"/>
              <w:rPr>
                <w:b/>
                <w:sz w:val="24"/>
              </w:rPr>
            </w:pPr>
            <w:r>
              <w:rPr>
                <w:b/>
                <w:sz w:val="24"/>
              </w:rPr>
              <w:t>分管领导</w:t>
            </w:r>
          </w:p>
          <w:p>
            <w:pPr>
              <w:jc w:val="center"/>
              <w:rPr>
                <w:b/>
                <w:sz w:val="24"/>
              </w:rPr>
            </w:pPr>
            <w:r>
              <w:rPr>
                <w:b/>
                <w:sz w:val="24"/>
              </w:rPr>
              <w:t>意    见</w:t>
            </w:r>
          </w:p>
        </w:tc>
        <w:tc>
          <w:tcPr>
            <w:tcW w:w="6818" w:type="dxa"/>
            <w:gridSpan w:val="5"/>
            <w:vAlign w:val="bottom"/>
          </w:tcPr>
          <w:p>
            <w:pPr>
              <w:ind w:left="1400" w:hanging="1400" w:hangingChars="500"/>
              <w:jc w:val="left"/>
              <w:rPr>
                <w:rFonts w:eastAsia="仿宋_GB2312"/>
                <w:sz w:val="28"/>
              </w:rPr>
            </w:pPr>
            <w:r>
              <w:rPr>
                <w:rFonts w:eastAsia="仿宋_GB2312"/>
                <w:sz w:val="28"/>
              </w:rPr>
              <w:t xml:space="preserve">                          年   月   日</w:t>
            </w:r>
          </w:p>
        </w:tc>
      </w:tr>
    </w:tbl>
    <w:p>
      <w:pPr>
        <w:spacing w:line="560" w:lineRule="exact"/>
        <w:ind w:left="0"/>
        <w:rPr>
          <w:rFonts w:hint="eastAsia" w:ascii="仿宋_GB2312" w:hAnsi="仿宋_GB2312" w:eastAsia="仿宋_GB2312" w:cs="仿宋_GB2312"/>
          <w:color w:val="auto"/>
          <w:sz w:val="28"/>
          <w:szCs w:val="28"/>
          <w:u w:val="single"/>
          <w:lang w:eastAsia="zh-CN"/>
        </w:rPr>
      </w:pPr>
    </w:p>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440" w:right="1797" w:bottom="1440" w:left="1797" w:header="567"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穝灿砰">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spacing w:line="1" w:lineRule="atLeast"/>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5945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1312;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CCldGinwEAACQDAAAOAAAAZHJzL2Uyb0RvYy54bWytUkuOEzEQ&#10;3SNxB8t74s6IEKaVzkhoNAgJAdLAARy3nbZku6yyJ925ANyAFRv2nCvnoOx8hs8OsakuV1U/v/fK&#10;q5vJO7bTmCyEjs9nDWc6KOht2Hb808e7Zy85S1mGXjoIuuN7nfjN+umT1RhbfQUDuF4jI5CQ2jF2&#10;fMg5tkIkNWgv0wyiDtQ0gF5mOuJW9ChHQvdOXDXNCzEC9hFB6ZSoents8nXFN0ar/N6YpDNzHSdu&#10;uUascVOiWK9ku0UZB6tONOQ/sPDSBrr0AnUrs2QPaP+C8lYhJDB5psALMMYqXTWQmnnzh5r7QUZd&#10;tZA5KV5sSv8PVr3bfUBme9odZ0F6WtHh65fDtx+H75/ZvNgzxtTS1H2kuTy9gqmMnuqJikX1ZNCX&#10;L+lh1Cej9xdz9ZSZouJiubh+vqCWot58eb1sFgVGPP4dMeXXGjwrSceRllc9lbu3KR9HzyPlsgB3&#10;1jmqy9aF3wqEWSqiUD9SLFmeNtOJ9wb6PclxbwJZWZ7FOcFzsjknDxHtdiA6VXSFpFVU3qdnU3b9&#10;67le/Pi4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IKV0aK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spacing w:line="1" w:lineRule="atLeast"/>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0288;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AHzUjjnwEAACQDAAAOAAAAZHJzL2Uyb0RvYy54bWytUktu2zAQ&#10;3RfoHQjua8pJHSeC5QBFkKJAkRRIcwCaIi0C/GHIWPIF2ht01U33OZfP0SFtOb9d0c1oODN6fO8N&#10;F5eDNWQjIWrvGjqdVJRIJ3yr3bqh99+vP5xTEhN3LTfeyYZuZaSXy/fvFn2o5YnvvGklEARxse5D&#10;Q7uUQs1YFJ20PE58kA6byoPlCY+wZi3wHtGtYSdVdcZ6D20AL2SMWL3aN+my4CslRbpVKspETEOR&#10;WyoRSlzlyJYLXq+Bh06LAw3+Dyws1w4vPUJd8cTJA+g3UFYL8NGrNBHeMq+UFrJoQDXT6pWau44H&#10;WbSgOTEcbYr/D1bcbL4B0W1DTylx3OKKdr9+7n4/7v78IKfZnj7EGqfuAs6l4ZMfcM1jPWIxqx4U&#10;2PxFPQT7aPT2aK4cEhFYnM1nFx9n2BLYm84v5tUsw7CnvwPE9Fl6S3LSUMDlFU/55mtM+9FxJF/m&#10;/LU2pizQuBcFxMwVlqnvKeYsDavhoGfl2y3KMV8cWpmfxZjAmKzG5CGAXndIp4gukLiKwvvwbPKu&#10;n5/LxU+Pe/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AfNSOO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9450" cy="179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9264;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DqC5fsoAEAACQDAAAOAAAAZHJzL2Uyb0RvYy54bWytUktu2zAQ&#10;3RfIHQjua8qBHTeC5QBFkKBA0QRIegCaIi0CJIcgGUu+QHqDrrLpvufyOTKkLaefXdHNaDgzenzv&#10;DZdXgzVkK0PU4Bo6nVSUSCeg1W7T0K+PN+8/UBITdy034GRDdzLSq9XZu2Xva3kOHZhWBoIgLta9&#10;b2iXkq8Zi6KTlscJeOmwqSBYnvAYNqwNvEd0a9h5VV2wHkLrAwgZI1avD026KvhKSZHulIoyEdNQ&#10;5JZKDCWuc2SrJa83gftOiyMN/g8sLNcOLz1BXfPEyVPQf0FZLQJEUGkiwDJQSgtZNKCaafWHmoeO&#10;e1m0oDnRn2yK/w9WfNneB6Lbhs4ocdziivbfv+1ffu5/PJNZtqf3scapB49zafgIA655rEcsZtWD&#10;CjZ/UQ/BPhq9O5krh0QEFueL+eVsji2BveniclHNMwx7+9uHmG4lWJKThgZcXvGUbz/HdBgdR/Jl&#10;Dm60MWWBxv1WQMxcYZn6gWLO0rAejnrW0O5Qjvnk0Mr8LMYkjMl6TJ580JsO6RTRBRJXUXgfn03e&#10;9a/ncvHb41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G0QLDUAAAABAEAAA8AAAAAAAAAAQAg&#10;AAAAIgAAAGRycy9kb3ducmV2LnhtbFBLAQIUABQAAAAIAIdO4kDqC5fsoAEAACQDAAAOAAAAAAAA&#10;AAEAIAAAACMBAABkcnMvZTJvRG9jLnhtbFBLBQYAAAAABgAGAFkBAAA1BQ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8240;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Bl4jwunwEAACQDAAAOAAAAZHJzL2Uyb0RvYy54bWytUkFu2zAQ&#10;vBfoHwjeY8pGXNeC5QBFkCJA0BZI+wCaIi0CJJcgGUv+QPuDnnrpve/yO7qkLadJbkEvq+Xuajgz&#10;y9XVYA3ZyRA1uIZOJxUl0glotds29NvXm4v3lMTEXcsNONnQvYz0av32zar3tZxBB6aVgSCIi3Xv&#10;G9ql5GvGouik5XECXjpsKgiWJzyGLWsD7xHdGjarqnesh9D6AELGiNXrY5OuC75SUqTPSkWZiGko&#10;ckslhhI3ObL1itfbwH2nxYkGfwULy7XDS89Q1zxx8hD0CyirRYAIKk0EWAZKaSGLBlQzrZ6pue+4&#10;l0ULmhP92ab4/2DFp92XQHTb0Bkljltc0eHnj8OvP4ff38ks29P7WOPUvce5NHyAAdc81iMWs+pB&#10;BZu/qIdgH43en82VQyICi/PFfHk5x5bA3nSxXFTzDMMe//Yhpo8SLMlJQwMur3jKd3cxHUfHkXyZ&#10;gxttTFmgcU8KiJkrLFM/UsxZGjbDSc8G2j3KMbcOrczPYkzCmGzG5MEHve2QThFdIHEVhffp2eRd&#10;/3suFz8+7v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GXiPC6fAQAAJAMAAA4AAAAAAAAA&#10;AQAgAAAAIwEAAGRycy9lMm9Eb2MueG1sUEsFBgAAAAAGAAYAWQEAADQFA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8070B"/>
    <w:multiLevelType w:val="singleLevel"/>
    <w:tmpl w:val="62A8070B"/>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E3254"/>
    <w:rsid w:val="14D226BA"/>
    <w:rsid w:val="43D823DA"/>
    <w:rsid w:val="58F17395"/>
    <w:rsid w:val="66D24A56"/>
    <w:rsid w:val="6BEC12A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beforeLines="0" w:beforeAutospacing="0" w:after="0" w:afterLines="0" w:afterAutospacing="0" w:line="365" w:lineRule="atLeast"/>
      <w:ind w:left="1" w:right="0" w:firstLine="0" w:firstLineChars="0"/>
      <w:jc w:val="both"/>
      <w:textAlignment w:val="bottom"/>
    </w:pPr>
    <w:rPr>
      <w:rFonts w:ascii="Times New Roman" w:hAnsi="Times New Roman" w:eastAsia="宋体" w:cs="Times New Roman"/>
    </w:rPr>
  </w:style>
  <w:style w:type="paragraph" w:styleId="3">
    <w:name w:val="heading 1"/>
    <w:basedOn w:val="1"/>
    <w:next w:val="1"/>
    <w:qFormat/>
    <w:uiPriority w:val="0"/>
    <w:pPr>
      <w:spacing w:before="104" w:beforeLines="0" w:beforeAutospacing="0" w:after="104" w:afterLines="0" w:afterAutospacing="0" w:line="0" w:lineRule="atLeast"/>
      <w:ind w:firstLine="0" w:firstLineChars="0"/>
      <w:jc w:val="center"/>
    </w:pPr>
    <w:rPr>
      <w:rFonts w:ascii="Arial" w:hAnsi="Arial" w:eastAsia="穝灿砰"/>
      <w:sz w:val="3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spacing w:line="360" w:lineRule="auto"/>
      <w:jc w:val="center"/>
    </w:pPr>
  </w:style>
  <w:style w:type="paragraph" w:customStyle="1" w:styleId="4">
    <w:name w:val="文本正文"/>
    <w:basedOn w:val="1"/>
    <w:qFormat/>
    <w:uiPriority w:val="0"/>
    <w:pPr>
      <w:snapToGrid w:val="0"/>
      <w:spacing w:line="360" w:lineRule="auto"/>
      <w:ind w:firstLine="510"/>
      <w:jc w:val="left"/>
    </w:pPr>
    <w:rPr>
      <w:spacing w:val="4"/>
      <w:kern w:val="24"/>
      <w:szCs w:val="24"/>
      <w:lang w:val="zh-CN"/>
    </w:rPr>
  </w:style>
  <w:style w:type="paragraph" w:styleId="5">
    <w:name w:val="Body Text First Indent"/>
    <w:basedOn w:val="6"/>
    <w:next w:val="1"/>
    <w:qFormat/>
    <w:uiPriority w:val="0"/>
    <w:pPr>
      <w:ind w:firstLine="420" w:firstLineChars="100"/>
    </w:pPr>
  </w:style>
  <w:style w:type="paragraph" w:styleId="6">
    <w:name w:val="Body Text"/>
    <w:basedOn w:val="1"/>
    <w:next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pPr>
      <w:spacing w:line="480" w:lineRule="exact"/>
      <w:ind w:firstLine="425"/>
    </w:pPr>
    <w:rPr>
      <w:rFonts w:ascii="宋体" w:hAnsi="Courier New"/>
      <w:spacing w:val="16"/>
      <w:sz w:val="24"/>
      <w:szCs w:val="20"/>
    </w:rPr>
  </w:style>
  <w:style w:type="paragraph" w:styleId="9">
    <w:name w:val="footer"/>
    <w:basedOn w:val="1"/>
    <w:qFormat/>
    <w:uiPriority w:val="0"/>
    <w:pPr>
      <w:tabs>
        <w:tab w:val="center" w:pos="4153"/>
        <w:tab w:val="right" w:pos="8306"/>
      </w:tabs>
      <w:snapToGrid w:val="0"/>
      <w:spacing w:line="240" w:lineRule="atLeast"/>
      <w:jc w:val="left"/>
    </w:pPr>
    <w:rPr>
      <w:sz w:val="18"/>
      <w:szCs w:val="18"/>
    </w:rPr>
  </w:style>
  <w:style w:type="paragraph" w:styleId="10">
    <w:name w:val="Body Text First Indent 2"/>
    <w:basedOn w:val="7"/>
    <w:next w:val="5"/>
    <w:qFormat/>
    <w:uiPriority w:val="0"/>
    <w:pPr>
      <w:ind w:firstLine="420" w:firstLineChars="200"/>
    </w:p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3">
    <w:name w:val="page number"/>
    <w:basedOn w:val="12"/>
    <w:qFormat/>
    <w:uiPriority w:val="0"/>
  </w:style>
  <w:style w:type="paragraph" w:customStyle="1" w:styleId="1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XSD</dc:creator>
  <cp:lastModifiedBy>NTKO</cp:lastModifiedBy>
  <cp:lastPrinted>2022-06-14T04:01:44Z</cp:lastPrinted>
  <dcterms:modified xsi:type="dcterms:W3CDTF">2022-06-14T06:46:58Z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