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sz w:val="21"/>
          <w:lang w:eastAsia="zh-CN"/>
        </w:rPr>
      </w:pPr>
    </w:p>
    <w:p>
      <w:pPr>
        <w:rPr>
          <w:rFonts w:hint="eastAsia"/>
          <w:sz w:val="21"/>
        </w:rPr>
      </w:pPr>
    </w:p>
    <w:p>
      <w:pPr>
        <w:rPr>
          <w:rFonts w:hint="eastAsia"/>
          <w:sz w:val="21"/>
        </w:rPr>
      </w:pPr>
    </w:p>
    <w:p>
      <w:pPr>
        <w:rPr>
          <w:rFonts w:hint="eastAsia"/>
          <w:sz w:val="21"/>
        </w:rPr>
      </w:pPr>
      <w:r>
        <w:rPr>
          <w:rFonts w:hint="eastAsia"/>
          <w:sz w:val="21"/>
        </w:rPr>
        <w:t xml:space="preserve">                                                                        </w:t>
      </w:r>
    </w:p>
    <w:p>
      <w:pPr>
        <w:rPr>
          <w:rFonts w:hint="eastAsia"/>
          <w:sz w:val="21"/>
        </w:rPr>
      </w:pPr>
    </w:p>
    <w:p>
      <w:pPr>
        <w:rPr>
          <w:rFonts w:hint="eastAsia"/>
          <w:sz w:val="21"/>
        </w:rPr>
      </w:pPr>
    </w:p>
    <w:p>
      <w:pPr>
        <w:rPr>
          <w:rFonts w:hint="eastAsia"/>
          <w:sz w:val="21"/>
        </w:rPr>
      </w:pPr>
    </w:p>
    <w:p>
      <w:pPr>
        <w:rPr>
          <w:rFonts w:hint="eastAsia"/>
          <w:sz w:val="21"/>
        </w:rPr>
      </w:pPr>
      <w:r>
        <w:rPr>
          <w:rFonts w:hint="eastAsia"/>
          <w:sz w:val="21"/>
        </w:rPr>
        <w:t xml:space="preserve">                                                                     </w:t>
      </w:r>
    </w:p>
    <w:p>
      <w:pPr>
        <w:ind w:left="227" w:hanging="226"/>
        <w:rPr>
          <w:rFonts w:hint="eastAsia" w:eastAsia="穝灿砰"/>
          <w:spacing w:val="56"/>
          <w:sz w:val="44"/>
        </w:rPr>
      </w:pPr>
    </w:p>
    <w:p>
      <w:pPr>
        <w:ind w:left="227" w:hanging="226"/>
        <w:rPr>
          <w:rFonts w:hint="eastAsia" w:eastAsia="穝灿砰"/>
          <w:b/>
          <w:spacing w:val="56"/>
          <w:sz w:val="44"/>
        </w:rPr>
      </w:pPr>
      <w:r>
        <w:rPr>
          <w:rFonts w:hint="eastAsia" w:eastAsia="穝灿砰"/>
          <w:spacing w:val="56"/>
          <w:sz w:val="44"/>
        </w:rPr>
        <w:t xml:space="preserve">               </w:t>
      </w:r>
      <w:r>
        <w:rPr>
          <w:rFonts w:hint="eastAsia" w:eastAsia="穝灿砰"/>
          <w:b/>
          <w:spacing w:val="56"/>
          <w:sz w:val="44"/>
        </w:rPr>
        <w:t xml:space="preserve"> </w:t>
      </w:r>
    </w:p>
    <w:p>
      <w:pPr>
        <w:ind w:left="0"/>
        <w:rPr>
          <w:rFonts w:hint="eastAsia"/>
          <w:sz w:val="21"/>
          <w:lang w:eastAsia="zh-CN"/>
        </w:rPr>
      </w:pPr>
    </w:p>
    <w:p>
      <w:pPr>
        <w:ind w:left="0"/>
        <w:rPr>
          <w:rFonts w:hint="eastAsia"/>
          <w:color w:val="auto"/>
          <w:sz w:val="21"/>
          <w:lang w:eastAsia="zh-CN"/>
        </w:rPr>
      </w:pPr>
    </w:p>
    <w:p>
      <w:pPr>
        <w:jc w:val="center"/>
        <w:rPr>
          <w:rFonts w:hint="eastAsia" w:ascii="仿宋" w:hAnsi="仿宋" w:eastAsia="仿宋" w:cs="仿宋"/>
          <w:color w:val="auto"/>
          <w:sz w:val="32"/>
        </w:rPr>
      </w:pPr>
    </w:p>
    <w:p>
      <w:pPr>
        <w:jc w:val="center"/>
        <w:rPr>
          <w:rFonts w:hint="eastAsia" w:ascii="仿宋" w:hAnsi="仿宋" w:eastAsia="仿宋" w:cs="仿宋"/>
          <w:color w:val="auto"/>
          <w:sz w:val="32"/>
        </w:rPr>
      </w:pPr>
      <w:r>
        <w:rPr>
          <w:rFonts w:hint="eastAsia" w:ascii="仿宋" w:hAnsi="仿宋" w:eastAsia="仿宋" w:cs="仿宋"/>
          <w:color w:val="auto"/>
          <w:sz w:val="32"/>
          <w:lang w:eastAsia="zh-CN"/>
        </w:rPr>
        <w:t>昆生环</w:t>
      </w:r>
      <w:r>
        <w:rPr>
          <w:rFonts w:hint="eastAsia" w:ascii="仿宋" w:hAnsi="仿宋" w:eastAsia="仿宋" w:cs="仿宋"/>
          <w:color w:val="auto"/>
          <w:sz w:val="32"/>
        </w:rPr>
        <w:t>晋</w:t>
      </w:r>
      <w:r>
        <w:rPr>
          <w:rFonts w:hint="eastAsia" w:ascii="仿宋" w:hAnsi="仿宋" w:eastAsia="仿宋" w:cs="仿宋"/>
          <w:color w:val="auto"/>
          <w:sz w:val="32"/>
          <w:lang w:eastAsia="zh-CN"/>
        </w:rPr>
        <w:t>复</w:t>
      </w:r>
      <w:r>
        <w:rPr>
          <w:rFonts w:hint="eastAsia" w:ascii="仿宋" w:hAnsi="仿宋" w:eastAsia="仿宋" w:cs="仿宋"/>
          <w:color w:val="auto"/>
          <w:sz w:val="32"/>
        </w:rPr>
        <w:t>〔</w:t>
      </w:r>
      <w:r>
        <w:rPr>
          <w:rFonts w:hint="eastAsia" w:ascii="仿宋" w:hAnsi="仿宋" w:eastAsia="仿宋" w:cs="仿宋"/>
          <w:color w:val="auto"/>
          <w:sz w:val="32"/>
          <w:lang w:eastAsia="zh-CN"/>
        </w:rPr>
        <w:t>20</w:t>
      </w:r>
      <w:r>
        <w:rPr>
          <w:rFonts w:hint="eastAsia" w:ascii="仿宋" w:hAnsi="仿宋" w:eastAsia="仿宋" w:cs="仿宋"/>
          <w:color w:val="auto"/>
          <w:sz w:val="32"/>
          <w:lang w:val="en-US" w:eastAsia="zh-CN"/>
        </w:rPr>
        <w:t>22〕20</w:t>
      </w:r>
      <w:bookmarkStart w:id="1" w:name="_GoBack"/>
      <w:bookmarkEnd w:id="1"/>
      <w:r>
        <w:rPr>
          <w:rFonts w:hint="eastAsia" w:ascii="仿宋" w:hAnsi="仿宋" w:eastAsia="仿宋" w:cs="仿宋"/>
          <w:color w:val="auto"/>
          <w:sz w:val="32"/>
        </w:rPr>
        <w:t>号</w:t>
      </w:r>
    </w:p>
    <w:p>
      <w:pPr>
        <w:jc w:val="center"/>
        <w:rPr>
          <w:rFonts w:hint="eastAsia" w:eastAsia="穝灿砰"/>
          <w:color w:val="auto"/>
          <w:sz w:val="32"/>
          <w:lang w:eastAsia="zh-CN"/>
        </w:rPr>
      </w:pPr>
    </w:p>
    <w:p>
      <w:pPr>
        <w:ind w:left="0"/>
        <w:rPr>
          <w:rFonts w:hint="eastAsia" w:eastAsia="穝灿砰"/>
          <w:color w:val="auto"/>
          <w:sz w:val="32"/>
          <w:lang w:eastAsia="zh-CN"/>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bottom"/>
        <w:outlineLvl w:val="9"/>
        <w:rPr>
          <w:rFonts w:hint="eastAsia"/>
          <w:b/>
          <w:color w:val="auto"/>
          <w:sz w:val="44"/>
          <w:lang w:eastAsia="zh-CN"/>
        </w:rPr>
      </w:pPr>
      <w:r>
        <w:rPr>
          <w:b/>
          <w:spacing w:val="20"/>
          <w:sz w:val="44"/>
        </w:rPr>
        <w:t>关于对《</w:t>
      </w:r>
      <w:r>
        <w:rPr>
          <w:rFonts w:hint="eastAsia"/>
          <w:b/>
          <w:spacing w:val="20"/>
          <w:sz w:val="44"/>
          <w:lang w:eastAsia="zh-CN"/>
        </w:rPr>
        <w:t>铝合金门窗、幕墙、栏杆生产项目</w:t>
      </w:r>
      <w:r>
        <w:rPr>
          <w:rFonts w:hint="eastAsia"/>
          <w:b/>
          <w:sz w:val="44"/>
          <w:szCs w:val="22"/>
        </w:rPr>
        <w:t>环境影响</w:t>
      </w:r>
      <w:r>
        <w:rPr>
          <w:rFonts w:hint="eastAsia"/>
          <w:b/>
          <w:sz w:val="44"/>
          <w:szCs w:val="22"/>
          <w:lang w:eastAsia="zh-CN"/>
        </w:rPr>
        <w:t>报告表</w:t>
      </w:r>
      <w:r>
        <w:rPr>
          <w:rFonts w:hint="eastAsia"/>
          <w:b/>
          <w:sz w:val="44"/>
        </w:rPr>
        <w:t>》的批复</w:t>
      </w:r>
    </w:p>
    <w:p>
      <w:pPr>
        <w:spacing w:line="600" w:lineRule="exact"/>
        <w:ind w:firstLine="696" w:firstLineChars="200"/>
        <w:rPr>
          <w:rFonts w:hint="eastAsia" w:ascii="仿宋_GB2312" w:eastAsia="仿宋_GB2312"/>
          <w:color w:val="auto"/>
          <w:spacing w:val="14"/>
          <w:sz w:val="32"/>
          <w:szCs w:val="32"/>
        </w:rPr>
      </w:pPr>
    </w:p>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right="0" w:rightChars="0"/>
        <w:jc w:val="left"/>
        <w:textAlignment w:val="bottom"/>
        <w:outlineLvl w:val="9"/>
        <w:rPr>
          <w:rFonts w:hint="eastAsia" w:eastAsia="华文仿宋"/>
          <w:color w:val="auto"/>
          <w:sz w:val="32"/>
          <w:lang w:eastAsia="zh-CN"/>
        </w:rPr>
      </w:pPr>
      <w:r>
        <w:rPr>
          <w:rFonts w:hint="eastAsia" w:eastAsia="华文仿宋"/>
          <w:color w:val="auto"/>
          <w:sz w:val="32"/>
          <w:lang w:eastAsia="zh-CN"/>
        </w:rPr>
        <w:t>云南本正建筑装饰工程有限公司：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lang w:eastAsia="zh-CN"/>
        </w:rPr>
        <w:t xml:space="preserve"> 你单位委托云南绿蓝环境科技有限公司编制的《铝合金门窗、幕墙、栏杆生产项目环境影响报告表》(以下简称《报告表》)收悉。根据《中华人民共和国环境影响评价法》第二十二条、《建</w:t>
      </w:r>
      <w:r>
        <w:rPr>
          <w:rFonts w:hint="eastAsia" w:eastAsia="华文仿宋"/>
          <w:color w:val="auto"/>
          <w:sz w:val="32"/>
          <w:szCs w:val="22"/>
          <w:lang w:eastAsia="zh-CN"/>
        </w:rPr>
        <w:t>设项目环境保护管理条例》第九条，经研究，批复如下：</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right="0" w:rightChars="0" w:firstLine="640" w:firstLineChars="200"/>
        <w:jc w:val="both"/>
        <w:rPr>
          <w:rFonts w:hint="default" w:eastAsia="华文仿宋"/>
          <w:color w:val="auto"/>
          <w:sz w:val="32"/>
          <w:szCs w:val="22"/>
          <w:lang w:val="en-US" w:eastAsia="zh-CN"/>
        </w:rPr>
      </w:pPr>
      <w:r>
        <w:rPr>
          <w:rFonts w:hint="eastAsia" w:eastAsia="华文仿宋"/>
          <w:color w:val="auto"/>
          <w:sz w:val="32"/>
          <w:szCs w:val="22"/>
          <w:lang w:val="en-US" w:eastAsia="zh-CN"/>
        </w:rPr>
        <w:t>一、</w:t>
      </w:r>
      <w:bookmarkStart w:id="0" w:name="_Hlk75459699"/>
      <w:r>
        <w:rPr>
          <w:rFonts w:hint="eastAsia" w:eastAsia="华文仿宋"/>
          <w:color w:val="auto"/>
          <w:sz w:val="32"/>
          <w:szCs w:val="22"/>
          <w:lang w:eastAsia="zh-CN"/>
        </w:rPr>
        <w:t>项目位于</w:t>
      </w:r>
      <w:bookmarkEnd w:id="0"/>
      <w:r>
        <w:rPr>
          <w:rFonts w:hint="eastAsia" w:eastAsia="华文仿宋"/>
          <w:color w:val="auto"/>
          <w:sz w:val="32"/>
          <w:szCs w:val="22"/>
          <w:lang w:eastAsia="zh-CN"/>
        </w:rPr>
        <w:t>云南省昆明市晋宁工业园区二街基地，项目占地面积5.25亩（约3500m</w:t>
      </w:r>
      <w:r>
        <w:rPr>
          <w:rFonts w:hint="eastAsia" w:eastAsia="华文仿宋"/>
          <w:color w:val="auto"/>
          <w:sz w:val="32"/>
          <w:szCs w:val="22"/>
          <w:vertAlign w:val="superscript"/>
          <w:lang w:eastAsia="zh-CN"/>
        </w:rPr>
        <w:t>2</w:t>
      </w:r>
      <w:r>
        <w:rPr>
          <w:rFonts w:hint="eastAsia" w:eastAsia="华文仿宋"/>
          <w:color w:val="auto"/>
          <w:sz w:val="32"/>
          <w:szCs w:val="22"/>
          <w:lang w:eastAsia="zh-CN"/>
        </w:rPr>
        <w:t>，建筑面积3500m</w:t>
      </w:r>
      <w:r>
        <w:rPr>
          <w:rFonts w:hint="eastAsia" w:eastAsia="华文仿宋"/>
          <w:color w:val="auto"/>
          <w:sz w:val="32"/>
          <w:szCs w:val="22"/>
          <w:vertAlign w:val="superscript"/>
          <w:lang w:eastAsia="zh-CN"/>
        </w:rPr>
        <w:t>2</w:t>
      </w:r>
      <w:r>
        <w:rPr>
          <w:rFonts w:hint="eastAsia" w:eastAsia="华文仿宋"/>
          <w:color w:val="auto"/>
          <w:sz w:val="32"/>
          <w:szCs w:val="22"/>
          <w:lang w:eastAsia="zh-CN"/>
        </w:rPr>
        <w:t>）。租用昆明明鑫装饰工程设计有限公司的闲置厂房、办公楼、宿舍等进行建设，</w:t>
      </w:r>
      <w:r>
        <w:rPr>
          <w:rFonts w:hint="eastAsia" w:eastAsia="华文仿宋"/>
          <w:color w:val="auto"/>
          <w:sz w:val="32"/>
          <w:szCs w:val="22"/>
          <w:lang w:val="en-US" w:eastAsia="zh-CN"/>
        </w:rPr>
        <w:t>新建</w:t>
      </w:r>
      <w:r>
        <w:rPr>
          <w:rFonts w:hint="eastAsia" w:eastAsia="华文仿宋"/>
          <w:color w:val="auto"/>
          <w:sz w:val="32"/>
          <w:szCs w:val="22"/>
          <w:lang w:eastAsia="zh-CN"/>
        </w:rPr>
        <w:t>2条生产线，即1条栏杆生产线、1条铝合金门窗生产线，</w:t>
      </w:r>
      <w:r>
        <w:rPr>
          <w:rFonts w:hint="eastAsia" w:eastAsia="华文仿宋"/>
          <w:color w:val="auto"/>
          <w:sz w:val="32"/>
          <w:szCs w:val="22"/>
          <w:lang w:val="en-US" w:eastAsia="zh-CN"/>
        </w:rPr>
        <w:t>新建</w:t>
      </w:r>
      <w:r>
        <w:rPr>
          <w:rFonts w:hint="eastAsia" w:eastAsia="华文仿宋"/>
          <w:color w:val="auto"/>
          <w:sz w:val="32"/>
          <w:szCs w:val="22"/>
          <w:lang w:eastAsia="zh-CN"/>
        </w:rPr>
        <w:t>栏杆</w:t>
      </w:r>
      <w:r>
        <w:rPr>
          <w:rFonts w:hint="eastAsia" w:eastAsia="华文仿宋"/>
          <w:color w:val="auto"/>
          <w:sz w:val="32"/>
          <w:szCs w:val="22"/>
          <w:lang w:val="en-US" w:eastAsia="zh-CN"/>
        </w:rPr>
        <w:t>和</w:t>
      </w:r>
      <w:r>
        <w:rPr>
          <w:rFonts w:hint="eastAsia" w:eastAsia="华文仿宋"/>
          <w:color w:val="auto"/>
          <w:sz w:val="32"/>
          <w:szCs w:val="22"/>
          <w:lang w:eastAsia="zh-CN"/>
        </w:rPr>
        <w:t>铝合金门窗生产车间、储运工程、综合办公室、环保工程等。建成后达到年产栏杆7万平方米、铝合金门窗15万平方米。总投资1000万元，环保投资18.4万元</w:t>
      </w:r>
      <w:r>
        <w:rPr>
          <w:rFonts w:hint="default" w:eastAsia="华文仿宋"/>
          <w:color w:val="auto"/>
          <w:sz w:val="32"/>
          <w:szCs w:val="22"/>
          <w:lang w:val="en-US" w:eastAsia="zh-CN"/>
        </w:rPr>
        <w:t>。</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val="en-US" w:eastAsia="zh-CN"/>
        </w:rPr>
        <w:t>根据《报告表》所述工程内容、规模、功能以及环保对策措施，同意《报告表》结论。</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eastAsia" w:eastAsia="华文仿宋"/>
          <w:color w:val="auto"/>
          <w:sz w:val="32"/>
          <w:szCs w:val="22"/>
          <w:lang w:val="en-US" w:eastAsia="zh-CN"/>
        </w:rPr>
        <w:t>二、</w:t>
      </w:r>
      <w:r>
        <w:rPr>
          <w:rFonts w:hint="default" w:eastAsia="华文仿宋"/>
          <w:color w:val="auto"/>
          <w:sz w:val="32"/>
          <w:szCs w:val="22"/>
          <w:lang w:val="en-US" w:eastAsia="zh-CN"/>
        </w:rPr>
        <w:t>项目应建立完善的“雨污分流”排水系统，并与区域排水系统相协调。</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szCs w:val="22"/>
          <w:lang w:val="en-US" w:eastAsia="zh-CN"/>
        </w:rPr>
        <w:t>项目</w:t>
      </w:r>
      <w:r>
        <w:rPr>
          <w:rFonts w:hint="eastAsia" w:eastAsia="华文仿宋"/>
          <w:color w:val="auto"/>
          <w:sz w:val="32"/>
          <w:szCs w:val="22"/>
          <w:lang w:eastAsia="zh-CN"/>
        </w:rPr>
        <w:t>运营期</w:t>
      </w:r>
      <w:r>
        <w:rPr>
          <w:rFonts w:hint="eastAsia" w:eastAsia="华文仿宋"/>
          <w:color w:val="auto"/>
          <w:sz w:val="32"/>
          <w:szCs w:val="22"/>
          <w:lang w:val="en-US" w:eastAsia="zh-CN"/>
        </w:rPr>
        <w:t>产生的</w:t>
      </w:r>
      <w:r>
        <w:rPr>
          <w:rFonts w:hint="eastAsia" w:eastAsia="华文仿宋"/>
          <w:color w:val="auto"/>
          <w:sz w:val="32"/>
          <w:szCs w:val="22"/>
          <w:lang w:eastAsia="zh-CN"/>
        </w:rPr>
        <w:t>废水主要为生活污水。</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eastAsia" w:eastAsia="华文仿宋"/>
          <w:color w:val="auto"/>
          <w:sz w:val="32"/>
          <w:szCs w:val="22"/>
          <w:lang w:eastAsia="zh-CN"/>
        </w:rPr>
        <w:t>食堂污水经隔油池预处理，与其它生活废水经化粪池处理，</w:t>
      </w:r>
      <w:r>
        <w:rPr>
          <w:rFonts w:hint="eastAsia" w:eastAsia="华文仿宋"/>
          <w:color w:val="auto"/>
          <w:sz w:val="32"/>
          <w:szCs w:val="22"/>
          <w:lang w:val="en-US" w:eastAsia="zh-CN"/>
        </w:rPr>
        <w:t>进入污水管网水质</w:t>
      </w:r>
      <w:r>
        <w:rPr>
          <w:rFonts w:hint="default" w:eastAsia="华文仿宋"/>
          <w:color w:val="auto"/>
          <w:sz w:val="32"/>
          <w:szCs w:val="22"/>
          <w:lang w:val="en-US" w:eastAsia="zh-CN"/>
        </w:rPr>
        <w:t>达GB/T31962-2015《污水排入城镇下水道水质标准》表1A级等级标准，即：pH值6.5-9.5、SS≤400mg/L、CODcr≤500mg/L、BOD5≤350mg/L、氨氮≤45mg/L、T-P≤8.0mg/L、动物油≤100mg/L</w:t>
      </w:r>
      <w:r>
        <w:rPr>
          <w:rFonts w:hint="eastAsia" w:eastAsia="华文仿宋"/>
          <w:color w:val="auto"/>
          <w:sz w:val="32"/>
          <w:szCs w:val="22"/>
          <w:lang w:val="en-US" w:eastAsia="zh-CN"/>
        </w:rPr>
        <w:t>，</w:t>
      </w:r>
      <w:r>
        <w:rPr>
          <w:rFonts w:hint="eastAsia" w:eastAsia="华文仿宋"/>
          <w:color w:val="auto"/>
          <w:sz w:val="32"/>
          <w:szCs w:val="22"/>
          <w:lang w:eastAsia="zh-CN"/>
        </w:rPr>
        <w:t>最终</w:t>
      </w:r>
      <w:r>
        <w:rPr>
          <w:rFonts w:hint="eastAsia" w:eastAsia="华文仿宋"/>
          <w:color w:val="auto"/>
          <w:sz w:val="32"/>
          <w:szCs w:val="22"/>
          <w:lang w:val="en-US" w:eastAsia="zh-CN"/>
        </w:rPr>
        <w:t>排至</w:t>
      </w:r>
      <w:r>
        <w:rPr>
          <w:rFonts w:hint="eastAsia" w:eastAsia="华文仿宋"/>
          <w:color w:val="auto"/>
          <w:sz w:val="32"/>
          <w:szCs w:val="22"/>
          <w:lang w:val="zh-CN" w:eastAsia="zh-CN"/>
        </w:rPr>
        <w:t>二街片区生活污水处理厂</w:t>
      </w:r>
      <w:r>
        <w:rPr>
          <w:rFonts w:hint="eastAsia" w:eastAsia="华文仿宋"/>
          <w:color w:val="auto"/>
          <w:sz w:val="32"/>
          <w:szCs w:val="22"/>
          <w:lang w:eastAsia="zh-CN"/>
        </w:rPr>
        <w:t>处理。</w:t>
      </w:r>
      <w:r>
        <w:rPr>
          <w:rFonts w:hint="default" w:eastAsia="华文仿宋"/>
          <w:color w:val="auto"/>
          <w:sz w:val="32"/>
          <w:szCs w:val="22"/>
          <w:lang w:val="en-US" w:eastAsia="zh-CN"/>
        </w:rPr>
        <w:t>项目限设1个规范化污水排放口，并在污水排放口处设立明显的标识。</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val="en-US" w:eastAsia="zh-CN"/>
        </w:rPr>
        <w:t>项目废水污染物总量控制目标：</w:t>
      </w:r>
      <w:r>
        <w:rPr>
          <w:rFonts w:hint="eastAsia" w:eastAsia="华文仿宋"/>
          <w:color w:val="auto"/>
          <w:sz w:val="32"/>
          <w:szCs w:val="22"/>
          <w:lang w:eastAsia="zh-CN"/>
        </w:rPr>
        <w:t>废水量1200m</w:t>
      </w:r>
      <w:r>
        <w:rPr>
          <w:rFonts w:hint="eastAsia" w:eastAsia="华文仿宋"/>
          <w:color w:val="auto"/>
          <w:sz w:val="32"/>
          <w:szCs w:val="22"/>
          <w:vertAlign w:val="superscript"/>
          <w:lang w:eastAsia="zh-CN"/>
        </w:rPr>
        <w:t>3</w:t>
      </w:r>
      <w:r>
        <w:rPr>
          <w:rFonts w:hint="eastAsia" w:eastAsia="华文仿宋"/>
          <w:color w:val="auto"/>
          <w:sz w:val="32"/>
          <w:szCs w:val="22"/>
          <w:lang w:eastAsia="zh-CN"/>
        </w:rPr>
        <w:t>/a、CODcr：0.408t/a；氨氮：</w:t>
      </w:r>
      <w:r>
        <w:rPr>
          <w:rFonts w:hint="eastAsia" w:eastAsia="华文仿宋"/>
          <w:color w:val="auto"/>
          <w:sz w:val="32"/>
          <w:szCs w:val="22"/>
          <w:lang w:val="en-US" w:eastAsia="zh-CN"/>
        </w:rPr>
        <w:t>0.0079</w:t>
      </w:r>
      <w:r>
        <w:rPr>
          <w:rFonts w:hint="eastAsia" w:eastAsia="华文仿宋"/>
          <w:color w:val="auto"/>
          <w:sz w:val="32"/>
          <w:szCs w:val="22"/>
          <w:lang w:eastAsia="zh-CN"/>
        </w:rPr>
        <w:t>t/a；总磷：</w:t>
      </w:r>
      <w:r>
        <w:rPr>
          <w:rFonts w:hint="eastAsia" w:eastAsia="华文仿宋"/>
          <w:color w:val="auto"/>
          <w:sz w:val="32"/>
          <w:szCs w:val="22"/>
          <w:lang w:val="en-US" w:eastAsia="zh-CN"/>
        </w:rPr>
        <w:t>0.021</w:t>
      </w:r>
      <w:r>
        <w:rPr>
          <w:rFonts w:hint="eastAsia" w:eastAsia="华文仿宋"/>
          <w:color w:val="auto"/>
          <w:sz w:val="32"/>
          <w:szCs w:val="22"/>
          <w:lang w:eastAsia="zh-CN"/>
        </w:rPr>
        <w:t>t/a，纳入</w:t>
      </w:r>
      <w:r>
        <w:rPr>
          <w:rFonts w:hint="eastAsia" w:eastAsia="华文仿宋"/>
          <w:color w:val="auto"/>
          <w:sz w:val="32"/>
          <w:szCs w:val="22"/>
          <w:lang w:val="zh-CN" w:eastAsia="zh-CN"/>
        </w:rPr>
        <w:t>二街片区生活污水处理厂</w:t>
      </w:r>
      <w:r>
        <w:rPr>
          <w:rFonts w:hint="eastAsia" w:eastAsia="华文仿宋"/>
          <w:color w:val="auto"/>
          <w:sz w:val="32"/>
          <w:szCs w:val="22"/>
          <w:lang w:eastAsia="zh-CN"/>
        </w:rPr>
        <w:t>考核。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eastAsia="zh-CN"/>
        </w:rPr>
        <w:t>三、</w:t>
      </w:r>
      <w:r>
        <w:rPr>
          <w:rFonts w:hint="eastAsia" w:eastAsia="华文仿宋"/>
          <w:color w:val="auto"/>
          <w:sz w:val="32"/>
          <w:szCs w:val="22"/>
          <w:lang w:eastAsia="zh-CN"/>
        </w:rPr>
        <w:t>运营期废气主要包括：运营期废气主要为项目运营期废气主要为切割、钻孔、打磨粉尘、焊接烟尘、喷塑废气、固化废气、施胶废气、食堂油烟。</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eastAsia="zh-CN"/>
        </w:rPr>
      </w:pPr>
      <w:r>
        <w:rPr>
          <w:rFonts w:hint="default" w:eastAsia="华文仿宋"/>
          <w:color w:val="auto"/>
          <w:sz w:val="32"/>
          <w:szCs w:val="22"/>
          <w:lang w:val="en-US" w:eastAsia="zh-CN"/>
        </w:rPr>
        <w:t>项目产生废气的车间应合理布局，加强通风。</w:t>
      </w:r>
      <w:r>
        <w:rPr>
          <w:rFonts w:hint="default" w:eastAsia="华文仿宋"/>
          <w:color w:val="auto"/>
          <w:sz w:val="32"/>
          <w:szCs w:val="22"/>
          <w:lang w:eastAsia="zh-CN"/>
        </w:rPr>
        <w:t>喷塑废气：主要为人工喷塑产生的颗粒物设备上方分别设置集气罩集气罩收集后，采用1套旋风分离器+脉冲滤芯除尘装置处理后，通过1根15m高的排气筒（DA001）</w:t>
      </w:r>
      <w:r>
        <w:rPr>
          <w:rFonts w:hint="default" w:eastAsia="华文仿宋"/>
          <w:color w:val="auto"/>
          <w:sz w:val="32"/>
          <w:szCs w:val="22"/>
          <w:lang w:val="en-US" w:eastAsia="zh-CN"/>
        </w:rPr>
        <w:t>排放</w:t>
      </w:r>
      <w:r>
        <w:rPr>
          <w:rFonts w:hint="default" w:eastAsia="华文仿宋"/>
          <w:color w:val="auto"/>
          <w:sz w:val="32"/>
          <w:szCs w:val="22"/>
          <w:lang w:eastAsia="zh-CN"/>
        </w:rPr>
        <w:t>。颗粒物</w:t>
      </w:r>
      <w:r>
        <w:rPr>
          <w:rFonts w:hint="default" w:eastAsia="华文仿宋"/>
          <w:color w:val="auto"/>
          <w:sz w:val="32"/>
          <w:szCs w:val="22"/>
          <w:lang w:val="en-US" w:eastAsia="zh-CN"/>
        </w:rPr>
        <w:t>执行</w:t>
      </w:r>
      <w:r>
        <w:rPr>
          <w:rFonts w:hint="default" w:eastAsia="华文仿宋"/>
          <w:color w:val="auto"/>
          <w:sz w:val="32"/>
          <w:szCs w:val="22"/>
          <w:lang w:eastAsia="zh-CN"/>
        </w:rPr>
        <w:t>《大气污染物综合排放标准》（GB16297-1996）表2规定的二级标准限值，即：颗粒物≤120mg/m3、1.75kg/h（排气筒未高出周围200m半径范围的建筑5m以上，排放速率标准值严格50%执行）。</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val="en-US" w:eastAsia="zh-CN"/>
        </w:rPr>
      </w:pPr>
      <w:r>
        <w:rPr>
          <w:rFonts w:hint="eastAsia" w:eastAsia="华文仿宋"/>
          <w:color w:val="auto"/>
          <w:sz w:val="32"/>
          <w:szCs w:val="22"/>
          <w:lang w:val="en-US" w:eastAsia="zh-CN"/>
        </w:rPr>
        <w:t>固化废气：</w:t>
      </w:r>
      <w:r>
        <w:rPr>
          <w:rFonts w:hint="default" w:eastAsia="华文仿宋"/>
          <w:color w:val="auto"/>
          <w:sz w:val="32"/>
          <w:szCs w:val="22"/>
          <w:lang w:val="en-US" w:eastAsia="zh-CN"/>
        </w:rPr>
        <w:t>液化石油气燃烧废气与固化工件直接接触</w:t>
      </w:r>
      <w:r>
        <w:rPr>
          <w:rFonts w:hint="eastAsia" w:eastAsia="华文仿宋"/>
          <w:color w:val="auto"/>
          <w:sz w:val="32"/>
          <w:szCs w:val="22"/>
          <w:lang w:val="en-US" w:eastAsia="zh-CN"/>
        </w:rPr>
        <w:t>，固化废气包括固化过程产生的挥发性有机物及液化石油气燃烧废气，主要污染物为挥发性有机物（以非甲烷总烃计）、SO2、NOx、颗粒物。液化石油气燃烧废气（SO2、NOx、颗粒物）、固化过程产生的挥发性有机物（以非甲烷总烃计）的混合废气一同经固化间外进出口上方的集气罩收集后，通过1套UV光解+活性炭吸附</w:t>
      </w:r>
      <w:r>
        <w:rPr>
          <w:rFonts w:hint="eastAsia" w:eastAsia="华文仿宋"/>
          <w:color w:val="auto"/>
          <w:sz w:val="32"/>
          <w:szCs w:val="22"/>
          <w:lang w:val="en-GB" w:eastAsia="zh-CN"/>
        </w:rPr>
        <w:t>装置</w:t>
      </w:r>
      <w:r>
        <w:rPr>
          <w:rFonts w:hint="eastAsia" w:eastAsia="华文仿宋"/>
          <w:color w:val="auto"/>
          <w:sz w:val="32"/>
          <w:szCs w:val="22"/>
          <w:lang w:val="en-US" w:eastAsia="zh-CN"/>
        </w:rPr>
        <w:t>处理，处理后的混合废气由1根15m高的排气筒（DA002）排放。挥发性有机物（以非甲烷总烃计）、SO</w:t>
      </w:r>
      <w:r>
        <w:rPr>
          <w:rFonts w:hint="eastAsia" w:eastAsia="华文仿宋"/>
          <w:color w:val="auto"/>
          <w:sz w:val="32"/>
          <w:szCs w:val="22"/>
          <w:vertAlign w:val="subscript"/>
          <w:lang w:val="en-US" w:eastAsia="zh-CN"/>
        </w:rPr>
        <w:t>2</w:t>
      </w:r>
      <w:r>
        <w:rPr>
          <w:rFonts w:hint="eastAsia" w:eastAsia="华文仿宋"/>
          <w:color w:val="auto"/>
          <w:sz w:val="32"/>
          <w:szCs w:val="22"/>
          <w:lang w:val="en-US" w:eastAsia="zh-CN"/>
        </w:rPr>
        <w:t>、NO</w:t>
      </w:r>
      <w:r>
        <w:rPr>
          <w:rFonts w:hint="eastAsia" w:eastAsia="华文仿宋"/>
          <w:color w:val="auto"/>
          <w:sz w:val="32"/>
          <w:szCs w:val="22"/>
          <w:vertAlign w:val="subscript"/>
          <w:lang w:val="en-US" w:eastAsia="zh-CN"/>
        </w:rPr>
        <w:t>x</w:t>
      </w:r>
      <w:r>
        <w:rPr>
          <w:rFonts w:hint="eastAsia" w:eastAsia="华文仿宋"/>
          <w:color w:val="auto"/>
          <w:sz w:val="32"/>
          <w:szCs w:val="22"/>
          <w:lang w:val="en-US" w:eastAsia="zh-CN"/>
        </w:rPr>
        <w:t>、颗粒物满足《大气污染物综合排放标准》（GB16297-1996）表2二级标准，即：颗粒物≤120mg/m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、1.75kg/h，非甲烷总烃≤120mg/m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、5kg/h，SO</w:t>
      </w:r>
      <w:r>
        <w:rPr>
          <w:rFonts w:hint="eastAsia" w:eastAsia="华文仿宋"/>
          <w:color w:val="auto"/>
          <w:sz w:val="32"/>
          <w:szCs w:val="22"/>
          <w:vertAlign w:val="subscript"/>
          <w:lang w:val="en-US" w:eastAsia="zh-CN"/>
        </w:rPr>
        <w:t>2</w:t>
      </w:r>
      <w:r>
        <w:rPr>
          <w:rFonts w:hint="eastAsia" w:eastAsia="华文仿宋"/>
          <w:color w:val="auto"/>
          <w:sz w:val="32"/>
          <w:szCs w:val="22"/>
          <w:lang w:val="en-US" w:eastAsia="zh-CN"/>
        </w:rPr>
        <w:t>≤550mg/m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,1.3kg/h，NO</w:t>
      </w:r>
      <w:r>
        <w:rPr>
          <w:rFonts w:hint="eastAsia" w:eastAsia="华文仿宋"/>
          <w:color w:val="auto"/>
          <w:sz w:val="32"/>
          <w:szCs w:val="22"/>
          <w:vertAlign w:val="subscript"/>
          <w:lang w:val="en-US" w:eastAsia="zh-CN"/>
        </w:rPr>
        <w:t>x</w:t>
      </w:r>
      <w:r>
        <w:rPr>
          <w:rFonts w:hint="eastAsia" w:eastAsia="华文仿宋"/>
          <w:color w:val="auto"/>
          <w:sz w:val="32"/>
          <w:szCs w:val="22"/>
          <w:lang w:val="en-US" w:eastAsia="zh-CN"/>
        </w:rPr>
        <w:t>≤240mg/m</w:t>
      </w:r>
      <w:r>
        <w:rPr>
          <w:rFonts w:hint="eastAsia" w:eastAsia="华文仿宋"/>
          <w:color w:val="auto"/>
          <w:sz w:val="32"/>
          <w:szCs w:val="22"/>
          <w:vertAlign w:val="superscript"/>
          <w:lang w:val="en-US" w:eastAsia="zh-CN"/>
        </w:rPr>
        <w:t>3</w:t>
      </w:r>
      <w:r>
        <w:rPr>
          <w:rFonts w:hint="eastAsia" w:eastAsia="华文仿宋"/>
          <w:color w:val="auto"/>
          <w:sz w:val="32"/>
          <w:szCs w:val="22"/>
          <w:lang w:val="en-US" w:eastAsia="zh-CN"/>
        </w:rPr>
        <w:t>、0.385kg/h（排气筒未高出周围200m半径范围的建筑5m以上，排放速率标准值严格50%执行）。</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eastAsia="zh-CN"/>
        </w:rPr>
      </w:pPr>
      <w:r>
        <w:rPr>
          <w:rFonts w:hint="default" w:eastAsia="华文仿宋"/>
          <w:color w:val="auto"/>
          <w:sz w:val="32"/>
          <w:szCs w:val="22"/>
          <w:lang w:eastAsia="zh-CN"/>
        </w:rPr>
        <w:t>项目无组织排放废气主要为切割、钻孔、打磨粉尘和焊接烟尘，喷塑、固化过程未收集的废气，施胶废气。主要污染物为：颗粒物、挥发性有机物（以非甲烷总烃计）、SO</w:t>
      </w:r>
      <w:r>
        <w:rPr>
          <w:rFonts w:hint="default" w:eastAsia="华文仿宋"/>
          <w:color w:val="auto"/>
          <w:sz w:val="32"/>
          <w:szCs w:val="22"/>
          <w:vertAlign w:val="subscript"/>
          <w:lang w:eastAsia="zh-CN"/>
        </w:rPr>
        <w:t>2</w:t>
      </w:r>
      <w:r>
        <w:rPr>
          <w:rFonts w:hint="default" w:eastAsia="华文仿宋"/>
          <w:color w:val="auto"/>
          <w:sz w:val="32"/>
          <w:szCs w:val="22"/>
          <w:lang w:eastAsia="zh-CN"/>
        </w:rPr>
        <w:t>、NO</w:t>
      </w:r>
      <w:r>
        <w:rPr>
          <w:rFonts w:hint="default" w:eastAsia="华文仿宋"/>
          <w:color w:val="auto"/>
          <w:sz w:val="32"/>
          <w:szCs w:val="22"/>
          <w:vertAlign w:val="subscript"/>
          <w:lang w:eastAsia="zh-CN"/>
        </w:rPr>
        <w:t>x</w:t>
      </w:r>
      <w:r>
        <w:rPr>
          <w:rFonts w:hint="default" w:eastAsia="华文仿宋"/>
          <w:color w:val="auto"/>
          <w:sz w:val="32"/>
          <w:szCs w:val="22"/>
          <w:lang w:eastAsia="zh-CN"/>
        </w:rPr>
        <w:t>。无组织排放浓度满足《大气污染物综合排放标准》（GB16297-1996）中的无组织排放监控浓度限值，即：周界外浓度最高点颗粒物≤1.0mg/m</w:t>
      </w:r>
      <w:r>
        <w:rPr>
          <w:rFonts w:hint="default" w:eastAsia="华文仿宋"/>
          <w:color w:val="auto"/>
          <w:sz w:val="32"/>
          <w:szCs w:val="22"/>
          <w:vertAlign w:val="superscript"/>
          <w:lang w:eastAsia="zh-CN"/>
        </w:rPr>
        <w:t>3</w:t>
      </w:r>
      <w:r>
        <w:rPr>
          <w:rFonts w:hint="default" w:eastAsia="华文仿宋"/>
          <w:color w:val="auto"/>
          <w:sz w:val="32"/>
          <w:szCs w:val="22"/>
          <w:lang w:eastAsia="zh-CN"/>
        </w:rPr>
        <w:t>、非甲烷总烃≤4.0mg/m</w:t>
      </w:r>
      <w:r>
        <w:rPr>
          <w:rFonts w:hint="default" w:eastAsia="华文仿宋"/>
          <w:color w:val="auto"/>
          <w:sz w:val="32"/>
          <w:szCs w:val="22"/>
          <w:vertAlign w:val="superscript"/>
          <w:lang w:eastAsia="zh-CN"/>
        </w:rPr>
        <w:t>3</w:t>
      </w:r>
      <w:r>
        <w:rPr>
          <w:rFonts w:hint="default" w:eastAsia="华文仿宋"/>
          <w:color w:val="auto"/>
          <w:sz w:val="32"/>
          <w:szCs w:val="22"/>
          <w:lang w:eastAsia="zh-CN"/>
        </w:rPr>
        <w:t>、SO2≤0.4mg/m</w:t>
      </w:r>
      <w:r>
        <w:rPr>
          <w:rFonts w:hint="default" w:eastAsia="华文仿宋"/>
          <w:color w:val="auto"/>
          <w:sz w:val="32"/>
          <w:szCs w:val="22"/>
          <w:vertAlign w:val="superscript"/>
          <w:lang w:eastAsia="zh-CN"/>
        </w:rPr>
        <w:t>3</w:t>
      </w:r>
      <w:r>
        <w:rPr>
          <w:rFonts w:hint="default" w:eastAsia="华文仿宋"/>
          <w:color w:val="auto"/>
          <w:sz w:val="32"/>
          <w:szCs w:val="22"/>
          <w:lang w:eastAsia="zh-CN"/>
        </w:rPr>
        <w:t>、NOx≤0.12mg/m</w:t>
      </w:r>
      <w:r>
        <w:rPr>
          <w:rFonts w:hint="default" w:eastAsia="华文仿宋"/>
          <w:color w:val="auto"/>
          <w:sz w:val="32"/>
          <w:szCs w:val="22"/>
          <w:vertAlign w:val="superscript"/>
          <w:lang w:eastAsia="zh-CN"/>
        </w:rPr>
        <w:t>3</w:t>
      </w:r>
      <w:r>
        <w:rPr>
          <w:rFonts w:hint="default" w:eastAsia="华文仿宋"/>
          <w:color w:val="auto"/>
          <w:sz w:val="32"/>
          <w:szCs w:val="22"/>
          <w:lang w:eastAsia="zh-CN"/>
        </w:rPr>
        <w:t>；厂区内无组织排放挥发性有机物满足《挥发性有机物无组织排放控制标准》（GB37822-2019）浓度限值，即监控点处1h平均浓度≤10mg/m</w:t>
      </w:r>
      <w:r>
        <w:rPr>
          <w:rFonts w:hint="default" w:eastAsia="华文仿宋"/>
          <w:color w:val="auto"/>
          <w:sz w:val="32"/>
          <w:szCs w:val="22"/>
          <w:vertAlign w:val="superscript"/>
          <w:lang w:eastAsia="zh-CN"/>
        </w:rPr>
        <w:t>3</w:t>
      </w:r>
      <w:r>
        <w:rPr>
          <w:rFonts w:hint="default" w:eastAsia="华文仿宋"/>
          <w:color w:val="auto"/>
          <w:sz w:val="32"/>
          <w:szCs w:val="22"/>
          <w:lang w:eastAsia="zh-CN"/>
        </w:rPr>
        <w:t>，监控点处任意一次浓度≤30mg/m</w:t>
      </w:r>
      <w:r>
        <w:rPr>
          <w:rFonts w:hint="default" w:eastAsia="华文仿宋"/>
          <w:color w:val="auto"/>
          <w:sz w:val="32"/>
          <w:szCs w:val="22"/>
          <w:vertAlign w:val="superscript"/>
          <w:lang w:eastAsia="zh-CN"/>
        </w:rPr>
        <w:t>3</w:t>
      </w:r>
      <w:r>
        <w:rPr>
          <w:rFonts w:hint="default" w:eastAsia="华文仿宋"/>
          <w:color w:val="auto"/>
          <w:sz w:val="32"/>
          <w:szCs w:val="22"/>
          <w:lang w:eastAsia="zh-CN"/>
        </w:rPr>
        <w:t>。</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val="en-US" w:eastAsia="zh-CN"/>
        </w:rPr>
        <w:t>项目废气污染物总量控制指标：</w:t>
      </w:r>
      <w:r>
        <w:rPr>
          <w:rFonts w:hint="eastAsia" w:eastAsia="华文仿宋"/>
          <w:color w:val="auto"/>
          <w:sz w:val="32"/>
          <w:szCs w:val="22"/>
          <w:lang w:eastAsia="zh-CN"/>
        </w:rPr>
        <w:t>项目有组织废气量废气量约为</w:t>
      </w:r>
      <w:r>
        <w:rPr>
          <w:rFonts w:hint="eastAsia" w:eastAsia="华文仿宋"/>
          <w:color w:val="auto"/>
          <w:sz w:val="32"/>
          <w:szCs w:val="22"/>
          <w:lang w:val="en-US" w:eastAsia="zh-CN"/>
        </w:rPr>
        <w:t>1440</w:t>
      </w:r>
      <w:r>
        <w:rPr>
          <w:rFonts w:hint="eastAsia" w:eastAsia="华文仿宋"/>
          <w:color w:val="auto"/>
          <w:sz w:val="32"/>
          <w:szCs w:val="22"/>
          <w:lang w:eastAsia="zh-CN"/>
        </w:rPr>
        <w:t>万m</w:t>
      </w:r>
      <w:r>
        <w:rPr>
          <w:rFonts w:hint="eastAsia" w:eastAsia="华文仿宋"/>
          <w:color w:val="auto"/>
          <w:sz w:val="32"/>
          <w:szCs w:val="22"/>
          <w:vertAlign w:val="superscript"/>
          <w:lang w:eastAsia="zh-CN"/>
        </w:rPr>
        <w:t>3</w:t>
      </w:r>
      <w:r>
        <w:rPr>
          <w:rFonts w:hint="eastAsia" w:eastAsia="华文仿宋"/>
          <w:color w:val="auto"/>
          <w:sz w:val="32"/>
          <w:szCs w:val="22"/>
          <w:lang w:eastAsia="zh-CN"/>
        </w:rPr>
        <w:t>/a。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szCs w:val="22"/>
          <w:lang w:eastAsia="zh-CN"/>
        </w:rPr>
        <w:t>颗粒物：</w:t>
      </w:r>
      <w:r>
        <w:rPr>
          <w:rFonts w:hint="eastAsia" w:eastAsia="华文仿宋"/>
          <w:color w:val="auto"/>
          <w:sz w:val="32"/>
          <w:szCs w:val="22"/>
          <w:lang w:val="en-US" w:eastAsia="zh-CN"/>
        </w:rPr>
        <w:t>0.073</w:t>
      </w:r>
      <w:r>
        <w:rPr>
          <w:rFonts w:hint="eastAsia" w:eastAsia="华文仿宋"/>
          <w:color w:val="auto"/>
          <w:sz w:val="32"/>
          <w:szCs w:val="22"/>
          <w:lang w:eastAsia="zh-CN"/>
        </w:rPr>
        <w:t>t/a，挥发性有机物（以非甲烷总烃计）：</w:t>
      </w:r>
      <w:r>
        <w:rPr>
          <w:rFonts w:hint="eastAsia" w:eastAsia="华文仿宋"/>
          <w:color w:val="auto"/>
          <w:sz w:val="32"/>
          <w:szCs w:val="22"/>
          <w:lang w:val="en-US" w:eastAsia="zh-CN"/>
        </w:rPr>
        <w:t>0.00122</w:t>
      </w:r>
      <w:r>
        <w:rPr>
          <w:rFonts w:hint="eastAsia" w:eastAsia="华文仿宋"/>
          <w:color w:val="auto"/>
          <w:sz w:val="32"/>
          <w:szCs w:val="22"/>
          <w:lang w:eastAsia="zh-CN"/>
        </w:rPr>
        <w:t>t/a，二氧化硫为：</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szCs w:val="22"/>
          <w:lang w:val="en-US" w:eastAsia="zh-CN"/>
        </w:rPr>
        <w:t>0.0000000003</w:t>
      </w:r>
      <w:r>
        <w:rPr>
          <w:rFonts w:hint="eastAsia" w:eastAsia="华文仿宋"/>
          <w:color w:val="auto"/>
          <w:sz w:val="32"/>
          <w:szCs w:val="22"/>
          <w:lang w:eastAsia="zh-CN"/>
        </w:rPr>
        <w:t>t/a，氮氧化物为：0.01455t/a。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eastAsia" w:eastAsia="华文仿宋"/>
          <w:color w:val="auto"/>
          <w:sz w:val="32"/>
          <w:szCs w:val="22"/>
          <w:lang w:eastAsia="zh-CN"/>
        </w:rPr>
        <w:t>无组织排放</w:t>
      </w:r>
      <w:r>
        <w:rPr>
          <w:rFonts w:hint="eastAsia" w:eastAsia="华文仿宋"/>
          <w:color w:val="auto"/>
          <w:sz w:val="32"/>
          <w:szCs w:val="22"/>
          <w:lang w:val="en-US" w:eastAsia="zh-CN"/>
        </w:rPr>
        <w:t>量：</w:t>
      </w:r>
      <w:r>
        <w:rPr>
          <w:rFonts w:hint="eastAsia" w:eastAsia="华文仿宋"/>
          <w:color w:val="auto"/>
          <w:sz w:val="32"/>
          <w:szCs w:val="22"/>
          <w:lang w:eastAsia="zh-CN"/>
        </w:rPr>
        <w:t>挥发性有机物（以非甲烷总烃计）为0.10</w:t>
      </w:r>
      <w:r>
        <w:rPr>
          <w:rFonts w:hint="eastAsia" w:eastAsia="华文仿宋"/>
          <w:color w:val="auto"/>
          <w:sz w:val="32"/>
          <w:szCs w:val="22"/>
          <w:lang w:val="en-US" w:eastAsia="zh-CN"/>
        </w:rPr>
        <w:t>9</w:t>
      </w:r>
      <w:r>
        <w:rPr>
          <w:rFonts w:hint="eastAsia" w:eastAsia="华文仿宋"/>
          <w:color w:val="auto"/>
          <w:sz w:val="32"/>
          <w:szCs w:val="22"/>
          <w:lang w:eastAsia="zh-CN"/>
        </w:rPr>
        <w:t>98t/a。二氧化硫为：</w:t>
      </w:r>
      <w:r>
        <w:rPr>
          <w:rFonts w:hint="eastAsia" w:eastAsia="华文仿宋"/>
          <w:color w:val="auto"/>
          <w:sz w:val="32"/>
          <w:szCs w:val="22"/>
          <w:lang w:val="en-US" w:eastAsia="zh-CN"/>
        </w:rPr>
        <w:t>0.00000000005</w:t>
      </w:r>
      <w:r>
        <w:rPr>
          <w:rFonts w:hint="eastAsia" w:eastAsia="华文仿宋"/>
          <w:color w:val="auto"/>
          <w:sz w:val="32"/>
          <w:szCs w:val="22"/>
          <w:lang w:eastAsia="zh-CN"/>
        </w:rPr>
        <w:t xml:space="preserve"> t/a，氮氧化物为：0.002568t/a，颗粒物为：</w:t>
      </w:r>
      <w:r>
        <w:rPr>
          <w:rFonts w:hint="eastAsia" w:eastAsia="华文仿宋"/>
          <w:color w:val="auto"/>
          <w:sz w:val="32"/>
          <w:szCs w:val="22"/>
          <w:lang w:val="en-US" w:eastAsia="zh-CN"/>
        </w:rPr>
        <w:t>0.4211</w:t>
      </w:r>
      <w:r>
        <w:rPr>
          <w:rFonts w:hint="eastAsia" w:eastAsia="华文仿宋"/>
          <w:color w:val="auto"/>
          <w:sz w:val="32"/>
          <w:szCs w:val="22"/>
          <w:lang w:eastAsia="zh-CN"/>
        </w:rPr>
        <w:t>t/a</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食堂厨房油烟经油烟净化器处置后须达到《饮食业油烟排放标准》（GB18483-2001)小型规模标准要求，即：油烟最高允许排放浓度≤2.0mg/m3, 净化设施去除效率≥60%,，油烟需通过专门的排气筒排放，排放高度高于周围10米内建筑物1.5米以上。</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val="en-US" w:eastAsia="zh-CN"/>
        </w:rPr>
        <w:t>四、项目运营期产生噪声的场所应合理布局，</w:t>
      </w:r>
      <w:r>
        <w:rPr>
          <w:rFonts w:hint="default" w:eastAsia="华文仿宋"/>
          <w:color w:val="auto"/>
          <w:sz w:val="32"/>
          <w:szCs w:val="22"/>
          <w:lang w:eastAsia="zh-CN"/>
        </w:rPr>
        <w:t>选择低噪声设备；</w:t>
      </w:r>
      <w:r>
        <w:rPr>
          <w:rFonts w:hint="eastAsia" w:eastAsia="华文仿宋"/>
          <w:color w:val="auto"/>
          <w:sz w:val="32"/>
          <w:szCs w:val="22"/>
          <w:lang w:eastAsia="zh-CN"/>
        </w:rPr>
        <w:t>项目厂界东、西、北侧厂界昼间噪声能达到《工业企业厂界环境噪声排放标准》（GB12348-2008）3类标准，即：昼间≤65dB；临园区道路樟木箐支线一侧（南侧）厂界昼间噪声能达到4类标准，即：昼间≤70dB。</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eastAsia="zh-CN"/>
        </w:rPr>
        <w:t>五、</w:t>
      </w:r>
      <w:r>
        <w:rPr>
          <w:rFonts w:hint="default" w:eastAsia="华文仿宋"/>
          <w:color w:val="auto"/>
          <w:sz w:val="32"/>
          <w:szCs w:val="22"/>
          <w:lang w:val="en-US" w:eastAsia="zh-CN"/>
        </w:rPr>
        <w:t>项目固体废物应分类收集，</w:t>
      </w:r>
      <w:r>
        <w:rPr>
          <w:rFonts w:hint="eastAsia" w:eastAsia="华文仿宋"/>
          <w:color w:val="auto"/>
          <w:sz w:val="32"/>
          <w:szCs w:val="22"/>
          <w:lang w:val="en-US" w:eastAsia="zh-CN"/>
        </w:rPr>
        <w:t>生产过程中产生的</w:t>
      </w:r>
      <w:r>
        <w:rPr>
          <w:rFonts w:hint="eastAsia" w:eastAsia="华文仿宋"/>
          <w:color w:val="auto"/>
          <w:sz w:val="32"/>
          <w:szCs w:val="22"/>
          <w:lang w:eastAsia="zh-CN"/>
        </w:rPr>
        <w:t>废包装材料、金属屑、废边角料、焊渣、收集后外售至废品回收站，收尘系统回收的塑粉全部回用于喷塑工艺。生活垃圾委托环卫部门清运处置。隔油池油污委托有资质的单位处置。危险废物经收集后暂存于危废暂存间，定期委托有资质的单位处理，危险废物贮存及危废间设置严格执行《危险废物贮存污染控制标准》（GB18597-2001）及其修改单的相关规定。</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eastAsia="zh-CN"/>
        </w:rPr>
      </w:pPr>
      <w:r>
        <w:rPr>
          <w:rFonts w:hint="default" w:eastAsia="华文仿宋"/>
          <w:color w:val="auto"/>
          <w:sz w:val="32"/>
          <w:szCs w:val="22"/>
          <w:lang w:val="en-US" w:eastAsia="zh-CN"/>
        </w:rPr>
        <w:t>六、</w:t>
      </w:r>
      <w:r>
        <w:rPr>
          <w:rFonts w:hint="default" w:eastAsia="华文仿宋"/>
          <w:color w:val="auto"/>
          <w:sz w:val="32"/>
          <w:szCs w:val="22"/>
          <w:lang w:eastAsia="zh-CN"/>
        </w:rPr>
        <w:t>禁止使用含磷洗涤用品及一次性不可降解塑料餐饮具。</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七、建立完善的环境风险管理制度及风险防范应急措施，防止环境污染事故发生。</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八、 根据《中华人民共和国环境噪声污染防治法》 第二十九条有关规定，施工单位工程开工必须提前十五日向我局办理建筑噪声的排污申报手续。因特殊情况需要夜间连续作业的，施工单位必须持有关主管部门的证明向我局登记备案，于连续施工之日1天前公告附近居民和单位。并按规定到相关部门办理其它有关手续。</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九、《报告表》应当作为项目环境保护设计、建设及运行管理的依据, 项目应认真落实各项环保对策措施, 环保设施应与主体工程同时设计，同时施工，同时投入使用。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严格遵守《建设项目环境保护条例》、《云南省排放污染物许可证管理办法(试行)》，项目竣工后，应经我局批准后方可投入试运行。试运行三个月内须委托有资质的环境监测部门进行验收监测，并经环保部门验收合格并办理《排放污染物许可证》后，方可投入正式使用。</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十、项目的性质、规模、地点、采用的生产工艺或者防治污染、防止生态破坏的措施发生变动的，应当重新向我局报批建设项目的环境影响评价文件。</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default" w:eastAsia="华文仿宋"/>
          <w:color w:val="auto"/>
          <w:sz w:val="32"/>
          <w:szCs w:val="22"/>
          <w:lang w:val="en-US" w:eastAsia="zh-CN"/>
        </w:rPr>
      </w:pPr>
      <w:r>
        <w:rPr>
          <w:rFonts w:hint="default" w:eastAsia="华文仿宋"/>
          <w:color w:val="auto"/>
          <w:sz w:val="32"/>
          <w:szCs w:val="22"/>
          <w:lang w:val="en-US" w:eastAsia="zh-CN"/>
        </w:rPr>
        <w:t>自本批复之日起超过五年项目方开建设的，环境影响评价文件应当报我局重新审核。</w:t>
      </w:r>
    </w:p>
    <w:p>
      <w:pPr>
        <w:keepNext w:val="0"/>
        <w:keepLines w:val="0"/>
        <w:pageBreakBefore w:val="0"/>
        <w:widowControl/>
        <w:kinsoku/>
        <w:wordWrap/>
        <w:overflowPunct/>
        <w:topLinePunct w:val="0"/>
        <w:autoSpaceDE/>
        <w:autoSpaceDN/>
        <w:bidi w:val="0"/>
        <w:snapToGrid w:val="0"/>
        <w:spacing w:before="0" w:beforeLines="0" w:after="0" w:afterLines="0" w:line="600" w:lineRule="exact"/>
        <w:ind w:left="0" w:leftChars="0" w:right="0" w:rightChars="0" w:firstLine="470" w:firstLineChars="147"/>
        <w:jc w:val="both"/>
        <w:rPr>
          <w:rFonts w:hint="eastAsia" w:eastAsia="华文仿宋"/>
          <w:color w:val="auto"/>
          <w:sz w:val="32"/>
          <w:szCs w:val="22"/>
          <w:lang w:eastAsia="zh-CN"/>
        </w:rPr>
      </w:pPr>
      <w:r>
        <w:rPr>
          <w:rFonts w:hint="default" w:eastAsia="华文仿宋"/>
          <w:color w:val="auto"/>
          <w:sz w:val="32"/>
          <w:szCs w:val="22"/>
          <w:lang w:val="en-US" w:eastAsia="zh-CN"/>
        </w:rPr>
        <w:t>十一、依法到国土、规划、住建、水务、发改经贸等部门办理其他相关手续。</w:t>
      </w:r>
    </w:p>
    <w:p>
      <w:pPr>
        <w:pStyle w:val="8"/>
        <w:keepNext w:val="0"/>
        <w:keepLines w:val="0"/>
        <w:pageBreakBefore w:val="0"/>
        <w:kinsoku/>
        <w:wordWrap/>
        <w:overflowPunct/>
        <w:topLinePunct w:val="0"/>
        <w:autoSpaceDE/>
        <w:autoSpaceDN/>
        <w:bidi w:val="0"/>
        <w:snapToGrid w:val="0"/>
        <w:spacing w:before="0" w:beforeLines="0" w:after="0" w:afterLines="0" w:line="600" w:lineRule="exact"/>
        <w:ind w:left="0" w:leftChars="0" w:right="0" w:rightChars="0" w:firstLine="0" w:firstLineChars="0"/>
        <w:jc w:val="both"/>
        <w:outlineLvl w:val="9"/>
      </w:pPr>
    </w:p>
    <w:p>
      <w:pPr>
        <w:spacing w:line="560" w:lineRule="exact"/>
        <w:ind w:left="0" w:leftChars="0" w:firstLine="0" w:firstLineChars="0"/>
        <w:jc w:val="both"/>
        <w:textAlignment w:val="baseline"/>
        <w:rPr>
          <w:rFonts w:ascii="Times New Roman" w:hAnsi="Times New Roman" w:eastAsia="华文仿宋"/>
          <w:sz w:val="32"/>
        </w:rPr>
      </w:pPr>
      <w:r>
        <w:rPr>
          <w:rFonts w:hint="eastAsia" w:ascii="Times New Roman" w:hAnsi="Times New Roman" w:eastAsia="华文仿宋"/>
          <w:sz w:val="32"/>
          <w:lang w:val="en-US" w:eastAsia="zh-CN"/>
        </w:rPr>
        <w:t xml:space="preserve">                    </w:t>
      </w:r>
      <w:r>
        <w:rPr>
          <w:rFonts w:ascii="Times New Roman" w:hAnsi="Times New Roman" w:eastAsia="华文仿宋"/>
          <w:sz w:val="32"/>
        </w:rPr>
        <w:t xml:space="preserve">    昆明市</w:t>
      </w:r>
      <w:r>
        <w:rPr>
          <w:rFonts w:hint="eastAsia" w:ascii="Times New Roman" w:hAnsi="Times New Roman" w:eastAsia="华文仿宋"/>
          <w:sz w:val="32"/>
          <w:lang w:eastAsia="zh-CN"/>
        </w:rPr>
        <w:t>生态</w:t>
      </w:r>
      <w:r>
        <w:rPr>
          <w:rFonts w:ascii="Times New Roman" w:hAnsi="Times New Roman" w:eastAsia="华文仿宋"/>
          <w:sz w:val="32"/>
        </w:rPr>
        <w:t>环境局</w:t>
      </w:r>
      <w:r>
        <w:rPr>
          <w:rFonts w:hint="eastAsia" w:ascii="Times New Roman" w:hAnsi="Times New Roman" w:eastAsia="华文仿宋"/>
          <w:sz w:val="32"/>
          <w:lang w:eastAsia="zh-CN"/>
        </w:rPr>
        <w:t>晋宁分局</w:t>
      </w:r>
    </w:p>
    <w:p>
      <w:pPr>
        <w:spacing w:line="560" w:lineRule="exact"/>
        <w:ind w:firstLine="4480" w:firstLineChars="1400"/>
        <w:textAlignment w:val="baseline"/>
      </w:pPr>
      <w:r>
        <w:rPr>
          <w:rFonts w:ascii="Times New Roman" w:hAnsi="Times New Roman" w:eastAsia="华文仿宋"/>
          <w:color w:val="000000"/>
          <w:sz w:val="32"/>
          <w:u w:val="none"/>
        </w:rPr>
        <w:t>20</w:t>
      </w:r>
      <w:r>
        <w:rPr>
          <w:rFonts w:hint="eastAsia" w:ascii="Times New Roman" w:hAnsi="Times New Roman" w:eastAsia="华文仿宋"/>
          <w:color w:val="000000"/>
          <w:sz w:val="32"/>
          <w:u w:val="none"/>
          <w:lang w:val="en-US" w:eastAsia="zh-CN"/>
        </w:rPr>
        <w:t>22</w:t>
      </w:r>
      <w:r>
        <w:rPr>
          <w:rFonts w:ascii="Times New Roman" w:hAnsi="Times New Roman" w:eastAsia="华文仿宋"/>
          <w:color w:val="000000"/>
          <w:sz w:val="32"/>
          <w:u w:val="none"/>
        </w:rPr>
        <w:t>年</w:t>
      </w:r>
      <w:r>
        <w:rPr>
          <w:rFonts w:hint="eastAsia" w:ascii="Times New Roman" w:hAnsi="Times New Roman" w:eastAsia="华文仿宋"/>
          <w:color w:val="000000"/>
          <w:sz w:val="32"/>
          <w:u w:val="none"/>
          <w:lang w:val="en-US" w:eastAsia="zh-CN"/>
        </w:rPr>
        <w:t>6</w:t>
      </w:r>
      <w:r>
        <w:rPr>
          <w:rFonts w:ascii="Times New Roman" w:hAnsi="Times New Roman" w:eastAsia="华文仿宋"/>
          <w:color w:val="000000"/>
          <w:sz w:val="32"/>
          <w:u w:val="none"/>
        </w:rPr>
        <w:t>月</w:t>
      </w:r>
      <w:r>
        <w:rPr>
          <w:rFonts w:hint="eastAsia" w:ascii="Times New Roman" w:hAnsi="Times New Roman" w:eastAsia="华文仿宋"/>
          <w:color w:val="000000"/>
          <w:sz w:val="32"/>
          <w:u w:val="none"/>
          <w:lang w:val="en-US" w:eastAsia="zh-CN"/>
        </w:rPr>
        <w:t>8</w:t>
      </w:r>
      <w:r>
        <w:rPr>
          <w:rFonts w:ascii="Times New Roman" w:hAnsi="Times New Roman" w:eastAsia="华文仿宋"/>
          <w:color w:val="000000"/>
          <w:sz w:val="32"/>
          <w:u w:val="none"/>
        </w:rPr>
        <w:t>日</w:t>
      </w:r>
    </w:p>
    <w:p>
      <w:pPr>
        <w:pStyle w:val="2"/>
        <w:ind w:left="0" w:leftChars="0" w:firstLine="0" w:firstLineChars="0"/>
      </w:pPr>
    </w:p>
    <w:p>
      <w:pPr>
        <w:spacing w:line="560" w:lineRule="exact"/>
        <w:ind w:left="0" w:leftChars="0" w:firstLine="0" w:firstLineChars="0"/>
        <w:textAlignment w:val="baseline"/>
        <w:rPr>
          <w:rFonts w:ascii="Times New Roman" w:hAnsi="Times New Roman" w:eastAsia="华文仿宋"/>
          <w:sz w:val="32"/>
          <w:u w:val="single"/>
        </w:rPr>
      </w:pPr>
      <w:r>
        <w:rPr>
          <w:rFonts w:ascii="Times New Roman" w:hAnsi="Times New Roman" w:eastAsia="仿宋_GB2312"/>
          <w:color w:val="000000"/>
          <w:sz w:val="32"/>
          <w:u w:val="single"/>
        </w:rPr>
        <w:t xml:space="preserve">                      </w:t>
      </w:r>
      <w:r>
        <w:rPr>
          <w:rFonts w:ascii="Times New Roman" w:hAnsi="Times New Roman" w:eastAsia="华文仿宋"/>
          <w:color w:val="000000"/>
          <w:sz w:val="32"/>
          <w:u w:val="single"/>
        </w:rPr>
        <w:t xml:space="preserve">     </w:t>
      </w:r>
      <w:r>
        <w:rPr>
          <w:rFonts w:hint="eastAsia" w:ascii="Times New Roman" w:hAnsi="Times New Roman" w:eastAsia="华文仿宋"/>
          <w:color w:val="000000"/>
          <w:sz w:val="32"/>
          <w:u w:val="single"/>
          <w:lang w:val="en-US" w:eastAsia="zh-CN"/>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textAlignment w:val="baseline"/>
        <w:outlineLvl w:val="9"/>
        <w:rPr>
          <w:rFonts w:ascii="Times New Roman" w:hAnsi="Times New Roman" w:eastAsia="华文仿宋"/>
          <w:sz w:val="32"/>
        </w:rPr>
      </w:pPr>
      <w:r>
        <w:rPr>
          <w:rFonts w:ascii="Times New Roman" w:hAnsi="Times New Roman" w:eastAsia="华文仿宋"/>
          <w:sz w:val="32"/>
        </w:rPr>
        <w:t xml:space="preserve">  抄送：昆明市</w:t>
      </w:r>
      <w:r>
        <w:rPr>
          <w:rFonts w:hint="eastAsia" w:ascii="Times New Roman" w:hAnsi="Times New Roman" w:eastAsia="华文仿宋"/>
          <w:sz w:val="32"/>
          <w:lang w:eastAsia="zh-CN"/>
        </w:rPr>
        <w:t>生态</w:t>
      </w:r>
      <w:r>
        <w:rPr>
          <w:rFonts w:ascii="Times New Roman" w:hAnsi="Times New Roman" w:eastAsia="华文仿宋"/>
          <w:sz w:val="32"/>
        </w:rPr>
        <w:t xml:space="preserve">环境局        </w:t>
      </w:r>
      <w:r>
        <w:rPr>
          <w:rFonts w:hint="eastAsia" w:ascii="Times New Roman" w:hAnsi="Times New Roman" w:eastAsia="华文仿宋"/>
          <w:sz w:val="32"/>
          <w:lang w:val="en-US" w:eastAsia="zh-CN"/>
        </w:rPr>
        <w:t xml:space="preserve">            </w:t>
      </w:r>
      <w:r>
        <w:rPr>
          <w:rFonts w:hint="eastAsia" w:ascii="Times New Roman" w:hAnsi="Times New Roman" w:eastAsia="华文仿宋"/>
          <w:sz w:val="32"/>
          <w:lang w:eastAsia="zh-CN"/>
        </w:rPr>
        <w:t>二街镇</w:t>
      </w:r>
    </w:p>
    <w:p>
      <w:pPr>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right="0" w:rightChars="0" w:firstLine="0" w:firstLineChars="0"/>
        <w:jc w:val="both"/>
        <w:outlineLvl w:val="9"/>
        <w:rPr>
          <w:rFonts w:ascii="Times New Roman" w:hAnsi="Times New Roman" w:eastAsia="华文仿宋"/>
          <w:sz w:val="32"/>
          <w:u w:val="single"/>
        </w:rPr>
      </w:pPr>
      <w:r>
        <w:rPr>
          <w:rFonts w:ascii="Times New Roman" w:hAnsi="Times New Roman" w:eastAsia="华文仿宋"/>
          <w:sz w:val="32"/>
          <w:u w:val="single"/>
        </w:rPr>
        <w:t xml:space="preserve">        </w:t>
      </w:r>
      <w:r>
        <w:rPr>
          <w:rFonts w:hint="eastAsia" w:ascii="Times New Roman" w:hAnsi="Times New Roman" w:eastAsia="华文仿宋"/>
          <w:sz w:val="32"/>
          <w:u w:val="single"/>
        </w:rPr>
        <w:t>晋宁区生态环境保护综合执法大队</w:t>
      </w:r>
      <w:r>
        <w:rPr>
          <w:rFonts w:ascii="Times New Roman" w:hAnsi="Times New Roman" w:eastAsia="华文仿宋"/>
          <w:sz w:val="32"/>
          <w:u w:val="single"/>
        </w:rPr>
        <w:t xml:space="preserve">    </w:t>
      </w:r>
      <w:r>
        <w:rPr>
          <w:rFonts w:hint="eastAsia" w:ascii="Times New Roman" w:hAnsi="Times New Roman" w:eastAsia="华文仿宋"/>
          <w:sz w:val="32"/>
          <w:u w:val="single"/>
        </w:rPr>
        <w:t xml:space="preserve">       </w:t>
      </w:r>
      <w:r>
        <w:rPr>
          <w:rFonts w:ascii="Times New Roman" w:hAnsi="Times New Roman" w:eastAsia="华文仿宋"/>
          <w:sz w:val="32"/>
          <w:u w:val="single"/>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right="0" w:rightChars="0" w:firstLine="0" w:firstLineChars="0"/>
        <w:jc w:val="both"/>
        <w:textAlignment w:val="baseline"/>
        <w:outlineLvl w:val="9"/>
        <w:rPr>
          <w:rFonts w:hint="default" w:ascii="Times New Roman" w:hAnsi="Times New Roman" w:eastAsia="华文仿宋" w:cs="Times New Roman"/>
          <w:color w:val="000000"/>
          <w:sz w:val="32"/>
          <w:u w:val="single"/>
        </w:rPr>
      </w:pPr>
      <w:r>
        <w:rPr>
          <w:rFonts w:hint="eastAsia" w:hAnsi="华文仿宋" w:eastAsia="华文仿宋"/>
          <w:color w:val="000000"/>
          <w:sz w:val="32"/>
          <w:lang w:val="en-US" w:eastAsia="zh-CN"/>
        </w:rPr>
        <w:t xml:space="preserve"> </w:t>
      </w:r>
      <w:r>
        <w:rPr>
          <w:rFonts w:hint="eastAsia" w:hAnsi="华文仿宋" w:eastAsia="华文仿宋"/>
          <w:color w:val="000000"/>
          <w:sz w:val="32"/>
        </w:rPr>
        <w:t>昆明市</w:t>
      </w:r>
      <w:r>
        <w:rPr>
          <w:rFonts w:hint="eastAsia" w:hAnsi="华文仿宋" w:eastAsia="华文仿宋"/>
          <w:color w:val="000000"/>
          <w:sz w:val="32"/>
          <w:lang w:eastAsia="zh-CN"/>
        </w:rPr>
        <w:t>生态</w:t>
      </w:r>
      <w:r>
        <w:rPr>
          <w:rFonts w:hAnsi="华文仿宋" w:eastAsia="华文仿宋"/>
          <w:color w:val="000000"/>
          <w:sz w:val="32"/>
        </w:rPr>
        <w:t>环境局</w:t>
      </w:r>
      <w:r>
        <w:rPr>
          <w:rFonts w:hint="eastAsia" w:hAnsi="华文仿宋" w:eastAsia="华文仿宋"/>
          <w:color w:val="000000"/>
          <w:sz w:val="32"/>
          <w:lang w:eastAsia="zh-CN"/>
        </w:rPr>
        <w:t>晋宁分局</w:t>
      </w:r>
      <w:r>
        <w:rPr>
          <w:rFonts w:eastAsia="华文仿宋"/>
          <w:color w:val="000000"/>
          <w:sz w:val="32"/>
        </w:rPr>
        <w:t xml:space="preserve">      </w:t>
      </w:r>
      <w:r>
        <w:rPr>
          <w:rFonts w:hint="default" w:ascii="Times New Roman" w:hAnsi="Times New Roman" w:eastAsia="华文仿宋" w:cs="Times New Roman"/>
          <w:color w:val="000000"/>
          <w:sz w:val="32"/>
        </w:rPr>
        <w:t xml:space="preserve"> 20</w:t>
      </w:r>
      <w:r>
        <w:rPr>
          <w:rFonts w:hint="default" w:ascii="Times New Roman" w:hAnsi="Times New Roman" w:eastAsia="华文仿宋" w:cs="Times New Roman"/>
          <w:color w:val="000000"/>
          <w:sz w:val="32"/>
          <w:lang w:val="en-US" w:eastAsia="zh-CN"/>
        </w:rPr>
        <w:t>2</w:t>
      </w:r>
      <w:r>
        <w:rPr>
          <w:rFonts w:hint="eastAsia" w:ascii="Times New Roman" w:hAnsi="Times New Roman" w:eastAsia="华文仿宋" w:cs="Times New Roman"/>
          <w:color w:val="000000"/>
          <w:sz w:val="32"/>
          <w:lang w:val="en-US" w:eastAsia="zh-CN"/>
        </w:rPr>
        <w:t>2</w:t>
      </w:r>
      <w:r>
        <w:rPr>
          <w:rFonts w:hint="default" w:ascii="Times New Roman" w:hAnsi="Times New Roman" w:eastAsia="华文仿宋" w:cs="Times New Roman"/>
          <w:color w:val="000000"/>
          <w:sz w:val="32"/>
        </w:rPr>
        <w:t>年</w:t>
      </w:r>
      <w:r>
        <w:rPr>
          <w:rFonts w:hint="eastAsia" w:ascii="Times New Roman" w:hAnsi="Times New Roman" w:eastAsia="华文仿宋" w:cs="Times New Roman"/>
          <w:color w:val="000000"/>
          <w:sz w:val="32"/>
          <w:lang w:val="en-US" w:eastAsia="zh-CN"/>
        </w:rPr>
        <w:t>6</w:t>
      </w:r>
      <w:r>
        <w:rPr>
          <w:rFonts w:hint="default" w:ascii="Times New Roman" w:hAnsi="Times New Roman" w:eastAsia="华文仿宋" w:cs="Times New Roman"/>
          <w:color w:val="000000"/>
          <w:sz w:val="32"/>
        </w:rPr>
        <w:t>月</w:t>
      </w:r>
      <w:r>
        <w:rPr>
          <w:rFonts w:hint="eastAsia" w:ascii="Times New Roman" w:hAnsi="Times New Roman" w:eastAsia="华文仿宋" w:cs="Times New Roman"/>
          <w:color w:val="000000"/>
          <w:sz w:val="32"/>
          <w:lang w:val="en-US" w:eastAsia="zh-CN"/>
        </w:rPr>
        <w:t>8</w:t>
      </w:r>
      <w:r>
        <w:rPr>
          <w:rFonts w:hint="default" w:ascii="Times New Roman" w:hAnsi="Times New Roman" w:eastAsia="华文仿宋" w:cs="Times New Roman"/>
          <w:color w:val="000000"/>
          <w:sz w:val="32"/>
        </w:rPr>
        <w:t>日印发</w:t>
      </w:r>
    </w:p>
    <w:p>
      <w:pPr>
        <w:jc w:val="center"/>
        <w:rPr>
          <w:b/>
          <w:sz w:val="44"/>
        </w:rPr>
      </w:pPr>
      <w:r>
        <w:rPr>
          <w:rFonts w:hint="eastAsia"/>
          <w:b/>
          <w:sz w:val="44"/>
          <w:szCs w:val="22"/>
        </w:rPr>
        <w:t>昆明市</w:t>
      </w:r>
      <w:r>
        <w:rPr>
          <w:rFonts w:hint="eastAsia"/>
          <w:b/>
          <w:sz w:val="44"/>
          <w:szCs w:val="22"/>
          <w:lang w:eastAsia="zh-CN"/>
        </w:rPr>
        <w:t>生态</w:t>
      </w:r>
      <w:r>
        <w:rPr>
          <w:b/>
          <w:sz w:val="44"/>
          <w:szCs w:val="22"/>
        </w:rPr>
        <w:t>环境局</w:t>
      </w:r>
      <w:r>
        <w:rPr>
          <w:rFonts w:hint="eastAsia"/>
          <w:b/>
          <w:sz w:val="44"/>
          <w:szCs w:val="22"/>
          <w:lang w:eastAsia="zh-CN"/>
        </w:rPr>
        <w:t>晋宁分局</w:t>
      </w:r>
      <w:r>
        <w:rPr>
          <w:b/>
          <w:sz w:val="44"/>
          <w:szCs w:val="22"/>
        </w:rPr>
        <w:t>建设</w:t>
      </w:r>
      <w:r>
        <w:rPr>
          <w:b/>
          <w:sz w:val="44"/>
        </w:rPr>
        <w:t>项目</w:t>
      </w:r>
    </w:p>
    <w:p>
      <w:pPr>
        <w:jc w:val="center"/>
        <w:rPr>
          <w:b/>
          <w:sz w:val="44"/>
        </w:rPr>
      </w:pPr>
      <w:r>
        <w:rPr>
          <w:b/>
          <w:sz w:val="44"/>
        </w:rPr>
        <w:t>审批审核签发单</w:t>
      </w:r>
    </w:p>
    <w:p>
      <w:pPr>
        <w:rPr>
          <w:rFonts w:eastAsia="仿宋_GB2312"/>
          <w:b/>
          <w:sz w:val="32"/>
        </w:rPr>
      </w:pPr>
      <w:r>
        <w:rPr>
          <w:rFonts w:eastAsia="仿宋_GB2312"/>
          <w:sz w:val="32"/>
        </w:rPr>
        <w:t>日期：20</w:t>
      </w:r>
      <w:r>
        <w:rPr>
          <w:rFonts w:hint="eastAsia" w:eastAsia="仿宋_GB2312"/>
          <w:sz w:val="32"/>
          <w:lang w:val="en-US" w:eastAsia="zh-CN"/>
        </w:rPr>
        <w:t>22</w:t>
      </w:r>
      <w:r>
        <w:rPr>
          <w:rFonts w:eastAsia="仿宋_GB2312"/>
          <w:sz w:val="32"/>
        </w:rPr>
        <w:t>年</w:t>
      </w:r>
      <w:r>
        <w:rPr>
          <w:rFonts w:hint="eastAsia" w:eastAsia="仿宋_GB2312"/>
          <w:sz w:val="32"/>
          <w:lang w:val="en-US" w:eastAsia="zh-CN"/>
        </w:rPr>
        <w:t>6</w:t>
      </w:r>
      <w:r>
        <w:rPr>
          <w:rFonts w:eastAsia="仿宋_GB2312"/>
          <w:sz w:val="32"/>
        </w:rPr>
        <w:t>月</w:t>
      </w:r>
      <w:r>
        <w:rPr>
          <w:rFonts w:hint="eastAsia" w:eastAsia="仿宋_GB2312"/>
          <w:sz w:val="32"/>
          <w:lang w:val="en-US" w:eastAsia="zh-CN"/>
        </w:rPr>
        <w:t>7</w:t>
      </w:r>
      <w:r>
        <w:rPr>
          <w:rFonts w:eastAsia="仿宋_GB2312"/>
          <w:sz w:val="32"/>
        </w:rPr>
        <w:t>日</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2198"/>
        <w:gridCol w:w="1185"/>
        <w:gridCol w:w="360"/>
        <w:gridCol w:w="1035"/>
        <w:gridCol w:w="2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04" w:type="dxa"/>
            <w:noWrap w:val="0"/>
            <w:vAlign w:val="center"/>
          </w:tcPr>
          <w:p>
            <w:pPr>
              <w:spacing w:line="300" w:lineRule="exact"/>
              <w:jc w:val="center"/>
              <w:rPr>
                <w:b/>
                <w:sz w:val="24"/>
              </w:rPr>
            </w:pPr>
            <w:r>
              <w:rPr>
                <w:b/>
                <w:sz w:val="24"/>
              </w:rPr>
              <w:t>项目名称</w:t>
            </w:r>
          </w:p>
        </w:tc>
        <w:tc>
          <w:tcPr>
            <w:tcW w:w="6818" w:type="dxa"/>
            <w:gridSpan w:val="5"/>
            <w:noWrap w:val="0"/>
            <w:vAlign w:val="center"/>
          </w:tcPr>
          <w:p>
            <w:pPr>
              <w:spacing w:line="300" w:lineRule="exact"/>
              <w:jc w:val="center"/>
              <w:textAlignment w:val="baseline"/>
              <w:rPr>
                <w:rFonts w:hint="eastAsia"/>
                <w:sz w:val="24"/>
              </w:rPr>
            </w:pPr>
            <w:r>
              <w:rPr>
                <w:rFonts w:hint="eastAsia"/>
                <w:sz w:val="24"/>
              </w:rPr>
              <w:t>关于对《</w:t>
            </w:r>
            <w:r>
              <w:rPr>
                <w:rFonts w:hint="eastAsia"/>
                <w:sz w:val="24"/>
                <w:lang w:eastAsia="zh-CN"/>
              </w:rPr>
              <w:t>铝合金门窗、幕墙、栏杆生产项目</w:t>
            </w:r>
            <w:r>
              <w:rPr>
                <w:rFonts w:hint="eastAsia"/>
                <w:sz w:val="24"/>
              </w:rPr>
              <w:t>环境影响</w:t>
            </w:r>
            <w:r>
              <w:rPr>
                <w:rFonts w:hint="eastAsia"/>
                <w:sz w:val="24"/>
                <w:lang w:eastAsia="zh-CN"/>
              </w:rPr>
              <w:t>报告表</w:t>
            </w:r>
            <w:r>
              <w:rPr>
                <w:rFonts w:hint="eastAsia"/>
                <w:sz w:val="24"/>
              </w:rPr>
              <w:t>》的批复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trPr>
        <w:tc>
          <w:tcPr>
            <w:tcW w:w="1704" w:type="dxa"/>
            <w:noWrap w:val="0"/>
            <w:vAlign w:val="center"/>
          </w:tcPr>
          <w:p>
            <w:pPr>
              <w:spacing w:line="300" w:lineRule="exact"/>
              <w:jc w:val="center"/>
              <w:rPr>
                <w:b/>
                <w:sz w:val="24"/>
              </w:rPr>
            </w:pPr>
            <w:r>
              <w:rPr>
                <w:b/>
                <w:sz w:val="24"/>
              </w:rPr>
              <w:t>建设单位</w:t>
            </w:r>
          </w:p>
        </w:tc>
        <w:tc>
          <w:tcPr>
            <w:tcW w:w="6818"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500" w:lineRule="exact"/>
              <w:ind w:left="1" w:leftChars="0" w:right="0" w:rightChars="0" w:firstLine="640" w:firstLineChars="200"/>
              <w:jc w:val="both"/>
              <w:textAlignment w:val="bottom"/>
              <w:outlineLvl w:val="9"/>
              <w:rPr>
                <w:rFonts w:hint="eastAsia"/>
                <w:sz w:val="24"/>
              </w:rPr>
            </w:pPr>
            <w:r>
              <w:rPr>
                <w:rFonts w:hint="eastAsia" w:eastAsia="华文仿宋"/>
                <w:color w:val="auto"/>
                <w:sz w:val="32"/>
                <w:lang w:eastAsia="zh-CN"/>
              </w:rPr>
              <w:t>云南本正建筑装饰工程有限公司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trPr>
        <w:tc>
          <w:tcPr>
            <w:tcW w:w="1704" w:type="dxa"/>
            <w:noWrap w:val="0"/>
            <w:vAlign w:val="center"/>
          </w:tcPr>
          <w:p>
            <w:pPr>
              <w:spacing w:line="300" w:lineRule="exact"/>
              <w:jc w:val="center"/>
              <w:rPr>
                <w:b/>
                <w:sz w:val="24"/>
              </w:rPr>
            </w:pPr>
            <w:r>
              <w:rPr>
                <w:b/>
                <w:sz w:val="24"/>
              </w:rPr>
              <w:t>建设地点</w:t>
            </w:r>
          </w:p>
        </w:tc>
        <w:tc>
          <w:tcPr>
            <w:tcW w:w="6818" w:type="dxa"/>
            <w:gridSpan w:val="5"/>
            <w:noWrap w:val="0"/>
            <w:vAlign w:val="center"/>
          </w:tcPr>
          <w:p>
            <w:pPr>
              <w:spacing w:line="300" w:lineRule="exact"/>
              <w:ind w:firstLine="480" w:firstLineChars="200"/>
              <w:jc w:val="both"/>
              <w:textAlignment w:val="baseline"/>
              <w:rPr>
                <w:rFonts w:hint="eastAsia"/>
                <w:sz w:val="24"/>
              </w:rPr>
            </w:pPr>
            <w:r>
              <w:rPr>
                <w:rFonts w:hint="eastAsia" w:ascii="Times New Roman" w:hAnsi="Times New Roman" w:cs="Times New Roman"/>
                <w:sz w:val="24"/>
                <w:szCs w:val="24"/>
                <w:lang w:val="en-US" w:eastAsia="zh-CN"/>
              </w:rPr>
              <w:t>昆明市晋宁区晋宁工业园区二街基地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704" w:type="dxa"/>
            <w:noWrap w:val="0"/>
            <w:vAlign w:val="center"/>
          </w:tcPr>
          <w:p>
            <w:pPr>
              <w:spacing w:line="300" w:lineRule="exact"/>
              <w:jc w:val="center"/>
              <w:rPr>
                <w:b/>
                <w:sz w:val="24"/>
              </w:rPr>
            </w:pPr>
            <w:r>
              <w:rPr>
                <w:b/>
                <w:sz w:val="24"/>
              </w:rPr>
              <w:t>联系人</w:t>
            </w:r>
          </w:p>
        </w:tc>
        <w:tc>
          <w:tcPr>
            <w:tcW w:w="2198" w:type="dxa"/>
            <w:noWrap w:val="0"/>
            <w:vAlign w:val="top"/>
          </w:tcPr>
          <w:p>
            <w:pPr>
              <w:jc w:val="center"/>
              <w:rPr>
                <w:rFonts w:hint="eastAsia"/>
                <w:sz w:val="24"/>
              </w:rPr>
            </w:pPr>
            <w:r>
              <w:rPr>
                <w:color w:val="000000" w:themeColor="text1"/>
                <w:kern w:val="0"/>
                <w:sz w:val="24"/>
                <w14:textFill>
                  <w14:solidFill>
                    <w14:schemeClr w14:val="tx1"/>
                  </w14:solidFill>
                </w14:textFill>
              </w:rPr>
              <w:t>杜雯珺</w:t>
            </w:r>
          </w:p>
        </w:tc>
        <w:tc>
          <w:tcPr>
            <w:tcW w:w="1545" w:type="dxa"/>
            <w:gridSpan w:val="2"/>
            <w:noWrap w:val="0"/>
            <w:vAlign w:val="top"/>
          </w:tcPr>
          <w:p>
            <w:pPr>
              <w:spacing w:line="300" w:lineRule="exact"/>
              <w:jc w:val="center"/>
              <w:textAlignment w:val="baseline"/>
              <w:rPr>
                <w:sz w:val="24"/>
              </w:rPr>
            </w:pPr>
            <w:r>
              <w:rPr>
                <w:b/>
                <w:sz w:val="24"/>
              </w:rPr>
              <w:t>联系电话</w:t>
            </w:r>
          </w:p>
        </w:tc>
        <w:tc>
          <w:tcPr>
            <w:tcW w:w="3075" w:type="dxa"/>
            <w:gridSpan w:val="2"/>
            <w:noWrap w:val="0"/>
            <w:vAlign w:val="top"/>
          </w:tcPr>
          <w:p>
            <w:pPr>
              <w:jc w:val="center"/>
              <w:rPr>
                <w:rFonts w:ascii="宋体" w:hAnsi="宋体" w:cs="宋体"/>
                <w:color w:val="000000"/>
                <w:sz w:val="24"/>
              </w:rPr>
            </w:pPr>
            <w:r>
              <w:rPr>
                <w:color w:val="000000" w:themeColor="text1"/>
                <w:kern w:val="0"/>
                <w:sz w:val="24"/>
                <w14:textFill>
                  <w14:solidFill>
                    <w14:schemeClr w14:val="tx1"/>
                  </w14:solidFill>
                </w14:textFill>
              </w:rPr>
              <w:t>18787030129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1704" w:type="dxa"/>
            <w:noWrap w:val="0"/>
            <w:vAlign w:val="center"/>
          </w:tcPr>
          <w:p>
            <w:pPr>
              <w:spacing w:line="300" w:lineRule="exact"/>
              <w:jc w:val="center"/>
              <w:rPr>
                <w:b/>
                <w:sz w:val="24"/>
              </w:rPr>
            </w:pPr>
            <w:r>
              <w:rPr>
                <w:b/>
                <w:sz w:val="24"/>
              </w:rPr>
              <w:t>批文号</w:t>
            </w:r>
          </w:p>
        </w:tc>
        <w:tc>
          <w:tcPr>
            <w:tcW w:w="3383" w:type="dxa"/>
            <w:gridSpan w:val="2"/>
            <w:noWrap w:val="0"/>
            <w:vAlign w:val="top"/>
          </w:tcPr>
          <w:p>
            <w:pPr>
              <w:spacing w:line="300" w:lineRule="exact"/>
              <w:jc w:val="center"/>
              <w:textAlignment w:val="baseline"/>
              <w:rPr>
                <w:sz w:val="24"/>
              </w:rPr>
            </w:pPr>
            <w:r>
              <w:rPr>
                <w:rFonts w:hint="eastAsia"/>
                <w:sz w:val="24"/>
                <w:lang w:eastAsia="zh-CN"/>
              </w:rPr>
              <w:t>昆生环</w:t>
            </w:r>
            <w:r>
              <w:rPr>
                <w:sz w:val="24"/>
              </w:rPr>
              <w:t>晋复[20</w:t>
            </w:r>
            <w:r>
              <w:rPr>
                <w:rFonts w:hint="eastAsia"/>
                <w:sz w:val="24"/>
                <w:lang w:val="en-US" w:eastAsia="zh-CN"/>
              </w:rPr>
              <w:t>22</w:t>
            </w:r>
            <w:r>
              <w:rPr>
                <w:sz w:val="24"/>
              </w:rPr>
              <w:t>]</w:t>
            </w:r>
            <w:r>
              <w:rPr>
                <w:rFonts w:hint="eastAsia"/>
                <w:sz w:val="24"/>
                <w:lang w:val="en-US" w:eastAsia="zh-CN"/>
              </w:rPr>
              <w:t>5</w:t>
            </w:r>
            <w:r>
              <w:rPr>
                <w:sz w:val="24"/>
              </w:rPr>
              <w:t>号</w:t>
            </w:r>
          </w:p>
        </w:tc>
        <w:tc>
          <w:tcPr>
            <w:tcW w:w="1395" w:type="dxa"/>
            <w:gridSpan w:val="2"/>
            <w:noWrap w:val="0"/>
            <w:vAlign w:val="center"/>
          </w:tcPr>
          <w:p>
            <w:pPr>
              <w:jc w:val="center"/>
              <w:rPr>
                <w:b/>
                <w:sz w:val="24"/>
              </w:rPr>
            </w:pPr>
            <w:r>
              <w:rPr>
                <w:b/>
                <w:sz w:val="24"/>
              </w:rPr>
              <w:t>环评类型</w:t>
            </w:r>
          </w:p>
        </w:tc>
        <w:tc>
          <w:tcPr>
            <w:tcW w:w="2040" w:type="dxa"/>
            <w:noWrap w:val="0"/>
            <w:vAlign w:val="center"/>
          </w:tcPr>
          <w:p>
            <w:pPr>
              <w:spacing w:line="300" w:lineRule="exact"/>
              <w:jc w:val="center"/>
              <w:textAlignment w:val="baseline"/>
              <w:rPr>
                <w:rFonts w:hint="eastAsia" w:eastAsia="宋体"/>
                <w:lang w:eastAsia="zh-CN"/>
              </w:rPr>
            </w:pPr>
            <w:r>
              <w:rPr>
                <w:rFonts w:hint="eastAsia"/>
                <w:sz w:val="24"/>
                <w:lang w:eastAsia="zh-CN"/>
              </w:rPr>
              <w:t>报告表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5" w:hRule="atLeast"/>
        </w:trPr>
        <w:tc>
          <w:tcPr>
            <w:tcW w:w="1704" w:type="dxa"/>
            <w:noWrap w:val="0"/>
            <w:vAlign w:val="center"/>
          </w:tcPr>
          <w:p>
            <w:pPr>
              <w:jc w:val="center"/>
              <w:rPr>
                <w:rFonts w:eastAsia="仿宋_GB2312"/>
                <w:b/>
                <w:sz w:val="28"/>
              </w:rPr>
            </w:pPr>
            <w:r>
              <w:rPr>
                <w:b/>
                <w:sz w:val="24"/>
              </w:rPr>
              <w:t>主要内容</w:t>
            </w:r>
          </w:p>
        </w:tc>
        <w:tc>
          <w:tcPr>
            <w:tcW w:w="6818" w:type="dxa"/>
            <w:gridSpan w:val="5"/>
            <w:noWrap w:val="0"/>
            <w:vAlign w:val="center"/>
          </w:tcPr>
          <w:p>
            <w:pPr>
              <w:keepNext w:val="0"/>
              <w:keepLines w:val="0"/>
              <w:pageBreakBefore w:val="0"/>
              <w:widowControl w:val="0"/>
              <w:kinsoku/>
              <w:wordWrap/>
              <w:overflowPunct/>
              <w:topLinePunct w:val="0"/>
              <w:autoSpaceDE w:val="0"/>
              <w:autoSpaceDN w:val="0"/>
              <w:bidi w:val="0"/>
              <w:adjustRightInd w:val="0"/>
              <w:snapToGrid w:val="0"/>
              <w:spacing w:before="0" w:beforeLines="0" w:after="0" w:afterLines="0" w:line="400" w:lineRule="exact"/>
              <w:ind w:left="0" w:leftChars="0" w:right="0" w:rightChars="0" w:firstLine="480" w:firstLineChars="200"/>
              <w:jc w:val="both"/>
              <w:textAlignment w:val="bottom"/>
              <w:outlineLvl w:val="9"/>
              <w:rPr>
                <w:rFonts w:hint="eastAsia" w:ascii="宋体" w:hAnsi="宋体" w:cs="宋体"/>
                <w:color w:val="000000"/>
                <w:kern w:val="2"/>
                <w:sz w:val="24"/>
                <w:szCs w:val="20"/>
              </w:rPr>
            </w:pPr>
            <w:r>
              <w:rPr>
                <w:rFonts w:hint="eastAsia" w:ascii="宋体" w:hAnsi="宋体" w:cs="宋体"/>
                <w:color w:val="000000"/>
                <w:kern w:val="2"/>
                <w:sz w:val="24"/>
                <w:szCs w:val="20"/>
                <w:lang w:eastAsia="zh-CN"/>
              </w:rPr>
              <w:t>项目位于云南省昆明市晋宁工业园区二街基地，项目占地面积5.25亩（约3500m2，建筑面积3500m2）。租用昆明明鑫装饰工程设计有限公司的闲置厂房、办公楼、宿舍等进行建设，</w:t>
            </w:r>
            <w:r>
              <w:rPr>
                <w:rFonts w:hint="eastAsia" w:ascii="宋体" w:hAnsi="宋体" w:cs="宋体"/>
                <w:color w:val="000000"/>
                <w:kern w:val="2"/>
                <w:sz w:val="24"/>
                <w:szCs w:val="20"/>
                <w:lang w:val="en-US" w:eastAsia="zh-CN"/>
              </w:rPr>
              <w:t>新建</w:t>
            </w:r>
            <w:r>
              <w:rPr>
                <w:rFonts w:hint="eastAsia" w:ascii="宋体" w:hAnsi="宋体" w:cs="宋体"/>
                <w:color w:val="000000"/>
                <w:kern w:val="2"/>
                <w:sz w:val="24"/>
                <w:szCs w:val="20"/>
                <w:lang w:eastAsia="zh-CN"/>
              </w:rPr>
              <w:t>2条生产线，即1条栏杆生产线、1条铝合金门窗生产线，</w:t>
            </w:r>
            <w:r>
              <w:rPr>
                <w:rFonts w:hint="eastAsia" w:ascii="宋体" w:hAnsi="宋体" w:cs="宋体"/>
                <w:color w:val="000000"/>
                <w:kern w:val="2"/>
                <w:sz w:val="24"/>
                <w:szCs w:val="20"/>
                <w:lang w:val="en-US" w:eastAsia="zh-CN"/>
              </w:rPr>
              <w:t>新建</w:t>
            </w:r>
            <w:r>
              <w:rPr>
                <w:rFonts w:hint="eastAsia" w:ascii="宋体" w:hAnsi="宋体" w:cs="宋体"/>
                <w:color w:val="000000"/>
                <w:kern w:val="2"/>
                <w:sz w:val="24"/>
                <w:szCs w:val="20"/>
                <w:lang w:eastAsia="zh-CN"/>
              </w:rPr>
              <w:t>栏杆</w:t>
            </w:r>
            <w:r>
              <w:rPr>
                <w:rFonts w:hint="eastAsia" w:ascii="宋体" w:hAnsi="宋体" w:cs="宋体"/>
                <w:color w:val="000000"/>
                <w:kern w:val="2"/>
                <w:sz w:val="24"/>
                <w:szCs w:val="20"/>
                <w:lang w:val="en-US" w:eastAsia="zh-CN"/>
              </w:rPr>
              <w:t>和</w:t>
            </w:r>
            <w:r>
              <w:rPr>
                <w:rFonts w:hint="eastAsia" w:ascii="宋体" w:hAnsi="宋体" w:cs="宋体"/>
                <w:color w:val="000000"/>
                <w:kern w:val="2"/>
                <w:sz w:val="24"/>
                <w:szCs w:val="20"/>
                <w:lang w:eastAsia="zh-CN"/>
              </w:rPr>
              <w:t>铝合金门窗生产车间、储运工程、综合办公室、环保工程等。建成后达到年产栏杆7万平方米、铝合金门窗15万平方米。总投资1000万元，环保投资18.4万元</w:t>
            </w:r>
            <w:r>
              <w:rPr>
                <w:rFonts w:hint="eastAsia" w:ascii="宋体" w:hAnsi="宋体" w:cs="宋体"/>
                <w:color w:val="000000"/>
                <w:kern w:val="2"/>
                <w:sz w:val="24"/>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7" w:hRule="atLeast"/>
        </w:trPr>
        <w:tc>
          <w:tcPr>
            <w:tcW w:w="1704" w:type="dxa"/>
            <w:noWrap w:val="0"/>
            <w:vAlign w:val="center"/>
          </w:tcPr>
          <w:p>
            <w:pPr>
              <w:jc w:val="center"/>
              <w:rPr>
                <w:b/>
                <w:sz w:val="24"/>
              </w:rPr>
            </w:pPr>
            <w:r>
              <w:rPr>
                <w:b/>
                <w:sz w:val="24"/>
              </w:rPr>
              <w:t>环评科意见</w:t>
            </w:r>
          </w:p>
        </w:tc>
        <w:tc>
          <w:tcPr>
            <w:tcW w:w="6818" w:type="dxa"/>
            <w:gridSpan w:val="5"/>
            <w:noWrap w:val="0"/>
            <w:vAlign w:val="bottom"/>
          </w:tcPr>
          <w:p>
            <w:pPr>
              <w:jc w:val="left"/>
              <w:rPr>
                <w:rFonts w:eastAsia="仿宋_GB2312"/>
                <w:b/>
                <w:sz w:val="28"/>
              </w:rPr>
            </w:pPr>
            <w:r>
              <w:rPr>
                <w:rFonts w:eastAsia="仿宋_GB2312"/>
                <w:sz w:val="28"/>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704" w:type="dxa"/>
            <w:noWrap w:val="0"/>
            <w:vAlign w:val="center"/>
          </w:tcPr>
          <w:p>
            <w:pPr>
              <w:jc w:val="center"/>
              <w:rPr>
                <w:b/>
                <w:sz w:val="24"/>
              </w:rPr>
            </w:pPr>
            <w:r>
              <w:rPr>
                <w:b/>
                <w:sz w:val="24"/>
              </w:rPr>
              <w:t>分管领导</w:t>
            </w:r>
          </w:p>
          <w:p>
            <w:pPr>
              <w:jc w:val="center"/>
              <w:rPr>
                <w:b/>
                <w:sz w:val="24"/>
              </w:rPr>
            </w:pPr>
            <w:r>
              <w:rPr>
                <w:b/>
                <w:sz w:val="24"/>
              </w:rPr>
              <w:t>意    见</w:t>
            </w:r>
          </w:p>
        </w:tc>
        <w:tc>
          <w:tcPr>
            <w:tcW w:w="6818" w:type="dxa"/>
            <w:gridSpan w:val="5"/>
            <w:noWrap w:val="0"/>
            <w:vAlign w:val="bottom"/>
          </w:tcPr>
          <w:p>
            <w:pPr>
              <w:ind w:left="1400" w:hanging="1400" w:hangingChars="500"/>
              <w:jc w:val="left"/>
              <w:rPr>
                <w:rFonts w:eastAsia="仿宋_GB2312"/>
                <w:sz w:val="28"/>
              </w:rPr>
            </w:pPr>
            <w:r>
              <w:rPr>
                <w:rFonts w:eastAsia="仿宋_GB2312"/>
                <w:sz w:val="28"/>
              </w:rPr>
              <w:t xml:space="preserve">                          年   月   日</w:t>
            </w:r>
          </w:p>
        </w:tc>
      </w:tr>
    </w:tbl>
    <w:p>
      <w:pPr>
        <w:spacing w:line="560" w:lineRule="exact"/>
        <w:ind w:left="0"/>
        <w:rPr>
          <w:rFonts w:hint="eastAsia" w:ascii="仿宋_GB2312" w:hAnsi="仿宋_GB2312" w:eastAsia="仿宋_GB2312" w:cs="仿宋_GB2312"/>
          <w:color w:val="auto"/>
          <w:sz w:val="28"/>
          <w:szCs w:val="28"/>
          <w:u w:val="single"/>
          <w:lang w:eastAsia="zh-CN"/>
        </w:rPr>
      </w:pPr>
    </w:p>
    <w:p/>
    <w:sectPr>
      <w:headerReference r:id="rId5" w:type="first"/>
      <w:footerReference r:id="rId8" w:type="first"/>
      <w:headerReference r:id="rId3" w:type="default"/>
      <w:footerReference r:id="rId6" w:type="default"/>
      <w:headerReference r:id="rId4" w:type="even"/>
      <w:footerReference r:id="rId7" w:type="even"/>
      <w:footnotePr>
        <w:numFmt w:val="decimalHalfWidth"/>
      </w:footnotePr>
      <w:endnotePr>
        <w:numFmt w:val="chineseCounting"/>
      </w:endnotePr>
      <w:pgSz w:w="11905" w:h="16837"/>
      <w:pgMar w:top="1440" w:right="1797" w:bottom="1440" w:left="1797" w:header="567" w:footer="1134"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穝灿砰">
    <w:altName w:val="宋体"/>
    <w:panose1 w:val="00000000000000000000"/>
    <w:charset w:val="00"/>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spacing w:line="1" w:lineRule="atLeast"/>
    </w:pP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5759450" cy="1797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1312;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IKV0aK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2</w:t>
    </w:r>
    <w:r>
      <w:fldChar w:fldCharType="end"/>
    </w:r>
  </w:p>
  <w:p>
    <w:pPr>
      <w:spacing w:line="1" w:lineRule="atLeast"/>
    </w:pP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5759450" cy="17970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jc w:val="center"/>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60288;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AfNSOOfAQAAJAMAAA4AAAAAAAAA&#10;AQAgAAAAIwEAAGRycy9lMm9Eb2MueG1sUEsFBgAAAAAGAAYAWQEAADQFAAAAAA==&#10;">
              <v:fill on="f" focussize="0,0"/>
              <v:stroke on="f"/>
              <v:imagedata o:title=""/>
              <o:lock v:ext="edit" aspectratio="f"/>
              <v:textbox inset="0mm,0mm,0mm,0mm">
                <w:txbxContent>
                  <w:p>
                    <w:pPr>
                      <w:spacing w:line="334" w:lineRule="atLeast"/>
                      <w:jc w:val="center"/>
                      <w:rPr>
                        <w:rFonts w:hint="eastAsia"/>
                        <w:sz w:val="21"/>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759450" cy="179705"/>
              <wp:effectExtent l="0" t="0" r="0" b="0"/>
              <wp:wrapNone/>
              <wp:docPr id="4" name="文本框 4"/>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9264;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BG0QLDUAAAABAEAAA8AAAAAAAAAAQAg&#10;AAAAIgAAAGRycy9kb3ducmV2LnhtbFBLAQIUABQAAAAIAIdO4kDqC5fsoAEAACQDAAAOAAAAAAAA&#10;AAEAIAAAACMBAABkcnMvZTJvRG9jLnhtbFBLBQYAAAAABgAGAFkBAAA1BQ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 w:lineRule="atLeast"/>
    </w:pPr>
    <w: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59450" cy="1797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759450" cy="179705"/>
                      </a:xfrm>
                      <a:prstGeom prst="rect">
                        <a:avLst/>
                      </a:prstGeom>
                      <a:noFill/>
                      <a:ln>
                        <a:noFill/>
                      </a:ln>
                    </wps:spPr>
                    <wps:txbx>
                      <w:txbxContent>
                        <w:p>
                          <w:pPr>
                            <w:spacing w:line="334" w:lineRule="atLeast"/>
                            <w:rPr>
                              <w:rFonts w:hint="eastAsia"/>
                              <w:sz w:val="21"/>
                            </w:rPr>
                          </w:pPr>
                        </w:p>
                      </w:txbxContent>
                    </wps:txbx>
                    <wps:bodyPr lIns="0" tIns="0" rIns="0" bIns="0" upright="1"/>
                  </wps:wsp>
                </a:graphicData>
              </a:graphic>
            </wp:anchor>
          </w:drawing>
        </mc:Choice>
        <mc:Fallback>
          <w:pict>
            <v:shape id="_x0000_s1026" o:spid="_x0000_s1026" o:spt="202" type="#_x0000_t202" style="position:absolute;left:0pt;margin-left:0pt;margin-top:0pt;height:14.15pt;width:453.5pt;z-index:251658240;mso-width-relative:page;mso-height-relative:page;" filled="f" stroked="f" coordsize="21600,21600" o:gfxdata="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">
              <v:fill on="f" focussize="0,0"/>
              <v:stroke on="f"/>
              <v:imagedata o:title=""/>
              <o:lock v:ext="edit" aspectratio="f"/>
              <v:textbox inset="0mm,0mm,0mm,0mm">
                <w:txbxContent>
                  <w:p>
                    <w:pPr>
                      <w:spacing w:line="334" w:lineRule="atLeast"/>
                      <w:rPr>
                        <w:rFonts w:hint="eastAsia"/>
                        <w:sz w:val="21"/>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numFmt w:val="decimalHalfWidth"/>
  </w:footnotePr>
  <w:endnotePr>
    <w:numFmt w:val="chineseCounting"/>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FE3254"/>
    <w:rsid w:val="14D226BA"/>
    <w:rsid w:val="58F173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before="0" w:beforeLines="0" w:beforeAutospacing="0" w:after="0" w:afterLines="0" w:afterAutospacing="0" w:line="365" w:lineRule="atLeast"/>
      <w:ind w:left="1" w:right="0" w:firstLine="0" w:firstLineChars="0"/>
      <w:jc w:val="both"/>
      <w:textAlignment w:val="bottom"/>
    </w:pPr>
    <w:rPr>
      <w:rFonts w:ascii="Times New Roman" w:hAnsi="Times New Roman" w:eastAsia="宋体" w:cs="Times New Roman"/>
    </w:rPr>
  </w:style>
  <w:style w:type="character" w:default="1" w:styleId="6">
    <w:name w:val="Default Paragraph Font"/>
    <w:semiHidden/>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next w:val="1"/>
    <w:qFormat/>
    <w:uiPriority w:val="0"/>
    <w:pPr>
      <w:spacing w:line="480" w:lineRule="exact"/>
      <w:ind w:firstLine="425"/>
    </w:pPr>
    <w:rPr>
      <w:rFonts w:ascii="宋体" w:hAnsi="Courier New"/>
      <w:spacing w:val="16"/>
      <w:sz w:val="24"/>
      <w:szCs w:val="20"/>
    </w:rPr>
  </w:style>
  <w:style w:type="paragraph" w:styleId="3">
    <w:name w:val="footer"/>
    <w:basedOn w:val="1"/>
    <w:qFormat/>
    <w:uiPriority w:val="0"/>
    <w:pPr>
      <w:tabs>
        <w:tab w:val="center" w:pos="4153"/>
        <w:tab w:val="right" w:pos="8306"/>
      </w:tabs>
      <w:snapToGrid w:val="0"/>
      <w:spacing w:line="240" w:lineRule="atLeast"/>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character" w:styleId="7">
    <w:name w:val="page number"/>
    <w:basedOn w:val="6"/>
    <w:qFormat/>
    <w:uiPriority w:val="0"/>
  </w:style>
  <w:style w:type="paragraph" w:customStyle="1" w:styleId="8">
    <w:name w:val="文本正文"/>
    <w:basedOn w:val="1"/>
    <w:qFormat/>
    <w:uiPriority w:val="0"/>
    <w:pPr>
      <w:snapToGrid w:val="0"/>
      <w:spacing w:line="360" w:lineRule="auto"/>
      <w:ind w:firstLine="510"/>
      <w:jc w:val="left"/>
    </w:pPr>
    <w:rPr>
      <w:spacing w:val="4"/>
      <w:kern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XSD</dc:creator>
  <cp:lastModifiedBy>AI风一样</cp:lastModifiedBy>
  <dcterms:modified xsi:type="dcterms:W3CDTF">2022-06-07T07:47:36Z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