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1"/>
          <w:lang w:eastAsia="zh-CN"/>
        </w:rPr>
      </w:pPr>
    </w:p>
    <w:p>
      <w:pPr>
        <w:rPr>
          <w:rFonts w:hint="eastAsia"/>
          <w:sz w:val="21"/>
        </w:rPr>
      </w:pPr>
    </w:p>
    <w:p>
      <w:pPr>
        <w:rPr>
          <w:rFonts w:hint="eastAsia"/>
          <w:sz w:val="21"/>
        </w:rPr>
      </w:pPr>
    </w:p>
    <w:p>
      <w:pPr>
        <w:rPr>
          <w:rFonts w:hint="eastAsia"/>
          <w:sz w:val="21"/>
        </w:rPr>
      </w:pPr>
      <w:r>
        <w:rPr>
          <w:rFonts w:hint="eastAsia"/>
          <w:sz w:val="21"/>
        </w:rPr>
        <w:t xml:space="preserve">                                                                        </w:t>
      </w:r>
    </w:p>
    <w:p>
      <w:pPr>
        <w:rPr>
          <w:rFonts w:hint="eastAsia"/>
          <w:sz w:val="21"/>
        </w:rPr>
      </w:pPr>
    </w:p>
    <w:p>
      <w:pPr>
        <w:rPr>
          <w:rFonts w:hint="eastAsia"/>
          <w:sz w:val="21"/>
        </w:rPr>
      </w:pPr>
    </w:p>
    <w:p>
      <w:pPr>
        <w:rPr>
          <w:rFonts w:hint="eastAsia"/>
          <w:sz w:val="21"/>
        </w:rPr>
      </w:pPr>
    </w:p>
    <w:p>
      <w:pPr>
        <w:rPr>
          <w:rFonts w:hint="eastAsia"/>
          <w:sz w:val="21"/>
        </w:rPr>
      </w:pPr>
      <w:r>
        <w:rPr>
          <w:rFonts w:hint="eastAsia"/>
          <w:sz w:val="21"/>
        </w:rPr>
        <w:t xml:space="preserve">                                                                     </w:t>
      </w:r>
    </w:p>
    <w:p>
      <w:pPr>
        <w:ind w:left="227" w:hanging="226"/>
        <w:rPr>
          <w:rFonts w:hint="eastAsia" w:eastAsia="穝灿砰"/>
          <w:spacing w:val="56"/>
          <w:sz w:val="44"/>
        </w:rPr>
      </w:pPr>
    </w:p>
    <w:p>
      <w:pPr>
        <w:ind w:left="227" w:hanging="226"/>
        <w:rPr>
          <w:rFonts w:hint="eastAsia" w:eastAsia="穝灿砰"/>
          <w:b/>
          <w:spacing w:val="56"/>
          <w:sz w:val="44"/>
        </w:rPr>
      </w:pPr>
      <w:r>
        <w:rPr>
          <w:rFonts w:hint="eastAsia" w:eastAsia="穝灿砰"/>
          <w:spacing w:val="56"/>
          <w:sz w:val="44"/>
        </w:rPr>
        <w:t xml:space="preserve">               </w:t>
      </w:r>
      <w:r>
        <w:rPr>
          <w:rFonts w:hint="eastAsia" w:eastAsia="穝灿砰"/>
          <w:b/>
          <w:spacing w:val="56"/>
          <w:sz w:val="44"/>
        </w:rPr>
        <w:t xml:space="preserve"> </w:t>
      </w:r>
    </w:p>
    <w:p>
      <w:pPr>
        <w:ind w:left="0"/>
        <w:rPr>
          <w:rFonts w:hint="eastAsia"/>
          <w:sz w:val="21"/>
          <w:lang w:eastAsia="zh-CN"/>
        </w:rPr>
      </w:pPr>
    </w:p>
    <w:p>
      <w:pPr>
        <w:ind w:left="0"/>
        <w:rPr>
          <w:rFonts w:hint="eastAsia"/>
          <w:color w:val="auto"/>
          <w:sz w:val="21"/>
          <w:lang w:eastAsia="zh-CN"/>
        </w:rPr>
      </w:pPr>
    </w:p>
    <w:p>
      <w:pPr>
        <w:jc w:val="center"/>
        <w:rPr>
          <w:rFonts w:hint="eastAsia" w:ascii="仿宋" w:hAnsi="仿宋" w:eastAsia="仿宋" w:cs="仿宋"/>
          <w:color w:val="auto"/>
          <w:sz w:val="32"/>
        </w:rPr>
      </w:pPr>
    </w:p>
    <w:p>
      <w:pPr>
        <w:jc w:val="center"/>
        <w:rPr>
          <w:rFonts w:hint="eastAsia" w:ascii="仿宋" w:hAnsi="仿宋" w:eastAsia="仿宋" w:cs="仿宋"/>
          <w:color w:val="auto"/>
          <w:sz w:val="32"/>
        </w:rPr>
      </w:pPr>
      <w:r>
        <w:rPr>
          <w:rFonts w:hint="eastAsia" w:ascii="仿宋" w:hAnsi="仿宋" w:eastAsia="仿宋" w:cs="仿宋"/>
          <w:color w:val="auto"/>
          <w:sz w:val="32"/>
          <w:lang w:eastAsia="zh-CN"/>
        </w:rPr>
        <w:t>昆生环</w:t>
      </w:r>
      <w:r>
        <w:rPr>
          <w:rFonts w:hint="eastAsia" w:ascii="仿宋" w:hAnsi="仿宋" w:eastAsia="仿宋" w:cs="仿宋"/>
          <w:color w:val="auto"/>
          <w:sz w:val="32"/>
        </w:rPr>
        <w:t>晋</w:t>
      </w:r>
      <w:r>
        <w:rPr>
          <w:rFonts w:hint="eastAsia" w:ascii="仿宋" w:hAnsi="仿宋" w:eastAsia="仿宋" w:cs="仿宋"/>
          <w:color w:val="auto"/>
          <w:sz w:val="32"/>
          <w:lang w:eastAsia="zh-CN"/>
        </w:rPr>
        <w:t>复</w:t>
      </w:r>
      <w:r>
        <w:rPr>
          <w:rFonts w:hint="eastAsia" w:ascii="仿宋" w:hAnsi="仿宋" w:eastAsia="仿宋" w:cs="仿宋"/>
          <w:color w:val="auto"/>
          <w:sz w:val="32"/>
        </w:rPr>
        <w:t>〔</w:t>
      </w:r>
      <w:r>
        <w:rPr>
          <w:rFonts w:hint="eastAsia" w:ascii="仿宋" w:hAnsi="仿宋" w:eastAsia="仿宋" w:cs="仿宋"/>
          <w:color w:val="auto"/>
          <w:sz w:val="32"/>
          <w:lang w:eastAsia="zh-CN"/>
        </w:rPr>
        <w:t>20</w:t>
      </w:r>
      <w:r>
        <w:rPr>
          <w:rFonts w:hint="eastAsia" w:ascii="仿宋" w:hAnsi="仿宋" w:eastAsia="仿宋" w:cs="仿宋"/>
          <w:color w:val="auto"/>
          <w:sz w:val="32"/>
          <w:lang w:val="en-US" w:eastAsia="zh-CN"/>
        </w:rPr>
        <w:t>22〕19</w:t>
      </w:r>
      <w:bookmarkStart w:id="0" w:name="_GoBack"/>
      <w:bookmarkEnd w:id="0"/>
      <w:r>
        <w:rPr>
          <w:rFonts w:hint="eastAsia" w:ascii="仿宋" w:hAnsi="仿宋" w:eastAsia="仿宋" w:cs="仿宋"/>
          <w:color w:val="auto"/>
          <w:sz w:val="32"/>
        </w:rPr>
        <w:t>号</w:t>
      </w:r>
    </w:p>
    <w:p>
      <w:pPr>
        <w:jc w:val="center"/>
        <w:rPr>
          <w:rFonts w:hint="eastAsia" w:eastAsia="穝灿砰"/>
          <w:color w:val="auto"/>
          <w:sz w:val="32"/>
          <w:lang w:eastAsia="zh-CN"/>
        </w:rPr>
      </w:pPr>
    </w:p>
    <w:p>
      <w:pPr>
        <w:ind w:left="0"/>
        <w:rPr>
          <w:rFonts w:hint="eastAsia" w:eastAsia="穝灿砰"/>
          <w:color w:val="auto"/>
          <w:sz w:val="32"/>
          <w:lang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bottom"/>
        <w:outlineLvl w:val="9"/>
        <w:rPr>
          <w:rFonts w:hint="eastAsia"/>
          <w:b/>
          <w:color w:val="auto"/>
          <w:sz w:val="44"/>
          <w:lang w:eastAsia="zh-CN"/>
        </w:rPr>
      </w:pPr>
      <w:r>
        <w:rPr>
          <w:b/>
          <w:spacing w:val="20"/>
          <w:sz w:val="44"/>
        </w:rPr>
        <w:t>关于对《</w:t>
      </w:r>
      <w:r>
        <w:rPr>
          <w:rFonts w:hint="eastAsia"/>
          <w:b/>
          <w:spacing w:val="20"/>
          <w:sz w:val="44"/>
          <w:lang w:val="en-US" w:eastAsia="zh-CN"/>
        </w:rPr>
        <w:t>云南众鑫金属制造合伙企业（有限合伙）防护栏杆加工及销售项目</w:t>
      </w:r>
      <w:r>
        <w:rPr>
          <w:rFonts w:hint="eastAsia"/>
          <w:b/>
          <w:sz w:val="44"/>
          <w:szCs w:val="22"/>
        </w:rPr>
        <w:t>环境影响</w:t>
      </w:r>
      <w:r>
        <w:rPr>
          <w:rFonts w:hint="eastAsia"/>
          <w:b/>
          <w:sz w:val="44"/>
          <w:szCs w:val="22"/>
          <w:lang w:eastAsia="zh-CN"/>
        </w:rPr>
        <w:t>报告表</w:t>
      </w:r>
      <w:r>
        <w:rPr>
          <w:rFonts w:hint="eastAsia"/>
          <w:b/>
          <w:sz w:val="44"/>
        </w:rPr>
        <w:t>》的批复</w:t>
      </w:r>
    </w:p>
    <w:p>
      <w:pPr>
        <w:spacing w:line="600" w:lineRule="exact"/>
        <w:ind w:firstLine="696" w:firstLineChars="200"/>
        <w:rPr>
          <w:rFonts w:hint="eastAsia" w:ascii="仿宋_GB2312" w:eastAsia="仿宋_GB2312"/>
          <w:color w:val="auto"/>
          <w:spacing w:val="14"/>
          <w:sz w:val="32"/>
          <w:szCs w:val="32"/>
        </w:rPr>
      </w:pPr>
    </w:p>
    <w:p>
      <w:pPr>
        <w:spacing w:line="560" w:lineRule="exact"/>
        <w:ind w:left="0" w:leftChars="0" w:firstLine="0" w:firstLineChars="0"/>
        <w:jc w:val="both"/>
        <w:textAlignment w:val="baseline"/>
        <w:rPr>
          <w:rFonts w:hint="eastAsia" w:ascii="Times New Roman" w:hAnsi="Times New Roman" w:eastAsia="华文仿宋" w:cs="Times New Roman"/>
          <w:sz w:val="32"/>
          <w:szCs w:val="22"/>
          <w:lang w:val="en-US" w:eastAsia="zh-CN"/>
        </w:rPr>
      </w:pPr>
      <w:r>
        <w:rPr>
          <w:rFonts w:hint="eastAsia" w:ascii="Times New Roman" w:hAnsi="Times New Roman" w:eastAsia="华文仿宋" w:cs="Times New Roman"/>
          <w:sz w:val="32"/>
          <w:szCs w:val="22"/>
          <w:lang w:val="en-US" w:eastAsia="zh-CN"/>
        </w:rPr>
        <w:t>云南众鑫金属制造合伙企业（有限合伙）：</w:t>
      </w:r>
    </w:p>
    <w:p>
      <w:pPr>
        <w:spacing w:line="560" w:lineRule="exact"/>
        <w:ind w:left="0" w:leftChars="0" w:firstLine="640" w:firstLineChars="200"/>
        <w:jc w:val="left"/>
        <w:textAlignment w:val="baseline"/>
        <w:rPr>
          <w:rFonts w:hint="default" w:ascii="Times New Roman" w:hAnsi="Times New Roman" w:eastAsia="华文仿宋" w:cs="Times New Roman"/>
          <w:sz w:val="32"/>
          <w:szCs w:val="22"/>
          <w:lang w:val="en-US" w:eastAsia="zh-CN"/>
        </w:rPr>
      </w:pPr>
      <w:r>
        <w:rPr>
          <w:rFonts w:hint="eastAsia" w:ascii="Times New Roman" w:hAnsi="Times New Roman" w:eastAsia="华文仿宋" w:cs="Times New Roman"/>
          <w:sz w:val="32"/>
          <w:szCs w:val="22"/>
          <w:lang w:val="en-US" w:eastAsia="zh-CN"/>
        </w:rPr>
        <w:t>你单位委托云南绿蓝环境科技有限公司编制的《云南众鑫金属制造合伙企业（有限合伙）防护栏杆加工及销售项目环境影响报告表》(以下简称《报告表》)收悉。根据《中华人民共和国环境影响评价法》第二十二条、《建设项目环境保护管理条例》第九条，经研究，批复如下：</w:t>
      </w:r>
    </w:p>
    <w:p>
      <w:pPr>
        <w:spacing w:line="560" w:lineRule="exact"/>
        <w:ind w:left="0" w:leftChars="0" w:firstLine="640" w:firstLineChars="200"/>
        <w:jc w:val="both"/>
        <w:textAlignment w:val="baseline"/>
        <w:rPr>
          <w:rFonts w:hint="default" w:ascii="Times New Roman" w:hAnsi="Times New Roman" w:eastAsia="华文仿宋" w:cs="Times New Roman"/>
          <w:sz w:val="32"/>
          <w:szCs w:val="22"/>
          <w:lang w:val="en-US" w:eastAsia="zh-CN"/>
        </w:rPr>
      </w:pPr>
      <w:r>
        <w:rPr>
          <w:rFonts w:hint="eastAsia" w:ascii="Times New Roman" w:hAnsi="Times New Roman" w:eastAsia="华文仿宋" w:cs="Times New Roman"/>
          <w:sz w:val="32"/>
          <w:szCs w:val="22"/>
          <w:lang w:val="en-US" w:eastAsia="zh-CN"/>
        </w:rPr>
        <w:t>一、项目位于昆明市晋宁工业园区晋城基地，租用晋宁瑞源机械制造有限公司闲置厂房进行建设，</w:t>
      </w:r>
      <w:r>
        <w:rPr>
          <w:rFonts w:hint="eastAsia" w:ascii="Times New Roman" w:hAnsi="Times New Roman" w:eastAsia="华文仿宋" w:cs="Times New Roman"/>
          <w:sz w:val="32"/>
          <w:szCs w:val="22"/>
          <w:lang w:eastAsia="zh-CN"/>
        </w:rPr>
        <w:t>项目占地面积约为</w:t>
      </w:r>
      <w:r>
        <w:rPr>
          <w:rFonts w:hint="eastAsia" w:ascii="Times New Roman" w:hAnsi="Times New Roman" w:eastAsia="华文仿宋" w:cs="Times New Roman"/>
          <w:sz w:val="32"/>
          <w:szCs w:val="22"/>
          <w:lang w:val="en-US" w:eastAsia="zh-CN"/>
        </w:rPr>
        <w:t>2.55</w:t>
      </w:r>
      <w:r>
        <w:rPr>
          <w:rFonts w:hint="eastAsia" w:ascii="Times New Roman" w:hAnsi="Times New Roman" w:eastAsia="华文仿宋" w:cs="Times New Roman"/>
          <w:sz w:val="32"/>
          <w:szCs w:val="22"/>
          <w:lang w:eastAsia="zh-CN"/>
        </w:rPr>
        <w:t>亩（</w:t>
      </w:r>
      <w:r>
        <w:rPr>
          <w:rFonts w:hint="eastAsia" w:ascii="Times New Roman" w:hAnsi="Times New Roman" w:eastAsia="华文仿宋" w:cs="Times New Roman"/>
          <w:sz w:val="32"/>
          <w:szCs w:val="22"/>
          <w:lang w:val="en-US" w:eastAsia="zh-CN"/>
        </w:rPr>
        <w:t>1700</w:t>
      </w:r>
      <w:r>
        <w:rPr>
          <w:rFonts w:hint="eastAsia" w:ascii="Times New Roman" w:hAnsi="Times New Roman" w:eastAsia="华文仿宋" w:cs="Times New Roman"/>
          <w:sz w:val="32"/>
          <w:szCs w:val="22"/>
          <w:lang w:eastAsia="zh-CN"/>
        </w:rPr>
        <w:t>m</w:t>
      </w:r>
      <w:r>
        <w:rPr>
          <w:rFonts w:hint="eastAsia" w:ascii="Times New Roman" w:hAnsi="Times New Roman" w:eastAsia="华文仿宋" w:cs="Times New Roman"/>
          <w:sz w:val="32"/>
          <w:szCs w:val="22"/>
          <w:vertAlign w:val="superscript"/>
          <w:lang w:eastAsia="zh-CN"/>
        </w:rPr>
        <w:t>2</w:t>
      </w:r>
      <w:r>
        <w:rPr>
          <w:rFonts w:hint="eastAsia" w:ascii="Times New Roman" w:hAnsi="Times New Roman" w:eastAsia="华文仿宋" w:cs="Times New Roman"/>
          <w:sz w:val="32"/>
          <w:szCs w:val="22"/>
          <w:lang w:eastAsia="zh-CN"/>
        </w:rPr>
        <w:t xml:space="preserve">），建筑面积约为 </w:t>
      </w:r>
      <w:r>
        <w:rPr>
          <w:rFonts w:hint="eastAsia" w:ascii="Times New Roman" w:hAnsi="Times New Roman" w:eastAsia="华文仿宋" w:cs="Times New Roman"/>
          <w:sz w:val="32"/>
          <w:szCs w:val="22"/>
          <w:lang w:val="en-US" w:eastAsia="zh-CN"/>
        </w:rPr>
        <w:t>1700</w:t>
      </w:r>
      <w:r>
        <w:rPr>
          <w:rFonts w:hint="eastAsia" w:ascii="Times New Roman" w:hAnsi="Times New Roman" w:eastAsia="华文仿宋" w:cs="Times New Roman"/>
          <w:sz w:val="32"/>
          <w:szCs w:val="22"/>
          <w:lang w:eastAsia="zh-CN"/>
        </w:rPr>
        <w:t>m</w:t>
      </w:r>
      <w:r>
        <w:rPr>
          <w:rFonts w:hint="eastAsia" w:ascii="Times New Roman" w:hAnsi="Times New Roman" w:eastAsia="华文仿宋" w:cs="Times New Roman"/>
          <w:sz w:val="32"/>
          <w:szCs w:val="22"/>
          <w:vertAlign w:val="superscript"/>
          <w:lang w:val="en-US" w:eastAsia="zh-CN"/>
        </w:rPr>
        <w:t>2</w:t>
      </w:r>
      <w:r>
        <w:rPr>
          <w:rFonts w:hint="eastAsia" w:ascii="Times New Roman" w:hAnsi="Times New Roman" w:eastAsia="华文仿宋" w:cs="Times New Roman"/>
          <w:sz w:val="32"/>
          <w:szCs w:val="22"/>
          <w:lang w:eastAsia="zh-CN"/>
        </w:rPr>
        <w:t>，</w:t>
      </w:r>
      <w:r>
        <w:rPr>
          <w:rFonts w:hint="eastAsia" w:ascii="Times New Roman" w:hAnsi="Times New Roman" w:eastAsia="华文仿宋" w:cs="Times New Roman"/>
          <w:sz w:val="32"/>
          <w:szCs w:val="22"/>
          <w:lang w:val="en-US" w:eastAsia="zh-CN"/>
        </w:rPr>
        <w:t>生产厂房为1层框架结构，高13米。</w:t>
      </w:r>
      <w:r>
        <w:rPr>
          <w:rFonts w:hint="eastAsia" w:ascii="Times New Roman" w:hAnsi="Times New Roman" w:eastAsia="华文仿宋" w:cs="Times New Roman"/>
          <w:sz w:val="32"/>
          <w:szCs w:val="22"/>
          <w:lang w:eastAsia="zh-CN"/>
        </w:rPr>
        <w:t xml:space="preserve"> 建设一条防护栏杆生产线，包含一</w:t>
      </w:r>
      <w:r>
        <w:rPr>
          <w:rFonts w:hint="eastAsia" w:ascii="Times New Roman" w:hAnsi="Times New Roman" w:eastAsia="华文仿宋" w:cs="Times New Roman"/>
          <w:sz w:val="32"/>
          <w:szCs w:val="22"/>
          <w:lang w:val="en-US" w:eastAsia="zh-CN"/>
        </w:rPr>
        <w:t>个</w:t>
      </w:r>
      <w:r>
        <w:rPr>
          <w:rFonts w:hint="eastAsia" w:ascii="Times New Roman" w:hAnsi="Times New Roman" w:eastAsia="华文仿宋" w:cs="Times New Roman"/>
          <w:sz w:val="32"/>
          <w:szCs w:val="22"/>
          <w:lang w:eastAsia="zh-CN"/>
        </w:rPr>
        <w:t>机加工</w:t>
      </w:r>
      <w:r>
        <w:rPr>
          <w:rFonts w:hint="eastAsia" w:ascii="Times New Roman" w:hAnsi="Times New Roman" w:eastAsia="华文仿宋" w:cs="Times New Roman"/>
          <w:sz w:val="32"/>
          <w:szCs w:val="22"/>
          <w:lang w:val="en-US" w:eastAsia="zh-CN"/>
        </w:rPr>
        <w:t>区</w:t>
      </w:r>
      <w:r>
        <w:rPr>
          <w:rFonts w:hint="eastAsia" w:ascii="Times New Roman" w:hAnsi="Times New Roman" w:eastAsia="华文仿宋" w:cs="Times New Roman"/>
          <w:sz w:val="32"/>
          <w:szCs w:val="22"/>
          <w:lang w:eastAsia="zh-CN"/>
        </w:rPr>
        <w:t>、一</w:t>
      </w:r>
      <w:r>
        <w:rPr>
          <w:rFonts w:hint="eastAsia" w:ascii="Times New Roman" w:hAnsi="Times New Roman" w:eastAsia="华文仿宋" w:cs="Times New Roman"/>
          <w:sz w:val="32"/>
          <w:szCs w:val="22"/>
          <w:lang w:val="en-US" w:eastAsia="zh-CN"/>
        </w:rPr>
        <w:t>个</w:t>
      </w:r>
      <w:r>
        <w:rPr>
          <w:rFonts w:hint="eastAsia" w:ascii="Times New Roman" w:hAnsi="Times New Roman" w:eastAsia="华文仿宋" w:cs="Times New Roman"/>
          <w:sz w:val="32"/>
          <w:szCs w:val="22"/>
          <w:lang w:eastAsia="zh-CN"/>
        </w:rPr>
        <w:t>喷塑固化</w:t>
      </w:r>
      <w:r>
        <w:rPr>
          <w:rFonts w:hint="eastAsia" w:ascii="Times New Roman" w:hAnsi="Times New Roman" w:eastAsia="华文仿宋" w:cs="Times New Roman"/>
          <w:sz w:val="32"/>
          <w:szCs w:val="22"/>
          <w:lang w:val="en-US" w:eastAsia="zh-CN"/>
        </w:rPr>
        <w:t>区</w:t>
      </w:r>
      <w:r>
        <w:rPr>
          <w:rFonts w:hint="eastAsia" w:ascii="Times New Roman" w:hAnsi="Times New Roman" w:eastAsia="华文仿宋" w:cs="Times New Roman"/>
          <w:sz w:val="32"/>
          <w:szCs w:val="22"/>
          <w:lang w:eastAsia="zh-CN"/>
        </w:rPr>
        <w:t>、一</w:t>
      </w:r>
      <w:r>
        <w:rPr>
          <w:rFonts w:hint="eastAsia" w:ascii="Times New Roman" w:hAnsi="Times New Roman" w:eastAsia="华文仿宋" w:cs="Times New Roman"/>
          <w:sz w:val="32"/>
          <w:szCs w:val="22"/>
          <w:lang w:val="en-US" w:eastAsia="zh-CN"/>
        </w:rPr>
        <w:t>个</w:t>
      </w:r>
      <w:r>
        <w:rPr>
          <w:rFonts w:hint="eastAsia" w:ascii="Times New Roman" w:hAnsi="Times New Roman" w:eastAsia="华文仿宋" w:cs="Times New Roman"/>
          <w:sz w:val="32"/>
          <w:szCs w:val="22"/>
          <w:lang w:eastAsia="zh-CN"/>
        </w:rPr>
        <w:t>焊接</w:t>
      </w:r>
      <w:r>
        <w:rPr>
          <w:rFonts w:hint="eastAsia" w:ascii="Times New Roman" w:hAnsi="Times New Roman" w:eastAsia="华文仿宋" w:cs="Times New Roman"/>
          <w:sz w:val="32"/>
          <w:szCs w:val="22"/>
          <w:lang w:val="en-US" w:eastAsia="zh-CN"/>
        </w:rPr>
        <w:t>区，建成后年产防护栏杆800吨。项目</w:t>
      </w:r>
      <w:r>
        <w:rPr>
          <w:rFonts w:hint="eastAsia" w:ascii="Times New Roman" w:hAnsi="Times New Roman" w:eastAsia="华文仿宋" w:cs="Times New Roman"/>
          <w:sz w:val="32"/>
          <w:szCs w:val="22"/>
          <w:lang w:eastAsia="zh-CN"/>
        </w:rPr>
        <w:t>总投资</w:t>
      </w:r>
      <w:r>
        <w:rPr>
          <w:rFonts w:hint="eastAsia" w:ascii="Times New Roman" w:hAnsi="Times New Roman" w:eastAsia="华文仿宋" w:cs="Times New Roman"/>
          <w:sz w:val="32"/>
          <w:szCs w:val="22"/>
          <w:lang w:val="en-US" w:eastAsia="zh-CN"/>
        </w:rPr>
        <w:t>600万元，其中环保投资17.5万元。</w:t>
      </w:r>
    </w:p>
    <w:p>
      <w:pPr>
        <w:spacing w:line="560" w:lineRule="exact"/>
        <w:ind w:left="0" w:leftChars="0" w:firstLine="640" w:firstLineChars="200"/>
        <w:jc w:val="both"/>
        <w:textAlignment w:val="baseline"/>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根据《报告表》所述工程内容、规模、功能以及环保对策措施，同意《报告表》结论。</w:t>
      </w:r>
    </w:p>
    <w:p>
      <w:pPr>
        <w:spacing w:line="560" w:lineRule="exact"/>
        <w:ind w:left="0" w:leftChars="0" w:firstLine="640" w:firstLineChars="200"/>
        <w:jc w:val="both"/>
        <w:textAlignment w:val="baseline"/>
        <w:rPr>
          <w:rFonts w:hint="default" w:ascii="Times New Roman" w:hAnsi="Times New Roman" w:eastAsia="华文仿宋" w:cs="Times New Roman"/>
          <w:sz w:val="32"/>
          <w:szCs w:val="22"/>
          <w:lang w:val="en-US" w:eastAsia="zh-CN"/>
        </w:rPr>
      </w:pPr>
      <w:r>
        <w:rPr>
          <w:rFonts w:hint="eastAsia" w:ascii="Times New Roman" w:hAnsi="Times New Roman" w:eastAsia="华文仿宋" w:cs="Times New Roman"/>
          <w:sz w:val="32"/>
          <w:szCs w:val="22"/>
          <w:lang w:val="en-US" w:eastAsia="zh-CN"/>
        </w:rPr>
        <w:t>二、</w:t>
      </w:r>
      <w:r>
        <w:rPr>
          <w:rFonts w:hint="default" w:ascii="Times New Roman" w:hAnsi="Times New Roman" w:eastAsia="华文仿宋" w:cs="Times New Roman"/>
          <w:sz w:val="32"/>
          <w:szCs w:val="22"/>
          <w:lang w:val="en-US" w:eastAsia="zh-CN"/>
        </w:rPr>
        <w:t>项目应建立完善的“雨污分流”排水系统，并与区域排水系统相协调。</w:t>
      </w:r>
    </w:p>
    <w:p>
      <w:pPr>
        <w:spacing w:line="560" w:lineRule="exact"/>
        <w:ind w:left="0" w:leftChars="0" w:firstLine="640" w:firstLineChars="200"/>
        <w:jc w:val="both"/>
        <w:textAlignment w:val="baseline"/>
        <w:rPr>
          <w:rFonts w:hint="eastAsia" w:ascii="Times New Roman" w:hAnsi="Times New Roman" w:eastAsia="华文仿宋" w:cs="Times New Roman"/>
          <w:sz w:val="32"/>
          <w:szCs w:val="22"/>
          <w:lang w:eastAsia="zh-CN"/>
        </w:rPr>
      </w:pPr>
      <w:r>
        <w:rPr>
          <w:rFonts w:hint="default" w:ascii="Times New Roman" w:hAnsi="Times New Roman" w:eastAsia="华文仿宋" w:cs="Times New Roman"/>
          <w:sz w:val="32"/>
          <w:szCs w:val="22"/>
          <w:lang w:val="en-US" w:eastAsia="zh-CN"/>
        </w:rPr>
        <w:t>项目</w:t>
      </w:r>
      <w:r>
        <w:rPr>
          <w:rFonts w:hint="eastAsia" w:ascii="Times New Roman" w:hAnsi="Times New Roman" w:eastAsia="华文仿宋" w:cs="Times New Roman"/>
          <w:sz w:val="32"/>
          <w:szCs w:val="22"/>
          <w:lang w:val="en-US" w:eastAsia="zh-CN"/>
        </w:rPr>
        <w:t>无生产废水产生</w:t>
      </w:r>
      <w:r>
        <w:rPr>
          <w:rFonts w:hint="default" w:ascii="Times New Roman" w:hAnsi="Times New Roman" w:eastAsia="华文仿宋" w:cs="Times New Roman"/>
          <w:sz w:val="32"/>
          <w:szCs w:val="22"/>
          <w:lang w:val="en-US" w:eastAsia="zh-CN"/>
        </w:rPr>
        <w:t>。</w:t>
      </w:r>
      <w:r>
        <w:rPr>
          <w:rFonts w:hint="eastAsia" w:ascii="Times New Roman" w:hAnsi="Times New Roman" w:eastAsia="华文仿宋" w:cs="Times New Roman"/>
          <w:sz w:val="32"/>
          <w:szCs w:val="22"/>
          <w:lang w:val="en-US" w:eastAsia="zh-CN"/>
        </w:rPr>
        <w:t>食堂废水经隔油池预处理后与其他生活污水一起进入化粪池</w:t>
      </w:r>
      <w:r>
        <w:rPr>
          <w:rFonts w:hint="eastAsia" w:ascii="Times New Roman" w:hAnsi="Times New Roman" w:eastAsia="华文仿宋" w:cs="Times New Roman"/>
          <w:sz w:val="32"/>
          <w:szCs w:val="22"/>
          <w:lang w:eastAsia="zh-CN"/>
        </w:rPr>
        <w:t>，</w:t>
      </w:r>
      <w:r>
        <w:rPr>
          <w:rFonts w:hint="eastAsia" w:ascii="Times New Roman" w:hAnsi="Times New Roman" w:eastAsia="华文仿宋" w:cs="Times New Roman"/>
          <w:sz w:val="32"/>
          <w:szCs w:val="22"/>
          <w:lang w:val="en-US" w:eastAsia="zh-CN"/>
        </w:rPr>
        <w:t>经</w:t>
      </w:r>
      <w:r>
        <w:rPr>
          <w:rFonts w:hint="default" w:ascii="Times New Roman" w:hAnsi="Times New Roman" w:eastAsia="华文仿宋" w:cs="Times New Roman"/>
          <w:sz w:val="32"/>
          <w:szCs w:val="22"/>
          <w:lang w:val="en-US" w:eastAsia="zh-CN"/>
        </w:rPr>
        <w:t>化粪池处理达GB/T31962-2015《污水排入城镇下水道水质标准》表1A级等级标准，即：pH值6.5-9.5、SS≤400mg/L、CODcr≤500mg/L、BOD5≤350mg/L、氨氮≤45mg/L、T-P≤8.0mg/L、动物油≤100mg/L，</w:t>
      </w:r>
      <w:r>
        <w:rPr>
          <w:rFonts w:hint="eastAsia" w:ascii="Times New Roman" w:hAnsi="Times New Roman" w:eastAsia="华文仿宋" w:cs="Times New Roman"/>
          <w:sz w:val="32"/>
          <w:szCs w:val="22"/>
          <w:lang w:eastAsia="zh-CN"/>
        </w:rPr>
        <w:t>然后排入园区污水管网，最终进入淤泥河污水处理厂。</w:t>
      </w:r>
    </w:p>
    <w:p>
      <w:pPr>
        <w:spacing w:line="560" w:lineRule="exact"/>
        <w:ind w:left="0" w:leftChars="0" w:firstLine="640" w:firstLineChars="200"/>
        <w:jc w:val="both"/>
        <w:textAlignment w:val="baseline"/>
        <w:rPr>
          <w:rFonts w:hint="eastAsia" w:ascii="Times New Roman" w:hAnsi="Times New Roman" w:eastAsia="华文仿宋" w:cs="Times New Roman"/>
          <w:sz w:val="32"/>
          <w:szCs w:val="22"/>
          <w:lang w:val="en-US" w:eastAsia="zh-CN"/>
        </w:rPr>
      </w:pPr>
      <w:r>
        <w:rPr>
          <w:rFonts w:hint="eastAsia" w:ascii="Times New Roman" w:hAnsi="Times New Roman" w:eastAsia="华文仿宋" w:cs="Times New Roman"/>
          <w:sz w:val="32"/>
          <w:szCs w:val="22"/>
          <w:lang w:eastAsia="zh-CN"/>
        </w:rPr>
        <w:t>废水污染物总量控制指标：废水量：</w:t>
      </w:r>
      <w:r>
        <w:rPr>
          <w:rFonts w:hint="eastAsia" w:ascii="Times New Roman" w:hAnsi="Times New Roman" w:eastAsia="华文仿宋" w:cs="Times New Roman"/>
          <w:sz w:val="32"/>
          <w:szCs w:val="22"/>
          <w:lang w:val="en-US" w:eastAsia="zh-CN"/>
        </w:rPr>
        <w:t>360</w:t>
      </w:r>
      <w:r>
        <w:rPr>
          <w:rFonts w:hint="eastAsia" w:ascii="Times New Roman" w:hAnsi="Times New Roman" w:eastAsia="华文仿宋" w:cs="Times New Roman"/>
          <w:sz w:val="32"/>
          <w:szCs w:val="22"/>
          <w:lang w:eastAsia="zh-CN"/>
        </w:rPr>
        <w:t>m3/a，CODcr：</w:t>
      </w:r>
      <w:r>
        <w:rPr>
          <w:rFonts w:hint="eastAsia" w:ascii="Times New Roman" w:hAnsi="Times New Roman" w:eastAsia="华文仿宋" w:cs="Times New Roman"/>
          <w:sz w:val="32"/>
          <w:szCs w:val="22"/>
          <w:lang w:val="en-US" w:eastAsia="zh-CN"/>
        </w:rPr>
        <w:t>0.123</w:t>
      </w:r>
      <w:r>
        <w:rPr>
          <w:rFonts w:hint="eastAsia" w:ascii="Times New Roman" w:hAnsi="Times New Roman" w:eastAsia="华文仿宋" w:cs="Times New Roman"/>
          <w:sz w:val="32"/>
          <w:szCs w:val="22"/>
          <w:lang w:eastAsia="zh-CN"/>
        </w:rPr>
        <w:t>t/a、</w:t>
      </w:r>
      <w:r>
        <w:rPr>
          <w:rFonts w:hint="eastAsia" w:ascii="Times New Roman" w:hAnsi="Times New Roman" w:eastAsia="华文仿宋" w:cs="Times New Roman"/>
          <w:sz w:val="32"/>
          <w:szCs w:val="22"/>
          <w:lang w:val="en-US" w:eastAsia="zh-CN"/>
        </w:rPr>
        <w:t>BOD5：0.071</w:t>
      </w:r>
      <w:r>
        <w:rPr>
          <w:rFonts w:hint="eastAsia" w:ascii="Times New Roman" w:hAnsi="Times New Roman" w:eastAsia="华文仿宋" w:cs="Times New Roman"/>
          <w:sz w:val="32"/>
          <w:szCs w:val="22"/>
          <w:lang w:eastAsia="zh-CN"/>
        </w:rPr>
        <w:t>t/a、氨氮：</w:t>
      </w:r>
      <w:r>
        <w:rPr>
          <w:rFonts w:hint="eastAsia" w:ascii="Times New Roman" w:hAnsi="Times New Roman" w:eastAsia="华文仿宋" w:cs="Times New Roman"/>
          <w:sz w:val="32"/>
          <w:szCs w:val="22"/>
          <w:lang w:val="en-US" w:eastAsia="zh-CN"/>
        </w:rPr>
        <w:t>0.007</w:t>
      </w:r>
      <w:r>
        <w:rPr>
          <w:rFonts w:hint="eastAsia" w:ascii="Times New Roman" w:hAnsi="Times New Roman" w:eastAsia="华文仿宋" w:cs="Times New Roman"/>
          <w:sz w:val="32"/>
          <w:szCs w:val="22"/>
          <w:lang w:eastAsia="zh-CN"/>
        </w:rPr>
        <w:t>t/a、总磷：</w:t>
      </w:r>
      <w:r>
        <w:rPr>
          <w:rFonts w:hint="eastAsia" w:ascii="Times New Roman" w:hAnsi="Times New Roman" w:eastAsia="华文仿宋" w:cs="Times New Roman"/>
          <w:sz w:val="32"/>
          <w:szCs w:val="22"/>
          <w:lang w:val="en-US" w:eastAsia="zh-CN"/>
        </w:rPr>
        <w:t>0.0024</w:t>
      </w:r>
      <w:r>
        <w:rPr>
          <w:rFonts w:hint="eastAsia" w:ascii="Times New Roman" w:hAnsi="Times New Roman" w:eastAsia="华文仿宋" w:cs="Times New Roman"/>
          <w:sz w:val="32"/>
          <w:szCs w:val="22"/>
          <w:lang w:eastAsia="zh-CN"/>
        </w:rPr>
        <w:t>t/a。</w:t>
      </w:r>
    </w:p>
    <w:p>
      <w:pPr>
        <w:spacing w:line="560" w:lineRule="exact"/>
        <w:ind w:left="0" w:leftChars="0" w:firstLine="640" w:firstLineChars="200"/>
        <w:jc w:val="both"/>
        <w:textAlignment w:val="baseline"/>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eastAsia="zh-CN"/>
        </w:rPr>
        <w:t>三、</w:t>
      </w:r>
      <w:r>
        <w:rPr>
          <w:rFonts w:hint="default" w:ascii="Times New Roman" w:hAnsi="Times New Roman" w:eastAsia="华文仿宋" w:cs="Times New Roman"/>
          <w:sz w:val="32"/>
          <w:szCs w:val="22"/>
          <w:lang w:val="en-US" w:eastAsia="zh-CN"/>
        </w:rPr>
        <w:t>项目运营期产生的废气主要有颗粒物、非甲烷总烃</w:t>
      </w:r>
      <w:r>
        <w:rPr>
          <w:rFonts w:hint="eastAsia" w:ascii="Times New Roman" w:hAnsi="Times New Roman" w:eastAsia="华文仿宋" w:cs="Times New Roman"/>
          <w:sz w:val="32"/>
          <w:szCs w:val="22"/>
          <w:lang w:val="en-US" w:eastAsia="zh-CN"/>
        </w:rPr>
        <w:t>、二氧化硫、氮氧化物、食堂油烟</w:t>
      </w:r>
      <w:r>
        <w:rPr>
          <w:rFonts w:hint="default" w:ascii="Times New Roman" w:hAnsi="Times New Roman" w:eastAsia="华文仿宋" w:cs="Times New Roman"/>
          <w:sz w:val="32"/>
          <w:szCs w:val="22"/>
          <w:lang w:val="en-US" w:eastAsia="zh-CN"/>
        </w:rPr>
        <w:t>。</w:t>
      </w:r>
    </w:p>
    <w:p>
      <w:pPr>
        <w:spacing w:line="560" w:lineRule="exact"/>
        <w:ind w:left="0" w:leftChars="0" w:firstLine="640" w:firstLineChars="200"/>
        <w:jc w:val="both"/>
        <w:textAlignment w:val="baseline"/>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项目产生废气的车间应合理布局，加强通风。</w:t>
      </w:r>
      <w:r>
        <w:rPr>
          <w:rFonts w:hint="eastAsia" w:ascii="Times New Roman" w:hAnsi="Times New Roman" w:eastAsia="华文仿宋" w:cs="Times New Roman"/>
          <w:sz w:val="32"/>
          <w:szCs w:val="22"/>
          <w:lang w:val="en-US" w:eastAsia="zh-CN"/>
        </w:rPr>
        <w:t>项目喷塑过程中产生的颗粒物经二级滤芯脉冲除尘处理后由15米高排气筒DA001排放，颗粒物</w:t>
      </w:r>
      <w:r>
        <w:rPr>
          <w:rFonts w:hint="default" w:ascii="Times New Roman" w:hAnsi="Times New Roman" w:eastAsia="华文仿宋" w:cs="Times New Roman"/>
          <w:sz w:val="32"/>
          <w:szCs w:val="22"/>
          <w:lang w:val="en-US" w:eastAsia="zh-CN"/>
        </w:rPr>
        <w:t>排放执行《大气污染综合排放标准》（GB16297-1996）表2标准，即：颗粒物≤120mg/m3（有组织）</w:t>
      </w:r>
      <w:r>
        <w:rPr>
          <w:rFonts w:hint="eastAsia" w:ascii="Times New Roman" w:hAnsi="Times New Roman" w:eastAsia="华文仿宋" w:cs="Times New Roman"/>
          <w:sz w:val="32"/>
          <w:szCs w:val="22"/>
          <w:lang w:val="en-US" w:eastAsia="zh-CN"/>
        </w:rPr>
        <w:t>；颗粒物</w:t>
      </w:r>
      <w:r>
        <w:rPr>
          <w:rFonts w:hint="default" w:ascii="Times New Roman" w:hAnsi="Times New Roman" w:eastAsia="华文仿宋" w:cs="Times New Roman"/>
          <w:sz w:val="32"/>
          <w:szCs w:val="22"/>
          <w:lang w:val="en-US" w:eastAsia="zh-CN"/>
        </w:rPr>
        <w:t>≤1</w:t>
      </w:r>
      <w:r>
        <w:rPr>
          <w:rFonts w:hint="eastAsia" w:ascii="Times New Roman" w:hAnsi="Times New Roman" w:eastAsia="华文仿宋" w:cs="Times New Roman"/>
          <w:sz w:val="32"/>
          <w:szCs w:val="22"/>
          <w:lang w:val="en-US" w:eastAsia="zh-CN"/>
        </w:rPr>
        <w:t>.</w:t>
      </w:r>
      <w:r>
        <w:rPr>
          <w:rFonts w:hint="default" w:ascii="Times New Roman" w:hAnsi="Times New Roman" w:eastAsia="华文仿宋" w:cs="Times New Roman"/>
          <w:sz w:val="32"/>
          <w:szCs w:val="22"/>
          <w:lang w:val="en-US" w:eastAsia="zh-CN"/>
        </w:rPr>
        <w:t>0mg/m3（</w:t>
      </w:r>
      <w:r>
        <w:rPr>
          <w:rFonts w:hint="eastAsia" w:ascii="Times New Roman" w:hAnsi="Times New Roman" w:eastAsia="华文仿宋" w:cs="Times New Roman"/>
          <w:sz w:val="32"/>
          <w:szCs w:val="22"/>
          <w:lang w:val="en-US" w:eastAsia="zh-CN"/>
        </w:rPr>
        <w:t>无</w:t>
      </w:r>
      <w:r>
        <w:rPr>
          <w:rFonts w:hint="default" w:ascii="Times New Roman" w:hAnsi="Times New Roman" w:eastAsia="华文仿宋" w:cs="Times New Roman"/>
          <w:sz w:val="32"/>
          <w:szCs w:val="22"/>
          <w:lang w:val="en-US" w:eastAsia="zh-CN"/>
        </w:rPr>
        <w:t>组织）</w:t>
      </w:r>
      <w:r>
        <w:rPr>
          <w:rFonts w:hint="eastAsia" w:ascii="Times New Roman" w:hAnsi="Times New Roman" w:eastAsia="华文仿宋" w:cs="Times New Roman"/>
          <w:sz w:val="32"/>
          <w:szCs w:val="2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baseline"/>
        <w:rPr>
          <w:rFonts w:hint="default" w:ascii="Times New Roman" w:hAnsi="Times New Roman" w:eastAsia="华文仿宋" w:cs="Times New Roman"/>
          <w:sz w:val="32"/>
          <w:szCs w:val="22"/>
          <w:lang w:val="en-US" w:eastAsia="zh-CN"/>
        </w:rPr>
      </w:pPr>
      <w:r>
        <w:rPr>
          <w:rFonts w:hint="eastAsia" w:ascii="Times New Roman" w:hAnsi="Times New Roman" w:eastAsia="华文仿宋" w:cs="Times New Roman"/>
          <w:sz w:val="32"/>
          <w:szCs w:val="22"/>
          <w:lang w:val="en-US" w:eastAsia="zh-CN"/>
        </w:rPr>
        <w:t>项目固化过程中产生的非甲烷总烃及液化石油气燃烧废气经集气罩+UV光氧+活性炭吸附装置处理后由15米高排气筒DA002排放。废气</w:t>
      </w:r>
      <w:r>
        <w:rPr>
          <w:rFonts w:hint="default" w:ascii="Times New Roman" w:hAnsi="Times New Roman" w:eastAsia="华文仿宋" w:cs="Times New Roman"/>
          <w:sz w:val="32"/>
          <w:szCs w:val="22"/>
          <w:lang w:val="en-US" w:eastAsia="zh-CN"/>
        </w:rPr>
        <w:t>排放执行《大气污染综合排放标准》（GB16297-1996）表2标准，即：</w:t>
      </w:r>
      <w:r>
        <w:rPr>
          <w:rFonts w:hint="eastAsia" w:ascii="Times New Roman" w:hAnsi="Times New Roman" w:eastAsia="华文仿宋" w:cs="Times New Roman"/>
          <w:sz w:val="32"/>
          <w:szCs w:val="22"/>
          <w:lang w:val="en-US" w:eastAsia="zh-CN"/>
        </w:rPr>
        <w:t>非甲烷总烃</w:t>
      </w:r>
      <w:r>
        <w:rPr>
          <w:rFonts w:hint="default" w:ascii="Times New Roman" w:hAnsi="Times New Roman" w:eastAsia="华文仿宋" w:cs="Times New Roman"/>
          <w:sz w:val="32"/>
          <w:szCs w:val="22"/>
          <w:lang w:val="en-US" w:eastAsia="zh-CN"/>
        </w:rPr>
        <w:t>≤120mg/m</w:t>
      </w:r>
      <w:r>
        <w:rPr>
          <w:rFonts w:hint="default" w:ascii="Times New Roman" w:hAnsi="Times New Roman" w:eastAsia="华文仿宋" w:cs="Times New Roman"/>
          <w:sz w:val="32"/>
          <w:szCs w:val="22"/>
          <w:vertAlign w:val="superscript"/>
          <w:lang w:val="en-US" w:eastAsia="zh-CN"/>
        </w:rPr>
        <w:t>3</w:t>
      </w:r>
      <w:r>
        <w:rPr>
          <w:rFonts w:hint="default" w:ascii="Times New Roman" w:hAnsi="Times New Roman" w:eastAsia="华文仿宋" w:cs="Times New Roman"/>
          <w:sz w:val="32"/>
          <w:szCs w:val="22"/>
          <w:lang w:val="en-US" w:eastAsia="zh-CN"/>
        </w:rPr>
        <w:t>（有组织）</w:t>
      </w:r>
      <w:r>
        <w:rPr>
          <w:rFonts w:hint="eastAsia" w:ascii="Times New Roman" w:hAnsi="Times New Roman" w:eastAsia="华文仿宋" w:cs="Times New Roman"/>
          <w:sz w:val="32"/>
          <w:szCs w:val="22"/>
          <w:lang w:val="en-US" w:eastAsia="zh-CN"/>
        </w:rPr>
        <w:t>，非甲烷总烃</w:t>
      </w:r>
      <w:r>
        <w:rPr>
          <w:rFonts w:hint="default" w:ascii="Times New Roman" w:hAnsi="Times New Roman" w:eastAsia="华文仿宋" w:cs="Times New Roman"/>
          <w:sz w:val="32"/>
          <w:szCs w:val="22"/>
          <w:lang w:val="en-US" w:eastAsia="zh-CN"/>
        </w:rPr>
        <w:t>≤</w:t>
      </w:r>
      <w:r>
        <w:rPr>
          <w:rFonts w:hint="eastAsia" w:ascii="Times New Roman" w:hAnsi="Times New Roman" w:eastAsia="华文仿宋" w:cs="Times New Roman"/>
          <w:sz w:val="32"/>
          <w:szCs w:val="22"/>
          <w:lang w:val="en-US" w:eastAsia="zh-CN"/>
        </w:rPr>
        <w:t>4.</w:t>
      </w:r>
      <w:r>
        <w:rPr>
          <w:rFonts w:hint="default" w:ascii="Times New Roman" w:hAnsi="Times New Roman" w:eastAsia="华文仿宋" w:cs="Times New Roman"/>
          <w:sz w:val="32"/>
          <w:szCs w:val="22"/>
          <w:lang w:val="en-US" w:eastAsia="zh-CN"/>
        </w:rPr>
        <w:t>0mg/m</w:t>
      </w:r>
      <w:r>
        <w:rPr>
          <w:rFonts w:hint="default" w:ascii="Times New Roman" w:hAnsi="Times New Roman" w:eastAsia="华文仿宋" w:cs="Times New Roman"/>
          <w:sz w:val="32"/>
          <w:szCs w:val="22"/>
          <w:vertAlign w:val="superscript"/>
          <w:lang w:val="en-US" w:eastAsia="zh-CN"/>
        </w:rPr>
        <w:t>3</w:t>
      </w:r>
      <w:r>
        <w:rPr>
          <w:rFonts w:hint="default" w:ascii="Times New Roman" w:hAnsi="Times New Roman" w:eastAsia="华文仿宋" w:cs="Times New Roman"/>
          <w:sz w:val="32"/>
          <w:szCs w:val="22"/>
          <w:lang w:val="en-US" w:eastAsia="zh-CN"/>
        </w:rPr>
        <w:t>（</w:t>
      </w:r>
      <w:r>
        <w:rPr>
          <w:rFonts w:hint="eastAsia" w:ascii="Times New Roman" w:hAnsi="Times New Roman" w:eastAsia="华文仿宋" w:cs="Times New Roman"/>
          <w:sz w:val="32"/>
          <w:szCs w:val="22"/>
          <w:lang w:val="en-US" w:eastAsia="zh-CN"/>
        </w:rPr>
        <w:t>无</w:t>
      </w:r>
      <w:r>
        <w:rPr>
          <w:rFonts w:hint="default" w:ascii="Times New Roman" w:hAnsi="Times New Roman" w:eastAsia="华文仿宋" w:cs="Times New Roman"/>
          <w:sz w:val="32"/>
          <w:szCs w:val="22"/>
          <w:lang w:val="en-US" w:eastAsia="zh-CN"/>
        </w:rPr>
        <w:t>组织）</w:t>
      </w:r>
      <w:r>
        <w:rPr>
          <w:rFonts w:hint="eastAsia" w:ascii="Times New Roman" w:hAnsi="Times New Roman" w:eastAsia="华文仿宋" w:cs="Times New Roman"/>
          <w:sz w:val="32"/>
          <w:szCs w:val="22"/>
          <w:lang w:val="en-US" w:eastAsia="zh-CN"/>
        </w:rPr>
        <w:t>；颗粒物</w:t>
      </w:r>
      <w:r>
        <w:rPr>
          <w:rFonts w:hint="default" w:ascii="Times New Roman" w:hAnsi="Times New Roman" w:eastAsia="华文仿宋" w:cs="Times New Roman"/>
          <w:sz w:val="32"/>
          <w:szCs w:val="22"/>
          <w:lang w:val="en-US" w:eastAsia="zh-CN"/>
        </w:rPr>
        <w:t>≤120mg/m</w:t>
      </w:r>
      <w:r>
        <w:rPr>
          <w:rFonts w:hint="default" w:ascii="Times New Roman" w:hAnsi="Times New Roman" w:eastAsia="华文仿宋" w:cs="Times New Roman"/>
          <w:sz w:val="32"/>
          <w:szCs w:val="22"/>
          <w:vertAlign w:val="superscript"/>
          <w:lang w:val="en-US" w:eastAsia="zh-CN"/>
        </w:rPr>
        <w:t>3</w:t>
      </w:r>
      <w:r>
        <w:rPr>
          <w:rFonts w:hint="default" w:ascii="Times New Roman" w:hAnsi="Times New Roman" w:eastAsia="华文仿宋" w:cs="Times New Roman"/>
          <w:sz w:val="32"/>
          <w:szCs w:val="22"/>
          <w:lang w:val="en-US" w:eastAsia="zh-CN"/>
        </w:rPr>
        <w:t>（有组织）</w:t>
      </w:r>
      <w:r>
        <w:rPr>
          <w:rFonts w:hint="eastAsia" w:ascii="Times New Roman" w:hAnsi="Times New Roman" w:eastAsia="华文仿宋" w:cs="Times New Roman"/>
          <w:sz w:val="32"/>
          <w:szCs w:val="22"/>
          <w:lang w:val="en-US" w:eastAsia="zh-CN"/>
        </w:rPr>
        <w:t>，颗粒物</w:t>
      </w:r>
      <w:r>
        <w:rPr>
          <w:rFonts w:hint="default" w:ascii="Times New Roman" w:hAnsi="Times New Roman" w:eastAsia="华文仿宋" w:cs="Times New Roman"/>
          <w:sz w:val="32"/>
          <w:szCs w:val="22"/>
          <w:lang w:val="en-US" w:eastAsia="zh-CN"/>
        </w:rPr>
        <w:t>≤</w:t>
      </w:r>
      <w:r>
        <w:rPr>
          <w:rFonts w:hint="eastAsia" w:ascii="Times New Roman" w:hAnsi="Times New Roman" w:eastAsia="华文仿宋" w:cs="Times New Roman"/>
          <w:sz w:val="32"/>
          <w:szCs w:val="22"/>
          <w:lang w:val="en-US" w:eastAsia="zh-CN"/>
        </w:rPr>
        <w:t>1.</w:t>
      </w:r>
      <w:r>
        <w:rPr>
          <w:rFonts w:hint="default" w:ascii="Times New Roman" w:hAnsi="Times New Roman" w:eastAsia="华文仿宋" w:cs="Times New Roman"/>
          <w:sz w:val="32"/>
          <w:szCs w:val="22"/>
          <w:lang w:val="en-US" w:eastAsia="zh-CN"/>
        </w:rPr>
        <w:t>0mg/m</w:t>
      </w:r>
      <w:r>
        <w:rPr>
          <w:rFonts w:hint="default" w:ascii="Times New Roman" w:hAnsi="Times New Roman" w:eastAsia="华文仿宋" w:cs="Times New Roman"/>
          <w:sz w:val="32"/>
          <w:szCs w:val="22"/>
          <w:vertAlign w:val="superscript"/>
          <w:lang w:val="en-US" w:eastAsia="zh-CN"/>
        </w:rPr>
        <w:t>3</w:t>
      </w:r>
      <w:r>
        <w:rPr>
          <w:rFonts w:hint="default" w:ascii="Times New Roman" w:hAnsi="Times New Roman" w:eastAsia="华文仿宋" w:cs="Times New Roman"/>
          <w:sz w:val="32"/>
          <w:szCs w:val="22"/>
          <w:lang w:val="en-US" w:eastAsia="zh-CN"/>
        </w:rPr>
        <w:t>（</w:t>
      </w:r>
      <w:r>
        <w:rPr>
          <w:rFonts w:hint="eastAsia" w:ascii="Times New Roman" w:hAnsi="Times New Roman" w:eastAsia="华文仿宋" w:cs="Times New Roman"/>
          <w:sz w:val="32"/>
          <w:szCs w:val="22"/>
          <w:lang w:val="en-US" w:eastAsia="zh-CN"/>
        </w:rPr>
        <w:t>无</w:t>
      </w:r>
      <w:r>
        <w:rPr>
          <w:rFonts w:hint="default" w:ascii="Times New Roman" w:hAnsi="Times New Roman" w:eastAsia="华文仿宋" w:cs="Times New Roman"/>
          <w:sz w:val="32"/>
          <w:szCs w:val="22"/>
          <w:lang w:val="en-US" w:eastAsia="zh-CN"/>
        </w:rPr>
        <w:t>组织）</w:t>
      </w:r>
      <w:r>
        <w:rPr>
          <w:rFonts w:hint="eastAsia" w:ascii="Times New Roman" w:hAnsi="Times New Roman" w:eastAsia="华文仿宋" w:cs="Times New Roman"/>
          <w:sz w:val="32"/>
          <w:szCs w:val="22"/>
          <w:lang w:val="en-US" w:eastAsia="zh-CN"/>
        </w:rPr>
        <w:t>；二氧化硫</w:t>
      </w:r>
      <w:r>
        <w:rPr>
          <w:rFonts w:hint="default" w:ascii="Times New Roman" w:hAnsi="Times New Roman" w:eastAsia="华文仿宋" w:cs="Times New Roman"/>
          <w:sz w:val="32"/>
          <w:szCs w:val="22"/>
          <w:lang w:val="en-US" w:eastAsia="zh-CN"/>
        </w:rPr>
        <w:t>≤</w:t>
      </w:r>
      <w:r>
        <w:rPr>
          <w:rFonts w:hint="eastAsia" w:ascii="Times New Roman" w:hAnsi="Times New Roman" w:eastAsia="华文仿宋" w:cs="Times New Roman"/>
          <w:sz w:val="32"/>
          <w:szCs w:val="22"/>
          <w:lang w:val="en-US" w:eastAsia="zh-CN"/>
        </w:rPr>
        <w:t>550</w:t>
      </w:r>
      <w:r>
        <w:rPr>
          <w:rFonts w:hint="default" w:ascii="Times New Roman" w:hAnsi="Times New Roman" w:eastAsia="华文仿宋" w:cs="Times New Roman"/>
          <w:sz w:val="32"/>
          <w:szCs w:val="22"/>
          <w:lang w:val="en-US" w:eastAsia="zh-CN"/>
        </w:rPr>
        <w:t>mg/m</w:t>
      </w:r>
      <w:r>
        <w:rPr>
          <w:rFonts w:hint="default" w:ascii="Times New Roman" w:hAnsi="Times New Roman" w:eastAsia="华文仿宋" w:cs="Times New Roman"/>
          <w:sz w:val="32"/>
          <w:szCs w:val="22"/>
          <w:vertAlign w:val="superscript"/>
          <w:lang w:val="en-US" w:eastAsia="zh-CN"/>
        </w:rPr>
        <w:t>3</w:t>
      </w:r>
      <w:r>
        <w:rPr>
          <w:rFonts w:hint="default" w:ascii="Times New Roman" w:hAnsi="Times New Roman" w:eastAsia="华文仿宋" w:cs="Times New Roman"/>
          <w:sz w:val="32"/>
          <w:szCs w:val="22"/>
          <w:lang w:val="en-US" w:eastAsia="zh-CN"/>
        </w:rPr>
        <w:t>（有组织）</w:t>
      </w:r>
      <w:r>
        <w:rPr>
          <w:rFonts w:hint="eastAsia" w:ascii="Times New Roman" w:hAnsi="Times New Roman" w:eastAsia="华文仿宋" w:cs="Times New Roman"/>
          <w:sz w:val="32"/>
          <w:szCs w:val="22"/>
          <w:lang w:val="en-US" w:eastAsia="zh-CN"/>
        </w:rPr>
        <w:t>，二氧化硫</w:t>
      </w:r>
      <w:r>
        <w:rPr>
          <w:rFonts w:hint="default" w:ascii="Times New Roman" w:hAnsi="Times New Roman" w:eastAsia="华文仿宋" w:cs="Times New Roman"/>
          <w:sz w:val="32"/>
          <w:szCs w:val="22"/>
          <w:lang w:val="en-US" w:eastAsia="zh-CN"/>
        </w:rPr>
        <w:t>≤</w:t>
      </w:r>
      <w:r>
        <w:rPr>
          <w:rFonts w:hint="eastAsia" w:ascii="Times New Roman" w:hAnsi="Times New Roman" w:eastAsia="华文仿宋" w:cs="Times New Roman"/>
          <w:sz w:val="32"/>
          <w:szCs w:val="22"/>
          <w:lang w:val="en-US" w:eastAsia="zh-CN"/>
        </w:rPr>
        <w:t>0.4</w:t>
      </w:r>
      <w:r>
        <w:rPr>
          <w:rFonts w:hint="default" w:ascii="Times New Roman" w:hAnsi="Times New Roman" w:eastAsia="华文仿宋" w:cs="Times New Roman"/>
          <w:sz w:val="32"/>
          <w:szCs w:val="22"/>
          <w:lang w:val="en-US" w:eastAsia="zh-CN"/>
        </w:rPr>
        <w:t>mg/m</w:t>
      </w:r>
      <w:r>
        <w:rPr>
          <w:rFonts w:hint="default" w:ascii="Times New Roman" w:hAnsi="Times New Roman" w:eastAsia="华文仿宋" w:cs="Times New Roman"/>
          <w:sz w:val="32"/>
          <w:szCs w:val="22"/>
          <w:vertAlign w:val="superscript"/>
          <w:lang w:val="en-US" w:eastAsia="zh-CN"/>
        </w:rPr>
        <w:t>3</w:t>
      </w:r>
      <w:r>
        <w:rPr>
          <w:rFonts w:hint="default" w:ascii="Times New Roman" w:hAnsi="Times New Roman" w:eastAsia="华文仿宋" w:cs="Times New Roman"/>
          <w:sz w:val="32"/>
          <w:szCs w:val="22"/>
          <w:lang w:val="en-US" w:eastAsia="zh-CN"/>
        </w:rPr>
        <w:t>（</w:t>
      </w:r>
      <w:r>
        <w:rPr>
          <w:rFonts w:hint="eastAsia" w:ascii="Times New Roman" w:hAnsi="Times New Roman" w:eastAsia="华文仿宋" w:cs="Times New Roman"/>
          <w:sz w:val="32"/>
          <w:szCs w:val="22"/>
          <w:lang w:val="en-US" w:eastAsia="zh-CN"/>
        </w:rPr>
        <w:t>无</w:t>
      </w:r>
      <w:r>
        <w:rPr>
          <w:rFonts w:hint="default" w:ascii="Times New Roman" w:hAnsi="Times New Roman" w:eastAsia="华文仿宋" w:cs="Times New Roman"/>
          <w:sz w:val="32"/>
          <w:szCs w:val="22"/>
          <w:lang w:val="en-US" w:eastAsia="zh-CN"/>
        </w:rPr>
        <w:t>组织）</w:t>
      </w:r>
      <w:r>
        <w:rPr>
          <w:rFonts w:hint="eastAsia" w:ascii="Times New Roman" w:hAnsi="Times New Roman" w:eastAsia="华文仿宋" w:cs="Times New Roman"/>
          <w:sz w:val="32"/>
          <w:szCs w:val="22"/>
          <w:lang w:val="en-US" w:eastAsia="zh-CN"/>
        </w:rPr>
        <w:t>；氮氧化物</w:t>
      </w:r>
      <w:r>
        <w:rPr>
          <w:rFonts w:hint="default" w:ascii="Times New Roman" w:hAnsi="Times New Roman" w:eastAsia="华文仿宋" w:cs="Times New Roman"/>
          <w:sz w:val="32"/>
          <w:szCs w:val="22"/>
          <w:lang w:val="en-US" w:eastAsia="zh-CN"/>
        </w:rPr>
        <w:t>≤</w:t>
      </w:r>
      <w:r>
        <w:rPr>
          <w:rFonts w:hint="eastAsia" w:ascii="Times New Roman" w:hAnsi="Times New Roman" w:eastAsia="华文仿宋" w:cs="Times New Roman"/>
          <w:sz w:val="32"/>
          <w:szCs w:val="22"/>
          <w:lang w:val="en-US" w:eastAsia="zh-CN"/>
        </w:rPr>
        <w:t>240</w:t>
      </w:r>
      <w:r>
        <w:rPr>
          <w:rFonts w:hint="default" w:ascii="Times New Roman" w:hAnsi="Times New Roman" w:eastAsia="华文仿宋" w:cs="Times New Roman"/>
          <w:sz w:val="32"/>
          <w:szCs w:val="22"/>
          <w:lang w:val="en-US" w:eastAsia="zh-CN"/>
        </w:rPr>
        <w:t>mg/m</w:t>
      </w:r>
      <w:r>
        <w:rPr>
          <w:rFonts w:hint="default" w:ascii="Times New Roman" w:hAnsi="Times New Roman" w:eastAsia="华文仿宋" w:cs="Times New Roman"/>
          <w:sz w:val="32"/>
          <w:szCs w:val="22"/>
          <w:vertAlign w:val="superscript"/>
          <w:lang w:val="en-US" w:eastAsia="zh-CN"/>
        </w:rPr>
        <w:t>3</w:t>
      </w:r>
      <w:r>
        <w:rPr>
          <w:rFonts w:hint="default" w:ascii="Times New Roman" w:hAnsi="Times New Roman" w:eastAsia="华文仿宋" w:cs="Times New Roman"/>
          <w:sz w:val="32"/>
          <w:szCs w:val="22"/>
          <w:lang w:val="en-US" w:eastAsia="zh-CN"/>
        </w:rPr>
        <w:t>（有组织）</w:t>
      </w:r>
      <w:r>
        <w:rPr>
          <w:rFonts w:hint="eastAsia" w:ascii="Times New Roman" w:hAnsi="Times New Roman" w:eastAsia="华文仿宋" w:cs="Times New Roman"/>
          <w:sz w:val="32"/>
          <w:szCs w:val="22"/>
          <w:lang w:val="en-US" w:eastAsia="zh-CN"/>
        </w:rPr>
        <w:t>，氮氧化物</w:t>
      </w:r>
      <w:r>
        <w:rPr>
          <w:rFonts w:hint="default" w:ascii="Times New Roman" w:hAnsi="Times New Roman" w:eastAsia="华文仿宋" w:cs="Times New Roman"/>
          <w:sz w:val="32"/>
          <w:szCs w:val="22"/>
          <w:lang w:val="en-US" w:eastAsia="zh-CN"/>
        </w:rPr>
        <w:t>≤</w:t>
      </w:r>
      <w:r>
        <w:rPr>
          <w:rFonts w:hint="eastAsia" w:ascii="Times New Roman" w:hAnsi="Times New Roman" w:eastAsia="华文仿宋" w:cs="Times New Roman"/>
          <w:sz w:val="32"/>
          <w:szCs w:val="22"/>
          <w:lang w:val="en-US" w:eastAsia="zh-CN"/>
        </w:rPr>
        <w:t>0.12</w:t>
      </w:r>
      <w:r>
        <w:rPr>
          <w:rFonts w:hint="default" w:ascii="Times New Roman" w:hAnsi="Times New Roman" w:eastAsia="华文仿宋" w:cs="Times New Roman"/>
          <w:sz w:val="32"/>
          <w:szCs w:val="22"/>
          <w:lang w:val="en-US" w:eastAsia="zh-CN"/>
        </w:rPr>
        <w:t>mg/m</w:t>
      </w:r>
      <w:r>
        <w:rPr>
          <w:rFonts w:hint="default" w:ascii="Times New Roman" w:hAnsi="Times New Roman" w:eastAsia="华文仿宋" w:cs="Times New Roman"/>
          <w:sz w:val="32"/>
          <w:szCs w:val="22"/>
          <w:vertAlign w:val="superscript"/>
          <w:lang w:val="en-US" w:eastAsia="zh-CN"/>
        </w:rPr>
        <w:t>3</w:t>
      </w:r>
      <w:r>
        <w:rPr>
          <w:rFonts w:hint="default" w:ascii="Times New Roman" w:hAnsi="Times New Roman" w:eastAsia="华文仿宋" w:cs="Times New Roman"/>
          <w:sz w:val="32"/>
          <w:szCs w:val="22"/>
          <w:lang w:val="en-US" w:eastAsia="zh-CN"/>
        </w:rPr>
        <w:t>（</w:t>
      </w:r>
      <w:r>
        <w:rPr>
          <w:rFonts w:hint="eastAsia" w:ascii="Times New Roman" w:hAnsi="Times New Roman" w:eastAsia="华文仿宋" w:cs="Times New Roman"/>
          <w:sz w:val="32"/>
          <w:szCs w:val="22"/>
          <w:lang w:val="en-US" w:eastAsia="zh-CN"/>
        </w:rPr>
        <w:t>无</w:t>
      </w:r>
      <w:r>
        <w:rPr>
          <w:rFonts w:hint="default" w:ascii="Times New Roman" w:hAnsi="Times New Roman" w:eastAsia="华文仿宋" w:cs="Times New Roman"/>
          <w:sz w:val="32"/>
          <w:szCs w:val="22"/>
          <w:lang w:val="en-US" w:eastAsia="zh-CN"/>
        </w:rPr>
        <w:t>组织）</w:t>
      </w:r>
      <w:r>
        <w:rPr>
          <w:rFonts w:hint="eastAsia" w:ascii="Times New Roman" w:hAnsi="Times New Roman" w:eastAsia="华文仿宋" w:cs="Times New Roman"/>
          <w:sz w:val="32"/>
          <w:szCs w:val="2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baseline"/>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项目厂区内无组织排放的</w:t>
      </w:r>
      <w:r>
        <w:rPr>
          <w:rFonts w:hint="eastAsia" w:ascii="Times New Roman" w:hAnsi="Times New Roman" w:eastAsia="华文仿宋" w:cs="Times New Roman"/>
          <w:sz w:val="32"/>
          <w:szCs w:val="22"/>
          <w:lang w:val="en-US" w:eastAsia="zh-CN"/>
        </w:rPr>
        <w:t>非甲烷总烃</w:t>
      </w:r>
      <w:r>
        <w:rPr>
          <w:rFonts w:hint="default" w:ascii="Times New Roman" w:hAnsi="Times New Roman" w:eastAsia="华文仿宋" w:cs="Times New Roman"/>
          <w:sz w:val="32"/>
          <w:szCs w:val="22"/>
          <w:lang w:val="en-US" w:eastAsia="zh-CN"/>
        </w:rPr>
        <w:t>执行</w:t>
      </w:r>
      <w:r>
        <w:rPr>
          <w:rFonts w:hint="default" w:ascii="Times New Roman" w:hAnsi="Times New Roman" w:eastAsia="华文仿宋" w:cs="Times New Roman"/>
          <w:sz w:val="32"/>
          <w:szCs w:val="22"/>
          <w:lang w:eastAsia="zh-CN"/>
        </w:rPr>
        <w:t>《挥发性有机物无组织排放控制标准》（GB37822－2019）表A.1厂区内无组织排放限值，即：</w:t>
      </w:r>
      <w:r>
        <w:rPr>
          <w:rFonts w:hint="eastAsia" w:ascii="Times New Roman" w:hAnsi="Times New Roman" w:eastAsia="华文仿宋" w:cs="Times New Roman"/>
          <w:sz w:val="32"/>
          <w:szCs w:val="22"/>
          <w:lang w:eastAsia="zh-CN"/>
        </w:rPr>
        <w:t>非甲烷总烃</w:t>
      </w:r>
      <w:r>
        <w:rPr>
          <w:rFonts w:hint="default" w:ascii="Times New Roman" w:hAnsi="Times New Roman" w:eastAsia="华文仿宋" w:cs="Times New Roman"/>
          <w:sz w:val="32"/>
          <w:szCs w:val="22"/>
          <w:lang w:eastAsia="zh-CN"/>
        </w:rPr>
        <w:t>≤10mg/m</w:t>
      </w:r>
      <w:r>
        <w:rPr>
          <w:rFonts w:hint="default" w:ascii="Times New Roman" w:hAnsi="Times New Roman" w:eastAsia="华文仿宋" w:cs="Times New Roman"/>
          <w:sz w:val="32"/>
          <w:szCs w:val="22"/>
          <w:vertAlign w:val="superscript"/>
          <w:lang w:eastAsia="zh-CN"/>
        </w:rPr>
        <w:t>3</w:t>
      </w:r>
      <w:r>
        <w:rPr>
          <w:rFonts w:hint="eastAsia" w:ascii="Times New Roman" w:hAnsi="Times New Roman" w:eastAsia="华文仿宋" w:cs="Times New Roman"/>
          <w:sz w:val="32"/>
          <w:szCs w:val="22"/>
          <w:lang w:eastAsia="zh-CN"/>
        </w:rPr>
        <w:t>（</w:t>
      </w:r>
      <w:r>
        <w:rPr>
          <w:rFonts w:hint="default" w:ascii="Times New Roman" w:hAnsi="Times New Roman" w:eastAsia="华文仿宋" w:cs="Times New Roman"/>
          <w:sz w:val="32"/>
          <w:szCs w:val="22"/>
          <w:lang w:eastAsia="zh-CN"/>
        </w:rPr>
        <w:t>监控点处1h平均浓度值</w:t>
      </w:r>
      <w:r>
        <w:rPr>
          <w:rFonts w:hint="eastAsia" w:ascii="Times New Roman" w:hAnsi="Times New Roman" w:eastAsia="华文仿宋" w:cs="Times New Roman"/>
          <w:sz w:val="32"/>
          <w:szCs w:val="22"/>
          <w:lang w:eastAsia="zh-CN"/>
        </w:rPr>
        <w:t>），非甲烷总烃</w:t>
      </w:r>
      <w:r>
        <w:rPr>
          <w:rFonts w:hint="default" w:ascii="Times New Roman" w:hAnsi="Times New Roman" w:eastAsia="华文仿宋" w:cs="Times New Roman"/>
          <w:sz w:val="32"/>
          <w:szCs w:val="22"/>
          <w:lang w:eastAsia="zh-CN"/>
        </w:rPr>
        <w:t>≤30mg/m3</w:t>
      </w:r>
      <w:r>
        <w:rPr>
          <w:rFonts w:hint="eastAsia" w:ascii="Times New Roman" w:hAnsi="Times New Roman" w:eastAsia="华文仿宋" w:cs="Times New Roman"/>
          <w:sz w:val="32"/>
          <w:szCs w:val="22"/>
          <w:lang w:eastAsia="zh-CN"/>
        </w:rPr>
        <w:t>（</w:t>
      </w:r>
      <w:r>
        <w:rPr>
          <w:rFonts w:hint="default" w:ascii="Times New Roman" w:hAnsi="Times New Roman" w:eastAsia="华文仿宋" w:cs="Times New Roman"/>
          <w:sz w:val="32"/>
          <w:szCs w:val="22"/>
          <w:lang w:eastAsia="zh-CN"/>
        </w:rPr>
        <w:t>监控点处任意一次浓度值</w:t>
      </w:r>
      <w:r>
        <w:rPr>
          <w:rFonts w:hint="eastAsia" w:ascii="Times New Roman" w:hAnsi="Times New Roman" w:eastAsia="华文仿宋" w:cs="Times New Roman"/>
          <w:sz w:val="32"/>
          <w:szCs w:val="22"/>
          <w:lang w:eastAsia="zh-CN"/>
        </w:rPr>
        <w:t>）</w:t>
      </w:r>
      <w:r>
        <w:rPr>
          <w:rFonts w:hint="default" w:ascii="Times New Roman" w:hAnsi="Times New Roman" w:eastAsia="华文仿宋" w:cs="Times New Roman"/>
          <w:sz w:val="32"/>
          <w:szCs w:val="2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baseline"/>
        <w:rPr>
          <w:rFonts w:hint="eastAsia" w:ascii="Times New Roman" w:hAnsi="Times New Roman" w:eastAsia="华文仿宋" w:cs="Times New Roman"/>
          <w:sz w:val="32"/>
          <w:szCs w:val="22"/>
          <w:lang w:eastAsia="zh-CN"/>
        </w:rPr>
      </w:pPr>
      <w:r>
        <w:rPr>
          <w:rFonts w:hint="default" w:ascii="Times New Roman" w:hAnsi="Times New Roman" w:eastAsia="华文仿宋" w:cs="Times New Roman"/>
          <w:sz w:val="32"/>
          <w:szCs w:val="22"/>
          <w:lang w:val="en-US" w:eastAsia="zh-CN"/>
        </w:rPr>
        <w:t>项目废气污染物总量控制指标：</w:t>
      </w:r>
      <w:r>
        <w:rPr>
          <w:rFonts w:hint="eastAsia" w:ascii="Times New Roman" w:hAnsi="Times New Roman" w:eastAsia="华文仿宋" w:cs="Times New Roman"/>
          <w:sz w:val="32"/>
          <w:szCs w:val="22"/>
          <w:lang w:val="en-US" w:eastAsia="zh-CN"/>
        </w:rPr>
        <w:t>有组织</w:t>
      </w:r>
      <w:r>
        <w:rPr>
          <w:rFonts w:hint="default" w:ascii="Times New Roman" w:hAnsi="Times New Roman" w:eastAsia="华文仿宋" w:cs="Times New Roman"/>
          <w:sz w:val="32"/>
          <w:szCs w:val="22"/>
          <w:lang w:eastAsia="zh-CN"/>
        </w:rPr>
        <w:t>颗粒物</w:t>
      </w:r>
      <w:r>
        <w:rPr>
          <w:rFonts w:hint="eastAsia" w:ascii="Times New Roman" w:hAnsi="Times New Roman" w:eastAsia="华文仿宋" w:cs="Times New Roman"/>
          <w:sz w:val="32"/>
          <w:szCs w:val="22"/>
          <w:lang w:val="en-US" w:eastAsia="zh-CN"/>
        </w:rPr>
        <w:t>0.36144</w:t>
      </w:r>
      <w:r>
        <w:rPr>
          <w:rFonts w:hint="default" w:ascii="Times New Roman" w:hAnsi="Times New Roman" w:eastAsia="华文仿宋" w:cs="Times New Roman"/>
          <w:sz w:val="32"/>
          <w:szCs w:val="22"/>
          <w:lang w:eastAsia="zh-CN"/>
        </w:rPr>
        <w:t>t/a，非甲烷总烃</w:t>
      </w:r>
      <w:r>
        <w:rPr>
          <w:rFonts w:hint="eastAsia" w:ascii="Times New Roman" w:hAnsi="Times New Roman" w:eastAsia="华文仿宋" w:cs="Times New Roman"/>
          <w:sz w:val="32"/>
          <w:szCs w:val="22"/>
          <w:lang w:val="en-US" w:eastAsia="zh-CN"/>
        </w:rPr>
        <w:t>0.0207</w:t>
      </w:r>
      <w:r>
        <w:rPr>
          <w:rFonts w:hint="default" w:ascii="Times New Roman" w:hAnsi="Times New Roman" w:eastAsia="华文仿宋" w:cs="Times New Roman"/>
          <w:sz w:val="32"/>
          <w:szCs w:val="22"/>
          <w:lang w:eastAsia="zh-CN"/>
        </w:rPr>
        <w:t>t/a</w:t>
      </w:r>
      <w:r>
        <w:rPr>
          <w:rFonts w:hint="eastAsia" w:ascii="Times New Roman" w:hAnsi="Times New Roman" w:eastAsia="华文仿宋" w:cs="Times New Roman"/>
          <w:sz w:val="32"/>
          <w:szCs w:val="22"/>
          <w:lang w:eastAsia="zh-CN"/>
        </w:rPr>
        <w:t>，二氧化硫</w:t>
      </w:r>
      <w:r>
        <w:rPr>
          <w:rFonts w:hint="eastAsia" w:ascii="Times New Roman" w:hAnsi="Times New Roman" w:eastAsia="华文仿宋" w:cs="Times New Roman"/>
          <w:sz w:val="32"/>
          <w:szCs w:val="22"/>
          <w:lang w:val="en-US" w:eastAsia="zh-CN"/>
        </w:rPr>
        <w:t>0.000111t/a，氮氧化物0.03004t/a。</w:t>
      </w:r>
    </w:p>
    <w:p>
      <w:pPr>
        <w:spacing w:line="560" w:lineRule="exact"/>
        <w:ind w:left="0" w:leftChars="0" w:firstLine="640" w:firstLineChars="200"/>
        <w:jc w:val="both"/>
        <w:textAlignment w:val="baseline"/>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食堂厨房油烟经油烟净化器处置后须达到《饮食业油烟排放标准》(GB18483-2001)小型规模标准要求，即</w:t>
      </w:r>
      <w:r>
        <w:rPr>
          <w:rFonts w:hint="eastAsia" w:ascii="Times New Roman" w:hAnsi="Times New Roman" w:eastAsia="华文仿宋" w:cs="Times New Roman"/>
          <w:sz w:val="32"/>
          <w:szCs w:val="22"/>
          <w:lang w:val="en-US" w:eastAsia="zh-CN"/>
        </w:rPr>
        <w:t>：</w:t>
      </w:r>
      <w:r>
        <w:rPr>
          <w:rFonts w:hint="default" w:ascii="Times New Roman" w:hAnsi="Times New Roman" w:eastAsia="华文仿宋" w:cs="Times New Roman"/>
          <w:sz w:val="32"/>
          <w:szCs w:val="22"/>
          <w:lang w:val="en-US" w:eastAsia="zh-CN"/>
        </w:rPr>
        <w:t>油烟最高允许排放浓度≤2.0mg/m3，净化设施去除效率≥60%，油烟需通过专门的排气筒排放，排放高度高于周围 10米内建筑物 1.5 米以上。</w:t>
      </w:r>
    </w:p>
    <w:p>
      <w:pPr>
        <w:spacing w:line="560" w:lineRule="exact"/>
        <w:ind w:left="0" w:leftChars="0" w:firstLine="640" w:firstLineChars="200"/>
        <w:jc w:val="both"/>
        <w:textAlignment w:val="baseline"/>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 xml:space="preserve">严格控制施工时产生的扬 尘和施工机械排放的燃油烟气，施工现场、临时堆场、运输 车辆应采取有效的防治扬尘 措施，排放的废气应符合GB162297-1996《大气污染物综合排放标准》(表2)二级标准，即:颗粒物无组织排放浓度 </w:t>
      </w:r>
      <w:r>
        <w:rPr>
          <w:rFonts w:hint="default" w:ascii="Times New Roman" w:hAnsi="Times New Roman" w:eastAsia="华文仿宋" w:cs="Times New Roman"/>
          <w:sz w:val="32"/>
          <w:szCs w:val="22"/>
          <w:lang w:eastAsia="zh-CN"/>
        </w:rPr>
        <w:t>≤</w:t>
      </w:r>
      <w:r>
        <w:rPr>
          <w:rFonts w:hint="default" w:ascii="Times New Roman" w:hAnsi="Times New Roman" w:eastAsia="华文仿宋" w:cs="Times New Roman"/>
          <w:sz w:val="32"/>
          <w:szCs w:val="22"/>
          <w:lang w:val="en-US" w:eastAsia="zh-CN"/>
        </w:rPr>
        <w:t>1.0mg/m</w:t>
      </w:r>
      <w:r>
        <w:rPr>
          <w:rFonts w:hint="default" w:ascii="Times New Roman" w:hAnsi="Times New Roman" w:eastAsia="华文仿宋" w:cs="Times New Roman"/>
          <w:sz w:val="32"/>
          <w:szCs w:val="22"/>
          <w:vertAlign w:val="superscript"/>
          <w:lang w:val="en-US" w:eastAsia="zh-CN"/>
        </w:rPr>
        <w:t>3</w:t>
      </w:r>
      <w:r>
        <w:rPr>
          <w:rFonts w:hint="default" w:ascii="Times New Roman" w:hAnsi="Times New Roman" w:eastAsia="华文仿宋" w:cs="Times New Roman"/>
          <w:sz w:val="32"/>
          <w:szCs w:val="22"/>
          <w:lang w:val="en-US" w:eastAsia="zh-CN"/>
        </w:rPr>
        <w:t>，减少对环境敏感点的扬尘污染。</w:t>
      </w:r>
    </w:p>
    <w:p>
      <w:pPr>
        <w:spacing w:line="560" w:lineRule="exact"/>
        <w:ind w:left="0" w:leftChars="0" w:firstLine="640" w:firstLineChars="200"/>
        <w:jc w:val="both"/>
        <w:textAlignment w:val="baseline"/>
        <w:rPr>
          <w:rFonts w:hint="eastAsia"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四、项目运营期产生噪声的场所应合理布局，</w:t>
      </w:r>
      <w:r>
        <w:rPr>
          <w:rFonts w:hint="eastAsia" w:ascii="Times New Roman" w:hAnsi="Times New Roman" w:eastAsia="华文仿宋" w:cs="Times New Roman"/>
          <w:sz w:val="32"/>
          <w:szCs w:val="22"/>
          <w:lang w:val="en-US" w:eastAsia="zh-CN"/>
        </w:rPr>
        <w:t>做</w:t>
      </w:r>
      <w:r>
        <w:rPr>
          <w:rFonts w:hint="default" w:ascii="Times New Roman" w:hAnsi="Times New Roman" w:eastAsia="华文仿宋" w:cs="Times New Roman"/>
          <w:sz w:val="32"/>
          <w:szCs w:val="22"/>
          <w:lang w:val="en-US" w:eastAsia="zh-CN"/>
        </w:rPr>
        <w:t>隔声降噪处理，</w:t>
      </w:r>
      <w:r>
        <w:rPr>
          <w:rFonts w:hint="eastAsia" w:ascii="Times New Roman" w:hAnsi="Times New Roman" w:eastAsia="华文仿宋" w:cs="Times New Roman"/>
          <w:sz w:val="32"/>
          <w:szCs w:val="22"/>
          <w:lang w:val="en-US" w:eastAsia="zh-CN"/>
        </w:rPr>
        <w:t>项目厂界噪声执行</w:t>
      </w:r>
      <w:r>
        <w:rPr>
          <w:rFonts w:hint="default" w:ascii="Times New Roman" w:hAnsi="Times New Roman" w:eastAsia="华文仿宋" w:cs="Times New Roman"/>
          <w:sz w:val="32"/>
          <w:szCs w:val="22"/>
          <w:lang w:val="en-US" w:eastAsia="zh-CN"/>
        </w:rPr>
        <w:t>GB12348-2008《工业企业厂界环境噪声排放标准》3类区标准，即：昼间≤65dB</w:t>
      </w:r>
      <w:r>
        <w:rPr>
          <w:rFonts w:hint="eastAsia" w:ascii="Times New Roman" w:hAnsi="Times New Roman" w:eastAsia="华文仿宋" w:cs="Times New Roman"/>
          <w:sz w:val="32"/>
          <w:szCs w:val="22"/>
          <w:lang w:val="en-US" w:eastAsia="zh-CN"/>
        </w:rPr>
        <w:t>；</w:t>
      </w:r>
    </w:p>
    <w:p>
      <w:pPr>
        <w:spacing w:line="560" w:lineRule="exact"/>
        <w:ind w:left="0" w:leftChars="0" w:firstLine="0" w:firstLineChars="0"/>
        <w:jc w:val="both"/>
        <w:textAlignment w:val="baseline"/>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施工过程中严格控制各类施工机械产生的噪声，施工场界噪声应符合 GB12523-2011《建筑施工场界环境噪声排放标准》表 1标准，即:昼间≤70 dB 夜间≤55dB。禁止夜间(22:00至次日6:00)进行产生环境噪声污染的建筑施工作业。</w:t>
      </w:r>
    </w:p>
    <w:p>
      <w:pPr>
        <w:spacing w:line="560" w:lineRule="exact"/>
        <w:ind w:left="0" w:leftChars="0" w:firstLine="640" w:firstLineChars="200"/>
        <w:jc w:val="both"/>
        <w:textAlignment w:val="baseline"/>
        <w:rPr>
          <w:rFonts w:hint="default" w:ascii="Times New Roman" w:hAnsi="Times New Roman" w:eastAsia="华文仿宋" w:cs="Times New Roman"/>
          <w:sz w:val="32"/>
          <w:szCs w:val="22"/>
          <w:lang w:val="en-US" w:eastAsia="zh-CN"/>
        </w:rPr>
      </w:pPr>
      <w:r>
        <w:rPr>
          <w:rFonts w:hint="eastAsia" w:ascii="Times New Roman" w:hAnsi="Times New Roman" w:eastAsia="华文仿宋" w:cs="Times New Roman"/>
          <w:sz w:val="32"/>
          <w:szCs w:val="22"/>
          <w:lang w:val="en-US" w:eastAsia="zh-CN"/>
        </w:rPr>
        <w:t>五、</w:t>
      </w:r>
      <w:r>
        <w:rPr>
          <w:rFonts w:hint="default" w:ascii="Times New Roman" w:hAnsi="Times New Roman" w:eastAsia="华文仿宋" w:cs="Times New Roman"/>
          <w:sz w:val="32"/>
          <w:szCs w:val="22"/>
          <w:lang w:val="en-US" w:eastAsia="zh-CN"/>
        </w:rPr>
        <w:t>项目固体废物应分类收集，沉降金属粉尘、金属边角料及不合格品、废包装材料、焊渣、焊接烟尘净化器收尘灰定期外售综合利用；餐厨垃圾及隔油池废油委托资质单位清运；生活垃圾、化粪池污泥定期由环卫部门清运；回收塑粉回用于生产；废润滑油、含油抹布及手套、废活性炭、废油墨桶、废切削液及废切削液桶、废UV灯管委托有资质单位处置</w:t>
      </w:r>
      <w:r>
        <w:rPr>
          <w:rFonts w:hint="eastAsia" w:ascii="Times New Roman" w:hAnsi="Times New Roman" w:eastAsia="华文仿宋" w:cs="Times New Roman"/>
          <w:sz w:val="32"/>
          <w:szCs w:val="22"/>
          <w:lang w:val="en-US" w:eastAsia="zh-CN"/>
        </w:rPr>
        <w:t>，</w:t>
      </w:r>
      <w:r>
        <w:rPr>
          <w:rFonts w:hint="default" w:ascii="Times New Roman" w:hAnsi="Times New Roman" w:eastAsia="华文仿宋" w:cs="Times New Roman"/>
          <w:sz w:val="32"/>
          <w:szCs w:val="22"/>
          <w:lang w:val="en-US" w:eastAsia="zh-CN"/>
        </w:rPr>
        <w:t>执行《危险废物贮存污染控制标准》（GB18597-2001）。</w:t>
      </w:r>
    </w:p>
    <w:p>
      <w:pPr>
        <w:spacing w:line="560" w:lineRule="exact"/>
        <w:ind w:left="0" w:leftChars="0" w:firstLine="0" w:firstLineChars="0"/>
        <w:jc w:val="both"/>
        <w:textAlignment w:val="baseline"/>
        <w:rPr>
          <w:rFonts w:hint="default" w:ascii="Times New Roman" w:hAnsi="Times New Roman" w:eastAsia="华文仿宋" w:cs="Times New Roman"/>
          <w:sz w:val="32"/>
          <w:szCs w:val="22"/>
          <w:lang w:eastAsia="zh-CN"/>
        </w:rPr>
      </w:pPr>
      <w:r>
        <w:rPr>
          <w:rFonts w:hint="eastAsia" w:ascii="Times New Roman" w:hAnsi="Times New Roman" w:eastAsia="华文仿宋" w:cs="Times New Roman"/>
          <w:sz w:val="32"/>
          <w:szCs w:val="22"/>
          <w:lang w:val="en-US" w:eastAsia="zh-CN"/>
        </w:rPr>
        <w:t>施工产生的建筑固体废弃物应收集并及时清运，妥善处置，不得随意乱倒。</w:t>
      </w:r>
    </w:p>
    <w:p>
      <w:pPr>
        <w:spacing w:line="560" w:lineRule="exact"/>
        <w:ind w:left="0" w:leftChars="0" w:firstLine="640" w:firstLineChars="200"/>
        <w:jc w:val="both"/>
        <w:textAlignment w:val="baseline"/>
        <w:rPr>
          <w:rFonts w:hint="default" w:ascii="Times New Roman" w:hAnsi="Times New Roman" w:eastAsia="华文仿宋" w:cs="Times New Roman"/>
          <w:sz w:val="32"/>
          <w:szCs w:val="22"/>
          <w:lang w:eastAsia="zh-CN"/>
        </w:rPr>
      </w:pPr>
      <w:r>
        <w:rPr>
          <w:rFonts w:hint="default" w:ascii="Times New Roman" w:hAnsi="Times New Roman" w:eastAsia="华文仿宋" w:cs="Times New Roman"/>
          <w:sz w:val="32"/>
          <w:szCs w:val="22"/>
          <w:lang w:val="en-US" w:eastAsia="zh-CN"/>
        </w:rPr>
        <w:t>六、</w:t>
      </w:r>
      <w:r>
        <w:rPr>
          <w:rFonts w:hint="default" w:ascii="Times New Roman" w:hAnsi="Times New Roman" w:eastAsia="华文仿宋" w:cs="Times New Roman"/>
          <w:sz w:val="32"/>
          <w:szCs w:val="22"/>
          <w:lang w:eastAsia="zh-CN"/>
        </w:rPr>
        <w:t>禁止使用含磷洗涤用品及一次性不可降解塑料餐饮具。</w:t>
      </w:r>
    </w:p>
    <w:p>
      <w:pPr>
        <w:spacing w:line="560" w:lineRule="exact"/>
        <w:ind w:left="0" w:leftChars="0" w:firstLine="640" w:firstLineChars="200"/>
        <w:jc w:val="both"/>
        <w:textAlignment w:val="baseline"/>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七、建立完善的环境风险管理制度及风险防范应急措施，防止环境污染事故发生。</w:t>
      </w:r>
    </w:p>
    <w:p>
      <w:pPr>
        <w:spacing w:line="560" w:lineRule="exact"/>
        <w:ind w:left="0" w:leftChars="0" w:firstLine="640" w:firstLineChars="200"/>
        <w:jc w:val="both"/>
        <w:textAlignment w:val="baseline"/>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八、 根据《中华人民共和国环境噪声污染防治法》 第二十九条有关规定，施工单位工程开工必须提前十五日向我局办理建筑噪声的排污申报手续。因特殊情况需要夜间连续作业的，施工单位必须持有关主管部门的证明向我局登记备案，于连续施工之日1天前公告附近居民和单位。并按规定到相关部门办理其它有关手续。</w:t>
      </w:r>
    </w:p>
    <w:p>
      <w:pPr>
        <w:spacing w:line="560" w:lineRule="exact"/>
        <w:ind w:left="0" w:leftChars="0" w:firstLine="640" w:firstLineChars="200"/>
        <w:jc w:val="both"/>
        <w:textAlignment w:val="baseline"/>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九、《报告表》应当作为项目环境保护设计、建设及运行管理的依据, 项目应认真落实各项环保对策措施, 环保设施应与主体工程同时设计，同时施工，同时投入使用。</w:t>
      </w:r>
    </w:p>
    <w:p>
      <w:pPr>
        <w:spacing w:line="560" w:lineRule="exact"/>
        <w:ind w:left="0" w:leftChars="0" w:firstLine="0" w:firstLineChars="0"/>
        <w:jc w:val="both"/>
        <w:textAlignment w:val="baseline"/>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严格遵守《建设项目环境保护条例》、《云南省排放污染物许可证管理办法(试行)》，项目竣工后，应经我局批准后方可投入试运行。试运行三个月内须委托有资质的环境监测部门进行验收监测，并经环保部门验收合格并办理《排放污染物许可证》后，方可投入正式使用。</w:t>
      </w:r>
    </w:p>
    <w:p>
      <w:pPr>
        <w:spacing w:line="560" w:lineRule="exact"/>
        <w:ind w:left="0" w:leftChars="0" w:firstLine="640" w:firstLineChars="200"/>
        <w:jc w:val="both"/>
        <w:textAlignment w:val="baseline"/>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十、项目的性质、规模、地点、采用的生产工艺或者防治污染、防止生态破坏的措施发生变动的，应当重新向我局报批建设项目的环境影响评价文件。</w:t>
      </w:r>
    </w:p>
    <w:p>
      <w:pPr>
        <w:spacing w:line="560" w:lineRule="exact"/>
        <w:ind w:left="0" w:leftChars="0" w:firstLine="0" w:firstLineChars="0"/>
        <w:jc w:val="both"/>
        <w:textAlignment w:val="baseline"/>
        <w:rPr>
          <w:rFonts w:hint="default" w:ascii="Times New Roman" w:hAnsi="Times New Roman" w:eastAsia="华文仿宋" w:cs="Times New Roman"/>
          <w:sz w:val="32"/>
          <w:szCs w:val="22"/>
          <w:lang w:val="en-US" w:eastAsia="zh-CN"/>
        </w:rPr>
      </w:pPr>
      <w:r>
        <w:rPr>
          <w:rFonts w:hint="default" w:ascii="Times New Roman" w:hAnsi="Times New Roman" w:eastAsia="华文仿宋" w:cs="Times New Roman"/>
          <w:sz w:val="32"/>
          <w:szCs w:val="22"/>
          <w:lang w:val="en-US" w:eastAsia="zh-CN"/>
        </w:rPr>
        <w:t>自本批复之日起超过五年项目方开建设的，环境影响评价文件应当报我局重新审核。</w:t>
      </w:r>
    </w:p>
    <w:p>
      <w:pPr>
        <w:spacing w:line="560" w:lineRule="exact"/>
        <w:ind w:left="0" w:leftChars="0" w:firstLine="640" w:firstLineChars="200"/>
        <w:jc w:val="both"/>
        <w:textAlignment w:val="baseline"/>
      </w:pPr>
      <w:r>
        <w:rPr>
          <w:rFonts w:hint="default" w:ascii="Times New Roman" w:hAnsi="Times New Roman" w:eastAsia="华文仿宋" w:cs="Times New Roman"/>
          <w:sz w:val="32"/>
          <w:szCs w:val="22"/>
          <w:lang w:val="en-US" w:eastAsia="zh-CN"/>
        </w:rPr>
        <w:t>十一、依法到</w:t>
      </w:r>
      <w:r>
        <w:rPr>
          <w:rFonts w:hint="eastAsia" w:ascii="Times New Roman" w:hAnsi="Times New Roman" w:eastAsia="华文仿宋" w:cs="Times New Roman"/>
          <w:sz w:val="32"/>
          <w:szCs w:val="22"/>
          <w:lang w:val="en-US" w:eastAsia="zh-CN"/>
        </w:rPr>
        <w:t>自然资源局</w:t>
      </w:r>
      <w:r>
        <w:rPr>
          <w:rFonts w:hint="default" w:ascii="Times New Roman" w:hAnsi="Times New Roman" w:eastAsia="华文仿宋" w:cs="Times New Roman"/>
          <w:sz w:val="32"/>
          <w:szCs w:val="22"/>
          <w:lang w:val="en-US" w:eastAsia="zh-CN"/>
        </w:rPr>
        <w:t>、住建、水务、发改经贸等部门办理其他相关手续。</w:t>
      </w:r>
    </w:p>
    <w:p>
      <w:pPr>
        <w:spacing w:line="560" w:lineRule="exact"/>
        <w:ind w:left="0" w:leftChars="0" w:firstLine="0" w:firstLineChars="0"/>
        <w:jc w:val="both"/>
        <w:textAlignment w:val="baseline"/>
        <w:rPr>
          <w:rFonts w:ascii="Times New Roman" w:hAnsi="Times New Roman" w:eastAsia="华文仿宋"/>
          <w:sz w:val="32"/>
        </w:rPr>
      </w:pPr>
      <w:r>
        <w:rPr>
          <w:rFonts w:hint="eastAsia" w:ascii="Times New Roman" w:hAnsi="Times New Roman" w:eastAsia="华文仿宋"/>
          <w:sz w:val="32"/>
          <w:lang w:val="en-US" w:eastAsia="zh-CN"/>
        </w:rPr>
        <w:t xml:space="preserve">                    </w:t>
      </w:r>
      <w:r>
        <w:rPr>
          <w:rFonts w:ascii="Times New Roman" w:hAnsi="Times New Roman" w:eastAsia="华文仿宋"/>
          <w:sz w:val="32"/>
        </w:rPr>
        <w:t xml:space="preserve">    昆明市</w:t>
      </w:r>
      <w:r>
        <w:rPr>
          <w:rFonts w:hint="eastAsia" w:ascii="Times New Roman" w:hAnsi="Times New Roman" w:eastAsia="华文仿宋"/>
          <w:sz w:val="32"/>
          <w:lang w:eastAsia="zh-CN"/>
        </w:rPr>
        <w:t>生态</w:t>
      </w:r>
      <w:r>
        <w:rPr>
          <w:rFonts w:ascii="Times New Roman" w:hAnsi="Times New Roman" w:eastAsia="华文仿宋"/>
          <w:sz w:val="32"/>
        </w:rPr>
        <w:t>环境局</w:t>
      </w:r>
      <w:r>
        <w:rPr>
          <w:rFonts w:hint="eastAsia" w:ascii="Times New Roman" w:hAnsi="Times New Roman" w:eastAsia="华文仿宋"/>
          <w:sz w:val="32"/>
          <w:lang w:eastAsia="zh-CN"/>
        </w:rPr>
        <w:t>晋宁分局</w:t>
      </w:r>
    </w:p>
    <w:p>
      <w:pPr>
        <w:spacing w:line="560" w:lineRule="exact"/>
        <w:ind w:firstLine="4480" w:firstLineChars="1400"/>
        <w:textAlignment w:val="baseline"/>
      </w:pPr>
      <w:r>
        <w:rPr>
          <w:rFonts w:ascii="Times New Roman" w:hAnsi="Times New Roman" w:eastAsia="华文仿宋"/>
          <w:color w:val="000000"/>
          <w:sz w:val="32"/>
          <w:u w:val="none"/>
        </w:rPr>
        <w:t>20</w:t>
      </w:r>
      <w:r>
        <w:rPr>
          <w:rFonts w:hint="eastAsia" w:ascii="Times New Roman" w:hAnsi="Times New Roman" w:eastAsia="华文仿宋"/>
          <w:color w:val="000000"/>
          <w:sz w:val="32"/>
          <w:u w:val="none"/>
          <w:lang w:val="en-US" w:eastAsia="zh-CN"/>
        </w:rPr>
        <w:t>22</w:t>
      </w:r>
      <w:r>
        <w:rPr>
          <w:rFonts w:ascii="Times New Roman" w:hAnsi="Times New Roman" w:eastAsia="华文仿宋"/>
          <w:color w:val="000000"/>
          <w:sz w:val="32"/>
          <w:u w:val="none"/>
        </w:rPr>
        <w:t>年</w:t>
      </w:r>
      <w:r>
        <w:rPr>
          <w:rFonts w:hint="eastAsia" w:ascii="Times New Roman" w:hAnsi="Times New Roman" w:eastAsia="华文仿宋"/>
          <w:color w:val="000000"/>
          <w:sz w:val="32"/>
          <w:u w:val="none"/>
          <w:lang w:val="en-US" w:eastAsia="zh-CN"/>
        </w:rPr>
        <w:t>6</w:t>
      </w:r>
      <w:r>
        <w:rPr>
          <w:rFonts w:ascii="Times New Roman" w:hAnsi="Times New Roman" w:eastAsia="华文仿宋"/>
          <w:color w:val="000000"/>
          <w:sz w:val="32"/>
          <w:u w:val="none"/>
        </w:rPr>
        <w:t>月</w:t>
      </w:r>
      <w:r>
        <w:rPr>
          <w:rFonts w:hint="eastAsia" w:ascii="Times New Roman" w:hAnsi="Times New Roman" w:eastAsia="华文仿宋"/>
          <w:color w:val="000000"/>
          <w:sz w:val="32"/>
          <w:u w:val="none"/>
          <w:lang w:val="en-US" w:eastAsia="zh-CN"/>
        </w:rPr>
        <w:t>8</w:t>
      </w:r>
      <w:r>
        <w:rPr>
          <w:rFonts w:ascii="Times New Roman" w:hAnsi="Times New Roman" w:eastAsia="华文仿宋"/>
          <w:color w:val="000000"/>
          <w:sz w:val="32"/>
          <w:u w:val="none"/>
        </w:rPr>
        <w:t>日</w:t>
      </w:r>
    </w:p>
    <w:p>
      <w:pPr>
        <w:spacing w:line="560" w:lineRule="exact"/>
        <w:ind w:left="0" w:leftChars="0" w:firstLine="0" w:firstLineChars="0"/>
        <w:textAlignment w:val="baseline"/>
        <w:rPr>
          <w:rFonts w:ascii="Times New Roman" w:hAnsi="Times New Roman" w:eastAsia="华文仿宋"/>
          <w:sz w:val="32"/>
          <w:u w:val="single"/>
        </w:rPr>
      </w:pPr>
      <w:r>
        <w:rPr>
          <w:rFonts w:ascii="Times New Roman" w:hAnsi="Times New Roman" w:eastAsia="仿宋_GB2312"/>
          <w:color w:val="000000"/>
          <w:sz w:val="32"/>
          <w:u w:val="single"/>
        </w:rPr>
        <w:t xml:space="preserve">                      </w:t>
      </w:r>
      <w:r>
        <w:rPr>
          <w:rFonts w:ascii="Times New Roman" w:hAnsi="Times New Roman" w:eastAsia="华文仿宋"/>
          <w:color w:val="000000"/>
          <w:sz w:val="32"/>
          <w:u w:val="single"/>
        </w:rPr>
        <w:t xml:space="preserve">     </w:t>
      </w:r>
      <w:r>
        <w:rPr>
          <w:rFonts w:hint="eastAsia" w:ascii="Times New Roman" w:hAnsi="Times New Roman" w:eastAsia="华文仿宋"/>
          <w:color w:val="000000"/>
          <w:sz w:val="32"/>
          <w:u w:val="single"/>
          <w:lang w:val="en-US" w:eastAsia="zh-CN"/>
        </w:rPr>
        <w:t xml:space="preserve"> </w:t>
      </w:r>
      <w:r>
        <w:rPr>
          <w:rFonts w:ascii="Times New Roman" w:hAnsi="Times New Roman" w:eastAsia="华文仿宋"/>
          <w:sz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0" w:firstLineChars="0"/>
        <w:jc w:val="both"/>
        <w:textAlignment w:val="baseline"/>
        <w:outlineLvl w:val="9"/>
        <w:rPr>
          <w:rFonts w:hint="eastAsia" w:ascii="Times New Roman" w:hAnsi="Times New Roman" w:eastAsia="华文仿宋"/>
          <w:sz w:val="32"/>
          <w:lang w:val="en-US" w:eastAsia="zh-CN"/>
        </w:rPr>
      </w:pPr>
      <w:r>
        <w:rPr>
          <w:rFonts w:ascii="Times New Roman" w:hAnsi="Times New Roman" w:eastAsia="华文仿宋"/>
          <w:sz w:val="32"/>
        </w:rPr>
        <w:t xml:space="preserve">  抄送：昆明市</w:t>
      </w:r>
      <w:r>
        <w:rPr>
          <w:rFonts w:hint="eastAsia" w:ascii="Times New Roman" w:hAnsi="Times New Roman" w:eastAsia="华文仿宋"/>
          <w:sz w:val="32"/>
          <w:lang w:eastAsia="zh-CN"/>
        </w:rPr>
        <w:t>生态</w:t>
      </w:r>
      <w:r>
        <w:rPr>
          <w:rFonts w:ascii="Times New Roman" w:hAnsi="Times New Roman" w:eastAsia="华文仿宋"/>
          <w:sz w:val="32"/>
        </w:rPr>
        <w:t xml:space="preserve">环境局        </w:t>
      </w:r>
      <w:r>
        <w:rPr>
          <w:rFonts w:hint="eastAsia" w:ascii="Times New Roman" w:hAnsi="Times New Roman" w:eastAsia="华文仿宋"/>
          <w:sz w:val="32"/>
          <w:lang w:val="en-US" w:eastAsia="zh-CN"/>
        </w:rPr>
        <w:t xml:space="preserve">           </w:t>
      </w:r>
      <w:r>
        <w:rPr>
          <w:rFonts w:hint="eastAsia" w:eastAsia="华文仿宋"/>
          <w:sz w:val="32"/>
          <w:lang w:val="en-US" w:eastAsia="zh-CN"/>
        </w:rPr>
        <w:t>晋城街道</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0" w:firstLineChars="0"/>
        <w:jc w:val="both"/>
        <w:outlineLvl w:val="9"/>
        <w:rPr>
          <w:rFonts w:ascii="Times New Roman" w:hAnsi="Times New Roman" w:eastAsia="华文仿宋"/>
          <w:sz w:val="32"/>
          <w:u w:val="single"/>
        </w:rPr>
      </w:pPr>
      <w:r>
        <w:rPr>
          <w:rFonts w:ascii="Times New Roman" w:hAnsi="Times New Roman" w:eastAsia="华文仿宋"/>
          <w:sz w:val="32"/>
          <w:u w:val="single"/>
        </w:rPr>
        <w:t xml:space="preserve">        </w:t>
      </w:r>
      <w:r>
        <w:rPr>
          <w:rFonts w:hint="eastAsia" w:ascii="Times New Roman" w:hAnsi="Times New Roman" w:eastAsia="华文仿宋"/>
          <w:sz w:val="32"/>
          <w:u w:val="single"/>
        </w:rPr>
        <w:t>晋宁区生态环境保护综合执法大队</w:t>
      </w:r>
      <w:r>
        <w:rPr>
          <w:rFonts w:ascii="Times New Roman" w:hAnsi="Times New Roman" w:eastAsia="华文仿宋"/>
          <w:sz w:val="32"/>
          <w:u w:val="single"/>
        </w:rPr>
        <w:t xml:space="preserve">    </w:t>
      </w:r>
      <w:r>
        <w:rPr>
          <w:rFonts w:hint="eastAsia" w:ascii="Times New Roman" w:hAnsi="Times New Roman" w:eastAsia="华文仿宋"/>
          <w:sz w:val="32"/>
          <w:u w:val="single"/>
        </w:rPr>
        <w:t xml:space="preserve">       </w:t>
      </w:r>
      <w:r>
        <w:rPr>
          <w:rFonts w:ascii="Times New Roman" w:hAnsi="Times New Roman" w:eastAsia="华文仿宋"/>
          <w:sz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0" w:firstLineChars="0"/>
        <w:jc w:val="both"/>
        <w:textAlignment w:val="baseline"/>
        <w:outlineLvl w:val="9"/>
        <w:rPr>
          <w:rFonts w:hint="default" w:ascii="Times New Roman" w:hAnsi="Times New Roman" w:eastAsia="华文仿宋" w:cs="Times New Roman"/>
          <w:color w:val="000000"/>
          <w:sz w:val="32"/>
          <w:u w:val="single"/>
        </w:rPr>
      </w:pPr>
      <w:r>
        <w:rPr>
          <w:rFonts w:hint="eastAsia" w:hAnsi="华文仿宋" w:eastAsia="华文仿宋"/>
          <w:color w:val="000000"/>
          <w:sz w:val="32"/>
          <w:lang w:val="en-US" w:eastAsia="zh-CN"/>
        </w:rPr>
        <w:t xml:space="preserve"> </w:t>
      </w:r>
      <w:r>
        <w:rPr>
          <w:rFonts w:hint="eastAsia" w:hAnsi="华文仿宋" w:eastAsia="华文仿宋"/>
          <w:color w:val="000000"/>
          <w:sz w:val="32"/>
        </w:rPr>
        <w:t>昆明市</w:t>
      </w:r>
      <w:r>
        <w:rPr>
          <w:rFonts w:hint="eastAsia" w:hAnsi="华文仿宋" w:eastAsia="华文仿宋"/>
          <w:color w:val="000000"/>
          <w:sz w:val="32"/>
          <w:lang w:eastAsia="zh-CN"/>
        </w:rPr>
        <w:t>生态</w:t>
      </w:r>
      <w:r>
        <w:rPr>
          <w:rFonts w:hAnsi="华文仿宋" w:eastAsia="华文仿宋"/>
          <w:color w:val="000000"/>
          <w:sz w:val="32"/>
        </w:rPr>
        <w:t>环境局</w:t>
      </w:r>
      <w:r>
        <w:rPr>
          <w:rFonts w:hint="eastAsia" w:hAnsi="华文仿宋" w:eastAsia="华文仿宋"/>
          <w:color w:val="000000"/>
          <w:sz w:val="32"/>
          <w:lang w:eastAsia="zh-CN"/>
        </w:rPr>
        <w:t>晋宁分局</w:t>
      </w:r>
      <w:r>
        <w:rPr>
          <w:rFonts w:eastAsia="华文仿宋"/>
          <w:color w:val="000000"/>
          <w:sz w:val="32"/>
        </w:rPr>
        <w:t xml:space="preserve">      </w:t>
      </w:r>
      <w:r>
        <w:rPr>
          <w:rFonts w:hint="default" w:ascii="Times New Roman" w:hAnsi="Times New Roman" w:eastAsia="华文仿宋" w:cs="Times New Roman"/>
          <w:color w:val="000000"/>
          <w:sz w:val="32"/>
        </w:rPr>
        <w:t xml:space="preserve"> 20</w:t>
      </w:r>
      <w:r>
        <w:rPr>
          <w:rFonts w:hint="default" w:ascii="Times New Roman" w:hAnsi="Times New Roman" w:eastAsia="华文仿宋" w:cs="Times New Roman"/>
          <w:color w:val="000000"/>
          <w:sz w:val="32"/>
          <w:lang w:val="en-US" w:eastAsia="zh-CN"/>
        </w:rPr>
        <w:t>2</w:t>
      </w:r>
      <w:r>
        <w:rPr>
          <w:rFonts w:hint="eastAsia" w:ascii="Times New Roman" w:hAnsi="Times New Roman" w:eastAsia="华文仿宋" w:cs="Times New Roman"/>
          <w:color w:val="000000"/>
          <w:sz w:val="32"/>
          <w:lang w:val="en-US" w:eastAsia="zh-CN"/>
        </w:rPr>
        <w:t>2</w:t>
      </w:r>
      <w:r>
        <w:rPr>
          <w:rFonts w:hint="default" w:ascii="Times New Roman" w:hAnsi="Times New Roman" w:eastAsia="华文仿宋" w:cs="Times New Roman"/>
          <w:color w:val="000000"/>
          <w:sz w:val="32"/>
        </w:rPr>
        <w:t>年</w:t>
      </w:r>
      <w:r>
        <w:rPr>
          <w:rFonts w:hint="eastAsia" w:ascii="Times New Roman" w:hAnsi="Times New Roman" w:eastAsia="华文仿宋" w:cs="Times New Roman"/>
          <w:color w:val="000000"/>
          <w:sz w:val="32"/>
          <w:lang w:val="en-US" w:eastAsia="zh-CN"/>
        </w:rPr>
        <w:t>6</w:t>
      </w:r>
      <w:r>
        <w:rPr>
          <w:rFonts w:hint="default" w:ascii="Times New Roman" w:hAnsi="Times New Roman" w:eastAsia="华文仿宋" w:cs="Times New Roman"/>
          <w:color w:val="000000"/>
          <w:sz w:val="32"/>
        </w:rPr>
        <w:t>月</w:t>
      </w:r>
      <w:r>
        <w:rPr>
          <w:rFonts w:hint="eastAsia" w:ascii="Times New Roman" w:hAnsi="Times New Roman" w:eastAsia="华文仿宋" w:cs="Times New Roman"/>
          <w:color w:val="000000"/>
          <w:sz w:val="32"/>
          <w:lang w:val="en-US" w:eastAsia="zh-CN"/>
        </w:rPr>
        <w:t>8</w:t>
      </w:r>
      <w:r>
        <w:rPr>
          <w:rFonts w:hint="default" w:ascii="Times New Roman" w:hAnsi="Times New Roman" w:eastAsia="华文仿宋" w:cs="Times New Roman"/>
          <w:color w:val="000000"/>
          <w:sz w:val="32"/>
        </w:rPr>
        <w:t>日印发</w:t>
      </w:r>
    </w:p>
    <w:p>
      <w:pPr>
        <w:jc w:val="center"/>
        <w:rPr>
          <w:b/>
          <w:sz w:val="44"/>
        </w:rPr>
      </w:pPr>
      <w:r>
        <w:rPr>
          <w:rFonts w:hint="eastAsia"/>
          <w:b/>
          <w:sz w:val="44"/>
          <w:szCs w:val="22"/>
        </w:rPr>
        <w:t>昆明市</w:t>
      </w:r>
      <w:r>
        <w:rPr>
          <w:rFonts w:hint="eastAsia"/>
          <w:b/>
          <w:sz w:val="44"/>
          <w:szCs w:val="22"/>
          <w:lang w:eastAsia="zh-CN"/>
        </w:rPr>
        <w:t>生态</w:t>
      </w:r>
      <w:r>
        <w:rPr>
          <w:b/>
          <w:sz w:val="44"/>
          <w:szCs w:val="22"/>
        </w:rPr>
        <w:t>环境局</w:t>
      </w:r>
      <w:r>
        <w:rPr>
          <w:rFonts w:hint="eastAsia"/>
          <w:b/>
          <w:sz w:val="44"/>
          <w:szCs w:val="22"/>
          <w:lang w:eastAsia="zh-CN"/>
        </w:rPr>
        <w:t>晋宁分局</w:t>
      </w:r>
      <w:r>
        <w:rPr>
          <w:b/>
          <w:sz w:val="44"/>
          <w:szCs w:val="22"/>
        </w:rPr>
        <w:t>建设</w:t>
      </w:r>
      <w:r>
        <w:rPr>
          <w:b/>
          <w:sz w:val="44"/>
        </w:rPr>
        <w:t>项目</w:t>
      </w:r>
    </w:p>
    <w:p>
      <w:pPr>
        <w:jc w:val="center"/>
        <w:rPr>
          <w:b/>
          <w:sz w:val="44"/>
        </w:rPr>
      </w:pPr>
      <w:r>
        <w:rPr>
          <w:b/>
          <w:sz w:val="44"/>
        </w:rPr>
        <w:t>审批审核签发单</w:t>
      </w:r>
    </w:p>
    <w:p>
      <w:pPr>
        <w:rPr>
          <w:rFonts w:eastAsia="仿宋_GB2312"/>
          <w:b/>
          <w:sz w:val="32"/>
        </w:rPr>
      </w:pPr>
      <w:r>
        <w:rPr>
          <w:rFonts w:eastAsia="仿宋_GB2312"/>
          <w:sz w:val="32"/>
        </w:rPr>
        <w:t>日期：20</w:t>
      </w:r>
      <w:r>
        <w:rPr>
          <w:rFonts w:hint="eastAsia" w:eastAsia="仿宋_GB2312"/>
          <w:sz w:val="32"/>
          <w:lang w:val="en-US" w:eastAsia="zh-CN"/>
        </w:rPr>
        <w:t>22</w:t>
      </w:r>
      <w:r>
        <w:rPr>
          <w:rFonts w:eastAsia="仿宋_GB2312"/>
          <w:sz w:val="32"/>
        </w:rPr>
        <w:t>年</w:t>
      </w:r>
      <w:r>
        <w:rPr>
          <w:rFonts w:hint="eastAsia" w:eastAsia="仿宋_GB2312"/>
          <w:sz w:val="32"/>
          <w:lang w:val="en-US" w:eastAsia="zh-CN"/>
        </w:rPr>
        <w:t>6</w:t>
      </w:r>
      <w:r>
        <w:rPr>
          <w:rFonts w:eastAsia="仿宋_GB2312"/>
          <w:sz w:val="32"/>
        </w:rPr>
        <w:t>月</w:t>
      </w:r>
      <w:r>
        <w:rPr>
          <w:rFonts w:hint="eastAsia" w:eastAsia="仿宋_GB2312"/>
          <w:sz w:val="32"/>
          <w:lang w:val="en-US" w:eastAsia="zh-CN"/>
        </w:rPr>
        <w:t>7</w:t>
      </w:r>
      <w:r>
        <w:rPr>
          <w:rFonts w:eastAsia="仿宋_GB2312"/>
          <w:sz w:val="32"/>
        </w:rPr>
        <w:t>日</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198"/>
        <w:gridCol w:w="1185"/>
        <w:gridCol w:w="360"/>
        <w:gridCol w:w="1035"/>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04" w:type="dxa"/>
            <w:noWrap w:val="0"/>
            <w:vAlign w:val="center"/>
          </w:tcPr>
          <w:p>
            <w:pPr>
              <w:spacing w:line="300" w:lineRule="exact"/>
              <w:jc w:val="center"/>
              <w:rPr>
                <w:b/>
                <w:sz w:val="24"/>
              </w:rPr>
            </w:pPr>
            <w:r>
              <w:rPr>
                <w:b/>
                <w:sz w:val="24"/>
              </w:rPr>
              <w:t>项目名称</w:t>
            </w:r>
          </w:p>
        </w:tc>
        <w:tc>
          <w:tcPr>
            <w:tcW w:w="6818" w:type="dxa"/>
            <w:gridSpan w:val="5"/>
            <w:noWrap w:val="0"/>
            <w:vAlign w:val="center"/>
          </w:tcPr>
          <w:p>
            <w:pPr>
              <w:spacing w:line="300" w:lineRule="exact"/>
              <w:jc w:val="center"/>
              <w:textAlignment w:val="baseline"/>
              <w:rPr>
                <w:rFonts w:hint="eastAsia"/>
                <w:sz w:val="24"/>
              </w:rPr>
            </w:pPr>
            <w:r>
              <w:rPr>
                <w:rFonts w:hint="eastAsia"/>
                <w:sz w:val="24"/>
              </w:rPr>
              <w:t>关于对《</w:t>
            </w:r>
            <w:r>
              <w:rPr>
                <w:rFonts w:hint="eastAsia"/>
                <w:sz w:val="24"/>
                <w:lang w:val="en-US" w:eastAsia="zh-CN"/>
              </w:rPr>
              <w:t>云南众鑫金属制造合伙企业（有限合伙）防护栏杆加工及销售项目</w:t>
            </w:r>
            <w:r>
              <w:rPr>
                <w:rFonts w:hint="eastAsia"/>
                <w:sz w:val="24"/>
              </w:rPr>
              <w:t>环境影响</w:t>
            </w:r>
            <w:r>
              <w:rPr>
                <w:rFonts w:hint="eastAsia"/>
                <w:sz w:val="24"/>
                <w:lang w:eastAsia="zh-CN"/>
              </w:rPr>
              <w:t>报告表</w:t>
            </w:r>
            <w:r>
              <w:rPr>
                <w:rFonts w:hint="eastAsia"/>
                <w:sz w:val="24"/>
              </w:rPr>
              <w:t>》的批复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1704" w:type="dxa"/>
            <w:noWrap w:val="0"/>
            <w:vAlign w:val="center"/>
          </w:tcPr>
          <w:p>
            <w:pPr>
              <w:spacing w:line="300" w:lineRule="exact"/>
              <w:jc w:val="center"/>
              <w:rPr>
                <w:b/>
                <w:sz w:val="24"/>
              </w:rPr>
            </w:pPr>
            <w:r>
              <w:rPr>
                <w:b/>
                <w:sz w:val="24"/>
              </w:rPr>
              <w:t>建设单位</w:t>
            </w:r>
          </w:p>
        </w:tc>
        <w:tc>
          <w:tcPr>
            <w:tcW w:w="6818"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1" w:leftChars="0" w:right="0" w:rightChars="0" w:firstLine="480" w:firstLineChars="200"/>
              <w:jc w:val="both"/>
              <w:textAlignment w:val="bottom"/>
              <w:outlineLvl w:val="9"/>
              <w:rPr>
                <w:rFonts w:hint="eastAsia"/>
                <w:sz w:val="24"/>
              </w:rPr>
            </w:pPr>
            <w:r>
              <w:rPr>
                <w:rFonts w:hint="eastAsia"/>
                <w:sz w:val="24"/>
                <w:lang w:val="en-US" w:eastAsia="zh-CN"/>
              </w:rPr>
              <w:t>云南众鑫金属制造合伙企业（有限合伙）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704" w:type="dxa"/>
            <w:noWrap w:val="0"/>
            <w:vAlign w:val="center"/>
          </w:tcPr>
          <w:p>
            <w:pPr>
              <w:spacing w:line="300" w:lineRule="exact"/>
              <w:jc w:val="center"/>
              <w:rPr>
                <w:b/>
                <w:sz w:val="24"/>
              </w:rPr>
            </w:pPr>
            <w:r>
              <w:rPr>
                <w:b/>
                <w:sz w:val="24"/>
              </w:rPr>
              <w:t>建设地点</w:t>
            </w:r>
          </w:p>
        </w:tc>
        <w:tc>
          <w:tcPr>
            <w:tcW w:w="6818" w:type="dxa"/>
            <w:gridSpan w:val="5"/>
            <w:noWrap w:val="0"/>
            <w:vAlign w:val="center"/>
          </w:tcPr>
          <w:p>
            <w:pPr>
              <w:spacing w:line="300" w:lineRule="exact"/>
              <w:ind w:firstLine="480" w:firstLineChars="200"/>
              <w:jc w:val="both"/>
              <w:textAlignment w:val="baseline"/>
              <w:rPr>
                <w:rFonts w:hint="eastAsia"/>
                <w:sz w:val="24"/>
              </w:rPr>
            </w:pPr>
            <w:r>
              <w:rPr>
                <w:rFonts w:hint="eastAsia" w:ascii="Times New Roman" w:hAnsi="Times New Roman" w:cs="Times New Roman"/>
                <w:sz w:val="24"/>
                <w:szCs w:val="24"/>
                <w:lang w:val="en-US" w:eastAsia="zh-CN"/>
              </w:rPr>
              <w:t>昆明市晋宁区晋宁工业园区</w:t>
            </w:r>
            <w:r>
              <w:rPr>
                <w:rFonts w:hint="eastAsia" w:cs="Times New Roman"/>
                <w:sz w:val="24"/>
                <w:szCs w:val="24"/>
                <w:lang w:val="en-US" w:eastAsia="zh-CN"/>
              </w:rPr>
              <w:t>晋城</w:t>
            </w:r>
            <w:r>
              <w:rPr>
                <w:rFonts w:hint="eastAsia" w:ascii="Times New Roman" w:hAnsi="Times New Roman" w:cs="Times New Roman"/>
                <w:sz w:val="24"/>
                <w:szCs w:val="24"/>
                <w:lang w:val="en-US" w:eastAsia="zh-CN"/>
              </w:rPr>
              <w:t>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704" w:type="dxa"/>
            <w:noWrap w:val="0"/>
            <w:vAlign w:val="center"/>
          </w:tcPr>
          <w:p>
            <w:pPr>
              <w:spacing w:line="300" w:lineRule="exact"/>
              <w:jc w:val="center"/>
              <w:rPr>
                <w:b/>
                <w:sz w:val="24"/>
              </w:rPr>
            </w:pPr>
            <w:r>
              <w:rPr>
                <w:b/>
                <w:sz w:val="24"/>
              </w:rPr>
              <w:t>联系人</w:t>
            </w:r>
          </w:p>
        </w:tc>
        <w:tc>
          <w:tcPr>
            <w:tcW w:w="2198" w:type="dxa"/>
            <w:noWrap w:val="0"/>
            <w:vAlign w:val="top"/>
          </w:tcPr>
          <w:p>
            <w:pPr>
              <w:jc w:val="center"/>
              <w:rPr>
                <w:rFonts w:hint="eastAsia"/>
                <w:sz w:val="24"/>
              </w:rPr>
            </w:pPr>
          </w:p>
        </w:tc>
        <w:tc>
          <w:tcPr>
            <w:tcW w:w="1545" w:type="dxa"/>
            <w:gridSpan w:val="2"/>
            <w:noWrap w:val="0"/>
            <w:vAlign w:val="top"/>
          </w:tcPr>
          <w:p>
            <w:pPr>
              <w:spacing w:line="300" w:lineRule="exact"/>
              <w:jc w:val="center"/>
              <w:textAlignment w:val="baseline"/>
              <w:rPr>
                <w:sz w:val="24"/>
              </w:rPr>
            </w:pPr>
            <w:r>
              <w:rPr>
                <w:b/>
                <w:sz w:val="24"/>
              </w:rPr>
              <w:t>联系电话</w:t>
            </w:r>
          </w:p>
        </w:tc>
        <w:tc>
          <w:tcPr>
            <w:tcW w:w="3075" w:type="dxa"/>
            <w:gridSpan w:val="2"/>
            <w:noWrap w:val="0"/>
            <w:vAlign w:val="top"/>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1704" w:type="dxa"/>
            <w:noWrap w:val="0"/>
            <w:vAlign w:val="center"/>
          </w:tcPr>
          <w:p>
            <w:pPr>
              <w:spacing w:line="300" w:lineRule="exact"/>
              <w:jc w:val="center"/>
              <w:rPr>
                <w:b/>
                <w:sz w:val="24"/>
              </w:rPr>
            </w:pPr>
            <w:r>
              <w:rPr>
                <w:b/>
                <w:sz w:val="24"/>
              </w:rPr>
              <w:t>批文号</w:t>
            </w:r>
          </w:p>
        </w:tc>
        <w:tc>
          <w:tcPr>
            <w:tcW w:w="3383" w:type="dxa"/>
            <w:gridSpan w:val="2"/>
            <w:noWrap w:val="0"/>
            <w:vAlign w:val="top"/>
          </w:tcPr>
          <w:p>
            <w:pPr>
              <w:spacing w:line="300" w:lineRule="exact"/>
              <w:jc w:val="center"/>
              <w:textAlignment w:val="baseline"/>
              <w:rPr>
                <w:sz w:val="24"/>
              </w:rPr>
            </w:pPr>
            <w:r>
              <w:rPr>
                <w:rFonts w:hint="eastAsia"/>
                <w:sz w:val="24"/>
                <w:lang w:eastAsia="zh-CN"/>
              </w:rPr>
              <w:t>昆生环</w:t>
            </w:r>
            <w:r>
              <w:rPr>
                <w:sz w:val="24"/>
              </w:rPr>
              <w:t>晋复[20</w:t>
            </w:r>
            <w:r>
              <w:rPr>
                <w:rFonts w:hint="eastAsia"/>
                <w:sz w:val="24"/>
                <w:lang w:val="en-US" w:eastAsia="zh-CN"/>
              </w:rPr>
              <w:t>22</w:t>
            </w:r>
            <w:r>
              <w:rPr>
                <w:sz w:val="24"/>
              </w:rPr>
              <w:t>]</w:t>
            </w:r>
            <w:r>
              <w:rPr>
                <w:rFonts w:hint="eastAsia"/>
                <w:sz w:val="24"/>
                <w:lang w:val="en-US" w:eastAsia="zh-CN"/>
              </w:rPr>
              <w:t xml:space="preserve">  </w:t>
            </w:r>
            <w:r>
              <w:rPr>
                <w:sz w:val="24"/>
              </w:rPr>
              <w:t>号</w:t>
            </w:r>
          </w:p>
        </w:tc>
        <w:tc>
          <w:tcPr>
            <w:tcW w:w="1395" w:type="dxa"/>
            <w:gridSpan w:val="2"/>
            <w:noWrap w:val="0"/>
            <w:vAlign w:val="center"/>
          </w:tcPr>
          <w:p>
            <w:pPr>
              <w:jc w:val="center"/>
              <w:rPr>
                <w:b/>
                <w:sz w:val="24"/>
              </w:rPr>
            </w:pPr>
            <w:r>
              <w:rPr>
                <w:b/>
                <w:sz w:val="24"/>
              </w:rPr>
              <w:t>环评类型</w:t>
            </w:r>
          </w:p>
        </w:tc>
        <w:tc>
          <w:tcPr>
            <w:tcW w:w="2040" w:type="dxa"/>
            <w:noWrap w:val="0"/>
            <w:vAlign w:val="center"/>
          </w:tcPr>
          <w:p>
            <w:pPr>
              <w:spacing w:line="300" w:lineRule="exact"/>
              <w:jc w:val="center"/>
              <w:textAlignment w:val="baseline"/>
              <w:rPr>
                <w:rFonts w:hint="eastAsia" w:eastAsia="宋体"/>
                <w:lang w:eastAsia="zh-CN"/>
              </w:rPr>
            </w:pPr>
            <w:r>
              <w:rPr>
                <w:rFonts w:hint="eastAsia"/>
                <w:sz w:val="24"/>
                <w:lang w:eastAsia="zh-CN"/>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5" w:hRule="atLeast"/>
        </w:trPr>
        <w:tc>
          <w:tcPr>
            <w:tcW w:w="1704" w:type="dxa"/>
            <w:noWrap w:val="0"/>
            <w:vAlign w:val="center"/>
          </w:tcPr>
          <w:p>
            <w:pPr>
              <w:jc w:val="center"/>
              <w:rPr>
                <w:rFonts w:eastAsia="仿宋_GB2312"/>
                <w:b/>
                <w:sz w:val="28"/>
              </w:rPr>
            </w:pPr>
            <w:r>
              <w:rPr>
                <w:b/>
                <w:sz w:val="24"/>
              </w:rPr>
              <w:t>主要内容</w:t>
            </w:r>
          </w:p>
        </w:tc>
        <w:tc>
          <w:tcPr>
            <w:tcW w:w="6818"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400" w:lineRule="exact"/>
              <w:ind w:left="0" w:leftChars="0" w:right="0" w:rightChars="0" w:firstLine="480" w:firstLineChars="200"/>
              <w:jc w:val="both"/>
              <w:textAlignment w:val="bottom"/>
              <w:outlineLvl w:val="9"/>
              <w:rPr>
                <w:rFonts w:hint="eastAsia" w:ascii="宋体" w:hAnsi="宋体" w:cs="宋体"/>
                <w:color w:val="000000"/>
                <w:kern w:val="2"/>
                <w:sz w:val="24"/>
                <w:szCs w:val="20"/>
              </w:rPr>
            </w:pPr>
            <w:r>
              <w:rPr>
                <w:rFonts w:hint="eastAsia" w:ascii="宋体" w:hAnsi="宋体" w:cs="宋体"/>
                <w:color w:val="000000"/>
                <w:kern w:val="2"/>
                <w:sz w:val="24"/>
                <w:szCs w:val="20"/>
                <w:lang w:val="en-US" w:eastAsia="zh-CN"/>
              </w:rPr>
              <w:t>项目位于昆明市晋宁工业园区晋城基地，租用晋宁瑞源机械制造有限公司闲置厂房进行建设，</w:t>
            </w:r>
            <w:r>
              <w:rPr>
                <w:rFonts w:hint="eastAsia" w:ascii="宋体" w:hAnsi="宋体" w:cs="宋体"/>
                <w:color w:val="000000"/>
                <w:kern w:val="2"/>
                <w:sz w:val="24"/>
                <w:szCs w:val="20"/>
                <w:lang w:eastAsia="zh-CN"/>
              </w:rPr>
              <w:t>项目占地面积约为</w:t>
            </w:r>
            <w:r>
              <w:rPr>
                <w:rFonts w:hint="eastAsia" w:ascii="宋体" w:hAnsi="宋体" w:cs="宋体"/>
                <w:color w:val="000000"/>
                <w:kern w:val="2"/>
                <w:sz w:val="24"/>
                <w:szCs w:val="20"/>
                <w:lang w:val="en-US" w:eastAsia="zh-CN"/>
              </w:rPr>
              <w:t>2.55</w:t>
            </w:r>
            <w:r>
              <w:rPr>
                <w:rFonts w:hint="eastAsia" w:ascii="宋体" w:hAnsi="宋体" w:cs="宋体"/>
                <w:color w:val="000000"/>
                <w:kern w:val="2"/>
                <w:sz w:val="24"/>
                <w:szCs w:val="20"/>
                <w:lang w:eastAsia="zh-CN"/>
              </w:rPr>
              <w:t>亩（</w:t>
            </w:r>
            <w:r>
              <w:rPr>
                <w:rFonts w:hint="eastAsia" w:ascii="宋体" w:hAnsi="宋体" w:cs="宋体"/>
                <w:color w:val="000000"/>
                <w:kern w:val="2"/>
                <w:sz w:val="24"/>
                <w:szCs w:val="20"/>
                <w:lang w:val="en-US" w:eastAsia="zh-CN"/>
              </w:rPr>
              <w:t>1700</w:t>
            </w:r>
            <w:r>
              <w:rPr>
                <w:rFonts w:hint="eastAsia" w:ascii="宋体" w:hAnsi="宋体" w:cs="宋体"/>
                <w:color w:val="000000"/>
                <w:kern w:val="2"/>
                <w:sz w:val="24"/>
                <w:szCs w:val="20"/>
                <w:lang w:eastAsia="zh-CN"/>
              </w:rPr>
              <w:t xml:space="preserve">m2），建筑面积约为 </w:t>
            </w:r>
            <w:r>
              <w:rPr>
                <w:rFonts w:hint="eastAsia" w:ascii="宋体" w:hAnsi="宋体" w:cs="宋体"/>
                <w:color w:val="000000"/>
                <w:kern w:val="2"/>
                <w:sz w:val="24"/>
                <w:szCs w:val="20"/>
                <w:lang w:val="en-US" w:eastAsia="zh-CN"/>
              </w:rPr>
              <w:t>1700</w:t>
            </w:r>
            <w:r>
              <w:rPr>
                <w:rFonts w:hint="eastAsia" w:ascii="宋体" w:hAnsi="宋体" w:cs="宋体"/>
                <w:color w:val="000000"/>
                <w:kern w:val="2"/>
                <w:sz w:val="24"/>
                <w:szCs w:val="20"/>
                <w:lang w:eastAsia="zh-CN"/>
              </w:rPr>
              <w:t>m</w:t>
            </w:r>
            <w:r>
              <w:rPr>
                <w:rFonts w:hint="eastAsia" w:ascii="宋体" w:hAnsi="宋体" w:cs="宋体"/>
                <w:color w:val="000000"/>
                <w:kern w:val="2"/>
                <w:sz w:val="24"/>
                <w:szCs w:val="20"/>
                <w:lang w:val="en-US" w:eastAsia="zh-CN"/>
              </w:rPr>
              <w:t>2</w:t>
            </w:r>
            <w:r>
              <w:rPr>
                <w:rFonts w:hint="eastAsia" w:ascii="宋体" w:hAnsi="宋体" w:cs="宋体"/>
                <w:color w:val="000000"/>
                <w:kern w:val="2"/>
                <w:sz w:val="24"/>
                <w:szCs w:val="20"/>
                <w:lang w:eastAsia="zh-CN"/>
              </w:rPr>
              <w:t>，</w:t>
            </w:r>
            <w:r>
              <w:rPr>
                <w:rFonts w:hint="eastAsia" w:ascii="宋体" w:hAnsi="宋体" w:cs="宋体"/>
                <w:color w:val="000000"/>
                <w:kern w:val="2"/>
                <w:sz w:val="24"/>
                <w:szCs w:val="20"/>
                <w:lang w:val="en-US" w:eastAsia="zh-CN"/>
              </w:rPr>
              <w:t>生产厂房为1层框架结构，高13米。</w:t>
            </w:r>
            <w:r>
              <w:rPr>
                <w:rFonts w:hint="eastAsia" w:ascii="宋体" w:hAnsi="宋体" w:cs="宋体"/>
                <w:color w:val="000000"/>
                <w:kern w:val="2"/>
                <w:sz w:val="24"/>
                <w:szCs w:val="20"/>
                <w:lang w:eastAsia="zh-CN"/>
              </w:rPr>
              <w:t xml:space="preserve"> 建设一条防护栏杆生产线，包含一</w:t>
            </w:r>
            <w:r>
              <w:rPr>
                <w:rFonts w:hint="eastAsia" w:ascii="宋体" w:hAnsi="宋体" w:cs="宋体"/>
                <w:color w:val="000000"/>
                <w:kern w:val="2"/>
                <w:sz w:val="24"/>
                <w:szCs w:val="20"/>
                <w:lang w:val="en-US" w:eastAsia="zh-CN"/>
              </w:rPr>
              <w:t>个</w:t>
            </w:r>
            <w:r>
              <w:rPr>
                <w:rFonts w:hint="eastAsia" w:ascii="宋体" w:hAnsi="宋体" w:cs="宋体"/>
                <w:color w:val="000000"/>
                <w:kern w:val="2"/>
                <w:sz w:val="24"/>
                <w:szCs w:val="20"/>
                <w:lang w:eastAsia="zh-CN"/>
              </w:rPr>
              <w:t>机加工</w:t>
            </w:r>
            <w:r>
              <w:rPr>
                <w:rFonts w:hint="eastAsia" w:ascii="宋体" w:hAnsi="宋体" w:cs="宋体"/>
                <w:color w:val="000000"/>
                <w:kern w:val="2"/>
                <w:sz w:val="24"/>
                <w:szCs w:val="20"/>
                <w:lang w:val="en-US" w:eastAsia="zh-CN"/>
              </w:rPr>
              <w:t>区</w:t>
            </w:r>
            <w:r>
              <w:rPr>
                <w:rFonts w:hint="eastAsia" w:ascii="宋体" w:hAnsi="宋体" w:cs="宋体"/>
                <w:color w:val="000000"/>
                <w:kern w:val="2"/>
                <w:sz w:val="24"/>
                <w:szCs w:val="20"/>
                <w:lang w:eastAsia="zh-CN"/>
              </w:rPr>
              <w:t>、一</w:t>
            </w:r>
            <w:r>
              <w:rPr>
                <w:rFonts w:hint="eastAsia" w:ascii="宋体" w:hAnsi="宋体" w:cs="宋体"/>
                <w:color w:val="000000"/>
                <w:kern w:val="2"/>
                <w:sz w:val="24"/>
                <w:szCs w:val="20"/>
                <w:lang w:val="en-US" w:eastAsia="zh-CN"/>
              </w:rPr>
              <w:t>个</w:t>
            </w:r>
            <w:r>
              <w:rPr>
                <w:rFonts w:hint="eastAsia" w:ascii="宋体" w:hAnsi="宋体" w:cs="宋体"/>
                <w:color w:val="000000"/>
                <w:kern w:val="2"/>
                <w:sz w:val="24"/>
                <w:szCs w:val="20"/>
                <w:lang w:eastAsia="zh-CN"/>
              </w:rPr>
              <w:t>喷塑固化</w:t>
            </w:r>
            <w:r>
              <w:rPr>
                <w:rFonts w:hint="eastAsia" w:ascii="宋体" w:hAnsi="宋体" w:cs="宋体"/>
                <w:color w:val="000000"/>
                <w:kern w:val="2"/>
                <w:sz w:val="24"/>
                <w:szCs w:val="20"/>
                <w:lang w:val="en-US" w:eastAsia="zh-CN"/>
              </w:rPr>
              <w:t>区</w:t>
            </w:r>
            <w:r>
              <w:rPr>
                <w:rFonts w:hint="eastAsia" w:ascii="宋体" w:hAnsi="宋体" w:cs="宋体"/>
                <w:color w:val="000000"/>
                <w:kern w:val="2"/>
                <w:sz w:val="24"/>
                <w:szCs w:val="20"/>
                <w:lang w:eastAsia="zh-CN"/>
              </w:rPr>
              <w:t>、一</w:t>
            </w:r>
            <w:r>
              <w:rPr>
                <w:rFonts w:hint="eastAsia" w:ascii="宋体" w:hAnsi="宋体" w:cs="宋体"/>
                <w:color w:val="000000"/>
                <w:kern w:val="2"/>
                <w:sz w:val="24"/>
                <w:szCs w:val="20"/>
                <w:lang w:val="en-US" w:eastAsia="zh-CN"/>
              </w:rPr>
              <w:t>个</w:t>
            </w:r>
            <w:r>
              <w:rPr>
                <w:rFonts w:hint="eastAsia" w:ascii="宋体" w:hAnsi="宋体" w:cs="宋体"/>
                <w:color w:val="000000"/>
                <w:kern w:val="2"/>
                <w:sz w:val="24"/>
                <w:szCs w:val="20"/>
                <w:lang w:eastAsia="zh-CN"/>
              </w:rPr>
              <w:t>焊接</w:t>
            </w:r>
            <w:r>
              <w:rPr>
                <w:rFonts w:hint="eastAsia" w:ascii="宋体" w:hAnsi="宋体" w:cs="宋体"/>
                <w:color w:val="000000"/>
                <w:kern w:val="2"/>
                <w:sz w:val="24"/>
                <w:szCs w:val="20"/>
                <w:lang w:val="en-US" w:eastAsia="zh-CN"/>
              </w:rPr>
              <w:t>区，建成后年产防护栏杆800吨。项目</w:t>
            </w:r>
            <w:r>
              <w:rPr>
                <w:rFonts w:hint="eastAsia" w:ascii="宋体" w:hAnsi="宋体" w:cs="宋体"/>
                <w:color w:val="000000"/>
                <w:kern w:val="2"/>
                <w:sz w:val="24"/>
                <w:szCs w:val="20"/>
                <w:lang w:eastAsia="zh-CN"/>
              </w:rPr>
              <w:t>总投资</w:t>
            </w:r>
            <w:r>
              <w:rPr>
                <w:rFonts w:hint="eastAsia" w:ascii="宋体" w:hAnsi="宋体" w:cs="宋体"/>
                <w:color w:val="000000"/>
                <w:kern w:val="2"/>
                <w:sz w:val="24"/>
                <w:szCs w:val="20"/>
                <w:lang w:val="en-US" w:eastAsia="zh-CN"/>
              </w:rPr>
              <w:t>600万元，其中环保投资17.5万元。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7" w:hRule="atLeast"/>
        </w:trPr>
        <w:tc>
          <w:tcPr>
            <w:tcW w:w="1704" w:type="dxa"/>
            <w:noWrap w:val="0"/>
            <w:vAlign w:val="center"/>
          </w:tcPr>
          <w:p>
            <w:pPr>
              <w:jc w:val="center"/>
              <w:rPr>
                <w:b/>
                <w:sz w:val="24"/>
              </w:rPr>
            </w:pPr>
            <w:r>
              <w:rPr>
                <w:b/>
                <w:sz w:val="24"/>
              </w:rPr>
              <w:t>环评科意见</w:t>
            </w:r>
          </w:p>
        </w:tc>
        <w:tc>
          <w:tcPr>
            <w:tcW w:w="6818" w:type="dxa"/>
            <w:gridSpan w:val="5"/>
            <w:noWrap w:val="0"/>
            <w:vAlign w:val="bottom"/>
          </w:tcPr>
          <w:p>
            <w:pPr>
              <w:jc w:val="left"/>
              <w:rPr>
                <w:rFonts w:eastAsia="仿宋_GB2312"/>
                <w:b/>
                <w:sz w:val="28"/>
              </w:rPr>
            </w:pPr>
            <w:r>
              <w:rPr>
                <w:rFonts w:eastAsia="仿宋_GB2312"/>
                <w:sz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8" w:hRule="atLeast"/>
        </w:trPr>
        <w:tc>
          <w:tcPr>
            <w:tcW w:w="1704" w:type="dxa"/>
            <w:noWrap w:val="0"/>
            <w:vAlign w:val="center"/>
          </w:tcPr>
          <w:p>
            <w:pPr>
              <w:jc w:val="center"/>
              <w:rPr>
                <w:b/>
                <w:sz w:val="24"/>
              </w:rPr>
            </w:pPr>
            <w:r>
              <w:rPr>
                <w:b/>
                <w:sz w:val="24"/>
              </w:rPr>
              <w:t>分管领导</w:t>
            </w:r>
          </w:p>
          <w:p>
            <w:pPr>
              <w:jc w:val="center"/>
              <w:rPr>
                <w:b/>
                <w:sz w:val="24"/>
              </w:rPr>
            </w:pPr>
            <w:r>
              <w:rPr>
                <w:b/>
                <w:sz w:val="24"/>
              </w:rPr>
              <w:t>意    见</w:t>
            </w:r>
          </w:p>
        </w:tc>
        <w:tc>
          <w:tcPr>
            <w:tcW w:w="6818" w:type="dxa"/>
            <w:gridSpan w:val="5"/>
            <w:noWrap w:val="0"/>
            <w:vAlign w:val="bottom"/>
          </w:tcPr>
          <w:p>
            <w:pPr>
              <w:ind w:left="1400" w:hanging="1400" w:hangingChars="500"/>
              <w:jc w:val="left"/>
              <w:rPr>
                <w:rFonts w:eastAsia="仿宋_GB2312"/>
                <w:sz w:val="28"/>
              </w:rPr>
            </w:pPr>
            <w:r>
              <w:rPr>
                <w:rFonts w:eastAsia="仿宋_GB2312"/>
                <w:sz w:val="28"/>
              </w:rPr>
              <w:t xml:space="preserve">                          年   月   日</w:t>
            </w:r>
          </w:p>
        </w:tc>
      </w:tr>
    </w:tbl>
    <w:p>
      <w:pPr>
        <w:spacing w:line="560" w:lineRule="exact"/>
        <w:ind w:left="0"/>
        <w:rPr>
          <w:rFonts w:hint="eastAsia" w:ascii="仿宋_GB2312" w:hAnsi="仿宋_GB2312" w:eastAsia="仿宋_GB2312" w:cs="仿宋_GB2312"/>
          <w:color w:val="auto"/>
          <w:sz w:val="28"/>
          <w:szCs w:val="28"/>
          <w:u w:val="single"/>
          <w:lang w:eastAsia="zh-CN"/>
        </w:rPr>
      </w:pPr>
    </w:p>
    <w:p/>
    <w:sectPr>
      <w:headerReference r:id="rId5" w:type="first"/>
      <w:footerReference r:id="rId8" w:type="first"/>
      <w:headerReference r:id="rId3" w:type="default"/>
      <w:footerReference r:id="rId6" w:type="default"/>
      <w:headerReference r:id="rId4" w:type="even"/>
      <w:footerReference r:id="rId7" w:type="even"/>
      <w:footnotePr>
        <w:numFmt w:val="decimalHalfWidth"/>
      </w:footnotePr>
      <w:endnotePr>
        <w:numFmt w:val="chineseCounting"/>
      </w:endnotePr>
      <w:pgSz w:w="11905" w:h="16837"/>
      <w:pgMar w:top="1440" w:right="1797" w:bottom="1440" w:left="1797" w:header="567" w:footer="113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JP Regular">
    <w:altName w:val="微软雅黑"/>
    <w:panose1 w:val="00000000000000000000"/>
    <w:charset w:val="00"/>
    <w:family w:val="swiss"/>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穝灿砰">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spacing w:line="1" w:lineRule="atLeast"/>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759450" cy="1797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txbx>
                      <w:txbxContent>
                        <w:p>
                          <w:pPr>
                            <w:spacing w:line="334" w:lineRule="atLeast"/>
                            <w:jc w:val="center"/>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14.15pt;width:453.5pt;z-index:251661312;mso-width-relative:page;mso-height-relative:page;" filled="f" stroked="f" coordsize="21600,21600" o:gfxdata="UEsDBAoAAAAAAIdO4kAAAAAAAAAAAAAAAAAEAAAAZHJzL1BLAwQUAAAACACHTuJAEbRAsNQAAAAE&#10;AQAADwAAAGRycy9kb3ducmV2LnhtbE2PzU7DMBCE70i8g7VIvVG7rVTaEKdCqD0hIdJw4OjE28Rq&#10;vA6x+8Pbs3CBy0ijWc18m2+uvhdnHKMLpGE2VSCQmmAdtRreq939CkRMhqzpA6GGL4ywKW5vcpPZ&#10;cKESz/vUCi6hmBkNXUpDJmVsOvQmTsOAxNkhjN4ktmMr7WguXO57OVdqKb1xxAudGfC5w+a4P3kN&#10;Tx9Ubt3na/1WHkpXVWtFL8uj1pO7mXoEkfCa/o7hB5/RoWCmOpzIRtFr4EfSr3K2Vg9saw3z1QJk&#10;kcv/8MU3UEsDBBQAAAAIAIdO4kCCldGinwEAACQDAAAOAAAAZHJzL2Uyb0RvYy54bWytUkuOEzEQ&#10;3SNxB8t74s6IEKaVzkhoNAgJAdLAARy3nbZku6yyJ925ANyAFRv2nCvnoOx8hs8OsakuV1U/v/fK&#10;q5vJO7bTmCyEjs9nDWc6KOht2Hb808e7Zy85S1mGXjoIuuN7nfjN+umT1RhbfQUDuF4jI5CQ2jF2&#10;fMg5tkIkNWgv0wyiDtQ0gF5mOuJW9ChHQvdOXDXNCzEC9hFB6ZSoents8nXFN0ar/N6YpDNzHSdu&#10;uUascVOiWK9ku0UZB6tONOQ/sPDSBrr0AnUrs2QPaP+C8lYhJDB5psALMMYqXTWQmnnzh5r7QUZd&#10;tZA5KV5sSv8PVr3bfUBme9odZ0F6WtHh65fDtx+H75/ZvNgzxtTS1H2kuTy9gqmMnuqJikX1ZNCX&#10;L+lh1Cej9xdz9ZSZouJiubh+vqCWot58eb1sFgVGPP4dMeXXGjwrSceRllc9lbu3KR9HzyPlsgB3&#10;1jmqy9aF3wqEWSqiUD9SLFmeNtOJ9wb6PclxbwJZWZ7FOcFzsjknDxHtdiA6VXSFpFVU3qdnU3b9&#10;67le/Pi41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bRAsNQAAAAEAQAADwAAAAAAAAABACAA&#10;AAAiAAAAZHJzL2Rvd25yZXYueG1sUEsBAhQAFAAAAAgAh07iQIKV0aKfAQAAJAMAAA4AAAAAAAAA&#10;AQAgAAAAIwEAAGRycy9lMm9Eb2MueG1sUEsFBgAAAAAGAAYAWQEAADQFAAAAAA==&#10;">
              <v:fill on="f" focussize="0,0"/>
              <v:stroke on="f"/>
              <v:imagedata o:title=""/>
              <o:lock v:ext="edit" aspectratio="f"/>
              <v:textbox inset="0mm,0mm,0mm,0mm">
                <w:txbxContent>
                  <w:p>
                    <w:pPr>
                      <w:spacing w:line="334" w:lineRule="atLeast"/>
                      <w:jc w:val="center"/>
                      <w:rPr>
                        <w:rFonts w:hint="eastAsia"/>
                        <w:sz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spacing w:line="1" w:lineRule="atLeast"/>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59450" cy="1797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txbx>
                      <w:txbxContent>
                        <w:p>
                          <w:pPr>
                            <w:spacing w:line="334" w:lineRule="atLeast"/>
                            <w:jc w:val="center"/>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14.15pt;width:453.5pt;z-index:251660288;mso-width-relative:page;mso-height-relative:page;" filled="f" stroked="f" coordsize="21600,21600" o:gfxdata="UEsDBAoAAAAAAIdO4kAAAAAAAAAAAAAAAAAEAAAAZHJzL1BLAwQUAAAACACHTuJAEbRAsNQAAAAE&#10;AQAADwAAAGRycy9kb3ducmV2LnhtbE2PzU7DMBCE70i8g7VIvVG7rVTaEKdCqD0hIdJw4OjE28Rq&#10;vA6x+8Pbs3CBy0ijWc18m2+uvhdnHKMLpGE2VSCQmmAdtRreq939CkRMhqzpA6GGL4ywKW5vcpPZ&#10;cKESz/vUCi6hmBkNXUpDJmVsOvQmTsOAxNkhjN4ktmMr7WguXO57OVdqKb1xxAudGfC5w+a4P3kN&#10;Tx9Ubt3na/1WHkpXVWtFL8uj1pO7mXoEkfCa/o7hB5/RoWCmOpzIRtFr4EfSr3K2Vg9saw3z1QJk&#10;kcv/8MU3UEsDBBQAAAAIAIdO4kAHzUjjnwEAACQDAAAOAAAAZHJzL2Uyb0RvYy54bWytUktu2zAQ&#10;3RfoHQjua8pJHSeC5QBFkKJAkRRIcwCaIi0C/GHIWPIF2ht01U33OZfP0SFtOb9d0c1oODN6fO8N&#10;F5eDNWQjIWrvGjqdVJRIJ3yr3bqh99+vP5xTEhN3LTfeyYZuZaSXy/fvFn2o5YnvvGklEARxse5D&#10;Q7uUQs1YFJ20PE58kA6byoPlCY+wZi3wHtGtYSdVdcZ6D20AL2SMWL3aN+my4CslRbpVKspETEOR&#10;WyoRSlzlyJYLXq+Bh06LAw3+Dyws1w4vPUJd8cTJA+g3UFYL8NGrNBHeMq+UFrJoQDXT6pWau44H&#10;WbSgOTEcbYr/D1bcbL4B0W1DTylx3OKKdr9+7n4/7v78IKfZnj7EGqfuAs6l4ZMfcM1jPWIxqx4U&#10;2PxFPQT7aPT2aK4cEhFYnM1nFx9n2BLYm84v5tUsw7CnvwPE9Fl6S3LSUMDlFU/55mtM+9FxJF/m&#10;/LU2pizQuBcFxMwVlqnvKeYsDavhoGfl2y3KMV8cWpmfxZjAmKzG5CGAXndIp4gukLiKwvvwbPKu&#10;n5/LxU+Pe/k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bRAsNQAAAAEAQAADwAAAAAAAAABACAA&#10;AAAiAAAAZHJzL2Rvd25yZXYueG1sUEsBAhQAFAAAAAgAh07iQAfNSOOfAQAAJAMAAA4AAAAAAAAA&#10;AQAgAAAAIwEAAGRycy9lMm9Eb2MueG1sUEsFBgAAAAAGAAYAWQEAADQFAAAAAA==&#10;">
              <v:fill on="f" focussize="0,0"/>
              <v:stroke on="f"/>
              <v:imagedata o:title=""/>
              <o:lock v:ext="edit" aspectratio="f"/>
              <v:textbox inset="0mm,0mm,0mm,0mm">
                <w:txbxContent>
                  <w:p>
                    <w:pPr>
                      <w:spacing w:line="334" w:lineRule="atLeast"/>
                      <w:jc w:val="center"/>
                      <w:rPr>
                        <w:rFonts w:hint="eastAsia"/>
                        <w:sz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59450" cy="1797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txbx>
                      <w:txbxContent>
                        <w:p>
                          <w:pPr>
                            <w:spacing w:line="334" w:lineRule="atLeast"/>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14.15pt;width:453.5pt;z-index:251659264;mso-width-relative:page;mso-height-relative:page;" filled="f" stroked="f" coordsize="21600,21600" o:gfxdata="UEsDBAoAAAAAAIdO4kAAAAAAAAAAAAAAAAAEAAAAZHJzL1BLAwQUAAAACACHTuJAEbRAsNQAAAAE&#10;AQAADwAAAGRycy9kb3ducmV2LnhtbE2PzU7DMBCE70i8g7VIvVG7rVTaEKdCqD0hIdJw4OjE28Rq&#10;vA6x+8Pbs3CBy0ijWc18m2+uvhdnHKMLpGE2VSCQmmAdtRreq939CkRMhqzpA6GGL4ywKW5vcpPZ&#10;cKESz/vUCi6hmBkNXUpDJmVsOvQmTsOAxNkhjN4ktmMr7WguXO57OVdqKb1xxAudGfC5w+a4P3kN&#10;Tx9Ubt3na/1WHkpXVWtFL8uj1pO7mXoEkfCa/o7hB5/RoWCmOpzIRtFr4EfSr3K2Vg9saw3z1QJk&#10;kcv/8MU3UEsDBBQAAAAIAIdO4kDqC5fsoAEAACQDAAAOAAAAZHJzL2Uyb0RvYy54bWytUktu2zAQ&#10;3RfIHQjua8qBHTeC5QBFkKBA0QRIegCaIi0CJIcgGUu+QHqDrrLpvufyOTKkLaefXdHNaDgzenzv&#10;DZdXgzVkK0PU4Bo6nVSUSCeg1W7T0K+PN+8/UBITdy034GRDdzLSq9XZu2Xva3kOHZhWBoIgLta9&#10;b2iXkq8Zi6KTlscJeOmwqSBYnvAYNqwNvEd0a9h5VV2wHkLrAwgZI1avD026KvhKSZHulIoyEdNQ&#10;5JZKDCWuc2SrJa83gftOiyMN/g8sLNcOLz1BXfPEyVPQf0FZLQJEUGkiwDJQSgtZNKCaafWHmoeO&#10;e1m0oDnRn2yK/w9WfNneB6Lbhs4ocdziivbfv+1ffu5/PJNZtqf3scapB49zafgIA655rEcsZtWD&#10;CjZ/UQ/BPhq9O5krh0QEFueL+eVsji2BveniclHNMwx7+9uHmG4lWJKThgZcXvGUbz/HdBgdR/Jl&#10;Dm60MWWBxv1WQMxcYZn6gWLO0rAejnrW0O5Qjvnk0Mr8LMYkjMl6TJ580JsO6RTRBRJXUXgfn03e&#10;9a/ncvHb416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G0QLDUAAAABAEAAA8AAAAAAAAAAQAg&#10;AAAAIgAAAGRycy9kb3ducmV2LnhtbFBLAQIUABQAAAAIAIdO4kDqC5fsoAEAACQDAAAOAAAAAAAA&#10;AAEAIAAAACMBAABkcnMvZTJvRG9jLnhtbFBLBQYAAAAABgAGAFkBAAA1BQAAAAA=&#10;">
              <v:fill on="f" focussize="0,0"/>
              <v:stroke on="f"/>
              <v:imagedata o:title=""/>
              <o:lock v:ext="edit" aspectratio="f"/>
              <v:textbox inset="0mm,0mm,0mm,0mm">
                <w:txbxContent>
                  <w:p>
                    <w:pPr>
                      <w:spacing w:line="334" w:lineRule="atLeast"/>
                      <w:rPr>
                        <w:rFonts w:hint="eastAsia"/>
                        <w:sz w:val="21"/>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759450" cy="1797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txbx>
                      <w:txbxContent>
                        <w:p>
                          <w:pPr>
                            <w:spacing w:line="334" w:lineRule="atLeast"/>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14.15pt;width:453.5pt;z-index:251658240;mso-width-relative:page;mso-height-relative:page;" filled="f" stroked="f" coordsize="21600,21600" o:gfxdata="UEsDBAoAAAAAAIdO4kAAAAAAAAAAAAAAAAAEAAAAZHJzL1BLAwQUAAAACACHTuJAEbRAsNQAAAAE&#10;AQAADwAAAGRycy9kb3ducmV2LnhtbE2PzU7DMBCE70i8g7VIvVG7rVTaEKdCqD0hIdJw4OjE28Rq&#10;vA6x+8Pbs3CBy0ijWc18m2+uvhdnHKMLpGE2VSCQmmAdtRreq939CkRMhqzpA6GGL4ywKW5vcpPZ&#10;cKESz/vUCi6hmBkNXUpDJmVsOvQmTsOAxNkhjN4ktmMr7WguXO57OVdqKb1xxAudGfC5w+a4P3kN&#10;Tx9Ubt3na/1WHkpXVWtFL8uj1pO7mXoEkfCa/o7hB5/RoWCmOpzIRtFr4EfSr3K2Vg9saw3z1QJk&#10;kcv/8MU3UEsDBBQAAAAIAIdO4kBl4jwunwEAACQDAAAOAAAAZHJzL2Uyb0RvYy54bWytUkFu2zAQ&#10;vBfoHwjeY8pGXNeC5QBFkCJA0BZI+wCaIi0CJJcgGUv+QPuDnnrpve/yO7qkLadJbkEvq+Xuajgz&#10;y9XVYA3ZyRA1uIZOJxUl0glotds29NvXm4v3lMTEXcsNONnQvYz0av32zar3tZxBB6aVgSCIi3Xv&#10;G9ql5GvGouik5XECXjpsKgiWJzyGLWsD7xHdGjarqnesh9D6AELGiNXrY5OuC75SUqTPSkWZiGko&#10;ckslhhI3ObL1itfbwH2nxYkGfwULy7XDS89Q1zxx8hD0CyirRYAIKk0EWAZKaSGLBlQzrZ6pue+4&#10;l0ULmhP92ab4/2DFp92XQHTb0Bkljltc0eHnj8OvP4ff38ks29P7WOPUvce5NHyAAdc81iMWs+pB&#10;BZu/qIdgH43en82VQyICi/PFfHk5x5bA3nSxXFTzDMMe//Yhpo8SLMlJQwMur3jKd3cxHUfHkXyZ&#10;gxttTFmgcU8KiJkrLFM/UsxZGjbDSc8G2j3KMbcOrczPYkzCmGzG5MEHve2QThFdIHEVhffp2eRd&#10;/3suFz8+7v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bRAsNQAAAAEAQAADwAAAAAAAAABACAA&#10;AAAiAAAAZHJzL2Rvd25yZXYueG1sUEsBAhQAFAAAAAgAh07iQGXiPC6fAQAAJAMAAA4AAAAAAAAA&#10;AQAgAAAAIwEAAGRycy9lMm9Eb2MueG1sUEsFBgAAAAAGAAYAWQEAADQFAAAAAA==&#10;">
              <v:fill on="f" focussize="0,0"/>
              <v:stroke on="f"/>
              <v:imagedata o:title=""/>
              <o:lock v:ext="edit" aspectratio="f"/>
              <v:textbox inset="0mm,0mm,0mm,0mm">
                <w:txbxContent>
                  <w:p>
                    <w:pPr>
                      <w:spacing w:line="334" w:lineRule="atLeast"/>
                      <w:rPr>
                        <w:rFonts w:hint="eastAsia"/>
                        <w:sz w:val="21"/>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HalfWidth"/>
  </w:footnotePr>
  <w:endnotePr>
    <w:numFmt w:val="chineseCounting"/>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71401C"/>
    <w:rsid w:val="10FE3254"/>
    <w:rsid w:val="4B1B26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beforeLines="0" w:beforeAutospacing="0" w:after="0" w:afterLines="0" w:afterAutospacing="0" w:line="365" w:lineRule="atLeast"/>
      <w:ind w:left="1" w:right="0" w:firstLine="0" w:firstLineChars="0"/>
      <w:jc w:val="both"/>
      <w:textAlignment w:val="bottom"/>
    </w:pPr>
    <w:rPr>
      <w:rFonts w:ascii="Times New Roman" w:hAnsi="Times New Roman" w:eastAsia="宋体" w:cs="Times New Roman"/>
    </w:rPr>
  </w:style>
  <w:style w:type="character" w:default="1" w:styleId="9">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Plain Text"/>
    <w:basedOn w:val="1"/>
    <w:next w:val="1"/>
    <w:qFormat/>
    <w:uiPriority w:val="0"/>
    <w:pPr>
      <w:spacing w:line="480" w:lineRule="exact"/>
      <w:ind w:firstLine="425"/>
    </w:pPr>
    <w:rPr>
      <w:rFonts w:ascii="宋体" w:hAnsi="Courier New"/>
      <w:spacing w:val="16"/>
      <w:sz w:val="24"/>
      <w:szCs w:val="20"/>
    </w:rPr>
  </w:style>
  <w:style w:type="paragraph" w:styleId="3">
    <w:name w:val="Body Text"/>
    <w:basedOn w:val="1"/>
    <w:qFormat/>
    <w:uiPriority w:val="1"/>
    <w:rPr>
      <w:rFonts w:ascii="Noto Sans CJK JP Regular" w:hAnsi="Noto Sans CJK JP Regular" w:eastAsia="Noto Sans CJK JP Regular" w:cs="Noto Sans CJK JP Regular"/>
      <w:sz w:val="24"/>
      <w:szCs w:val="24"/>
    </w:rPr>
  </w:style>
  <w:style w:type="paragraph" w:styleId="4">
    <w:name w:val="Body Text Indent"/>
    <w:basedOn w:val="1"/>
    <w:qFormat/>
    <w:uiPriority w:val="0"/>
    <w:pPr>
      <w:ind w:firstLine="560" w:firstLineChars="200"/>
    </w:pPr>
    <w:rPr>
      <w:rFonts w:eastAsia="仿宋_GB2312"/>
      <w:sz w:val="28"/>
    </w:rPr>
  </w:style>
  <w:style w:type="paragraph" w:styleId="5">
    <w:name w:val="footer"/>
    <w:basedOn w:val="1"/>
    <w:qFormat/>
    <w:uiPriority w:val="0"/>
    <w:pPr>
      <w:tabs>
        <w:tab w:val="center" w:pos="4153"/>
        <w:tab w:val="right" w:pos="8306"/>
      </w:tabs>
      <w:snapToGrid w:val="0"/>
      <w:spacing w:line="240" w:lineRule="atLeast"/>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Body Text First Indent 2"/>
    <w:basedOn w:val="4"/>
    <w:next w:val="1"/>
    <w:qFormat/>
    <w:uiPriority w:val="0"/>
    <w:pPr>
      <w:ind w:firstLine="420" w:firstLineChars="200"/>
    </w:pPr>
  </w:style>
  <w:style w:type="character" w:styleId="10">
    <w:name w:val="page number"/>
    <w:basedOn w:val="9"/>
    <w:qFormat/>
    <w:uiPriority w:val="0"/>
  </w:style>
  <w:style w:type="paragraph" w:customStyle="1" w:styleId="11">
    <w:name w:val="文本正文"/>
    <w:basedOn w:val="1"/>
    <w:qFormat/>
    <w:uiPriority w:val="0"/>
    <w:pPr>
      <w:snapToGrid w:val="0"/>
      <w:spacing w:line="360" w:lineRule="auto"/>
      <w:ind w:firstLine="510"/>
      <w:jc w:val="left"/>
    </w:pPr>
    <w:rPr>
      <w:spacing w:val="4"/>
      <w:kern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XSD</dc:creator>
  <cp:lastModifiedBy>AI风一样</cp:lastModifiedBy>
  <dcterms:modified xsi:type="dcterms:W3CDTF">2022-06-07T07:47:29Z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