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rPr>
      </w:pPr>
    </w:p>
    <w:p>
      <w:pPr>
        <w:ind w:left="0"/>
        <w:rPr>
          <w:rFonts w:hint="eastAsia"/>
          <w:sz w:val="21"/>
        </w:rPr>
      </w:pPr>
    </w:p>
    <w:p>
      <w:pPr>
        <w:jc w:val="center"/>
        <w:rPr>
          <w:rFonts w:hint="eastAsia" w:ascii="仿宋" w:hAnsi="仿宋" w:eastAsia="仿宋" w:cs="仿宋"/>
          <w:sz w:val="32"/>
        </w:rPr>
      </w:pPr>
    </w:p>
    <w:p>
      <w:pPr>
        <w:jc w:val="center"/>
        <w:rPr>
          <w:rFonts w:hint="eastAsia" w:ascii="仿宋" w:hAnsi="仿宋" w:eastAsia="仿宋" w:cs="仿宋"/>
          <w:sz w:val="32"/>
        </w:rPr>
      </w:pPr>
      <w:r>
        <w:rPr>
          <w:rFonts w:hint="eastAsia" w:ascii="仿宋" w:hAnsi="仿宋" w:eastAsia="仿宋" w:cs="仿宋"/>
          <w:sz w:val="32"/>
        </w:rPr>
        <w:t>晋环保复〔202</w:t>
      </w:r>
      <w:r>
        <w:rPr>
          <w:rFonts w:hint="eastAsia" w:ascii="仿宋" w:hAnsi="仿宋" w:eastAsia="仿宋" w:cs="仿宋"/>
          <w:sz w:val="32"/>
          <w:lang w:val="en-US" w:eastAsia="zh-CN"/>
        </w:rPr>
        <w:t>2</w:t>
      </w:r>
      <w:r>
        <w:rPr>
          <w:rFonts w:hint="eastAsia" w:ascii="仿宋" w:hAnsi="仿宋" w:eastAsia="仿宋" w:cs="仿宋"/>
          <w:sz w:val="32"/>
        </w:rPr>
        <w:t>〕</w:t>
      </w:r>
      <w:r>
        <w:rPr>
          <w:rFonts w:hint="eastAsia" w:ascii="仿宋" w:hAnsi="仿宋" w:eastAsia="仿宋" w:cs="仿宋"/>
          <w:sz w:val="32"/>
          <w:lang w:val="en-US" w:eastAsia="zh-CN"/>
        </w:rPr>
        <w:t>4</w:t>
      </w:r>
      <w:r>
        <w:rPr>
          <w:rFonts w:hint="eastAsia" w:ascii="仿宋" w:hAnsi="仿宋" w:eastAsia="仿宋" w:cs="仿宋"/>
          <w:sz w:val="32"/>
        </w:rPr>
        <w:t>号</w:t>
      </w:r>
    </w:p>
    <w:p>
      <w:pPr>
        <w:jc w:val="center"/>
        <w:rPr>
          <w:rFonts w:hint="eastAsia" w:eastAsia="穝灿砰"/>
          <w:sz w:val="32"/>
        </w:rPr>
      </w:pPr>
    </w:p>
    <w:p>
      <w:pPr>
        <w:ind w:left="0"/>
        <w:rPr>
          <w:rFonts w:hint="eastAsia" w:eastAsia="穝灿砰"/>
          <w:sz w:val="32"/>
        </w:rPr>
      </w:pPr>
    </w:p>
    <w:p>
      <w:pPr>
        <w:keepNext w:val="0"/>
        <w:keepLines w:val="0"/>
        <w:pageBreakBefore w:val="0"/>
        <w:widowControl w:val="0"/>
        <w:kinsoku/>
        <w:wordWrap/>
        <w:overflowPunct/>
        <w:topLinePunct w:val="0"/>
        <w:autoSpaceDE/>
        <w:autoSpaceDN/>
        <w:bidi w:val="0"/>
        <w:adjustRightInd/>
        <w:snapToGrid w:val="0"/>
        <w:spacing w:line="600" w:lineRule="exact"/>
        <w:ind w:left="0"/>
        <w:jc w:val="center"/>
        <w:textAlignment w:val="bottom"/>
        <w:rPr>
          <w:rFonts w:hint="eastAsia"/>
          <w:b/>
          <w:sz w:val="44"/>
        </w:rPr>
      </w:pPr>
      <w:r>
        <w:rPr>
          <w:b/>
          <w:spacing w:val="20"/>
          <w:sz w:val="44"/>
        </w:rPr>
        <w:t>关于对《</w:t>
      </w:r>
      <w:bookmarkStart w:id="0" w:name="_Hlk66217516"/>
      <w:r>
        <w:rPr>
          <w:rFonts w:hint="eastAsia"/>
          <w:b/>
          <w:spacing w:val="20"/>
          <w:sz w:val="44"/>
        </w:rPr>
        <w:t>昆明市晋宁区生态环境产业开发有限公司</w:t>
      </w:r>
      <w:r>
        <w:rPr>
          <w:rFonts w:hint="eastAsia" w:ascii="宋体" w:hAnsi="宋体" w:eastAsia="宋体" w:cs="Times New Roman"/>
          <w:b/>
          <w:bCs/>
          <w:color w:val="000000" w:themeColor="text1"/>
          <w:spacing w:val="-4"/>
          <w:sz w:val="44"/>
          <w:szCs w:val="44"/>
          <w14:textFill>
            <w14:solidFill>
              <w14:schemeClr w14:val="tx1"/>
            </w14:solidFill>
          </w14:textFill>
        </w:rPr>
        <w:t>晋城中型灌区续建配套与节水改造项目</w:t>
      </w:r>
      <w:bookmarkEnd w:id="0"/>
      <w:r>
        <w:rPr>
          <w:rFonts w:hint="eastAsia"/>
          <w:b/>
          <w:sz w:val="44"/>
          <w:szCs w:val="22"/>
        </w:rPr>
        <w:t>环境影响报告</w:t>
      </w:r>
      <w:r>
        <w:rPr>
          <w:rFonts w:hint="eastAsia"/>
          <w:b/>
          <w:sz w:val="44"/>
          <w:szCs w:val="22"/>
          <w:lang w:eastAsia="zh-CN"/>
        </w:rPr>
        <w:t>书</w:t>
      </w:r>
      <w:r>
        <w:rPr>
          <w:rFonts w:hint="eastAsia"/>
          <w:b/>
          <w:sz w:val="44"/>
        </w:rPr>
        <w:t>》的批复</w:t>
      </w:r>
    </w:p>
    <w:p>
      <w:pPr>
        <w:spacing w:line="600" w:lineRule="exact"/>
        <w:ind w:firstLine="696" w:firstLineChars="200"/>
        <w:rPr>
          <w:rFonts w:hint="eastAsia" w:ascii="仿宋_GB2312" w:eastAsia="仿宋_GB2312"/>
          <w:spacing w:val="14"/>
          <w:sz w:val="32"/>
          <w:szCs w:val="32"/>
        </w:rPr>
      </w:pPr>
    </w:p>
    <w:p>
      <w:pPr>
        <w:pStyle w:val="10"/>
        <w:spacing w:line="600" w:lineRule="exact"/>
        <w:ind w:left="0" w:leftChars="0" w:firstLine="0" w:firstLineChars="0"/>
        <w:rPr>
          <w:rFonts w:hint="eastAsia" w:eastAsia="华文仿宋"/>
          <w:sz w:val="32"/>
          <w:szCs w:val="22"/>
          <w:lang w:val="en-US" w:eastAsia="zh-CN" w:bidi="ar-SA"/>
        </w:rPr>
      </w:pPr>
      <w:r>
        <w:rPr>
          <w:rFonts w:hint="eastAsia" w:eastAsia="华文仿宋"/>
          <w:sz w:val="32"/>
          <w:szCs w:val="22"/>
          <w:lang w:val="en-US" w:eastAsia="zh-CN" w:bidi="ar-SA"/>
        </w:rPr>
        <w:t>昆明市晋宁区生态环境产业开发有限公司：</w:t>
      </w:r>
    </w:p>
    <w:p>
      <w:pPr>
        <w:pStyle w:val="10"/>
        <w:spacing w:line="600" w:lineRule="exact"/>
        <w:ind w:left="0" w:firstLine="640"/>
        <w:rPr>
          <w:rFonts w:hint="eastAsia" w:eastAsia="华文仿宋"/>
          <w:sz w:val="32"/>
          <w:szCs w:val="22"/>
          <w:lang w:val="en-US" w:eastAsia="zh-CN" w:bidi="ar-SA"/>
        </w:rPr>
      </w:pPr>
      <w:r>
        <w:rPr>
          <w:rFonts w:hint="eastAsia" w:eastAsia="华文仿宋"/>
          <w:sz w:val="32"/>
          <w:szCs w:val="22"/>
          <w:lang w:val="en-US" w:eastAsia="zh-CN" w:bidi="ar-SA"/>
        </w:rPr>
        <w:t xml:space="preserve"> 你单位委托云南环秀环保工程有限公司编制的《晋城中型灌区续建配套与节水改造项目环境影响</w:t>
      </w:r>
      <w:bookmarkStart w:id="7" w:name="_GoBack"/>
      <w:bookmarkEnd w:id="7"/>
      <w:r>
        <w:rPr>
          <w:rFonts w:hint="eastAsia" w:eastAsia="华文仿宋"/>
          <w:sz w:val="32"/>
          <w:szCs w:val="22"/>
          <w:lang w:val="en-US" w:eastAsia="zh-CN" w:bidi="ar-SA"/>
        </w:rPr>
        <w:t>报告书》(以下简称《报告书》)收悉。根据《中华人民共和国环境影响评价法》第二十二条、《建设项目环境保护管理条例》第九条，经研究，批复如下：</w:t>
      </w:r>
    </w:p>
    <w:p>
      <w:pPr>
        <w:pStyle w:val="10"/>
        <w:spacing w:line="600" w:lineRule="exact"/>
        <w:ind w:left="0" w:firstLine="640"/>
        <w:rPr>
          <w:rFonts w:hint="eastAsia" w:eastAsia="华文仿宋"/>
          <w:sz w:val="32"/>
          <w:szCs w:val="22"/>
          <w:lang w:val="en-US" w:eastAsia="zh-CN" w:bidi="ar-SA"/>
        </w:rPr>
      </w:pPr>
      <w:r>
        <w:rPr>
          <w:rFonts w:hint="eastAsia" w:eastAsia="华文仿宋"/>
          <w:sz w:val="32"/>
          <w:szCs w:val="22"/>
          <w:lang w:val="en-US" w:eastAsia="zh-CN" w:bidi="ar-SA"/>
        </w:rPr>
        <w:t>一、项目地点位于</w:t>
      </w:r>
      <w:bookmarkStart w:id="1" w:name="_Hlk68728860"/>
      <w:r>
        <w:rPr>
          <w:rFonts w:hint="eastAsia" w:eastAsia="华文仿宋"/>
          <w:sz w:val="32"/>
          <w:szCs w:val="22"/>
          <w:lang w:val="en-US" w:eastAsia="zh-CN" w:bidi="ar-SA"/>
        </w:rPr>
        <w:t>位于</w:t>
      </w:r>
      <w:bookmarkEnd w:id="1"/>
      <w:r>
        <w:rPr>
          <w:rFonts w:hint="eastAsia" w:eastAsia="华文仿宋"/>
          <w:sz w:val="32"/>
          <w:szCs w:val="22"/>
          <w:lang w:val="en-US" w:eastAsia="zh-CN" w:bidi="ar-SA"/>
        </w:rPr>
        <w:t>晋宁区晋城街道办事处和上蒜镇，</w:t>
      </w:r>
    </w:p>
    <w:p>
      <w:pPr>
        <w:pStyle w:val="10"/>
        <w:spacing w:line="600" w:lineRule="exact"/>
        <w:ind w:left="0" w:leftChars="0" w:firstLine="0" w:firstLineChars="0"/>
        <w:rPr>
          <w:rFonts w:hint="eastAsia" w:eastAsia="华文仿宋"/>
          <w:sz w:val="32"/>
          <w:szCs w:val="22"/>
          <w:lang w:val="en-US" w:eastAsia="zh-CN" w:bidi="ar-SA"/>
        </w:rPr>
      </w:pPr>
      <w:r>
        <w:rPr>
          <w:rFonts w:hint="eastAsia" w:eastAsia="华文仿宋"/>
          <w:sz w:val="32"/>
          <w:szCs w:val="22"/>
          <w:lang w:val="en-US" w:eastAsia="zh-CN" w:bidi="ar-SA"/>
        </w:rPr>
        <w:t>工程设计灌溉面积7.22万亩，泵站提水主要涉及2个灌片2座泵站，其中鸽子窝灌片：改建后鸽子窝泵站设计总流量1.21m</w:t>
      </w:r>
      <w:r>
        <w:rPr>
          <w:rFonts w:hint="eastAsia" w:eastAsia="华文仿宋"/>
          <w:sz w:val="32"/>
          <w:szCs w:val="22"/>
          <w:vertAlign w:val="superscript"/>
          <w:lang w:val="en-US" w:eastAsia="zh-CN" w:bidi="ar-SA"/>
        </w:rPr>
        <w:t>3</w:t>
      </w:r>
      <w:r>
        <w:rPr>
          <w:rFonts w:hint="eastAsia" w:eastAsia="华文仿宋"/>
          <w:sz w:val="32"/>
          <w:szCs w:val="22"/>
          <w:lang w:val="en-US" w:eastAsia="zh-CN" w:bidi="ar-SA"/>
        </w:rPr>
        <w:t>/s，泵站总装机容量为1800kw。下石美灌片：改建后下石美泵站设计总流量1.68m</w:t>
      </w:r>
      <w:r>
        <w:rPr>
          <w:rFonts w:hint="eastAsia" w:eastAsia="华文仿宋"/>
          <w:sz w:val="32"/>
          <w:szCs w:val="22"/>
          <w:vertAlign w:val="superscript"/>
          <w:lang w:val="en-US" w:eastAsia="zh-CN" w:bidi="ar-SA"/>
        </w:rPr>
        <w:t>3</w:t>
      </w:r>
      <w:r>
        <w:rPr>
          <w:rFonts w:hint="eastAsia" w:eastAsia="华文仿宋"/>
          <w:sz w:val="32"/>
          <w:szCs w:val="22"/>
          <w:lang w:val="en-US" w:eastAsia="zh-CN" w:bidi="ar-SA"/>
        </w:rPr>
        <w:t>/s，泵站总装机容量为1500kw。新建输配水管线共计62.67km，其中新建输水管共计4.34km，主、干、支各级配水管共计58.32km。项目总投资23183.20万元，其中环保投资54.12万元。</w:t>
      </w:r>
    </w:p>
    <w:p>
      <w:pPr>
        <w:pStyle w:val="10"/>
        <w:spacing w:line="600" w:lineRule="exact"/>
        <w:ind w:left="0" w:firstLine="640"/>
        <w:rPr>
          <w:rFonts w:hint="eastAsia"/>
          <w:lang w:val="en-US" w:eastAsia="zh-CN"/>
        </w:rPr>
      </w:pPr>
      <w:bookmarkStart w:id="2" w:name="_Hlk96782591"/>
      <w:bookmarkStart w:id="3" w:name="_Hlk96777084"/>
      <w:r>
        <w:rPr>
          <w:rFonts w:hint="eastAsia" w:eastAsia="华文仿宋"/>
          <w:sz w:val="32"/>
          <w:szCs w:val="22"/>
          <w:lang w:val="en-US" w:eastAsia="zh-CN" w:bidi="ar-SA"/>
        </w:rPr>
        <w:t>二、工程</w:t>
      </w:r>
      <w:bookmarkEnd w:id="2"/>
      <w:r>
        <w:rPr>
          <w:rFonts w:hint="eastAsia" w:eastAsia="华文仿宋"/>
          <w:sz w:val="32"/>
          <w:szCs w:val="22"/>
          <w:lang w:val="en-US" w:eastAsia="zh-CN" w:bidi="ar-SA"/>
        </w:rPr>
        <w:t>施工期现场不设置施工营地，</w:t>
      </w:r>
      <w:bookmarkStart w:id="4" w:name="_Hlk96791446"/>
      <w:r>
        <w:rPr>
          <w:rFonts w:hint="eastAsia" w:eastAsia="华文仿宋"/>
          <w:sz w:val="32"/>
          <w:szCs w:val="22"/>
          <w:lang w:val="en-US" w:eastAsia="zh-CN" w:bidi="ar-SA"/>
        </w:rPr>
        <w:t>施工废水经沉淀处理后全部回用于施工场地洒水降尘，不外排；</w:t>
      </w:r>
      <w:bookmarkEnd w:id="3"/>
      <w:bookmarkEnd w:id="4"/>
      <w:bookmarkStart w:id="5" w:name="_Hlk96791555"/>
      <w:r>
        <w:rPr>
          <w:rFonts w:hint="eastAsia" w:eastAsia="华文仿宋"/>
          <w:sz w:val="32"/>
          <w:szCs w:val="22"/>
          <w:lang w:val="en-US" w:eastAsia="zh-CN" w:bidi="ar-SA"/>
        </w:rPr>
        <w:t>工程运营期无废水产生</w:t>
      </w:r>
      <w:bookmarkEnd w:id="5"/>
      <w:r>
        <w:rPr>
          <w:rFonts w:hint="eastAsia" w:eastAsia="华文仿宋"/>
          <w:sz w:val="32"/>
          <w:szCs w:val="22"/>
          <w:lang w:val="en-US" w:eastAsia="zh-CN" w:bidi="ar-SA"/>
        </w:rPr>
        <w:t>，故不设置废水排放标准。</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bottom"/>
        <w:rPr>
          <w:rFonts w:eastAsia="华文仿宋"/>
          <w:sz w:val="32"/>
        </w:rPr>
      </w:pPr>
      <w:r>
        <w:rPr>
          <w:rFonts w:hint="eastAsia" w:eastAsia="华文仿宋"/>
          <w:sz w:val="32"/>
        </w:rPr>
        <w:t xml:space="preserve">三、 </w:t>
      </w:r>
      <w:r>
        <w:rPr>
          <w:rFonts w:eastAsia="华文仿宋"/>
          <w:sz w:val="32"/>
        </w:rPr>
        <w:t>严格控制施工时产生的扬尘，施工现场、运输车辆应采取有效的防治扬尘措施，排放的废气应符合GB16297－1996《大气污染物综合排放标准</w:t>
      </w:r>
      <w:r>
        <w:rPr>
          <w:rFonts w:eastAsia="华文仿宋"/>
          <w:sz w:val="32"/>
          <w:szCs w:val="22"/>
        </w:rPr>
        <w:t>》</w:t>
      </w:r>
      <w:r>
        <w:rPr>
          <w:rFonts w:hint="eastAsia" w:eastAsia="华文仿宋"/>
          <w:sz w:val="32"/>
          <w:szCs w:val="22"/>
        </w:rPr>
        <w:t>表2中无组织排放监控浓度限值</w:t>
      </w:r>
      <w:r>
        <w:rPr>
          <w:rFonts w:eastAsia="华文仿宋"/>
          <w:sz w:val="32"/>
          <w:szCs w:val="22"/>
        </w:rPr>
        <w:t>，即：颗粒物无组织排放浓</w:t>
      </w:r>
      <w:r>
        <w:rPr>
          <w:rFonts w:eastAsia="华文仿宋"/>
          <w:sz w:val="32"/>
        </w:rPr>
        <w:t>度≤1.0mg/m</w:t>
      </w:r>
      <w:r>
        <w:rPr>
          <w:rFonts w:eastAsia="华文仿宋"/>
          <w:sz w:val="32"/>
          <w:vertAlign w:val="superscript"/>
        </w:rPr>
        <w:t>3</w:t>
      </w:r>
      <w:r>
        <w:rPr>
          <w:rFonts w:eastAsia="华文仿宋"/>
          <w:sz w:val="32"/>
        </w:rPr>
        <w:t>，减少对环境敏感点的扬尘污染。</w:t>
      </w:r>
    </w:p>
    <w:p>
      <w:pPr>
        <w:widowControl/>
        <w:snapToGrid w:val="0"/>
        <w:spacing w:line="600" w:lineRule="exact"/>
        <w:ind w:left="0" w:firstLine="630"/>
        <w:textAlignment w:val="baseline"/>
        <w:rPr>
          <w:rFonts w:hint="eastAsia" w:eastAsia="华文仿宋"/>
          <w:sz w:val="32"/>
        </w:rPr>
      </w:pPr>
      <w:r>
        <w:rPr>
          <w:rFonts w:eastAsia="华文仿宋"/>
          <w:sz w:val="32"/>
        </w:rPr>
        <w:t>四、施工过程中严格控制各类施工机械产生的噪声，施工场界噪声应符合GB12523-2011《建筑施工场界环境噪声排放标准》表1标准，即：昼间≤70 dB，夜间≤55 dB。禁止夜间(22:00至次日6:00)进行产生环境噪声污染的建筑施工作业</w:t>
      </w:r>
      <w:r>
        <w:rPr>
          <w:rFonts w:hint="eastAsia" w:eastAsia="华文仿宋"/>
          <w:sz w:val="32"/>
          <w:szCs w:val="22"/>
        </w:rPr>
        <w:t>运营期厂界噪声排放执行</w:t>
      </w:r>
      <w:r>
        <w:rPr>
          <w:rFonts w:eastAsia="华文仿宋"/>
          <w:sz w:val="32"/>
          <w:szCs w:val="22"/>
        </w:rPr>
        <w:t>《工业企业厂界环境噪声排放标准》</w:t>
      </w:r>
      <w:r>
        <w:rPr>
          <w:rFonts w:hint="eastAsia" w:eastAsia="华文仿宋"/>
          <w:sz w:val="32"/>
          <w:szCs w:val="22"/>
        </w:rPr>
        <w:t>（</w:t>
      </w:r>
      <w:r>
        <w:rPr>
          <w:rFonts w:eastAsia="华文仿宋"/>
          <w:sz w:val="32"/>
          <w:szCs w:val="22"/>
        </w:rPr>
        <w:t>GB12348-2008</w:t>
      </w:r>
      <w:r>
        <w:rPr>
          <w:rFonts w:hint="eastAsia" w:eastAsia="华文仿宋"/>
          <w:sz w:val="32"/>
          <w:szCs w:val="22"/>
        </w:rPr>
        <w:t>）</w:t>
      </w:r>
      <w:r>
        <w:rPr>
          <w:rFonts w:eastAsia="华文仿宋"/>
          <w:sz w:val="32"/>
          <w:szCs w:val="22"/>
        </w:rPr>
        <w:t>2</w:t>
      </w:r>
      <w:r>
        <w:rPr>
          <w:rFonts w:hint="eastAsia" w:eastAsia="华文仿宋"/>
          <w:sz w:val="32"/>
          <w:szCs w:val="22"/>
        </w:rPr>
        <w:t>类标准限值</w:t>
      </w:r>
      <w:r>
        <w:rPr>
          <w:rFonts w:hint="eastAsia" w:eastAsia="华文仿宋"/>
          <w:sz w:val="32"/>
          <w:szCs w:val="22"/>
          <w:lang w:eastAsia="zh-CN"/>
        </w:rPr>
        <w:t>，</w:t>
      </w:r>
      <w:r>
        <w:rPr>
          <w:rFonts w:eastAsia="华文仿宋"/>
          <w:sz w:val="32"/>
        </w:rPr>
        <w:t>即：昼间≤</w:t>
      </w:r>
      <w:r>
        <w:rPr>
          <w:rFonts w:hint="eastAsia" w:eastAsia="华文仿宋"/>
          <w:sz w:val="32"/>
          <w:lang w:val="en-US" w:eastAsia="zh-CN"/>
        </w:rPr>
        <w:t>6</w:t>
      </w:r>
      <w:r>
        <w:rPr>
          <w:rFonts w:eastAsia="华文仿宋"/>
          <w:sz w:val="32"/>
        </w:rPr>
        <w:t>0 dB，夜间≤5</w:t>
      </w:r>
      <w:r>
        <w:rPr>
          <w:rFonts w:hint="eastAsia" w:eastAsia="华文仿宋"/>
          <w:sz w:val="32"/>
          <w:lang w:val="en-US" w:eastAsia="zh-CN"/>
        </w:rPr>
        <w:t>0</w:t>
      </w:r>
      <w:r>
        <w:rPr>
          <w:rFonts w:eastAsia="华文仿宋"/>
          <w:sz w:val="32"/>
        </w:rPr>
        <w:t xml:space="preserve"> dB。</w:t>
      </w:r>
    </w:p>
    <w:p>
      <w:pPr>
        <w:widowControl/>
        <w:snapToGrid w:val="0"/>
        <w:spacing w:line="600" w:lineRule="exact"/>
        <w:ind w:left="0" w:firstLine="640" w:firstLineChars="200"/>
        <w:textAlignment w:val="baseline"/>
        <w:rPr>
          <w:rFonts w:hint="eastAsia" w:eastAsia="华文仿宋"/>
          <w:color w:val="auto"/>
          <w:sz w:val="32"/>
          <w:lang w:eastAsia="zh-CN"/>
        </w:rPr>
      </w:pPr>
      <w:r>
        <w:rPr>
          <w:rFonts w:hint="eastAsia" w:eastAsia="华文仿宋"/>
          <w:sz w:val="32"/>
          <w:szCs w:val="22"/>
        </w:rPr>
        <w:t>五、</w:t>
      </w:r>
      <w:bookmarkStart w:id="6" w:name="_Hlk96781863"/>
      <w:r>
        <w:rPr>
          <w:rFonts w:hint="eastAsia" w:eastAsia="华文仿宋"/>
          <w:sz w:val="32"/>
          <w:szCs w:val="22"/>
        </w:rPr>
        <w:t>工程</w:t>
      </w:r>
      <w:bookmarkEnd w:id="6"/>
      <w:r>
        <w:rPr>
          <w:rFonts w:hint="eastAsia" w:eastAsia="华文仿宋"/>
          <w:sz w:val="32"/>
          <w:szCs w:val="22"/>
        </w:rPr>
        <w:t>施工期固体废物执行《一般工业固体废物贮存、处置场污染控制标准》（GB 18599-2001）</w:t>
      </w:r>
      <w:r>
        <w:rPr>
          <w:rFonts w:hint="eastAsia" w:eastAsia="华文仿宋"/>
          <w:sz w:val="32"/>
          <w:szCs w:val="22"/>
          <w:lang w:eastAsia="zh-CN"/>
        </w:rPr>
        <w:t>。</w:t>
      </w:r>
    </w:p>
    <w:p>
      <w:pPr>
        <w:widowControl/>
        <w:snapToGrid w:val="0"/>
        <w:spacing w:line="600" w:lineRule="exact"/>
        <w:ind w:left="0" w:firstLine="400" w:firstLineChars="200"/>
        <w:textAlignment w:val="baseline"/>
        <w:rPr>
          <w:rFonts w:hint="eastAsia" w:eastAsia="华文仿宋"/>
          <w:sz w:val="32"/>
          <w:szCs w:val="22"/>
        </w:rPr>
      </w:pPr>
      <w:r>
        <w:rPr>
          <w:rFonts w:hint="eastAsia"/>
        </w:rPr>
        <w:t xml:space="preserve"> </w:t>
      </w:r>
      <w:r>
        <w:rPr>
          <w:rFonts w:hint="eastAsia" w:eastAsia="华文仿宋"/>
          <w:sz w:val="32"/>
          <w:szCs w:val="22"/>
        </w:rPr>
        <w:t xml:space="preserve"> 六、禁止使用含磷洗涤用品及一次性不可降解塑料餐饮具。</w:t>
      </w:r>
    </w:p>
    <w:p>
      <w:pPr>
        <w:widowControl/>
        <w:snapToGrid w:val="0"/>
        <w:spacing w:line="600" w:lineRule="exact"/>
        <w:ind w:left="0" w:firstLine="640" w:firstLineChars="200"/>
        <w:textAlignment w:val="baseline"/>
        <w:rPr>
          <w:rFonts w:hint="eastAsia" w:eastAsia="华文仿宋"/>
          <w:sz w:val="32"/>
          <w:szCs w:val="22"/>
        </w:rPr>
      </w:pPr>
      <w:r>
        <w:rPr>
          <w:rFonts w:hint="eastAsia" w:eastAsia="华文仿宋"/>
          <w:sz w:val="32"/>
          <w:szCs w:val="22"/>
        </w:rPr>
        <w:t>七、建立完善的环境风险管理制度及风险防范应急措施，防止环境污染事故发生。</w:t>
      </w:r>
    </w:p>
    <w:p>
      <w:pPr>
        <w:widowControl/>
        <w:snapToGrid w:val="0"/>
        <w:spacing w:line="600" w:lineRule="exact"/>
        <w:ind w:left="0" w:firstLine="640" w:firstLineChars="200"/>
        <w:textAlignment w:val="baseline"/>
        <w:rPr>
          <w:rFonts w:hint="eastAsia" w:eastAsia="华文仿宋"/>
          <w:sz w:val="32"/>
          <w:szCs w:val="22"/>
        </w:rPr>
      </w:pPr>
      <w:r>
        <w:rPr>
          <w:rFonts w:hint="eastAsia" w:eastAsia="华文仿宋"/>
          <w:sz w:val="32"/>
          <w:szCs w:val="22"/>
        </w:rPr>
        <w:t>八、根据《中华人民共和国环境噪声污染防治法》第二十九条有关规定，施工单位必须在工程开工十五日以前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widowControl/>
        <w:snapToGrid w:val="0"/>
        <w:spacing w:line="600" w:lineRule="exact"/>
        <w:ind w:left="0" w:firstLine="640" w:firstLineChars="200"/>
        <w:textAlignment w:val="baseline"/>
        <w:rPr>
          <w:rFonts w:hint="eastAsia" w:eastAsia="华文仿宋"/>
          <w:sz w:val="32"/>
          <w:szCs w:val="22"/>
        </w:rPr>
      </w:pPr>
      <w:r>
        <w:rPr>
          <w:rFonts w:hint="eastAsia" w:eastAsia="华文仿宋"/>
          <w:sz w:val="32"/>
          <w:szCs w:val="22"/>
        </w:rPr>
        <w:t>九、《报告</w:t>
      </w:r>
      <w:r>
        <w:rPr>
          <w:rFonts w:hint="eastAsia" w:eastAsia="华文仿宋"/>
          <w:sz w:val="32"/>
          <w:szCs w:val="22"/>
          <w:lang w:eastAsia="zh-CN"/>
        </w:rPr>
        <w:t>书</w:t>
      </w:r>
      <w:r>
        <w:rPr>
          <w:rFonts w:hint="eastAsia" w:eastAsia="华文仿宋"/>
          <w:sz w:val="32"/>
          <w:szCs w:val="22"/>
        </w:rPr>
        <w:t>》应当作为项目环境保护设计、建设及运行管理的依据，项目应认真落实各项环保对策措施，环保设施须与主体工程同时设计、同时施工、同时投产使用。</w:t>
      </w:r>
    </w:p>
    <w:p>
      <w:pPr>
        <w:widowControl/>
        <w:snapToGrid w:val="0"/>
        <w:spacing w:line="600" w:lineRule="exact"/>
        <w:ind w:left="0" w:firstLine="640" w:firstLineChars="200"/>
        <w:textAlignment w:val="baseline"/>
        <w:rPr>
          <w:rFonts w:hint="eastAsia" w:eastAsia="华文仿宋"/>
          <w:sz w:val="32"/>
          <w:szCs w:val="22"/>
        </w:rPr>
      </w:pPr>
      <w:r>
        <w:rPr>
          <w:rFonts w:hint="eastAsia" w:eastAsia="华文仿宋"/>
          <w:sz w:val="32"/>
          <w:szCs w:val="22"/>
        </w:rPr>
        <w:t>严格遵守《建设项目环境保护条例》，建设项目竣工后，建设单位应当按照国务院生态环境行政主管部门规定的标准和程序，对配套建设的环境保护设施进行验收，经验收合格后方可投入生产或者使用。</w:t>
      </w:r>
    </w:p>
    <w:p>
      <w:pPr>
        <w:widowControl/>
        <w:snapToGrid w:val="0"/>
        <w:spacing w:line="600" w:lineRule="exact"/>
        <w:ind w:left="0" w:firstLine="640" w:firstLineChars="200"/>
        <w:textAlignment w:val="baseline"/>
        <w:rPr>
          <w:rFonts w:hint="eastAsia" w:eastAsia="华文仿宋"/>
          <w:sz w:val="32"/>
          <w:szCs w:val="22"/>
        </w:rPr>
      </w:pPr>
      <w:r>
        <w:rPr>
          <w:rFonts w:hint="eastAsia" w:eastAsia="华文仿宋"/>
          <w:sz w:val="32"/>
          <w:szCs w:val="22"/>
        </w:rPr>
        <w:t>十、项目的性质、规模、地点、采用的生产工艺或者防治污染、防止生态破坏的措施发生变动的，应当重新向我局报批建设项目的环境影响评价文件。</w:t>
      </w:r>
    </w:p>
    <w:p>
      <w:pPr>
        <w:widowControl/>
        <w:snapToGrid w:val="0"/>
        <w:spacing w:line="600" w:lineRule="exact"/>
        <w:ind w:left="0" w:firstLine="640" w:firstLineChars="200"/>
        <w:textAlignment w:val="baseline"/>
        <w:rPr>
          <w:rFonts w:hint="eastAsia" w:eastAsia="华文仿宋"/>
          <w:sz w:val="32"/>
          <w:szCs w:val="22"/>
        </w:rPr>
      </w:pPr>
      <w:r>
        <w:rPr>
          <w:rFonts w:hint="eastAsia" w:eastAsia="华文仿宋"/>
          <w:sz w:val="32"/>
          <w:szCs w:val="22"/>
        </w:rPr>
        <w:t>自本批复之日起超过五年项目方决定该项目开工建设的，环境影响评价文件应当报我局重新审核。</w:t>
      </w:r>
    </w:p>
    <w:p>
      <w:pPr>
        <w:widowControl/>
        <w:snapToGrid w:val="0"/>
        <w:spacing w:line="600" w:lineRule="exact"/>
        <w:ind w:left="0" w:firstLine="640" w:firstLineChars="200"/>
        <w:textAlignment w:val="baseline"/>
        <w:rPr>
          <w:rFonts w:hint="eastAsia" w:eastAsia="华文仿宋"/>
          <w:sz w:val="32"/>
          <w:szCs w:val="22"/>
        </w:rPr>
      </w:pPr>
      <w:r>
        <w:rPr>
          <w:rFonts w:hint="eastAsia" w:eastAsia="华文仿宋"/>
          <w:sz w:val="32"/>
          <w:szCs w:val="22"/>
          <w:lang w:eastAsia="zh-CN"/>
        </w:rPr>
        <w:t>十一、</w:t>
      </w:r>
      <w:r>
        <w:rPr>
          <w:rFonts w:hint="eastAsia" w:eastAsia="华文仿宋"/>
          <w:sz w:val="32"/>
          <w:szCs w:val="22"/>
        </w:rPr>
        <w:t>依法到自然资源、住建、水务、发改经贸等部门办理其它相关手续。</w:t>
      </w: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pStyle w:val="16"/>
        <w:spacing w:line="600" w:lineRule="exact"/>
        <w:ind w:left="0" w:firstLine="0"/>
        <w:jc w:val="both"/>
      </w:pPr>
    </w:p>
    <w:p>
      <w:pPr>
        <w:spacing w:line="560" w:lineRule="exact"/>
        <w:textAlignment w:val="baseline"/>
        <w:rPr>
          <w:rFonts w:eastAsia="华文仿宋"/>
          <w:sz w:val="32"/>
        </w:rPr>
      </w:pPr>
      <w:r>
        <w:rPr>
          <w:rFonts w:hint="eastAsia" w:eastAsia="华文仿宋"/>
          <w:sz w:val="32"/>
        </w:rPr>
        <w:t xml:space="preserve">                    </w:t>
      </w:r>
      <w:r>
        <w:rPr>
          <w:rFonts w:eastAsia="华文仿宋"/>
          <w:sz w:val="32"/>
        </w:rPr>
        <w:t xml:space="preserve">    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rPr>
          <w:rFonts w:eastAsia="仿宋_GB2312"/>
          <w:color w:val="000000"/>
          <w:sz w:val="32"/>
          <w:u w:val="single"/>
        </w:rPr>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2</w:t>
      </w:r>
      <w:r>
        <w:rPr>
          <w:rFonts w:eastAsia="华文仿宋"/>
          <w:color w:val="000000"/>
          <w:sz w:val="32"/>
        </w:rPr>
        <w:t>年</w:t>
      </w:r>
      <w:r>
        <w:rPr>
          <w:rFonts w:hint="eastAsia" w:eastAsia="华文仿宋"/>
          <w:color w:val="000000"/>
          <w:sz w:val="32"/>
          <w:lang w:val="en-US" w:eastAsia="zh-CN"/>
        </w:rPr>
        <w:t>3</w:t>
      </w:r>
      <w:r>
        <w:rPr>
          <w:rFonts w:eastAsia="华文仿宋"/>
          <w:color w:val="000000"/>
          <w:sz w:val="32"/>
        </w:rPr>
        <w:t>月</w:t>
      </w:r>
      <w:r>
        <w:rPr>
          <w:rFonts w:hint="eastAsia" w:eastAsia="华文仿宋"/>
          <w:color w:val="000000"/>
          <w:sz w:val="32"/>
        </w:rPr>
        <w:t>2</w:t>
      </w:r>
      <w:r>
        <w:rPr>
          <w:rFonts w:hint="eastAsia" w:eastAsia="华文仿宋"/>
          <w:color w:val="000000"/>
          <w:sz w:val="32"/>
          <w:lang w:val="en-US" w:eastAsia="zh-CN"/>
        </w:rPr>
        <w:t>4</w:t>
      </w:r>
      <w:r>
        <w:rPr>
          <w:rFonts w:eastAsia="华文仿宋"/>
          <w:color w:val="000000"/>
          <w:sz w:val="32"/>
        </w:rPr>
        <w:t>日</w:t>
      </w:r>
    </w:p>
    <w:p>
      <w:pPr>
        <w:spacing w:line="560" w:lineRule="exact"/>
        <w:ind w:left="0"/>
        <w:textAlignment w:val="baseline"/>
        <w:rPr>
          <w:rFonts w:eastAsia="仿宋_GB2312"/>
          <w:color w:val="000000"/>
          <w:sz w:val="32"/>
          <w:u w:val="single"/>
        </w:rPr>
      </w:pPr>
    </w:p>
    <w:p>
      <w:pPr>
        <w:spacing w:line="560" w:lineRule="exact"/>
        <w:ind w:left="0"/>
        <w:textAlignment w:val="baseline"/>
        <w:rPr>
          <w:rFonts w:eastAsia="华文仿宋"/>
          <w:sz w:val="32"/>
          <w:u w:val="single"/>
        </w:rPr>
      </w:pPr>
      <w:r>
        <w:rPr>
          <w:rFonts w:eastAsia="仿宋_GB2312"/>
          <w:color w:val="000000"/>
          <w:sz w:val="32"/>
          <w:u w:val="single"/>
        </w:rPr>
        <w:t xml:space="preserve">               </w:t>
      </w:r>
      <w:r>
        <w:rPr>
          <w:rFonts w:eastAsia="华文仿宋"/>
          <w:color w:val="000000"/>
          <w:sz w:val="32"/>
          <w:u w:val="single"/>
        </w:rPr>
        <w:t xml:space="preserve">     </w:t>
      </w:r>
      <w:r>
        <w:rPr>
          <w:rFonts w:hint="eastAsia" w:eastAsia="华文仿宋"/>
          <w:color w:val="000000"/>
          <w:sz w:val="32"/>
          <w:u w:val="single"/>
        </w:rPr>
        <w:t xml:space="preserve"> </w:t>
      </w:r>
      <w:r>
        <w:rPr>
          <w:rFonts w:eastAsia="华文仿宋"/>
          <w:sz w:val="32"/>
          <w:u w:val="single"/>
        </w:rPr>
        <w:t xml:space="preserve">                                                </w:t>
      </w:r>
    </w:p>
    <w:p>
      <w:pPr>
        <w:spacing w:line="520" w:lineRule="exact"/>
        <w:textAlignment w:val="baseline"/>
        <w:rPr>
          <w:rFonts w:eastAsia="华文仿宋"/>
          <w:sz w:val="32"/>
        </w:rPr>
      </w:pPr>
      <w:r>
        <w:rPr>
          <w:rFonts w:eastAsia="华文仿宋"/>
          <w:sz w:val="32"/>
        </w:rPr>
        <w:t xml:space="preserve">  抄送：昆明市</w:t>
      </w:r>
      <w:r>
        <w:rPr>
          <w:rFonts w:hint="eastAsia" w:eastAsia="华文仿宋"/>
          <w:sz w:val="32"/>
        </w:rPr>
        <w:t>生态</w:t>
      </w:r>
      <w:r>
        <w:rPr>
          <w:rFonts w:eastAsia="华文仿宋"/>
          <w:sz w:val="32"/>
        </w:rPr>
        <w:t xml:space="preserve">环境局        </w:t>
      </w:r>
      <w:r>
        <w:rPr>
          <w:rFonts w:hint="eastAsia" w:eastAsia="华文仿宋"/>
          <w:sz w:val="32"/>
        </w:rPr>
        <w:t xml:space="preserve">  </w:t>
      </w:r>
      <w:r>
        <w:rPr>
          <w:rFonts w:hint="eastAsia" w:eastAsia="华文仿宋"/>
          <w:sz w:val="32"/>
          <w:lang w:eastAsia="zh-CN"/>
        </w:rPr>
        <w:t>晋城街道、上蒜</w:t>
      </w:r>
      <w:r>
        <w:rPr>
          <w:rFonts w:hint="eastAsia" w:eastAsia="华文仿宋"/>
          <w:sz w:val="32"/>
        </w:rPr>
        <w:t>镇</w:t>
      </w:r>
    </w:p>
    <w:p>
      <w:pPr>
        <w:spacing w:line="520" w:lineRule="exact"/>
        <w:rPr>
          <w:rFonts w:eastAsia="华文仿宋"/>
          <w:sz w:val="32"/>
          <w:u w:val="single"/>
        </w:rPr>
      </w:pPr>
      <w:r>
        <w:rPr>
          <w:rFonts w:eastAsia="华文仿宋"/>
          <w:sz w:val="32"/>
          <w:u w:val="single"/>
        </w:rPr>
        <w:t xml:space="preserve">        </w:t>
      </w:r>
      <w:r>
        <w:rPr>
          <w:rFonts w:hint="eastAsia" w:eastAsia="华文仿宋"/>
          <w:sz w:val="32"/>
          <w:u w:val="single"/>
        </w:rPr>
        <w:t>晋宁区生态环境保护综合执法大队</w:t>
      </w:r>
      <w:r>
        <w:rPr>
          <w:rFonts w:eastAsia="华文仿宋"/>
          <w:sz w:val="32"/>
          <w:u w:val="single"/>
        </w:rPr>
        <w:t xml:space="preserve">    </w:t>
      </w:r>
      <w:r>
        <w:rPr>
          <w:rFonts w:hint="eastAsia" w:eastAsia="华文仿宋"/>
          <w:sz w:val="32"/>
          <w:u w:val="single"/>
        </w:rPr>
        <w:t xml:space="preserve">       </w:t>
      </w:r>
      <w:r>
        <w:rPr>
          <w:rFonts w:eastAsia="华文仿宋"/>
          <w:sz w:val="32"/>
          <w:u w:val="single"/>
        </w:rPr>
        <w:t xml:space="preserve">         </w:t>
      </w:r>
    </w:p>
    <w:p>
      <w:pPr>
        <w:spacing w:line="520" w:lineRule="exact"/>
        <w:textAlignment w:val="baseline"/>
        <w:rPr>
          <w:rFonts w:hint="eastAsia"/>
          <w:b/>
          <w:sz w:val="44"/>
          <w:szCs w:val="22"/>
        </w:rPr>
      </w:pPr>
      <w:r>
        <w:rPr>
          <w:rFonts w:hint="eastAsia" w:hAnsi="华文仿宋" w:eastAsia="华文仿宋"/>
          <w:color w:val="000000"/>
          <w:sz w:val="32"/>
        </w:rPr>
        <w:t xml:space="preserve"> 昆明市生态</w:t>
      </w:r>
      <w:r>
        <w:rPr>
          <w:rFonts w:hAnsi="华文仿宋" w:eastAsia="华文仿宋"/>
          <w:color w:val="000000"/>
          <w:sz w:val="32"/>
        </w:rPr>
        <w:t>环境局</w:t>
      </w:r>
      <w:r>
        <w:rPr>
          <w:rFonts w:hint="eastAsia" w:hAnsi="华文仿宋" w:eastAsia="华文仿宋"/>
          <w:color w:val="000000"/>
          <w:sz w:val="32"/>
        </w:rPr>
        <w:t>晋宁分局</w:t>
      </w:r>
      <w:r>
        <w:rPr>
          <w:rFonts w:eastAsia="华文仿宋"/>
          <w:color w:val="000000"/>
          <w:sz w:val="32"/>
        </w:rPr>
        <w:t xml:space="preserve">       </w:t>
      </w:r>
      <w:r>
        <w:rPr>
          <w:rFonts w:eastAsia="华文仿宋"/>
          <w:color w:val="000000"/>
          <w:sz w:val="32"/>
          <w:szCs w:val="22"/>
        </w:rPr>
        <w:t>20</w:t>
      </w:r>
      <w:r>
        <w:rPr>
          <w:rFonts w:hint="eastAsia" w:eastAsia="华文仿宋"/>
          <w:color w:val="000000"/>
          <w:sz w:val="32"/>
          <w:szCs w:val="22"/>
        </w:rPr>
        <w:t>2</w:t>
      </w:r>
      <w:r>
        <w:rPr>
          <w:rFonts w:hint="eastAsia" w:eastAsia="华文仿宋"/>
          <w:color w:val="000000"/>
          <w:sz w:val="32"/>
          <w:szCs w:val="22"/>
          <w:lang w:val="en-US" w:eastAsia="zh-CN"/>
        </w:rPr>
        <w:t>2</w:t>
      </w:r>
      <w:r>
        <w:rPr>
          <w:rFonts w:eastAsia="华文仿宋"/>
          <w:color w:val="000000"/>
          <w:sz w:val="32"/>
          <w:szCs w:val="22"/>
        </w:rPr>
        <w:t>年</w:t>
      </w:r>
      <w:r>
        <w:rPr>
          <w:rFonts w:hint="eastAsia" w:eastAsia="华文仿宋"/>
          <w:color w:val="000000"/>
          <w:sz w:val="32"/>
          <w:szCs w:val="22"/>
          <w:lang w:val="en-US" w:eastAsia="zh-CN"/>
        </w:rPr>
        <w:t>3</w:t>
      </w:r>
      <w:r>
        <w:rPr>
          <w:rFonts w:eastAsia="华文仿宋"/>
          <w:color w:val="000000"/>
          <w:sz w:val="32"/>
          <w:szCs w:val="22"/>
        </w:rPr>
        <w:t>月</w:t>
      </w:r>
      <w:r>
        <w:rPr>
          <w:rFonts w:hint="eastAsia" w:eastAsia="华文仿宋"/>
          <w:color w:val="000000"/>
          <w:sz w:val="32"/>
          <w:szCs w:val="22"/>
        </w:rPr>
        <w:t>2</w:t>
      </w:r>
      <w:r>
        <w:rPr>
          <w:rFonts w:hint="eastAsia" w:eastAsia="华文仿宋"/>
          <w:color w:val="000000"/>
          <w:sz w:val="32"/>
          <w:szCs w:val="22"/>
          <w:lang w:val="en-US" w:eastAsia="zh-CN"/>
        </w:rPr>
        <w:t>4</w:t>
      </w:r>
      <w:r>
        <w:rPr>
          <w:rFonts w:eastAsia="华文仿宋"/>
          <w:color w:val="000000"/>
          <w:sz w:val="32"/>
          <w:szCs w:val="22"/>
        </w:rPr>
        <w:t>日印发</w:t>
      </w:r>
    </w:p>
    <w:p>
      <w:pPr>
        <w:pStyle w:val="2"/>
        <w:rPr>
          <w:rFonts w:hint="eastAsia"/>
          <w:b/>
          <w:sz w:val="44"/>
          <w:szCs w:val="22"/>
        </w:rPr>
      </w:pPr>
    </w:p>
    <w:p>
      <w:pPr>
        <w:jc w:val="center"/>
        <w:rPr>
          <w:b/>
          <w:sz w:val="44"/>
        </w:rPr>
      </w:pPr>
      <w:r>
        <w:rPr>
          <w:rFonts w:hint="eastAsia"/>
          <w:b/>
          <w:sz w:val="44"/>
          <w:szCs w:val="22"/>
        </w:rPr>
        <w:t>昆明市生态</w:t>
      </w:r>
      <w:r>
        <w:rPr>
          <w:b/>
          <w:sz w:val="44"/>
          <w:szCs w:val="22"/>
        </w:rPr>
        <w:t>环境局</w:t>
      </w:r>
      <w:r>
        <w:rPr>
          <w:rFonts w:hint="eastAsia"/>
          <w:b/>
          <w:sz w:val="44"/>
          <w:szCs w:val="22"/>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rPr>
        <w:t>2</w:t>
      </w:r>
      <w:r>
        <w:rPr>
          <w:rFonts w:hint="eastAsia" w:eastAsia="仿宋_GB2312"/>
          <w:sz w:val="32"/>
          <w:lang w:val="en-US" w:eastAsia="zh-CN"/>
        </w:rPr>
        <w:t>2</w:t>
      </w:r>
      <w:r>
        <w:rPr>
          <w:rFonts w:eastAsia="仿宋_GB2312"/>
          <w:sz w:val="32"/>
        </w:rPr>
        <w:t>年</w:t>
      </w:r>
      <w:r>
        <w:rPr>
          <w:rFonts w:hint="eastAsia" w:eastAsia="仿宋_GB2312"/>
          <w:sz w:val="32"/>
          <w:lang w:val="en-US" w:eastAsia="zh-CN"/>
        </w:rPr>
        <w:t>3</w:t>
      </w:r>
      <w:r>
        <w:rPr>
          <w:rFonts w:eastAsia="仿宋_GB2312"/>
          <w:sz w:val="32"/>
        </w:rPr>
        <w:t>月</w:t>
      </w:r>
      <w:r>
        <w:rPr>
          <w:rFonts w:hint="eastAsia" w:eastAsia="仿宋_GB2312"/>
          <w:sz w:val="32"/>
          <w:lang w:val="en-US" w:eastAsia="zh-CN"/>
        </w:rPr>
        <w:t>24</w:t>
      </w:r>
      <w:r>
        <w:rPr>
          <w:rFonts w:eastAsia="仿宋_GB2312"/>
          <w:sz w:val="32"/>
        </w:rPr>
        <w:t>日</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04" w:type="dxa"/>
            <w:noWrap w:val="0"/>
            <w:vAlign w:val="center"/>
          </w:tcPr>
          <w:p>
            <w:pPr>
              <w:spacing w:line="300" w:lineRule="exact"/>
              <w:jc w:val="center"/>
              <w:rPr>
                <w:b/>
                <w:sz w:val="24"/>
              </w:rPr>
            </w:pPr>
            <w:r>
              <w:rPr>
                <w:b/>
                <w:sz w:val="24"/>
              </w:rPr>
              <w:t>项目名称</w:t>
            </w:r>
          </w:p>
        </w:tc>
        <w:tc>
          <w:tcPr>
            <w:tcW w:w="6818" w:type="dxa"/>
            <w:gridSpan w:val="5"/>
            <w:noWrap w:val="0"/>
            <w:vAlign w:val="center"/>
          </w:tcPr>
          <w:p>
            <w:pPr>
              <w:spacing w:line="300" w:lineRule="exact"/>
              <w:jc w:val="center"/>
              <w:textAlignment w:val="baseline"/>
              <w:rPr>
                <w:rFonts w:hint="eastAsia"/>
                <w:sz w:val="24"/>
              </w:rPr>
            </w:pPr>
            <w:r>
              <w:rPr>
                <w:rFonts w:hint="eastAsia"/>
                <w:sz w:val="24"/>
              </w:rPr>
              <w:t>关于对《</w:t>
            </w:r>
            <w:r>
              <w:rPr>
                <w:rFonts w:hint="eastAsia"/>
                <w:sz w:val="24"/>
                <w:lang w:val="en-US" w:eastAsia="zh-CN"/>
              </w:rPr>
              <w:t>晋城中型灌区续建配套与节水改造项目环境影响报告书</w:t>
            </w:r>
            <w:r>
              <w:rPr>
                <w:rFonts w:hint="eastAsia"/>
                <w:sz w:val="24"/>
                <w:szCs w:val="24"/>
              </w:rPr>
              <w:t>》</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04" w:type="dxa"/>
            <w:noWrap w:val="0"/>
            <w:vAlign w:val="center"/>
          </w:tcPr>
          <w:p>
            <w:pPr>
              <w:spacing w:line="300" w:lineRule="exact"/>
              <w:jc w:val="center"/>
              <w:rPr>
                <w:b/>
                <w:sz w:val="24"/>
              </w:rPr>
            </w:pPr>
            <w:r>
              <w:rPr>
                <w:b/>
                <w:sz w:val="24"/>
              </w:rPr>
              <w:t>建设单位</w:t>
            </w:r>
          </w:p>
        </w:tc>
        <w:tc>
          <w:tcPr>
            <w:tcW w:w="6818" w:type="dxa"/>
            <w:gridSpan w:val="5"/>
            <w:noWrap w:val="0"/>
            <w:vAlign w:val="center"/>
          </w:tcPr>
          <w:p>
            <w:pPr>
              <w:pStyle w:val="8"/>
              <w:keepNext w:val="0"/>
              <w:keepLines w:val="0"/>
              <w:widowControl/>
              <w:suppressLineNumbers w:val="0"/>
              <w:spacing w:line="495" w:lineRule="atLeast"/>
              <w:ind w:left="0" w:firstLine="360"/>
              <w:rPr>
                <w:rFonts w:hint="eastAsia"/>
                <w:sz w:val="24"/>
              </w:rPr>
            </w:pPr>
            <w:r>
              <w:rPr>
                <w:rStyle w:val="13"/>
                <w:rFonts w:hint="eastAsia" w:ascii="宋体" w:hAnsi="宋体" w:eastAsia="宋体" w:cs="宋体"/>
                <w:sz w:val="24"/>
                <w:szCs w:val="24"/>
                <w:lang w:val="en-US" w:eastAsia="zh-CN"/>
              </w:rPr>
              <w:t>昆明市晋宁区生态环境产业开发有限公司</w:t>
            </w:r>
            <w:r>
              <w:rPr>
                <w:rStyle w:val="13"/>
                <w:rFonts w:hint="eastAsia" w:ascii="宋体" w:hAnsi="宋体" w:eastAsia="宋体" w:cs="宋体"/>
                <w:sz w:val="24"/>
                <w:szCs w:val="24"/>
              </w:rPr>
              <w:t xml:space="preserve">  </w:t>
            </w:r>
            <w:r>
              <w:rPr>
                <w:rFonts w:hint="default" w:ascii="Times New Roman" w:hAnsi="Times New Roman" w:eastAsia="sans-serif"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noWrap w:val="0"/>
            <w:vAlign w:val="center"/>
          </w:tcPr>
          <w:p>
            <w:pPr>
              <w:spacing w:line="300" w:lineRule="exact"/>
              <w:jc w:val="center"/>
              <w:rPr>
                <w:b/>
                <w:sz w:val="24"/>
              </w:rPr>
            </w:pPr>
            <w:r>
              <w:rPr>
                <w:b/>
                <w:sz w:val="24"/>
              </w:rPr>
              <w:t>建设地点</w:t>
            </w:r>
          </w:p>
        </w:tc>
        <w:tc>
          <w:tcPr>
            <w:tcW w:w="6818" w:type="dxa"/>
            <w:gridSpan w:val="5"/>
            <w:noWrap w:val="0"/>
            <w:vAlign w:val="center"/>
          </w:tcPr>
          <w:p>
            <w:pPr>
              <w:pStyle w:val="8"/>
              <w:keepNext w:val="0"/>
              <w:keepLines w:val="0"/>
              <w:widowControl/>
              <w:suppressLineNumbers w:val="0"/>
              <w:spacing w:line="495" w:lineRule="atLeast"/>
              <w:ind w:left="0" w:firstLine="360"/>
              <w:rPr>
                <w:rFonts w:hint="eastAsia" w:eastAsia="宋体"/>
                <w:sz w:val="24"/>
                <w:lang w:eastAsia="zh-CN"/>
              </w:rPr>
            </w:pPr>
            <w:r>
              <w:rPr>
                <w:rFonts w:hint="eastAsia"/>
                <w:bCs/>
                <w:snapToGrid w:val="0"/>
                <w:color w:val="000000"/>
                <w:sz w:val="24"/>
                <w:szCs w:val="28"/>
                <w:lang w:eastAsia="zh-CN"/>
              </w:rPr>
              <w:t>晋城街道、上蒜镇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noWrap w:val="0"/>
            <w:vAlign w:val="center"/>
          </w:tcPr>
          <w:p>
            <w:pPr>
              <w:spacing w:line="300" w:lineRule="exact"/>
              <w:jc w:val="center"/>
              <w:rPr>
                <w:b/>
                <w:sz w:val="24"/>
              </w:rPr>
            </w:pPr>
            <w:r>
              <w:rPr>
                <w:b/>
                <w:sz w:val="24"/>
              </w:rPr>
              <w:t>联系人</w:t>
            </w:r>
          </w:p>
        </w:tc>
        <w:tc>
          <w:tcPr>
            <w:tcW w:w="2198" w:type="dxa"/>
            <w:noWrap w:val="0"/>
            <w:vAlign w:val="top"/>
          </w:tcPr>
          <w:p>
            <w:pPr>
              <w:jc w:val="center"/>
              <w:rPr>
                <w:rFonts w:hint="eastAsia"/>
                <w:sz w:val="24"/>
              </w:rPr>
            </w:pPr>
          </w:p>
        </w:tc>
        <w:tc>
          <w:tcPr>
            <w:tcW w:w="1545" w:type="dxa"/>
            <w:gridSpan w:val="2"/>
            <w:noWrap w:val="0"/>
            <w:vAlign w:val="top"/>
          </w:tcPr>
          <w:p>
            <w:pPr>
              <w:spacing w:line="300" w:lineRule="exact"/>
              <w:jc w:val="center"/>
              <w:textAlignment w:val="baseline"/>
              <w:rPr>
                <w:sz w:val="24"/>
              </w:rPr>
            </w:pPr>
            <w:r>
              <w:rPr>
                <w:b/>
                <w:sz w:val="24"/>
              </w:rPr>
              <w:t>联系电话</w:t>
            </w:r>
          </w:p>
        </w:tc>
        <w:tc>
          <w:tcPr>
            <w:tcW w:w="3075" w:type="dxa"/>
            <w:gridSpan w:val="2"/>
            <w:noWrap w:val="0"/>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noWrap w:val="0"/>
            <w:vAlign w:val="center"/>
          </w:tcPr>
          <w:p>
            <w:pPr>
              <w:spacing w:line="300" w:lineRule="exact"/>
              <w:jc w:val="center"/>
              <w:rPr>
                <w:b/>
                <w:sz w:val="24"/>
              </w:rPr>
            </w:pPr>
            <w:r>
              <w:rPr>
                <w:b/>
                <w:sz w:val="24"/>
              </w:rPr>
              <w:t>批文号</w:t>
            </w:r>
          </w:p>
        </w:tc>
        <w:tc>
          <w:tcPr>
            <w:tcW w:w="3383" w:type="dxa"/>
            <w:gridSpan w:val="2"/>
            <w:noWrap w:val="0"/>
            <w:vAlign w:val="top"/>
          </w:tcPr>
          <w:p>
            <w:pPr>
              <w:spacing w:line="300" w:lineRule="exact"/>
              <w:jc w:val="center"/>
              <w:textAlignment w:val="baseline"/>
              <w:rPr>
                <w:sz w:val="24"/>
              </w:rPr>
            </w:pPr>
            <w:r>
              <w:rPr>
                <w:sz w:val="24"/>
              </w:rPr>
              <w:t>晋环保复[20</w:t>
            </w:r>
            <w:r>
              <w:rPr>
                <w:rFonts w:hint="eastAsia"/>
                <w:sz w:val="24"/>
              </w:rPr>
              <w:t>20</w:t>
            </w:r>
            <w:r>
              <w:rPr>
                <w:sz w:val="24"/>
              </w:rPr>
              <w:t>]  号</w:t>
            </w:r>
          </w:p>
        </w:tc>
        <w:tc>
          <w:tcPr>
            <w:tcW w:w="1395" w:type="dxa"/>
            <w:gridSpan w:val="2"/>
            <w:noWrap w:val="0"/>
            <w:vAlign w:val="center"/>
          </w:tcPr>
          <w:p>
            <w:pPr>
              <w:jc w:val="center"/>
              <w:rPr>
                <w:b/>
                <w:sz w:val="24"/>
              </w:rPr>
            </w:pPr>
            <w:r>
              <w:rPr>
                <w:b/>
                <w:sz w:val="24"/>
              </w:rPr>
              <w:t>环评类型</w:t>
            </w:r>
          </w:p>
        </w:tc>
        <w:tc>
          <w:tcPr>
            <w:tcW w:w="2040" w:type="dxa"/>
            <w:noWrap w:val="0"/>
            <w:vAlign w:val="center"/>
          </w:tcPr>
          <w:p>
            <w:pPr>
              <w:spacing w:line="300" w:lineRule="exact"/>
              <w:jc w:val="center"/>
              <w:textAlignment w:val="baseline"/>
              <w:rPr>
                <w:rFonts w:hint="eastAsia"/>
              </w:rPr>
            </w:pPr>
            <w:r>
              <w:rPr>
                <w:rFonts w:hint="eastAsia"/>
                <w:sz w:val="24"/>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1704" w:type="dxa"/>
            <w:noWrap w:val="0"/>
            <w:vAlign w:val="center"/>
          </w:tcPr>
          <w:p>
            <w:pPr>
              <w:jc w:val="center"/>
              <w:rPr>
                <w:rFonts w:eastAsia="仿宋_GB2312"/>
                <w:b/>
                <w:sz w:val="28"/>
              </w:rPr>
            </w:pPr>
            <w:r>
              <w:rPr>
                <w:b/>
                <w:sz w:val="24"/>
              </w:rPr>
              <w:t>主要内容</w:t>
            </w:r>
          </w:p>
        </w:tc>
        <w:tc>
          <w:tcPr>
            <w:tcW w:w="6818" w:type="dxa"/>
            <w:gridSpan w:val="5"/>
            <w:noWrap w:val="0"/>
            <w:vAlign w:val="center"/>
          </w:tcPr>
          <w:p>
            <w:pPr>
              <w:autoSpaceDE w:val="0"/>
              <w:autoSpaceDN w:val="0"/>
              <w:adjustRightInd w:val="0"/>
              <w:snapToGrid w:val="0"/>
              <w:spacing w:line="500" w:lineRule="exact"/>
              <w:ind w:left="0" w:firstLine="480" w:firstLineChars="200"/>
              <w:rPr>
                <w:rFonts w:hint="eastAsia"/>
                <w:sz w:val="24"/>
                <w:szCs w:val="24"/>
                <w:lang w:val="en-US" w:eastAsia="zh-CN"/>
              </w:rPr>
            </w:pPr>
            <w:r>
              <w:rPr>
                <w:rFonts w:hint="eastAsia"/>
                <w:sz w:val="24"/>
                <w:szCs w:val="24"/>
                <w:lang w:val="en-US" w:eastAsia="zh-CN"/>
              </w:rPr>
              <w:t>项目地点位于位于晋宁区晋城街道办事处和上蒜镇，</w:t>
            </w:r>
          </w:p>
          <w:p>
            <w:pPr>
              <w:autoSpaceDE w:val="0"/>
              <w:autoSpaceDN w:val="0"/>
              <w:adjustRightInd w:val="0"/>
              <w:snapToGrid w:val="0"/>
              <w:spacing w:line="500" w:lineRule="exact"/>
              <w:ind w:left="0" w:firstLine="480" w:firstLineChars="200"/>
              <w:rPr>
                <w:rFonts w:hint="eastAsia"/>
                <w:sz w:val="24"/>
                <w:szCs w:val="24"/>
                <w:lang w:val="en-US" w:eastAsia="zh-CN"/>
              </w:rPr>
            </w:pPr>
            <w:r>
              <w:rPr>
                <w:rFonts w:hint="eastAsia"/>
                <w:sz w:val="24"/>
                <w:szCs w:val="24"/>
                <w:lang w:val="en-US" w:eastAsia="zh-CN"/>
              </w:rPr>
              <w:t>工程设计灌溉面积7.22万亩，泵站提水主要涉及2个灌片2座泵站，其中鸽子窝灌片：改建后鸽子窝泵站设计总流量1.21m3/s，泵站总装机容量为1800kw。下石美灌片：改建后下石美泵站设计总流量1.68m3/s，泵站总装机容量为1500kw。新建输配水管线共计62.67km，其中新建输水管共计4.34km，主、干、支各级配水管共计58.32km。项目总投资23183.20万元，其中环保投资54.12万元。</w:t>
            </w:r>
          </w:p>
          <w:p>
            <w:pPr>
              <w:autoSpaceDE w:val="0"/>
              <w:autoSpaceDN w:val="0"/>
              <w:adjustRightInd w:val="0"/>
              <w:snapToGrid w:val="0"/>
              <w:spacing w:line="500" w:lineRule="exact"/>
              <w:ind w:left="0" w:firstLine="480" w:firstLineChars="20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1704" w:type="dxa"/>
            <w:noWrap w:val="0"/>
            <w:vAlign w:val="center"/>
          </w:tcPr>
          <w:p>
            <w:pPr>
              <w:jc w:val="center"/>
              <w:rPr>
                <w:b/>
                <w:sz w:val="24"/>
              </w:rPr>
            </w:pPr>
            <w:r>
              <w:rPr>
                <w:b/>
                <w:sz w:val="24"/>
              </w:rPr>
              <w:t>环评科意见</w:t>
            </w:r>
          </w:p>
        </w:tc>
        <w:tc>
          <w:tcPr>
            <w:tcW w:w="6818" w:type="dxa"/>
            <w:gridSpan w:val="5"/>
            <w:noWrap w:val="0"/>
            <w:vAlign w:val="bottom"/>
          </w:tcPr>
          <w:p>
            <w:pPr>
              <w:autoSpaceDE w:val="0"/>
              <w:autoSpaceDN w:val="0"/>
              <w:adjustRightInd w:val="0"/>
              <w:snapToGrid w:val="0"/>
              <w:spacing w:line="500" w:lineRule="exact"/>
              <w:ind w:firstLine="480" w:firstLineChars="200"/>
              <w:rPr>
                <w:sz w:val="24"/>
                <w:szCs w:val="24"/>
              </w:rPr>
            </w:pPr>
            <w:r>
              <w:rPr>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1704" w:type="dxa"/>
            <w:noWrap w:val="0"/>
            <w:vAlign w:val="center"/>
          </w:tcPr>
          <w:p>
            <w:pPr>
              <w:jc w:val="center"/>
              <w:rPr>
                <w:b/>
                <w:sz w:val="24"/>
              </w:rPr>
            </w:pPr>
            <w:r>
              <w:rPr>
                <w:b/>
                <w:sz w:val="24"/>
              </w:rPr>
              <w:t>分管领导</w:t>
            </w:r>
          </w:p>
          <w:p>
            <w:pPr>
              <w:jc w:val="center"/>
              <w:rPr>
                <w:b/>
                <w:sz w:val="24"/>
              </w:rPr>
            </w:pPr>
            <w:r>
              <w:rPr>
                <w:b/>
                <w:sz w:val="24"/>
              </w:rPr>
              <w:t>意    见</w:t>
            </w:r>
          </w:p>
        </w:tc>
        <w:tc>
          <w:tcPr>
            <w:tcW w:w="6818" w:type="dxa"/>
            <w:gridSpan w:val="5"/>
            <w:noWrap w:val="0"/>
            <w:vAlign w:val="bottom"/>
          </w:tcPr>
          <w:p>
            <w:pPr>
              <w:autoSpaceDE w:val="0"/>
              <w:autoSpaceDN w:val="0"/>
              <w:adjustRightInd w:val="0"/>
              <w:snapToGrid w:val="0"/>
              <w:spacing w:line="500" w:lineRule="exact"/>
              <w:ind w:firstLine="480" w:firstLineChars="200"/>
              <w:rPr>
                <w:sz w:val="24"/>
                <w:szCs w:val="24"/>
              </w:rPr>
            </w:pPr>
            <w:r>
              <w:rPr>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1704" w:type="dxa"/>
            <w:noWrap w:val="0"/>
            <w:vAlign w:val="center"/>
          </w:tcPr>
          <w:p>
            <w:pPr>
              <w:jc w:val="center"/>
              <w:rPr>
                <w:b/>
                <w:sz w:val="24"/>
              </w:rPr>
            </w:pPr>
            <w:r>
              <w:rPr>
                <w:rFonts w:hint="eastAsia"/>
                <w:b/>
                <w:sz w:val="24"/>
                <w:lang w:eastAsia="zh-CN"/>
              </w:rPr>
              <w:t>主要</w:t>
            </w:r>
            <w:r>
              <w:rPr>
                <w:b/>
                <w:sz w:val="24"/>
              </w:rPr>
              <w:t>领导</w:t>
            </w:r>
          </w:p>
          <w:p>
            <w:pPr>
              <w:ind w:left="1" w:leftChars="0"/>
              <w:jc w:val="center"/>
              <w:rPr>
                <w:b/>
                <w:sz w:val="24"/>
              </w:rPr>
            </w:pPr>
            <w:r>
              <w:rPr>
                <w:b/>
                <w:sz w:val="24"/>
              </w:rPr>
              <w:t>意    见</w:t>
            </w:r>
          </w:p>
        </w:tc>
        <w:tc>
          <w:tcPr>
            <w:tcW w:w="6818" w:type="dxa"/>
            <w:gridSpan w:val="5"/>
            <w:noWrap w:val="0"/>
            <w:vAlign w:val="bottom"/>
          </w:tcPr>
          <w:p>
            <w:pPr>
              <w:autoSpaceDE w:val="0"/>
              <w:autoSpaceDN w:val="0"/>
              <w:adjustRightInd w:val="0"/>
              <w:snapToGrid w:val="0"/>
              <w:spacing w:line="500" w:lineRule="exact"/>
              <w:ind w:firstLine="480" w:firstLineChars="200"/>
              <w:rPr>
                <w:sz w:val="24"/>
                <w:szCs w:val="24"/>
              </w:rPr>
            </w:pPr>
            <w:r>
              <w:rPr>
                <w:sz w:val="24"/>
                <w:szCs w:val="24"/>
              </w:rPr>
              <w:t xml:space="preserve">                          年   月   日</w:t>
            </w:r>
          </w:p>
        </w:tc>
      </w:tr>
    </w:tbl>
    <w:p>
      <w:pPr>
        <w:ind w:left="0" w:leftChars="0" w:firstLine="0" w:firstLineChars="0"/>
      </w:pPr>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54615"/>
    <w:rsid w:val="092505AB"/>
    <w:rsid w:val="1A626E18"/>
    <w:rsid w:val="30CF5338"/>
    <w:rsid w:val="638B2A88"/>
    <w:rsid w:val="6AAB5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等线" w:hAnsi="等线" w:eastAsia="等线"/>
      <w:szCs w:val="28"/>
    </w:rPr>
  </w:style>
  <w:style w:type="paragraph" w:styleId="4">
    <w:name w:val="Body Text"/>
    <w:basedOn w:val="1"/>
    <w:next w:val="1"/>
    <w:qFormat/>
    <w:uiPriority w:val="0"/>
    <w:pPr>
      <w:spacing w:before="20" w:beforeLines="0" w:after="20" w:afterLines="0"/>
      <w:jc w:val="center"/>
    </w:pPr>
    <w:rPr>
      <w:sz w:val="24"/>
    </w:rPr>
  </w:style>
  <w:style w:type="paragraph" w:styleId="5">
    <w:name w:val="Body Text Indent"/>
    <w:basedOn w:val="1"/>
    <w:qFormat/>
    <w:uiPriority w:val="0"/>
    <w:pPr>
      <w:adjustRightInd w:val="0"/>
      <w:snapToGrid w:val="0"/>
      <w:spacing w:line="300" w:lineRule="auto"/>
      <w:ind w:firstLine="570"/>
    </w:pPr>
    <w:rPr>
      <w:sz w:val="28"/>
    </w:rPr>
  </w:style>
  <w:style w:type="paragraph" w:styleId="6">
    <w:name w:val="Plain Text"/>
    <w:basedOn w:val="1"/>
    <w:qFormat/>
    <w:uiPriority w:val="0"/>
    <w:pPr>
      <w:spacing w:line="240" w:lineRule="auto"/>
    </w:pPr>
    <w:rPr>
      <w:rFonts w:ascii="宋体" w:hAnsi="Courier New" w:cs="Courier New"/>
      <w:szCs w:val="21"/>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9">
    <w:name w:val="Body Text First Indent"/>
    <w:basedOn w:val="4"/>
    <w:next w:val="1"/>
    <w:qFormat/>
    <w:uiPriority w:val="0"/>
    <w:pPr>
      <w:ind w:firstLine="420" w:firstLineChars="100"/>
    </w:pPr>
  </w:style>
  <w:style w:type="paragraph" w:styleId="10">
    <w:name w:val="Body Text First Indent 2"/>
    <w:basedOn w:val="5"/>
    <w:next w:val="9"/>
    <w:qFormat/>
    <w:uiPriority w:val="0"/>
    <w:pPr>
      <w:ind w:firstLine="420" w:firstLineChars="200"/>
    </w:pPr>
  </w:style>
  <w:style w:type="character" w:styleId="13">
    <w:name w:val="Strong"/>
    <w:qFormat/>
    <w:uiPriority w:val="0"/>
    <w:rPr>
      <w:b/>
      <w:bCs/>
    </w:rPr>
  </w:style>
  <w:style w:type="character" w:styleId="14">
    <w:name w:val="page number"/>
    <w:basedOn w:val="12"/>
    <w:qFormat/>
    <w:uiPriority w:val="0"/>
  </w:style>
  <w:style w:type="paragraph" w:customStyle="1" w:styleId="15">
    <w:name w:val="样式 标题 1 + 四号 段前: 0 磅 段后: 0 磅 行距: 1.5 倍行距"/>
    <w:basedOn w:val="3"/>
    <w:next w:val="16"/>
    <w:qFormat/>
    <w:uiPriority w:val="0"/>
    <w:pPr>
      <w:spacing w:line="360" w:lineRule="auto"/>
      <w:jc w:val="center"/>
    </w:pPr>
  </w:style>
  <w:style w:type="paragraph" w:customStyle="1" w:styleId="16">
    <w:name w:val="文本正文"/>
    <w:basedOn w:val="1"/>
    <w:qFormat/>
    <w:uiPriority w:val="0"/>
    <w:pPr>
      <w:snapToGrid w:val="0"/>
      <w:spacing w:line="360" w:lineRule="auto"/>
      <w:ind w:firstLine="510"/>
      <w:jc w:val="left"/>
    </w:pPr>
    <w:rPr>
      <w:spacing w:val="4"/>
      <w:kern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AI风一样</cp:lastModifiedBy>
  <cp:lastPrinted>2022-03-24T02:31:35Z</cp:lastPrinted>
  <dcterms:modified xsi:type="dcterms:W3CDTF">2022-03-24T02:34:27Z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