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288" w:lineRule="auto"/>
        <w:jc w:val="center"/>
        <w:rPr>
          <w:color w:val="000000" w:themeColor="text1"/>
          <w:kern w:val="0"/>
          <w:sz w:val="36"/>
          <w:szCs w:val="36"/>
          <w14:textFill>
            <w14:solidFill>
              <w14:schemeClr w14:val="tx1"/>
            </w14:solidFill>
          </w14:textFill>
        </w:rPr>
      </w:pPr>
      <w:r>
        <w:rPr>
          <w:rFonts w:hint="eastAsia"/>
          <w:color w:val="000000" w:themeColor="text1"/>
          <w:kern w:val="0"/>
          <w:sz w:val="36"/>
          <w:szCs w:val="36"/>
          <w14:textFill>
            <w14:solidFill>
              <w14:schemeClr w14:val="tx1"/>
            </w14:solidFill>
          </w14:textFill>
        </w:rPr>
        <w:drawing>
          <wp:inline distT="0" distB="0" distL="114300" distR="114300">
            <wp:extent cx="5610860" cy="7931785"/>
            <wp:effectExtent l="0" t="0" r="8890" b="12065"/>
            <wp:docPr id="7" name="图片 7"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封面"/>
                    <pic:cNvPicPr>
                      <a:picLocks noChangeAspect="1"/>
                    </pic:cNvPicPr>
                  </pic:nvPicPr>
                  <pic:blipFill>
                    <a:blip r:embed="rId12"/>
                    <a:stretch>
                      <a:fillRect/>
                    </a:stretch>
                  </pic:blipFill>
                  <pic:spPr>
                    <a:xfrm>
                      <a:off x="0" y="0"/>
                      <a:ext cx="5610860" cy="7931785"/>
                    </a:xfrm>
                    <a:prstGeom prst="rect">
                      <a:avLst/>
                    </a:prstGeom>
                  </pic:spPr>
                </pic:pic>
              </a:graphicData>
            </a:graphic>
          </wp:inline>
        </w:drawing>
      </w:r>
      <w:bookmarkStart w:id="47" w:name="_GoBack"/>
      <w:bookmarkEnd w:id="47"/>
      <w:r>
        <w:rPr>
          <w:rFonts w:hint="eastAsia"/>
          <w:color w:val="000000" w:themeColor="text1"/>
          <w:kern w:val="0"/>
          <w:sz w:val="36"/>
          <w:szCs w:val="36"/>
          <w14:textFill>
            <w14:solidFill>
              <w14:schemeClr w14:val="tx1"/>
            </w14:solidFill>
          </w14:textFill>
        </w:rPr>
        <w:drawing>
          <wp:inline distT="0" distB="0" distL="114300" distR="114300">
            <wp:extent cx="5610225" cy="7924165"/>
            <wp:effectExtent l="0" t="0" r="9525" b="635"/>
            <wp:docPr id="15" name="图片 15" descr="Scan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Scan_页面_1"/>
                    <pic:cNvPicPr>
                      <a:picLocks noChangeAspect="1"/>
                    </pic:cNvPicPr>
                  </pic:nvPicPr>
                  <pic:blipFill>
                    <a:blip r:embed="rId13"/>
                    <a:stretch>
                      <a:fillRect/>
                    </a:stretch>
                  </pic:blipFill>
                  <pic:spPr>
                    <a:xfrm>
                      <a:off x="0" y="0"/>
                      <a:ext cx="5610225" cy="7924165"/>
                    </a:xfrm>
                    <a:prstGeom prst="rect">
                      <a:avLst/>
                    </a:prstGeom>
                  </pic:spPr>
                </pic:pic>
              </a:graphicData>
            </a:graphic>
          </wp:inline>
        </w:drawing>
      </w:r>
    </w:p>
    <w:p>
      <w:pPr>
        <w:adjustRightInd w:val="0"/>
        <w:snapToGrid w:val="0"/>
        <w:spacing w:line="288" w:lineRule="auto"/>
        <w:jc w:val="center"/>
        <w:rPr>
          <w:color w:val="000000" w:themeColor="text1"/>
          <w:kern w:val="0"/>
          <w:sz w:val="36"/>
          <w:szCs w:val="36"/>
          <w14:textFill>
            <w14:solidFill>
              <w14:schemeClr w14:val="tx1"/>
            </w14:solidFill>
          </w14:textFill>
        </w:rPr>
      </w:pPr>
    </w:p>
    <w:p>
      <w:pPr>
        <w:adjustRightInd w:val="0"/>
        <w:snapToGrid w:val="0"/>
        <w:spacing w:line="288" w:lineRule="auto"/>
        <w:jc w:val="center"/>
        <w:rPr>
          <w:b/>
          <w:bCs/>
          <w:color w:val="000000" w:themeColor="text1"/>
          <w:kern w:val="0"/>
          <w:sz w:val="32"/>
          <w:szCs w:val="32"/>
          <w14:textFill>
            <w14:solidFill>
              <w14:schemeClr w14:val="tx1"/>
            </w14:solidFill>
          </w14:textFill>
        </w:rPr>
      </w:pPr>
      <w:r>
        <w:rPr>
          <w:b/>
          <w:bCs/>
          <w:color w:val="000000" w:themeColor="text1"/>
          <w:kern w:val="0"/>
          <w:sz w:val="32"/>
          <w:szCs w:val="32"/>
          <w14:textFill>
            <w14:solidFill>
              <w14:schemeClr w14:val="tx1"/>
            </w14:solidFill>
          </w14:textFill>
        </w:rPr>
        <w:t>现场照片</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0"/>
        <w:gridCol w:w="4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75" w:type="dxa"/>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1844040</wp:posOffset>
                      </wp:positionH>
                      <wp:positionV relativeFrom="paragraph">
                        <wp:posOffset>1834515</wp:posOffset>
                      </wp:positionV>
                      <wp:extent cx="914400" cy="248920"/>
                      <wp:effectExtent l="4445" t="5080" r="14605" b="12700"/>
                      <wp:wrapNone/>
                      <wp:docPr id="4" name="文本框 14"/>
                      <wp:cNvGraphicFramePr/>
                      <a:graphic xmlns:a="http://schemas.openxmlformats.org/drawingml/2006/main">
                        <a:graphicData uri="http://schemas.microsoft.com/office/word/2010/wordprocessingShape">
                          <wps:wsp>
                            <wps:cNvSpPr txBox="1"/>
                            <wps:spPr>
                              <a:xfrm>
                                <a:off x="0" y="0"/>
                                <a:ext cx="914400" cy="2489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2021.10.25</w:t>
                                  </w:r>
                                </w:p>
                              </w:txbxContent>
                            </wps:txbx>
                            <wps:bodyPr upright="1"/>
                          </wps:wsp>
                        </a:graphicData>
                      </a:graphic>
                    </wp:anchor>
                  </w:drawing>
                </mc:Choice>
                <mc:Fallback>
                  <w:pict>
                    <v:shape id="文本框 14" o:spid="_x0000_s1026" o:spt="202" type="#_x0000_t202" style="position:absolute;left:0pt;margin-left:145.2pt;margin-top:144.45pt;height:19.6pt;width:72pt;z-index:251660288;mso-width-relative:page;mso-height-relative:page;" fillcolor="#FFFFFF" filled="t" stroked="t" coordsize="21600,21600" o:gfxdata="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MHqJdkAAAALAQAADwAAAAAAAAABACAA&#10;AAAiAAAAZHJzL2Rvd25yZXYueG1sUEsBAhQAFAAAAAgAh07iQHA9VJYMAgAANgQAAA4AAAAAAAAA&#10;AQAgAAAAKAEAAGRycy9lMm9Eb2MueG1sUEsFBgAAAAAGAAYAWQEAAKYFAAAAAA==&#10;">
                      <v:fill on="t" focussize="0,0"/>
                      <v:stroke color="#000000" joinstyle="miter"/>
                      <v:imagedata o:title=""/>
                      <o:lock v:ext="edit" aspectratio="f"/>
                      <v:textbox>
                        <w:txbxContent>
                          <w:p>
                            <w:r>
                              <w:rPr>
                                <w:rFonts w:hint="eastAsia"/>
                              </w:rPr>
                              <w:t>2021.10.25</w:t>
                            </w:r>
                          </w:p>
                        </w:txbxContent>
                      </v:textbox>
                    </v:shape>
                  </w:pict>
                </mc:Fallback>
              </mc:AlternateContent>
            </w:r>
            <w:r>
              <w:rPr>
                <w:color w:val="000000" w:themeColor="text1"/>
                <w:kern w:val="0"/>
                <w:sz w:val="21"/>
                <w14:textFill>
                  <w14:solidFill>
                    <w14:schemeClr w14:val="tx1"/>
                  </w14:solidFill>
                </w14:textFill>
              </w:rPr>
              <w:drawing>
                <wp:inline distT="0" distB="0" distL="114300" distR="114300">
                  <wp:extent cx="2765425" cy="2073910"/>
                  <wp:effectExtent l="0" t="0" r="15875" b="2540"/>
                  <wp:docPr id="8" name="图片 8" descr="C:/Users/Administrator/AppData/Local/Temp/picturecompress_20211019105434/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Local/Temp/picturecompress_20211019105434/output_1.pngoutput_1"/>
                          <pic:cNvPicPr>
                            <a:picLocks noChangeAspect="1"/>
                          </pic:cNvPicPr>
                        </pic:nvPicPr>
                        <pic:blipFill>
                          <a:blip r:embed="rId14"/>
                          <a:stretch>
                            <a:fillRect/>
                          </a:stretch>
                        </pic:blipFill>
                        <pic:spPr>
                          <a:xfrm>
                            <a:off x="0" y="0"/>
                            <a:ext cx="2765425" cy="2073910"/>
                          </a:xfrm>
                          <a:prstGeom prst="rect">
                            <a:avLst/>
                          </a:prstGeom>
                        </pic:spPr>
                      </pic:pic>
                    </a:graphicData>
                  </a:graphic>
                </wp:inline>
              </w:drawing>
            </w:r>
            <w:r>
              <w:rPr>
                <w:color w:val="000000" w:themeColor="text1"/>
                <w:kern w:val="0"/>
                <w:sz w:val="21"/>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1759585</wp:posOffset>
                      </wp:positionH>
                      <wp:positionV relativeFrom="paragraph">
                        <wp:posOffset>2059305</wp:posOffset>
                      </wp:positionV>
                      <wp:extent cx="914400" cy="311785"/>
                      <wp:effectExtent l="0" t="0" r="0" b="0"/>
                      <wp:wrapNone/>
                      <wp:docPr id="9" name="文本框 9"/>
                      <wp:cNvGraphicFramePr/>
                      <a:graphic xmlns:a="http://schemas.openxmlformats.org/drawingml/2006/main">
                        <a:graphicData uri="http://schemas.microsoft.com/office/word/2010/wordprocessingShape">
                          <wps:wsp>
                            <wps:cNvSpPr txBox="1"/>
                            <wps:spPr>
                              <a:xfrm>
                                <a:off x="0" y="0"/>
                                <a:ext cx="914400" cy="311785"/>
                              </a:xfrm>
                              <a:prstGeom prst="rect">
                                <a:avLst/>
                              </a:prstGeom>
                              <a:noFill/>
                              <a:ln>
                                <a:noFill/>
                              </a:ln>
                              <a:effectLst/>
                            </wps:spPr>
                            <wps:txbx>
                              <w:txbxContent>
                                <w:p/>
                              </w:txbxContent>
                            </wps:txbx>
                            <wps:bodyPr upright="1"/>
                          </wps:wsp>
                        </a:graphicData>
                      </a:graphic>
                    </wp:anchor>
                  </w:drawing>
                </mc:Choice>
                <mc:Fallback>
                  <w:pict>
                    <v:shape id="_x0000_s1026" o:spid="_x0000_s1026" o:spt="202" type="#_x0000_t202" style="position:absolute;left:0pt;margin-left:138.55pt;margin-top:162.15pt;height:24.55pt;width:72pt;z-index:251659264;mso-width-relative:page;mso-height-relative:page;" filled="f" stroked="f" coordsize="21600,21600" o:gfxdata="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OBp&#10;edcAAAALAQAADwAAAAAAAAABACAAAAAiAAAAZHJzL2Rvd25yZXYueG1sUEsBAhQAFAAAAAgAh07i&#10;QLSK64SxAQAAWwMAAA4AAAAAAAAAAQAgAAAAJgEAAGRycy9lMm9Eb2MueG1sUEsFBgAAAAAGAAYA&#10;WQEAAEkFAAAAAA==&#10;">
                      <v:fill on="f" focussize="0,0"/>
                      <v:stroke on="f"/>
                      <v:imagedata o:title=""/>
                      <o:lock v:ext="edit" aspectratio="f"/>
                      <v:textbox>
                        <w:txbxContent>
                          <w:p/>
                        </w:txbxContent>
                      </v:textbox>
                    </v:shape>
                  </w:pict>
                </mc:Fallback>
              </mc:AlternateContent>
            </w:r>
          </w:p>
        </w:tc>
        <w:tc>
          <w:tcPr>
            <w:tcW w:w="4485" w:type="dxa"/>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1807845</wp:posOffset>
                      </wp:positionH>
                      <wp:positionV relativeFrom="paragraph">
                        <wp:posOffset>1776095</wp:posOffset>
                      </wp:positionV>
                      <wp:extent cx="914400" cy="248920"/>
                      <wp:effectExtent l="4445" t="5080" r="14605" b="12700"/>
                      <wp:wrapNone/>
                      <wp:docPr id="5" name="文本框 15"/>
                      <wp:cNvGraphicFramePr/>
                      <a:graphic xmlns:a="http://schemas.openxmlformats.org/drawingml/2006/main">
                        <a:graphicData uri="http://schemas.microsoft.com/office/word/2010/wordprocessingShape">
                          <wps:wsp>
                            <wps:cNvSpPr txBox="1"/>
                            <wps:spPr>
                              <a:xfrm>
                                <a:off x="0" y="0"/>
                                <a:ext cx="914400" cy="2489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2021.10.25</w:t>
                                  </w:r>
                                </w:p>
                              </w:txbxContent>
                            </wps:txbx>
                            <wps:bodyPr upright="1"/>
                          </wps:wsp>
                        </a:graphicData>
                      </a:graphic>
                    </wp:anchor>
                  </w:drawing>
                </mc:Choice>
                <mc:Fallback>
                  <w:pict>
                    <v:shape id="文本框 15" o:spid="_x0000_s1026" o:spt="202" type="#_x0000_t202" style="position:absolute;left:0pt;margin-left:142.35pt;margin-top:139.85pt;height:19.6pt;width:72pt;z-index:251661312;mso-width-relative:page;mso-height-relative:page;" fillcolor="#FFFFFF" filled="t" stroked="t" coordsize="21600,21600" o:gfxdata="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ZzvendkAAAALAQAADwAAAAAAAAABACAA&#10;AAAiAAAAZHJzL2Rvd25yZXYueG1sUEsBAhQAFAAAAAgAh07iQD6hzGAMAgAANgQAAA4AAAAAAAAA&#10;AQAgAAAAKAEAAGRycy9lMm9Eb2MueG1sUEsFBgAAAAAGAAYAWQEAAKYFAAAAAA==&#10;">
                      <v:fill on="t" focussize="0,0"/>
                      <v:stroke color="#000000" joinstyle="miter"/>
                      <v:imagedata o:title=""/>
                      <o:lock v:ext="edit" aspectratio="f"/>
                      <v:textbox>
                        <w:txbxContent>
                          <w:p>
                            <w:r>
                              <w:rPr>
                                <w:rFonts w:hint="eastAsia"/>
                              </w:rPr>
                              <w:t>2021.10.25</w:t>
                            </w:r>
                          </w:p>
                        </w:txbxContent>
                      </v:textbox>
                    </v:shape>
                  </w:pict>
                </mc:Fallback>
              </mc:AlternateContent>
            </w:r>
            <w:r>
              <w:rPr>
                <w:rFonts w:hint="eastAsia"/>
                <w:color w:val="000000" w:themeColor="text1"/>
                <w:kern w:val="0"/>
                <w:sz w:val="21"/>
                <w:szCs w:val="21"/>
                <w14:textFill>
                  <w14:solidFill>
                    <w14:schemeClr w14:val="tx1"/>
                  </w14:solidFill>
                </w14:textFill>
              </w:rPr>
              <w:drawing>
                <wp:inline distT="0" distB="0" distL="114300" distR="114300">
                  <wp:extent cx="2731770" cy="2026285"/>
                  <wp:effectExtent l="0" t="0" r="11430" b="12065"/>
                  <wp:docPr id="1" name="图片 1" descr="1#、2#厂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2#厂房"/>
                          <pic:cNvPicPr>
                            <a:picLocks noChangeAspect="1"/>
                          </pic:cNvPicPr>
                        </pic:nvPicPr>
                        <pic:blipFill>
                          <a:blip r:embed="rId15"/>
                          <a:srcRect l="17559" t="4568" r="22658"/>
                          <a:stretch>
                            <a:fillRect/>
                          </a:stretch>
                        </pic:blipFill>
                        <pic:spPr>
                          <a:xfrm>
                            <a:off x="0" y="0"/>
                            <a:ext cx="2731770" cy="20262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75" w:type="dxa"/>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厂区大门入口</w:t>
            </w:r>
          </w:p>
        </w:tc>
        <w:tc>
          <w:tcPr>
            <w:tcW w:w="4485" w:type="dxa"/>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1#、2#厂房现状（停用）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75" w:type="dxa"/>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1783715</wp:posOffset>
                      </wp:positionH>
                      <wp:positionV relativeFrom="paragraph">
                        <wp:posOffset>1758950</wp:posOffset>
                      </wp:positionV>
                      <wp:extent cx="914400" cy="248920"/>
                      <wp:effectExtent l="4445" t="5080" r="14605" b="12700"/>
                      <wp:wrapNone/>
                      <wp:docPr id="6" name="文本框 16"/>
                      <wp:cNvGraphicFramePr/>
                      <a:graphic xmlns:a="http://schemas.openxmlformats.org/drawingml/2006/main">
                        <a:graphicData uri="http://schemas.microsoft.com/office/word/2010/wordprocessingShape">
                          <wps:wsp>
                            <wps:cNvSpPr txBox="1"/>
                            <wps:spPr>
                              <a:xfrm>
                                <a:off x="0" y="0"/>
                                <a:ext cx="914400" cy="2489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2021.10.25</w:t>
                                  </w:r>
                                </w:p>
                              </w:txbxContent>
                            </wps:txbx>
                            <wps:bodyPr upright="1"/>
                          </wps:wsp>
                        </a:graphicData>
                      </a:graphic>
                    </wp:anchor>
                  </w:drawing>
                </mc:Choice>
                <mc:Fallback>
                  <w:pict>
                    <v:shape id="文本框 16" o:spid="_x0000_s1026" o:spt="202" type="#_x0000_t202" style="position:absolute;left:0pt;margin-left:140.45pt;margin-top:138.5pt;height:19.6pt;width:72pt;z-index:251662336;mso-width-relative:page;mso-height-relative:page;" fillcolor="#FFFFFF" filled="t" stroked="t" coordsize="21600,21600" o:gfxdata="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anQwq2gAAAAsBAAAPAAAAAAAAAAEA&#10;IAAAACIAAABkcnMvZG93bnJldi54bWxQSwECFAAUAAAACACHTuJArQMUoA0CAAA2BAAADgAAAAAA&#10;AAABACAAAAApAQAAZHJzL2Uyb0RvYy54bWxQSwUGAAAAAAYABgBZAQAAqAUAAAAA&#10;">
                      <v:fill on="t" focussize="0,0"/>
                      <v:stroke color="#000000" joinstyle="miter"/>
                      <v:imagedata o:title=""/>
                      <o:lock v:ext="edit" aspectratio="f"/>
                      <v:textbox>
                        <w:txbxContent>
                          <w:p>
                            <w:r>
                              <w:rPr>
                                <w:rFonts w:hint="eastAsia"/>
                              </w:rPr>
                              <w:t>2021.10.25</w:t>
                            </w:r>
                          </w:p>
                        </w:txbxContent>
                      </v:textbox>
                    </v:shape>
                  </w:pict>
                </mc:Fallback>
              </mc:AlternateContent>
            </w:r>
            <w:r>
              <w:rPr>
                <w:rFonts w:hint="eastAsia"/>
                <w:color w:val="000000" w:themeColor="text1"/>
                <w:kern w:val="0"/>
                <w:sz w:val="21"/>
                <w:szCs w:val="21"/>
                <w14:textFill>
                  <w14:solidFill>
                    <w14:schemeClr w14:val="tx1"/>
                  </w14:solidFill>
                </w14:textFill>
              </w:rPr>
              <w:drawing>
                <wp:inline distT="0" distB="0" distL="114300" distR="114300">
                  <wp:extent cx="2677160" cy="2007870"/>
                  <wp:effectExtent l="0" t="0" r="8890" b="11430"/>
                  <wp:docPr id="2" name="图片 2" descr="3#厂房现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厂房现状"/>
                          <pic:cNvPicPr>
                            <a:picLocks noChangeAspect="1"/>
                          </pic:cNvPicPr>
                        </pic:nvPicPr>
                        <pic:blipFill>
                          <a:blip r:embed="rId16"/>
                          <a:stretch>
                            <a:fillRect/>
                          </a:stretch>
                        </pic:blipFill>
                        <pic:spPr>
                          <a:xfrm>
                            <a:off x="0" y="0"/>
                            <a:ext cx="2677160" cy="2007870"/>
                          </a:xfrm>
                          <a:prstGeom prst="rect">
                            <a:avLst/>
                          </a:prstGeom>
                        </pic:spPr>
                      </pic:pic>
                    </a:graphicData>
                  </a:graphic>
                </wp:inline>
              </w:drawing>
            </w:r>
          </w:p>
        </w:tc>
        <w:tc>
          <w:tcPr>
            <w:tcW w:w="4485" w:type="dxa"/>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1764665</wp:posOffset>
                      </wp:positionH>
                      <wp:positionV relativeFrom="paragraph">
                        <wp:posOffset>1750060</wp:posOffset>
                      </wp:positionV>
                      <wp:extent cx="914400" cy="248920"/>
                      <wp:effectExtent l="4445" t="5080" r="14605" b="12700"/>
                      <wp:wrapNone/>
                      <wp:docPr id="10" name="文本框 17"/>
                      <wp:cNvGraphicFramePr/>
                      <a:graphic xmlns:a="http://schemas.openxmlformats.org/drawingml/2006/main">
                        <a:graphicData uri="http://schemas.microsoft.com/office/word/2010/wordprocessingShape">
                          <wps:wsp>
                            <wps:cNvSpPr txBox="1"/>
                            <wps:spPr>
                              <a:xfrm>
                                <a:off x="0" y="0"/>
                                <a:ext cx="914400" cy="2489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2021.10.25</w:t>
                                  </w:r>
                                </w:p>
                              </w:txbxContent>
                            </wps:txbx>
                            <wps:bodyPr upright="1"/>
                          </wps:wsp>
                        </a:graphicData>
                      </a:graphic>
                    </wp:anchor>
                  </w:drawing>
                </mc:Choice>
                <mc:Fallback>
                  <w:pict>
                    <v:shape id="文本框 17" o:spid="_x0000_s1026" o:spt="202" type="#_x0000_t202" style="position:absolute;left:0pt;margin-left:138.95pt;margin-top:137.8pt;height:19.6pt;width:72pt;z-index:251663360;mso-width-relative:page;mso-height-relative:page;" fillcolor="#FFFFFF" filled="t" stroked="t" coordsize="21600,21600" o:gfxdata="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0Y6Z7aAAAACwEAAA8AAAAAAAAAAQAg&#10;AAAAIgAAAGRycy9kb3ducmV2LnhtbFBLAQIUABQAAAAIAIdO4kBk9NDEDAIAADcEAAAOAAAAAAAA&#10;AAEAIAAAACkBAABkcnMvZTJvRG9jLnhtbFBLBQYAAAAABgAGAFkBAACnBQAAAAA=&#10;">
                      <v:fill on="t" focussize="0,0"/>
                      <v:stroke color="#000000" joinstyle="miter"/>
                      <v:imagedata o:title=""/>
                      <o:lock v:ext="edit" aspectratio="f"/>
                      <v:textbox>
                        <w:txbxContent>
                          <w:p>
                            <w:r>
                              <w:rPr>
                                <w:rFonts w:hint="eastAsia"/>
                              </w:rPr>
                              <w:t>2021.10.25</w:t>
                            </w:r>
                          </w:p>
                        </w:txbxContent>
                      </v:textbox>
                    </v:shape>
                  </w:pict>
                </mc:Fallback>
              </mc:AlternateContent>
            </w:r>
            <w:r>
              <w:rPr>
                <w:rFonts w:hint="eastAsia"/>
                <w:color w:val="000000" w:themeColor="text1"/>
                <w:kern w:val="0"/>
                <w:sz w:val="21"/>
                <w:szCs w:val="21"/>
                <w14:textFill>
                  <w14:solidFill>
                    <w14:schemeClr w14:val="tx1"/>
                  </w14:solidFill>
                </w14:textFill>
              </w:rPr>
              <w:drawing>
                <wp:inline distT="0" distB="0" distL="114300" distR="114300">
                  <wp:extent cx="2633345" cy="2011680"/>
                  <wp:effectExtent l="0" t="0" r="14605" b="7620"/>
                  <wp:docPr id="3" name="图片 3" descr="4#厂房现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厂房现状"/>
                          <pic:cNvPicPr>
                            <a:picLocks noChangeAspect="1"/>
                          </pic:cNvPicPr>
                        </pic:nvPicPr>
                        <pic:blipFill>
                          <a:blip r:embed="rId17"/>
                          <a:srcRect l="13626"/>
                          <a:stretch>
                            <a:fillRect/>
                          </a:stretch>
                        </pic:blipFill>
                        <pic:spPr>
                          <a:xfrm>
                            <a:off x="0" y="0"/>
                            <a:ext cx="2633345" cy="20116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75" w:type="dxa"/>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3#厂房现状</w:t>
            </w:r>
          </w:p>
        </w:tc>
        <w:tc>
          <w:tcPr>
            <w:tcW w:w="4485" w:type="dxa"/>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4#厂房现状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75" w:type="dxa"/>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1844040</wp:posOffset>
                      </wp:positionH>
                      <wp:positionV relativeFrom="paragraph">
                        <wp:posOffset>1830705</wp:posOffset>
                      </wp:positionV>
                      <wp:extent cx="914400" cy="248920"/>
                      <wp:effectExtent l="4445" t="5080" r="14605" b="12700"/>
                      <wp:wrapNone/>
                      <wp:docPr id="11" name="文本框 18"/>
                      <wp:cNvGraphicFramePr/>
                      <a:graphic xmlns:a="http://schemas.openxmlformats.org/drawingml/2006/main">
                        <a:graphicData uri="http://schemas.microsoft.com/office/word/2010/wordprocessingShape">
                          <wps:wsp>
                            <wps:cNvSpPr txBox="1"/>
                            <wps:spPr>
                              <a:xfrm>
                                <a:off x="0" y="0"/>
                                <a:ext cx="914400" cy="2489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2021.10.25</w:t>
                                  </w:r>
                                </w:p>
                              </w:txbxContent>
                            </wps:txbx>
                            <wps:bodyPr upright="1"/>
                          </wps:wsp>
                        </a:graphicData>
                      </a:graphic>
                    </wp:anchor>
                  </w:drawing>
                </mc:Choice>
                <mc:Fallback>
                  <w:pict>
                    <v:shape id="文本框 18" o:spid="_x0000_s1026" o:spt="202" type="#_x0000_t202" style="position:absolute;left:0pt;margin-left:145.2pt;margin-top:144.15pt;height:19.6pt;width:72pt;z-index:251664384;mso-width-relative:page;mso-height-relative:page;" fillcolor="#FFFFFF" filled="t" stroked="t" coordsize="21600,21600" o:gfxdata="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o5KrbaAAAACwEAAA8AAAAAAAAAAQAg&#10;AAAAIgAAAGRycy9kb3ducmV2LnhtbFBLAQIUABQAAAAIAIdO4kAaFLW8DAIAADcEAAAOAAAAAAAA&#10;AAEAIAAAACkBAABkcnMvZTJvRG9jLnhtbFBLBQYAAAAABgAGAFkBAACnBQAAAAA=&#10;">
                      <v:fill on="t" focussize="0,0"/>
                      <v:stroke color="#000000" joinstyle="miter"/>
                      <v:imagedata o:title=""/>
                      <o:lock v:ext="edit" aspectratio="f"/>
                      <v:textbox>
                        <w:txbxContent>
                          <w:p>
                            <w:r>
                              <w:rPr>
                                <w:rFonts w:hint="eastAsia"/>
                              </w:rPr>
                              <w:t>2021.10.25</w:t>
                            </w:r>
                          </w:p>
                        </w:txbxContent>
                      </v:textbox>
                    </v:shape>
                  </w:pict>
                </mc:Fallback>
              </mc:AlternateContent>
            </w:r>
            <w:r>
              <w:rPr>
                <w:rFonts w:hint="eastAsia"/>
                <w:color w:val="000000" w:themeColor="text1"/>
                <w:kern w:val="0"/>
                <w:sz w:val="21"/>
                <w:szCs w:val="21"/>
                <w14:textFill>
                  <w14:solidFill>
                    <w14:schemeClr w14:val="tx1"/>
                  </w14:solidFill>
                </w14:textFill>
              </w:rPr>
              <w:drawing>
                <wp:inline distT="0" distB="0" distL="114300" distR="114300">
                  <wp:extent cx="2765425" cy="2073910"/>
                  <wp:effectExtent l="0" t="0" r="15875" b="2540"/>
                  <wp:docPr id="14" name="图片 14" descr="C:/Users/Administrator/AppData/Local/Temp/picturecompress_20211019110330/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AppData/Local/Temp/picturecompress_20211019110330/output_1.pngoutput_1"/>
                          <pic:cNvPicPr>
                            <a:picLocks noChangeAspect="1"/>
                          </pic:cNvPicPr>
                        </pic:nvPicPr>
                        <pic:blipFill>
                          <a:blip r:embed="rId18"/>
                          <a:stretch>
                            <a:fillRect/>
                          </a:stretch>
                        </pic:blipFill>
                        <pic:spPr>
                          <a:xfrm>
                            <a:off x="0" y="0"/>
                            <a:ext cx="2765425" cy="2073910"/>
                          </a:xfrm>
                          <a:prstGeom prst="rect">
                            <a:avLst/>
                          </a:prstGeom>
                        </pic:spPr>
                      </pic:pic>
                    </a:graphicData>
                  </a:graphic>
                </wp:inline>
              </w:drawing>
            </w:r>
          </w:p>
        </w:tc>
        <w:tc>
          <w:tcPr>
            <w:tcW w:w="4485" w:type="dxa"/>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1842135</wp:posOffset>
                      </wp:positionH>
                      <wp:positionV relativeFrom="paragraph">
                        <wp:posOffset>1832610</wp:posOffset>
                      </wp:positionV>
                      <wp:extent cx="914400" cy="248920"/>
                      <wp:effectExtent l="4445" t="5080" r="14605" b="12700"/>
                      <wp:wrapNone/>
                      <wp:docPr id="12" name="文本框 19"/>
                      <wp:cNvGraphicFramePr/>
                      <a:graphic xmlns:a="http://schemas.openxmlformats.org/drawingml/2006/main">
                        <a:graphicData uri="http://schemas.microsoft.com/office/word/2010/wordprocessingShape">
                          <wps:wsp>
                            <wps:cNvSpPr txBox="1"/>
                            <wps:spPr>
                              <a:xfrm>
                                <a:off x="0" y="0"/>
                                <a:ext cx="914400" cy="24892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2021.10.25</w:t>
                                  </w:r>
                                </w:p>
                              </w:txbxContent>
                            </wps:txbx>
                            <wps:bodyPr upright="1"/>
                          </wps:wsp>
                        </a:graphicData>
                      </a:graphic>
                    </wp:anchor>
                  </w:drawing>
                </mc:Choice>
                <mc:Fallback>
                  <w:pict>
                    <v:shape id="文本框 19" o:spid="_x0000_s1026" o:spt="202" type="#_x0000_t202" style="position:absolute;left:0pt;margin-left:145.05pt;margin-top:144.3pt;height:19.6pt;width:72pt;z-index:251665408;mso-width-relative:page;mso-height-relative:page;" fillcolor="#FFFFFF" filled="t" stroked="t" coordsize="21600,21600" o:gfxdata="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ghJeM9kAAAALAQAADwAAAAAAAAABACAA&#10;AAAiAAAAZHJzL2Rvd25yZXYueG1sUEsBAhQAFAAAAAgAh07iQFmkkkgMAgAANwQAAA4AAAAAAAAA&#10;AQAgAAAAKAEAAGRycy9lMm9Eb2MueG1sUEsFBgAAAAAGAAYAWQEAAKYFAAAAAA==&#10;">
                      <v:fill on="t" focussize="0,0"/>
                      <v:stroke color="#000000" joinstyle="miter"/>
                      <v:imagedata o:title=""/>
                      <o:lock v:ext="edit" aspectratio="f"/>
                      <v:textbox>
                        <w:txbxContent>
                          <w:p>
                            <w:r>
                              <w:rPr>
                                <w:rFonts w:hint="eastAsia"/>
                              </w:rPr>
                              <w:t>2021.10.25</w:t>
                            </w:r>
                          </w:p>
                        </w:txbxContent>
                      </v:textbox>
                    </v:shape>
                  </w:pict>
                </mc:Fallback>
              </mc:AlternateContent>
            </w:r>
            <w:r>
              <w:rPr>
                <w:rFonts w:hint="eastAsia"/>
                <w:color w:val="000000" w:themeColor="text1"/>
                <w:kern w:val="0"/>
                <w:sz w:val="21"/>
                <w:szCs w:val="21"/>
                <w14:textFill>
                  <w14:solidFill>
                    <w14:schemeClr w14:val="tx1"/>
                  </w14:solidFill>
                </w14:textFill>
              </w:rPr>
              <w:drawing>
                <wp:inline distT="0" distB="0" distL="114300" distR="114300">
                  <wp:extent cx="2765425" cy="2073910"/>
                  <wp:effectExtent l="0" t="0" r="15875" b="2540"/>
                  <wp:docPr id="16" name="图片 16" descr="化粪池及污水排放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化粪池及污水排放口"/>
                          <pic:cNvPicPr>
                            <a:picLocks noChangeAspect="1"/>
                          </pic:cNvPicPr>
                        </pic:nvPicPr>
                        <pic:blipFill>
                          <a:blip r:embed="rId19"/>
                          <a:stretch>
                            <a:fillRect/>
                          </a:stretch>
                        </pic:blipFill>
                        <pic:spPr>
                          <a:xfrm>
                            <a:off x="0" y="0"/>
                            <a:ext cx="2765425" cy="20739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75" w:type="dxa"/>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办公楼</w:t>
            </w:r>
          </w:p>
        </w:tc>
        <w:tc>
          <w:tcPr>
            <w:tcW w:w="4485" w:type="dxa"/>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污水排放口、化粪池现状</w:t>
            </w:r>
          </w:p>
        </w:tc>
      </w:tr>
    </w:tbl>
    <w:p>
      <w:pPr>
        <w:adjustRightInd w:val="0"/>
        <w:snapToGrid w:val="0"/>
        <w:spacing w:line="288" w:lineRule="auto"/>
        <w:rPr>
          <w:b/>
          <w:bCs/>
          <w:color w:val="000000" w:themeColor="text1"/>
          <w:kern w:val="0"/>
          <w:sz w:val="32"/>
          <w:szCs w:val="32"/>
          <w14:textFill>
            <w14:solidFill>
              <w14:schemeClr w14:val="tx1"/>
            </w14:solidFill>
          </w14:textFill>
        </w:rPr>
        <w:sectPr>
          <w:footerReference r:id="rId5" w:type="default"/>
          <w:pgSz w:w="11906" w:h="16838"/>
          <w:pgMar w:top="1701" w:right="1531" w:bottom="1701" w:left="1531" w:header="851" w:footer="1077" w:gutter="0"/>
          <w:pgNumType w:start="1"/>
          <w:cols w:space="720" w:num="1"/>
          <w:docGrid w:linePitch="312" w:charSpace="0"/>
        </w:sectPr>
      </w:pPr>
    </w:p>
    <w:p>
      <w:pPr>
        <w:pStyle w:val="11"/>
        <w:rPr>
          <w:color w:val="000000" w:themeColor="text1"/>
          <w14:textFill>
            <w14:solidFill>
              <w14:schemeClr w14:val="tx1"/>
            </w14:solidFill>
          </w14:textFill>
        </w:rPr>
      </w:pPr>
    </w:p>
    <w:p>
      <w:pPr>
        <w:spacing w:line="480" w:lineRule="auto"/>
        <w:jc w:val="center"/>
        <w:rPr>
          <w:b/>
          <w:bCs/>
          <w:color w:val="000000" w:themeColor="text1"/>
          <w:kern w:val="0"/>
          <w:sz w:val="32"/>
          <w:szCs w:val="32"/>
          <w14:textFill>
            <w14:solidFill>
              <w14:schemeClr w14:val="tx1"/>
            </w14:solidFill>
          </w14:textFill>
        </w:rPr>
      </w:pPr>
      <w:r>
        <w:rPr>
          <w:b/>
          <w:bCs/>
          <w:color w:val="000000" w:themeColor="text1"/>
          <w:kern w:val="0"/>
          <w:sz w:val="32"/>
          <w:szCs w:val="32"/>
          <w14:textFill>
            <w14:solidFill>
              <w14:schemeClr w14:val="tx1"/>
            </w14:solidFill>
          </w14:textFill>
        </w:rPr>
        <w:t>目  录</w:t>
      </w:r>
    </w:p>
    <w:p>
      <w:pPr>
        <w:pStyle w:val="63"/>
        <w:tabs>
          <w:tab w:val="right" w:leader="dot" w:pos="8844"/>
        </w:tabs>
        <w:spacing w:line="480" w:lineRule="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fldChar w:fldCharType="begin"/>
      </w:r>
      <w:r>
        <w:rPr>
          <w:color w:val="000000" w:themeColor="text1"/>
          <w:sz w:val="24"/>
          <w:szCs w:val="24"/>
          <w14:textFill>
            <w14:solidFill>
              <w14:schemeClr w14:val="tx1"/>
            </w14:solidFill>
          </w14:textFill>
        </w:rPr>
        <w:instrText xml:space="preserve">TOC \o "1-1" \h \u </w:instrText>
      </w:r>
      <w:r>
        <w:rPr>
          <w:color w:val="000000" w:themeColor="text1"/>
          <w:sz w:val="24"/>
          <w:szCs w:val="24"/>
          <w14:textFill>
            <w14:solidFill>
              <w14:schemeClr w14:val="tx1"/>
            </w14:solidFill>
          </w14:textFill>
        </w:rPr>
        <w:fldChar w:fldCharType="separate"/>
      </w:r>
    </w:p>
    <w:p>
      <w:pPr>
        <w:pStyle w:val="63"/>
        <w:tabs>
          <w:tab w:val="right" w:leader="dot" w:pos="8844"/>
        </w:tabs>
        <w:adjustRightInd w:val="0"/>
        <w:snapToGrid w:val="0"/>
        <w:spacing w:line="360" w:lineRule="auto"/>
        <w:rPr>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"_Toc29500" </w:instrText>
      </w:r>
      <w:r>
        <w:rPr>
          <w:color w:val="000000" w:themeColor="text1"/>
          <w14:textFill>
            <w14:solidFill>
              <w14:schemeClr w14:val="tx1"/>
            </w14:solidFill>
          </w14:textFill>
        </w:rPr>
        <w:fldChar w:fldCharType="separate"/>
      </w:r>
      <w:r>
        <w:rPr>
          <w:snapToGrid w:val="0"/>
          <w:color w:val="000000" w:themeColor="text1"/>
          <w:sz w:val="28"/>
          <w:szCs w:val="28"/>
          <w14:textFill>
            <w14:solidFill>
              <w14:schemeClr w14:val="tx1"/>
            </w14:solidFill>
          </w14:textFill>
        </w:rPr>
        <w:t>一、建设项目基本情况</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_Toc29500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2</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63"/>
        <w:tabs>
          <w:tab w:val="right" w:leader="dot" w:pos="8844"/>
        </w:tabs>
        <w:adjustRightInd w:val="0"/>
        <w:snapToGrid w:val="0"/>
        <w:spacing w:line="360" w:lineRule="auto"/>
        <w:rPr>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"_Toc21940" </w:instrText>
      </w:r>
      <w:r>
        <w:rPr>
          <w:color w:val="000000" w:themeColor="text1"/>
          <w14:textFill>
            <w14:solidFill>
              <w14:schemeClr w14:val="tx1"/>
            </w14:solidFill>
          </w14:textFill>
        </w:rPr>
        <w:fldChar w:fldCharType="separate"/>
      </w:r>
      <w:r>
        <w:rPr>
          <w:snapToGrid w:val="0"/>
          <w:color w:val="000000" w:themeColor="text1"/>
          <w:sz w:val="28"/>
          <w:szCs w:val="28"/>
          <w14:textFill>
            <w14:solidFill>
              <w14:schemeClr w14:val="tx1"/>
            </w14:solidFill>
          </w14:textFill>
        </w:rPr>
        <w:t>二、建设项目工程分析</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_Toc21940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22</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63"/>
        <w:tabs>
          <w:tab w:val="right" w:leader="dot" w:pos="8844"/>
        </w:tabs>
        <w:adjustRightInd w:val="0"/>
        <w:snapToGrid w:val="0"/>
        <w:spacing w:line="360" w:lineRule="auto"/>
        <w:rPr>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"_Toc24964" </w:instrText>
      </w:r>
      <w:r>
        <w:rPr>
          <w:color w:val="000000" w:themeColor="text1"/>
          <w14:textFill>
            <w14:solidFill>
              <w14:schemeClr w14:val="tx1"/>
            </w14:solidFill>
          </w14:textFill>
        </w:rPr>
        <w:fldChar w:fldCharType="separate"/>
      </w:r>
      <w:r>
        <w:rPr>
          <w:snapToGrid w:val="0"/>
          <w:color w:val="000000" w:themeColor="text1"/>
          <w:sz w:val="28"/>
          <w:szCs w:val="28"/>
          <w14:textFill>
            <w14:solidFill>
              <w14:schemeClr w14:val="tx1"/>
            </w14:solidFill>
          </w14:textFill>
        </w:rPr>
        <w:t>三、区域环境质量现状、环境保护目标及评价标准</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_Toc24964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34</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63"/>
        <w:tabs>
          <w:tab w:val="right" w:leader="dot" w:pos="8844"/>
        </w:tabs>
        <w:adjustRightInd w:val="0"/>
        <w:snapToGrid w:val="0"/>
        <w:spacing w:line="360" w:lineRule="auto"/>
        <w:rPr>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"_Toc21914" </w:instrText>
      </w:r>
      <w:r>
        <w:rPr>
          <w:color w:val="000000" w:themeColor="text1"/>
          <w14:textFill>
            <w14:solidFill>
              <w14:schemeClr w14:val="tx1"/>
            </w14:solidFill>
          </w14:textFill>
        </w:rPr>
        <w:fldChar w:fldCharType="separate"/>
      </w:r>
      <w:r>
        <w:rPr>
          <w:snapToGrid w:val="0"/>
          <w:color w:val="000000" w:themeColor="text1"/>
          <w:sz w:val="28"/>
          <w:szCs w:val="28"/>
          <w14:textFill>
            <w14:solidFill>
              <w14:schemeClr w14:val="tx1"/>
            </w14:solidFill>
          </w14:textFill>
        </w:rPr>
        <w:t>四、主要环境影响和保护措施</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_Toc21914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40</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63"/>
        <w:tabs>
          <w:tab w:val="right" w:leader="dot" w:pos="8844"/>
        </w:tabs>
        <w:adjustRightInd w:val="0"/>
        <w:snapToGrid w:val="0"/>
        <w:spacing w:line="360" w:lineRule="auto"/>
        <w:rPr>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"_Toc11957" </w:instrText>
      </w:r>
      <w:r>
        <w:rPr>
          <w:color w:val="000000" w:themeColor="text1"/>
          <w14:textFill>
            <w14:solidFill>
              <w14:schemeClr w14:val="tx1"/>
            </w14:solidFill>
          </w14:textFill>
        </w:rPr>
        <w:fldChar w:fldCharType="separate"/>
      </w:r>
      <w:r>
        <w:rPr>
          <w:snapToGrid w:val="0"/>
          <w:color w:val="000000" w:themeColor="text1"/>
          <w:sz w:val="28"/>
          <w:szCs w:val="28"/>
          <w14:textFill>
            <w14:solidFill>
              <w14:schemeClr w14:val="tx1"/>
            </w14:solidFill>
          </w14:textFill>
        </w:rPr>
        <w:t>五、环境保护措施监督检查清单</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_Toc11957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63</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63"/>
        <w:tabs>
          <w:tab w:val="right" w:leader="dot" w:pos="8844"/>
        </w:tabs>
        <w:adjustRightInd w:val="0"/>
        <w:snapToGrid w:val="0"/>
        <w:spacing w:line="360" w:lineRule="auto"/>
        <w:rPr>
          <w:color w:val="000000" w:themeColor="text1"/>
          <w:sz w:val="28"/>
          <w:szCs w:val="28"/>
          <w14:textFill>
            <w14:solidFill>
              <w14:schemeClr w14:val="tx1"/>
            </w14:solidFill>
          </w14:textFill>
        </w:rPr>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\l "_Toc17513" </w:instrText>
      </w:r>
      <w:r>
        <w:rPr>
          <w:color w:val="000000" w:themeColor="text1"/>
          <w14:textFill>
            <w14:solidFill>
              <w14:schemeClr w14:val="tx1"/>
            </w14:solidFill>
          </w14:textFill>
        </w:rPr>
        <w:fldChar w:fldCharType="separate"/>
      </w:r>
      <w:r>
        <w:rPr>
          <w:snapToGrid w:val="0"/>
          <w:color w:val="000000" w:themeColor="text1"/>
          <w:sz w:val="28"/>
          <w:szCs w:val="28"/>
          <w14:textFill>
            <w14:solidFill>
              <w14:schemeClr w14:val="tx1"/>
            </w14:solidFill>
          </w14:textFill>
        </w:rPr>
        <w:t>六、结论</w:t>
      </w:r>
      <w:r>
        <w:rPr>
          <w:color w:val="000000" w:themeColor="text1"/>
          <w:sz w:val="28"/>
          <w:szCs w:val="28"/>
          <w14:textFill>
            <w14:solidFill>
              <w14:schemeClr w14:val="tx1"/>
            </w14:solidFill>
          </w14:textFill>
        </w:rPr>
        <w:tab/>
      </w:r>
      <w:r>
        <w:rPr>
          <w:color w:val="000000" w:themeColor="text1"/>
          <w:sz w:val="28"/>
          <w:szCs w:val="28"/>
          <w14:textFill>
            <w14:solidFill>
              <w14:schemeClr w14:val="tx1"/>
            </w14:solidFill>
          </w14:textFill>
        </w:rPr>
        <w:fldChar w:fldCharType="begin"/>
      </w:r>
      <w:r>
        <w:rPr>
          <w:color w:val="000000" w:themeColor="text1"/>
          <w:sz w:val="28"/>
          <w:szCs w:val="28"/>
          <w14:textFill>
            <w14:solidFill>
              <w14:schemeClr w14:val="tx1"/>
            </w14:solidFill>
          </w14:textFill>
        </w:rPr>
        <w:instrText xml:space="preserve"> PAGEREF _Toc17513 </w:instrText>
      </w:r>
      <w:r>
        <w:rPr>
          <w:color w:val="000000" w:themeColor="text1"/>
          <w:sz w:val="28"/>
          <w:szCs w:val="28"/>
          <w14:textFill>
            <w14:solidFill>
              <w14:schemeClr w14:val="tx1"/>
            </w14:solidFill>
          </w14:textFill>
        </w:rPr>
        <w:fldChar w:fldCharType="separate"/>
      </w:r>
      <w:r>
        <w:rPr>
          <w:color w:val="000000" w:themeColor="text1"/>
          <w:sz w:val="28"/>
          <w:szCs w:val="28"/>
          <w14:textFill>
            <w14:solidFill>
              <w14:schemeClr w14:val="tx1"/>
            </w14:solidFill>
          </w14:textFill>
        </w:rPr>
        <w:t>66</w:t>
      </w:r>
      <w:r>
        <w:rPr>
          <w:color w:val="000000" w:themeColor="text1"/>
          <w:sz w:val="28"/>
          <w:szCs w:val="28"/>
          <w14:textFill>
            <w14:solidFill>
              <w14:schemeClr w14:val="tx1"/>
            </w14:solidFill>
          </w14:textFill>
        </w:rPr>
        <w:fldChar w:fldCharType="end"/>
      </w:r>
      <w:r>
        <w:rPr>
          <w:color w:val="000000" w:themeColor="text1"/>
          <w:sz w:val="28"/>
          <w:szCs w:val="28"/>
          <w14:textFill>
            <w14:solidFill>
              <w14:schemeClr w14:val="tx1"/>
            </w14:solidFill>
          </w14:textFill>
        </w:rPr>
        <w:fldChar w:fldCharType="end"/>
      </w:r>
    </w:p>
    <w:p>
      <w:pPr>
        <w:pStyle w:val="22"/>
        <w:snapToGrid/>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fldChar w:fldCharType="end"/>
      </w:r>
    </w:p>
    <w:p>
      <w:pPr>
        <w:pStyle w:val="22"/>
        <w:snapToGrid/>
        <w:rPr>
          <w:b/>
          <w:bCs/>
          <w:color w:val="000000" w:themeColor="text1"/>
          <w:sz w:val="28"/>
          <w:szCs w:val="28"/>
          <w14:textFill>
            <w14:solidFill>
              <w14:schemeClr w14:val="tx1"/>
            </w14:solidFill>
          </w14:textFill>
        </w:rPr>
        <w:sectPr>
          <w:pgSz w:w="11906" w:h="16838"/>
          <w:pgMar w:top="1701" w:right="1531" w:bottom="1701" w:left="1531" w:header="851" w:footer="1077" w:gutter="0"/>
          <w:pgNumType w:start="1"/>
          <w:cols w:space="720" w:num="1"/>
          <w:docGrid w:linePitch="312" w:charSpace="0"/>
        </w:sectPr>
      </w:pPr>
    </w:p>
    <w:p>
      <w:pPr>
        <w:pStyle w:val="22"/>
        <w:snapToGrid/>
        <w:rPr>
          <w:b/>
          <w:bCs/>
          <w:color w:val="000000" w:themeColor="text1"/>
          <w:sz w:val="28"/>
          <w:szCs w:val="28"/>
          <w14:textFill>
            <w14:solidFill>
              <w14:schemeClr w14:val="tx1"/>
            </w14:solidFill>
          </w14:textFill>
        </w:rPr>
      </w:pPr>
    </w:p>
    <w:p>
      <w:pPr>
        <w:pStyle w:val="22"/>
        <w:snapToGrid/>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附表：</w:t>
      </w:r>
    </w:p>
    <w:p>
      <w:pPr>
        <w:pStyle w:val="22"/>
        <w:snapToGrid/>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附表1  建设项目污染物排放量汇总表</w:t>
      </w:r>
    </w:p>
    <w:p>
      <w:pPr>
        <w:pStyle w:val="22"/>
        <w:snapToGrid/>
        <w:rPr>
          <w:b/>
          <w:bCs/>
          <w:color w:val="000000" w:themeColor="text1"/>
          <w:sz w:val="28"/>
          <w:szCs w:val="28"/>
          <w14:textFill>
            <w14:solidFill>
              <w14:schemeClr w14:val="tx1"/>
            </w14:solidFill>
          </w14:textFill>
        </w:rPr>
      </w:pPr>
    </w:p>
    <w:p>
      <w:pPr>
        <w:pStyle w:val="22"/>
        <w:snapToGrid/>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附图：</w:t>
      </w:r>
    </w:p>
    <w:p>
      <w:pPr>
        <w:pStyle w:val="22"/>
        <w:numPr>
          <w:ilvl w:val="0"/>
          <w:numId w:val="1"/>
        </w:numPr>
        <w:tabs>
          <w:tab w:val="clear" w:pos="0"/>
        </w:tabs>
        <w:snapToGrid/>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项目地理位置图</w:t>
      </w:r>
    </w:p>
    <w:p>
      <w:pPr>
        <w:pStyle w:val="22"/>
        <w:numPr>
          <w:ilvl w:val="0"/>
          <w:numId w:val="1"/>
        </w:numPr>
        <w:tabs>
          <w:tab w:val="clear" w:pos="0"/>
        </w:tabs>
        <w:snapToGrid/>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项目总平面布置图</w:t>
      </w:r>
    </w:p>
    <w:p>
      <w:pPr>
        <w:pStyle w:val="22"/>
        <w:numPr>
          <w:ilvl w:val="0"/>
          <w:numId w:val="1"/>
        </w:numPr>
        <w:tabs>
          <w:tab w:val="clear" w:pos="0"/>
        </w:tabs>
        <w:snapToGrid/>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项目周边环境关系图</w:t>
      </w:r>
      <w:r>
        <w:rPr>
          <w:rFonts w:hint="eastAsia"/>
          <w:color w:val="000000" w:themeColor="text1"/>
          <w:sz w:val="24"/>
          <w:szCs w:val="24"/>
          <w14:textFill>
            <w14:solidFill>
              <w14:schemeClr w14:val="tx1"/>
            </w14:solidFill>
          </w14:textFill>
        </w:rPr>
        <w:t>及引用监测点位图</w:t>
      </w:r>
    </w:p>
    <w:p>
      <w:pPr>
        <w:pStyle w:val="22"/>
        <w:numPr>
          <w:ilvl w:val="0"/>
          <w:numId w:val="1"/>
        </w:numPr>
        <w:tabs>
          <w:tab w:val="clear" w:pos="0"/>
        </w:tabs>
        <w:snapToGrid/>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项目</w:t>
      </w:r>
      <w:r>
        <w:rPr>
          <w:rFonts w:hint="eastAsia"/>
          <w:color w:val="000000" w:themeColor="text1"/>
          <w:sz w:val="24"/>
          <w:szCs w:val="24"/>
          <w14:textFill>
            <w14:solidFill>
              <w14:schemeClr w14:val="tx1"/>
            </w14:solidFill>
          </w14:textFill>
        </w:rPr>
        <w:t>补充监测点位图</w:t>
      </w:r>
    </w:p>
    <w:p>
      <w:pPr>
        <w:pStyle w:val="22"/>
        <w:numPr>
          <w:ilvl w:val="0"/>
          <w:numId w:val="1"/>
        </w:numPr>
        <w:tabs>
          <w:tab w:val="clear" w:pos="0"/>
        </w:tabs>
        <w:snapToGrid/>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滇池保护区规划图</w:t>
      </w:r>
    </w:p>
    <w:p>
      <w:pPr>
        <w:pStyle w:val="22"/>
        <w:numPr>
          <w:ilvl w:val="0"/>
          <w:numId w:val="1"/>
        </w:numPr>
        <w:tabs>
          <w:tab w:val="clear" w:pos="0"/>
        </w:tabs>
        <w:snapToGrid/>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项目与园区规划关系图</w:t>
      </w:r>
    </w:p>
    <w:p>
      <w:pPr>
        <w:pStyle w:val="22"/>
        <w:numPr>
          <w:ilvl w:val="0"/>
          <w:numId w:val="1"/>
        </w:numPr>
        <w:tabs>
          <w:tab w:val="clear" w:pos="0"/>
        </w:tabs>
        <w:snapToGrid/>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项目与中国前寒武系省级地质自然保护区关系图</w:t>
      </w:r>
    </w:p>
    <w:p>
      <w:pPr>
        <w:pStyle w:val="22"/>
        <w:snapToGrid/>
        <w:rPr>
          <w:b/>
          <w:bCs/>
          <w:color w:val="000000" w:themeColor="text1"/>
          <w:sz w:val="28"/>
          <w:szCs w:val="28"/>
          <w14:textFill>
            <w14:solidFill>
              <w14:schemeClr w14:val="tx1"/>
            </w14:solidFill>
          </w14:textFill>
        </w:rPr>
      </w:pPr>
      <w:r>
        <w:rPr>
          <w:b/>
          <w:bCs/>
          <w:color w:val="000000" w:themeColor="text1"/>
          <w:sz w:val="28"/>
          <w:szCs w:val="28"/>
          <w14:textFill>
            <w14:solidFill>
              <w14:schemeClr w14:val="tx1"/>
            </w14:solidFill>
          </w14:textFill>
        </w:rPr>
        <w:t>附件：</w:t>
      </w:r>
    </w:p>
    <w:p>
      <w:pPr>
        <w:pStyle w:val="22"/>
        <w:numPr>
          <w:ilvl w:val="0"/>
          <w:numId w:val="2"/>
        </w:numPr>
        <w:tabs>
          <w:tab w:val="clear" w:pos="420"/>
        </w:tabs>
        <w:snapToGrid/>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委托书</w:t>
      </w:r>
    </w:p>
    <w:p>
      <w:pPr>
        <w:pStyle w:val="22"/>
        <w:numPr>
          <w:ilvl w:val="0"/>
          <w:numId w:val="2"/>
        </w:numPr>
        <w:tabs>
          <w:tab w:val="clear" w:pos="420"/>
        </w:tabs>
        <w:snapToGrid/>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投资项目备案证</w:t>
      </w:r>
    </w:p>
    <w:p>
      <w:pPr>
        <w:pStyle w:val="22"/>
        <w:numPr>
          <w:ilvl w:val="0"/>
          <w:numId w:val="2"/>
        </w:numPr>
        <w:tabs>
          <w:tab w:val="clear" w:pos="420"/>
        </w:tabs>
        <w:snapToGrid/>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晋宁工业园区管理委员入园的批复（园区管委会复〔2021〕</w:t>
      </w:r>
      <w:r>
        <w:rPr>
          <w:rFonts w:hint="eastAsia"/>
          <w:color w:val="000000" w:themeColor="text1"/>
          <w:sz w:val="24"/>
          <w:szCs w:val="24"/>
          <w14:textFill>
            <w14:solidFill>
              <w14:schemeClr w14:val="tx1"/>
            </w14:solidFill>
          </w14:textFill>
        </w:rPr>
        <w:t>107</w:t>
      </w:r>
      <w:r>
        <w:rPr>
          <w:color w:val="000000" w:themeColor="text1"/>
          <w:sz w:val="24"/>
          <w:szCs w:val="24"/>
          <w14:textFill>
            <w14:solidFill>
              <w14:schemeClr w14:val="tx1"/>
            </w14:solidFill>
          </w14:textFill>
        </w:rPr>
        <w:t>号）</w:t>
      </w:r>
    </w:p>
    <w:p>
      <w:pPr>
        <w:pStyle w:val="22"/>
        <w:numPr>
          <w:ilvl w:val="0"/>
          <w:numId w:val="2"/>
        </w:numPr>
        <w:tabs>
          <w:tab w:val="clear" w:pos="420"/>
        </w:tabs>
        <w:snapToGrid/>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厂房租赁合同</w:t>
      </w:r>
    </w:p>
    <w:p>
      <w:pPr>
        <w:pStyle w:val="22"/>
        <w:numPr>
          <w:ilvl w:val="0"/>
          <w:numId w:val="2"/>
        </w:numPr>
        <w:tabs>
          <w:tab w:val="clear" w:pos="420"/>
        </w:tabs>
        <w:snapToGrid/>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四方协议</w:t>
      </w:r>
    </w:p>
    <w:p>
      <w:pPr>
        <w:pStyle w:val="22"/>
        <w:numPr>
          <w:ilvl w:val="0"/>
          <w:numId w:val="2"/>
        </w:numPr>
        <w:tabs>
          <w:tab w:val="clear" w:pos="420"/>
        </w:tabs>
        <w:snapToGrid/>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建设单位营业执照及法人身份证</w:t>
      </w:r>
    </w:p>
    <w:p>
      <w:pPr>
        <w:pStyle w:val="22"/>
        <w:numPr>
          <w:ilvl w:val="0"/>
          <w:numId w:val="2"/>
        </w:numPr>
        <w:tabs>
          <w:tab w:val="clear" w:pos="420"/>
        </w:tabs>
        <w:snapToGrid/>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铁王项目环境现状监测报告</w:t>
      </w:r>
      <w:r>
        <w:rPr>
          <w:color w:val="000000" w:themeColor="text1"/>
          <w:sz w:val="24"/>
          <w:szCs w:val="24"/>
          <w14:textFill>
            <w14:solidFill>
              <w14:schemeClr w14:val="tx1"/>
            </w14:solidFill>
          </w14:textFill>
        </w:rPr>
        <w:t>（引用）</w:t>
      </w:r>
    </w:p>
    <w:p>
      <w:pPr>
        <w:pStyle w:val="22"/>
        <w:numPr>
          <w:ilvl w:val="0"/>
          <w:numId w:val="2"/>
        </w:numPr>
        <w:tabs>
          <w:tab w:val="clear" w:pos="420"/>
        </w:tabs>
        <w:snapToGrid/>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本项目环境现状监测报告</w:t>
      </w:r>
    </w:p>
    <w:p>
      <w:pPr>
        <w:pStyle w:val="22"/>
        <w:numPr>
          <w:ilvl w:val="0"/>
          <w:numId w:val="2"/>
        </w:numPr>
        <w:tabs>
          <w:tab w:val="clear" w:pos="420"/>
        </w:tabs>
        <w:snapToGrid/>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云南省环境保护厅关于《晋宁工业园区总体规划修编（2012~2030）环境影</w:t>
      </w:r>
    </w:p>
    <w:p>
      <w:pPr>
        <w:pStyle w:val="22"/>
        <w:snapToGrid/>
        <w:ind w:firstLine="960" w:firstLineChars="4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响报告书》审查意见的函（云环函）〔2014〕131号</w:t>
      </w:r>
    </w:p>
    <w:p>
      <w:pPr>
        <w:pStyle w:val="22"/>
        <w:numPr>
          <w:ilvl w:val="0"/>
          <w:numId w:val="2"/>
        </w:numPr>
        <w:tabs>
          <w:tab w:val="clear" w:pos="420"/>
        </w:tabs>
        <w:snapToGrid/>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技术合同</w:t>
      </w:r>
    </w:p>
    <w:p>
      <w:pPr>
        <w:pStyle w:val="22"/>
        <w:numPr>
          <w:ilvl w:val="0"/>
          <w:numId w:val="2"/>
        </w:numPr>
        <w:tabs>
          <w:tab w:val="clear" w:pos="420"/>
        </w:tabs>
        <w:snapToGrid/>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晋宁志诚物流有限责任公司登记表</w:t>
      </w:r>
    </w:p>
    <w:p>
      <w:pPr>
        <w:pStyle w:val="22"/>
        <w:numPr>
          <w:ilvl w:val="0"/>
          <w:numId w:val="2"/>
        </w:numPr>
        <w:tabs>
          <w:tab w:val="clear" w:pos="420"/>
        </w:tabs>
        <w:snapToGrid/>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云南途腾智能装备有限公司关于《湿喷台车组装生产基地项目环境影响报告表》全本信息公开</w:t>
      </w:r>
    </w:p>
    <w:p>
      <w:pPr>
        <w:pStyle w:val="22"/>
        <w:numPr>
          <w:ilvl w:val="0"/>
          <w:numId w:val="2"/>
        </w:numPr>
        <w:tabs>
          <w:tab w:val="clear" w:pos="420"/>
        </w:tabs>
        <w:snapToGrid/>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进度控制表及三级审核表</w:t>
      </w:r>
    </w:p>
    <w:p>
      <w:pPr>
        <w:pStyle w:val="24"/>
        <w:spacing w:before="0" w:beforeAutospacing="0" w:after="0" w:afterAutospacing="0"/>
        <w:jc w:val="center"/>
        <w:outlineLvl w:val="0"/>
        <w:rPr>
          <w:rFonts w:ascii="Times New Roman" w:hAnsi="Times New Roman"/>
          <w:snapToGrid w:val="0"/>
          <w:color w:val="000000" w:themeColor="text1"/>
          <w:sz w:val="30"/>
          <w:szCs w:val="30"/>
          <w14:textFill>
            <w14:solidFill>
              <w14:schemeClr w14:val="tx1"/>
            </w14:solidFill>
          </w14:textFill>
        </w:rPr>
      </w:pPr>
      <w:bookmarkStart w:id="0" w:name="_Toc29500"/>
      <w:r>
        <w:rPr>
          <w:rFonts w:ascii="Times New Roman" w:hAnsi="Times New Roman"/>
          <w:snapToGrid w:val="0"/>
          <w:color w:val="000000" w:themeColor="text1"/>
          <w:sz w:val="30"/>
          <w:szCs w:val="30"/>
          <w14:textFill>
            <w14:solidFill>
              <w14:schemeClr w14:val="tx1"/>
            </w14:solidFill>
          </w14:textFill>
        </w:rPr>
        <w:t>一、建设项目基本情况</w:t>
      </w:r>
      <w:bookmarkEnd w:id="0"/>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852"/>
        <w:gridCol w:w="2333"/>
        <w:gridCol w:w="1985"/>
        <w:gridCol w:w="37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26" w:type="dxa"/>
            <w:tcMar>
              <w:top w:w="16" w:type="dxa"/>
              <w:left w:w="16" w:type="dxa"/>
              <w:right w:w="16" w:type="dxa"/>
            </w:tcMar>
            <w:vAlign w:val="center"/>
          </w:tcPr>
          <w:p>
            <w:pPr>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建设项目名称</w:t>
            </w:r>
          </w:p>
        </w:tc>
        <w:tc>
          <w:tcPr>
            <w:tcW w:w="7244" w:type="dxa"/>
            <w:gridSpan w:val="3"/>
            <w:vAlign w:val="center"/>
          </w:tcPr>
          <w:p>
            <w:pPr>
              <w:adjustRightInd w:val="0"/>
              <w:snapToGrid w:val="0"/>
              <w:spacing w:line="240" w:lineRule="auto"/>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湿喷台车组装生产基地项目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26" w:type="dxa"/>
            <w:tcMar>
              <w:top w:w="16" w:type="dxa"/>
              <w:left w:w="16" w:type="dxa"/>
              <w:right w:w="16" w:type="dxa"/>
            </w:tcMar>
            <w:vAlign w:val="center"/>
          </w:tcPr>
          <w:p>
            <w:pPr>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项目代码</w:t>
            </w:r>
          </w:p>
        </w:tc>
        <w:tc>
          <w:tcPr>
            <w:tcW w:w="7244" w:type="dxa"/>
            <w:gridSpan w:val="3"/>
            <w:vAlign w:val="center"/>
          </w:tcPr>
          <w:p>
            <w:pPr>
              <w:adjustRightInd w:val="0"/>
              <w:snapToGrid w:val="0"/>
              <w:spacing w:line="240" w:lineRule="auto"/>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2110-530115-04-05-474986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26" w:type="dxa"/>
            <w:tcMar>
              <w:top w:w="16" w:type="dxa"/>
              <w:left w:w="16" w:type="dxa"/>
              <w:right w:w="16" w:type="dxa"/>
            </w:tcMar>
            <w:vAlign w:val="center"/>
          </w:tcPr>
          <w:p>
            <w:pPr>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建设单位联系人</w:t>
            </w:r>
          </w:p>
        </w:tc>
        <w:tc>
          <w:tcPr>
            <w:tcW w:w="2496" w:type="dxa"/>
            <w:vAlign w:val="center"/>
          </w:tcPr>
          <w:p>
            <w:pPr>
              <w:adjustRightInd w:val="0"/>
              <w:snapToGrid w:val="0"/>
              <w:spacing w:line="240" w:lineRule="auto"/>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杨颖</w:t>
            </w:r>
            <w:r>
              <w:rPr>
                <w:color w:val="000000" w:themeColor="text1"/>
                <w:kern w:val="0"/>
                <w14:textFill>
                  <w14:solidFill>
                    <w14:schemeClr w14:val="tx1"/>
                  </w14:solidFill>
                </w14:textFill>
              </w:rPr>
              <w:t xml:space="preserve"> </w:t>
            </w:r>
          </w:p>
        </w:tc>
        <w:tc>
          <w:tcPr>
            <w:tcW w:w="2013" w:type="dxa"/>
            <w:vAlign w:val="center"/>
          </w:tcPr>
          <w:p>
            <w:pPr>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联系方式</w:t>
            </w:r>
          </w:p>
        </w:tc>
        <w:tc>
          <w:tcPr>
            <w:tcW w:w="2735" w:type="dxa"/>
            <w:vAlign w:val="center"/>
          </w:tcPr>
          <w:p>
            <w:pPr>
              <w:adjustRightInd w:val="0"/>
              <w:snapToGrid w:val="0"/>
              <w:spacing w:line="240" w:lineRule="auto"/>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13529430244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26" w:type="dxa"/>
            <w:tcMar>
              <w:top w:w="16" w:type="dxa"/>
              <w:left w:w="16" w:type="dxa"/>
              <w:right w:w="16" w:type="dxa"/>
            </w:tcMar>
            <w:vAlign w:val="center"/>
          </w:tcPr>
          <w:p>
            <w:pPr>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建设地点</w:t>
            </w:r>
          </w:p>
        </w:tc>
        <w:tc>
          <w:tcPr>
            <w:tcW w:w="7244" w:type="dxa"/>
            <w:gridSpan w:val="3"/>
            <w:vAlign w:val="center"/>
          </w:tcPr>
          <w:p>
            <w:pPr>
              <w:adjustRightInd w:val="0"/>
              <w:snapToGrid w:val="0"/>
              <w:spacing w:line="240" w:lineRule="auto"/>
              <w:jc w:val="center"/>
              <w:rPr>
                <w:color w:val="000000" w:themeColor="text1"/>
                <w:kern w:val="0"/>
                <w14:textFill>
                  <w14:solidFill>
                    <w14:schemeClr w14:val="tx1"/>
                  </w14:solidFill>
                </w14:textFill>
              </w:rPr>
            </w:pPr>
            <w:r>
              <w:rPr>
                <w:color w:val="000000" w:themeColor="text1"/>
                <w:kern w:val="0"/>
                <w:u w:val="single"/>
                <w14:textFill>
                  <w14:solidFill>
                    <w14:schemeClr w14:val="tx1"/>
                  </w14:solidFill>
                </w14:textFill>
              </w:rPr>
              <w:t xml:space="preserve"> 云南 </w:t>
            </w:r>
            <w:r>
              <w:rPr>
                <w:color w:val="000000" w:themeColor="text1"/>
                <w:kern w:val="0"/>
                <w14:textFill>
                  <w14:solidFill>
                    <w14:schemeClr w14:val="tx1"/>
                  </w14:solidFill>
                </w14:textFill>
              </w:rPr>
              <w:t>省</w:t>
            </w:r>
            <w:r>
              <w:rPr>
                <w:color w:val="000000" w:themeColor="text1"/>
                <w:kern w:val="0"/>
                <w:u w:val="single"/>
                <w14:textFill>
                  <w14:solidFill>
                    <w14:schemeClr w14:val="tx1"/>
                  </w14:solidFill>
                </w14:textFill>
              </w:rPr>
              <w:t xml:space="preserve"> 昆明 </w:t>
            </w:r>
            <w:r>
              <w:rPr>
                <w:color w:val="000000" w:themeColor="text1"/>
                <w:kern w:val="0"/>
                <w14:textFill>
                  <w14:solidFill>
                    <w14:schemeClr w14:val="tx1"/>
                  </w14:solidFill>
                </w14:textFill>
              </w:rPr>
              <w:t>市</w:t>
            </w:r>
            <w:r>
              <w:rPr>
                <w:color w:val="000000" w:themeColor="text1"/>
                <w:kern w:val="0"/>
                <w:u w:val="single"/>
                <w14:textFill>
                  <w14:solidFill>
                    <w14:schemeClr w14:val="tx1"/>
                  </w14:solidFill>
                </w14:textFill>
              </w:rPr>
              <w:t xml:space="preserve"> 晋宁 </w:t>
            </w:r>
            <w:r>
              <w:rPr>
                <w:color w:val="000000" w:themeColor="text1"/>
                <w:kern w:val="0"/>
                <w14:textFill>
                  <w14:solidFill>
                    <w14:schemeClr w14:val="tx1"/>
                  </w14:solidFill>
                </w14:textFill>
              </w:rPr>
              <w:t>区</w:t>
            </w:r>
            <w:r>
              <w:rPr>
                <w:color w:val="000000" w:themeColor="text1"/>
                <w:kern w:val="0"/>
                <w:u w:val="single"/>
                <w14:textFill>
                  <w14:solidFill>
                    <w14:schemeClr w14:val="tx1"/>
                  </w14:solidFill>
                </w14:textFill>
              </w:rPr>
              <w:t xml:space="preserve"> 昆阳 </w:t>
            </w:r>
            <w:r>
              <w:rPr>
                <w:color w:val="000000" w:themeColor="text1"/>
                <w:kern w:val="0"/>
                <w14:textFill>
                  <w14:solidFill>
                    <w14:schemeClr w14:val="tx1"/>
                  </w14:solidFill>
                </w14:textFill>
              </w:rPr>
              <w:t>街道</w:t>
            </w:r>
            <w:r>
              <w:rPr>
                <w:color w:val="000000" w:themeColor="text1"/>
                <w:kern w:val="0"/>
                <w:u w:val="single"/>
                <w14:textFill>
                  <w14:solidFill>
                    <w14:schemeClr w14:val="tx1"/>
                  </w14:solidFill>
                </w14:textFill>
              </w:rPr>
              <w:t xml:space="preserve">  晋宁工业园区</w:t>
            </w:r>
            <w:r>
              <w:rPr>
                <w:rFonts w:hint="eastAsia"/>
                <w:color w:val="000000" w:themeColor="text1"/>
                <w:kern w:val="0"/>
                <w:u w:val="single"/>
                <w14:textFill>
                  <w14:solidFill>
                    <w14:schemeClr w14:val="tx1"/>
                  </w14:solidFill>
                </w14:textFill>
              </w:rPr>
              <w:t>青山</w:t>
            </w:r>
            <w:r>
              <w:rPr>
                <w:color w:val="000000" w:themeColor="text1"/>
                <w:kern w:val="0"/>
                <w:u w:val="single"/>
                <w14:textFill>
                  <w14:solidFill>
                    <w14:schemeClr w14:val="tx1"/>
                  </w14:solidFill>
                </w14:textFill>
              </w:rPr>
              <w:t>基地（</w:t>
            </w:r>
            <w:r>
              <w:rPr>
                <w:rFonts w:hint="eastAsia"/>
                <w:color w:val="000000" w:themeColor="text1"/>
                <w:kern w:val="0"/>
                <w:u w:val="single"/>
                <w14:textFill>
                  <w14:solidFill>
                    <w14:schemeClr w14:val="tx1"/>
                  </w14:solidFill>
                </w14:textFill>
              </w:rPr>
              <w:t>晋宁志诚物流有限责任公司内</w:t>
            </w:r>
            <w:r>
              <w:rPr>
                <w:color w:val="000000" w:themeColor="text1"/>
                <w:kern w:val="0"/>
                <w:u w:val="singl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26" w:type="dxa"/>
            <w:tcMar>
              <w:top w:w="16" w:type="dxa"/>
              <w:left w:w="16" w:type="dxa"/>
              <w:right w:w="16" w:type="dxa"/>
            </w:tcMar>
            <w:vAlign w:val="center"/>
          </w:tcPr>
          <w:p>
            <w:pPr>
              <w:adjustRightInd w:val="0"/>
              <w:snapToGrid w:val="0"/>
              <w:spacing w:line="240" w:lineRule="auto"/>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地理坐标</w:t>
            </w:r>
          </w:p>
        </w:tc>
        <w:tc>
          <w:tcPr>
            <w:tcW w:w="7244" w:type="dxa"/>
            <w:gridSpan w:val="3"/>
            <w:vAlign w:val="center"/>
          </w:tcPr>
          <w:p>
            <w:pPr>
              <w:adjustRightInd w:val="0"/>
              <w:snapToGrid w:val="0"/>
              <w:spacing w:line="240" w:lineRule="auto"/>
              <w:jc w:val="center"/>
              <w:rPr>
                <w:color w:val="000000" w:themeColor="text1"/>
                <w:kern w:val="0"/>
                <w:u w:val="single"/>
                <w14:textFill>
                  <w14:solidFill>
                    <w14:schemeClr w14:val="tx1"/>
                  </w14:solidFill>
                </w14:textFill>
              </w:rPr>
            </w:pPr>
            <w:r>
              <w:rPr>
                <w:rFonts w:hint="eastAsia"/>
                <w:color w:val="000000" w:themeColor="text1"/>
                <w:kern w:val="0"/>
                <w14:textFill>
                  <w14:solidFill>
                    <w14:schemeClr w14:val="tx1"/>
                  </w14:solidFill>
                </w14:textFill>
              </w:rPr>
              <w:t>经度：102°34′27.044″ 纬度：24°42′55.375″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626" w:type="dxa"/>
            <w:tcMar>
              <w:top w:w="16" w:type="dxa"/>
              <w:left w:w="16" w:type="dxa"/>
              <w:right w:w="16" w:type="dxa"/>
            </w:tcMar>
            <w:vAlign w:val="center"/>
          </w:tcPr>
          <w:p>
            <w:pPr>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国民经济</w:t>
            </w:r>
          </w:p>
          <w:p>
            <w:pPr>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行业类别</w:t>
            </w:r>
          </w:p>
        </w:tc>
        <w:tc>
          <w:tcPr>
            <w:tcW w:w="2496" w:type="dxa"/>
            <w:vAlign w:val="center"/>
          </w:tcPr>
          <w:p>
            <w:pPr>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C3</w:t>
            </w:r>
            <w:r>
              <w:rPr>
                <w:rFonts w:hint="eastAsia"/>
                <w:color w:val="000000" w:themeColor="text1"/>
                <w:kern w:val="0"/>
                <w14:textFill>
                  <w14:solidFill>
                    <w14:schemeClr w14:val="tx1"/>
                  </w14:solidFill>
                </w14:textFill>
              </w:rPr>
              <w:t>517隧道施工专用机械制造 C4330专用设备修理</w:t>
            </w:r>
          </w:p>
        </w:tc>
        <w:tc>
          <w:tcPr>
            <w:tcW w:w="2013" w:type="dxa"/>
            <w:vAlign w:val="center"/>
          </w:tcPr>
          <w:p>
            <w:pPr>
              <w:adjustRightInd w:val="0"/>
              <w:snapToGrid w:val="0"/>
              <w:spacing w:line="240" w:lineRule="auto"/>
              <w:jc w:val="center"/>
              <w:rPr>
                <w:color w:val="000000" w:themeColor="text1"/>
                <w:kern w:val="0"/>
                <w14:textFill>
                  <w14:solidFill>
                    <w14:schemeClr w14:val="tx1"/>
                  </w14:solidFill>
                </w14:textFill>
              </w:rPr>
            </w:pPr>
            <w:bookmarkStart w:id="1" w:name="_Hlk49843745"/>
            <w:r>
              <w:rPr>
                <w:color w:val="000000" w:themeColor="text1"/>
                <w:kern w:val="0"/>
                <w14:textFill>
                  <w14:solidFill>
                    <w14:schemeClr w14:val="tx1"/>
                  </w14:solidFill>
                </w14:textFill>
              </w:rPr>
              <w:t>建设项目</w:t>
            </w:r>
          </w:p>
          <w:p>
            <w:pPr>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行业类别</w:t>
            </w:r>
            <w:bookmarkEnd w:id="1"/>
          </w:p>
        </w:tc>
        <w:tc>
          <w:tcPr>
            <w:tcW w:w="2735" w:type="dxa"/>
            <w:vAlign w:val="center"/>
          </w:tcPr>
          <w:p>
            <w:pPr>
              <w:adjustRightInd w:val="0"/>
              <w:snapToGrid w:val="0"/>
              <w:spacing w:line="240" w:lineRule="auto"/>
              <w:rPr>
                <w:color w:val="000000" w:themeColor="text1"/>
                <w:kern w:val="0"/>
                <w14:textFill>
                  <w14:solidFill>
                    <w14:schemeClr w14:val="tx1"/>
                  </w14:solidFill>
                </w14:textFill>
              </w:rPr>
            </w:pPr>
            <w:r>
              <w:rPr>
                <w:color w:val="000000" w:themeColor="text1"/>
                <w:kern w:val="0"/>
                <w14:textFill>
                  <w14:solidFill>
                    <w14:schemeClr w14:val="tx1"/>
                  </w14:solidFill>
                </w14:textFill>
              </w:rPr>
              <w:t>三十</w:t>
            </w:r>
            <w:r>
              <w:rPr>
                <w:rFonts w:hint="eastAsia"/>
                <w:color w:val="000000" w:themeColor="text1"/>
                <w:kern w:val="0"/>
                <w14:textFill>
                  <w14:solidFill>
                    <w14:schemeClr w14:val="tx1"/>
                  </w14:solidFill>
                </w14:textFill>
              </w:rPr>
              <w:t>二</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专用设备制造</w:t>
            </w:r>
            <w:r>
              <w:rPr>
                <w:color w:val="000000" w:themeColor="text1"/>
                <w:kern w:val="0"/>
                <w14:textFill>
                  <w14:solidFill>
                    <w14:schemeClr w14:val="tx1"/>
                  </w14:solidFill>
                </w14:textFill>
              </w:rPr>
              <w:t>业3</w:t>
            </w:r>
            <w:r>
              <w:rPr>
                <w:rFonts w:hint="eastAsia"/>
                <w:color w:val="000000" w:themeColor="text1"/>
                <w:kern w:val="0"/>
                <w14:textFill>
                  <w14:solidFill>
                    <w14:schemeClr w14:val="tx1"/>
                  </w14:solidFill>
                </w14:textFill>
              </w:rPr>
              <w:t>5</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采矿、冶金、建筑专用设备制造351：其他（仅分割、焊接、组装的除外；非溶剂型低VOCs含量涂料10吨以下的除外）；四十、金属制品、机械和设备修理业—432：专业设备修理（年用溶剂型涂料10吨以下的）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626" w:type="dxa"/>
            <w:tcMar>
              <w:top w:w="16" w:type="dxa"/>
              <w:left w:w="16" w:type="dxa"/>
              <w:right w:w="16" w:type="dxa"/>
            </w:tcMar>
            <w:vAlign w:val="center"/>
          </w:tcPr>
          <w:p>
            <w:pPr>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建设性质</w:t>
            </w:r>
          </w:p>
        </w:tc>
        <w:tc>
          <w:tcPr>
            <w:tcW w:w="2496" w:type="dxa"/>
            <w:vAlign w:val="center"/>
          </w:tcPr>
          <w:p>
            <w:pPr>
              <w:adjustRightInd w:val="0"/>
              <w:snapToGrid w:val="0"/>
              <w:spacing w:line="240" w:lineRule="auto"/>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sym w:font="Wingdings 2" w:char="0052"/>
            </w:r>
            <w:r>
              <w:rPr>
                <w:color w:val="000000" w:themeColor="text1"/>
                <w:kern w:val="0"/>
                <w14:textFill>
                  <w14:solidFill>
                    <w14:schemeClr w14:val="tx1"/>
                  </w14:solidFill>
                </w14:textFill>
              </w:rPr>
              <w:t>新建（迁建）</w:t>
            </w:r>
          </w:p>
          <w:p>
            <w:pPr>
              <w:adjustRightInd w:val="0"/>
              <w:snapToGrid w:val="0"/>
              <w:spacing w:line="240" w:lineRule="auto"/>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sym w:font="Wingdings 2" w:char="00A3"/>
            </w:r>
            <w:r>
              <w:rPr>
                <w:color w:val="000000" w:themeColor="text1"/>
                <w:kern w:val="0"/>
                <w14:textFill>
                  <w14:solidFill>
                    <w14:schemeClr w14:val="tx1"/>
                  </w14:solidFill>
                </w14:textFill>
              </w:rPr>
              <w:t>改建</w:t>
            </w:r>
          </w:p>
          <w:p>
            <w:pPr>
              <w:adjustRightInd w:val="0"/>
              <w:snapToGrid w:val="0"/>
              <w:spacing w:line="240" w:lineRule="auto"/>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sym w:font="Wingdings 2" w:char="00A3"/>
            </w:r>
            <w:r>
              <w:rPr>
                <w:color w:val="000000" w:themeColor="text1"/>
                <w:kern w:val="0"/>
                <w14:textFill>
                  <w14:solidFill>
                    <w14:schemeClr w14:val="tx1"/>
                  </w14:solidFill>
                </w14:textFill>
              </w:rPr>
              <w:t>扩建</w:t>
            </w:r>
          </w:p>
          <w:p>
            <w:pPr>
              <w:adjustRightInd w:val="0"/>
              <w:snapToGrid w:val="0"/>
              <w:spacing w:line="240" w:lineRule="auto"/>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sym w:font="Wingdings 2" w:char="00A3"/>
            </w:r>
            <w:r>
              <w:rPr>
                <w:color w:val="000000" w:themeColor="text1"/>
                <w:kern w:val="0"/>
                <w14:textFill>
                  <w14:solidFill>
                    <w14:schemeClr w14:val="tx1"/>
                  </w14:solidFill>
                </w14:textFill>
              </w:rPr>
              <w:t>技术改造</w:t>
            </w:r>
          </w:p>
        </w:tc>
        <w:tc>
          <w:tcPr>
            <w:tcW w:w="2013" w:type="dxa"/>
            <w:vAlign w:val="center"/>
          </w:tcPr>
          <w:p>
            <w:pPr>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建设项目</w:t>
            </w:r>
          </w:p>
          <w:p>
            <w:pPr>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申报情形</w:t>
            </w:r>
          </w:p>
        </w:tc>
        <w:tc>
          <w:tcPr>
            <w:tcW w:w="2735" w:type="dxa"/>
            <w:vAlign w:val="center"/>
          </w:tcPr>
          <w:p>
            <w:pPr>
              <w:adjustRightInd w:val="0"/>
              <w:snapToGrid w:val="0"/>
              <w:spacing w:line="240" w:lineRule="auto"/>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sym w:font="Wingdings 2" w:char="0052"/>
            </w:r>
            <w:r>
              <w:rPr>
                <w:color w:val="000000" w:themeColor="text1"/>
                <w:kern w:val="0"/>
                <w14:textFill>
                  <w14:solidFill>
                    <w14:schemeClr w14:val="tx1"/>
                  </w14:solidFill>
                </w14:textFill>
              </w:rPr>
              <w:t xml:space="preserve">首次申报项目             </w:t>
            </w:r>
          </w:p>
          <w:p>
            <w:pPr>
              <w:adjustRightInd w:val="0"/>
              <w:snapToGrid w:val="0"/>
              <w:spacing w:line="240" w:lineRule="auto"/>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sym w:font="Wingdings 2" w:char="00A3"/>
            </w:r>
            <w:r>
              <w:rPr>
                <w:color w:val="000000" w:themeColor="text1"/>
                <w:kern w:val="0"/>
                <w14:textFill>
                  <w14:solidFill>
                    <w14:schemeClr w14:val="tx1"/>
                  </w14:solidFill>
                </w14:textFill>
              </w:rPr>
              <w:t>不予批准后再次申报项目</w:t>
            </w:r>
          </w:p>
          <w:p>
            <w:pPr>
              <w:adjustRightInd w:val="0"/>
              <w:snapToGrid w:val="0"/>
              <w:spacing w:line="240" w:lineRule="auto"/>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sym w:font="Wingdings 2" w:char="00A3"/>
            </w:r>
            <w:r>
              <w:rPr>
                <w:color w:val="000000" w:themeColor="text1"/>
                <w:kern w:val="0"/>
                <w14:textFill>
                  <w14:solidFill>
                    <w14:schemeClr w14:val="tx1"/>
                  </w14:solidFill>
                </w14:textFill>
              </w:rPr>
              <w:t xml:space="preserve">超五年重新审核项目     </w:t>
            </w:r>
          </w:p>
          <w:p>
            <w:pPr>
              <w:adjustRightInd w:val="0"/>
              <w:snapToGrid w:val="0"/>
              <w:spacing w:line="240" w:lineRule="auto"/>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sym w:font="Wingdings 2" w:char="00A3"/>
            </w:r>
            <w:r>
              <w:rPr>
                <w:color w:val="000000" w:themeColor="text1"/>
                <w:kern w:val="0"/>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626" w:type="dxa"/>
            <w:tcMar>
              <w:top w:w="16" w:type="dxa"/>
              <w:left w:w="16" w:type="dxa"/>
              <w:right w:w="16" w:type="dxa"/>
            </w:tcMar>
            <w:vAlign w:val="center"/>
          </w:tcPr>
          <w:p>
            <w:pPr>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项目审批（核准/备案）部门（选填）</w:t>
            </w:r>
          </w:p>
        </w:tc>
        <w:tc>
          <w:tcPr>
            <w:tcW w:w="2496" w:type="dxa"/>
            <w:vAlign w:val="center"/>
          </w:tcPr>
          <w:p>
            <w:pPr>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 xml:space="preserve">晋宁区发展和改革局 </w:t>
            </w:r>
          </w:p>
        </w:tc>
        <w:tc>
          <w:tcPr>
            <w:tcW w:w="2013" w:type="dxa"/>
            <w:vAlign w:val="center"/>
          </w:tcPr>
          <w:p>
            <w:pPr>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项目审批（核准/</w:t>
            </w:r>
          </w:p>
          <w:p>
            <w:pPr>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备案）文号（选填）</w:t>
            </w:r>
          </w:p>
        </w:tc>
        <w:tc>
          <w:tcPr>
            <w:tcW w:w="2735" w:type="dxa"/>
            <w:vAlign w:val="center"/>
          </w:tcPr>
          <w:p>
            <w:pPr>
              <w:adjustRightInd w:val="0"/>
              <w:snapToGrid w:val="0"/>
              <w:spacing w:line="240" w:lineRule="auto"/>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2110-530115-04-05-474986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26" w:type="dxa"/>
            <w:tcMar>
              <w:top w:w="16" w:type="dxa"/>
              <w:left w:w="16" w:type="dxa"/>
              <w:right w:w="16" w:type="dxa"/>
            </w:tcMar>
            <w:vAlign w:val="center"/>
          </w:tcPr>
          <w:p>
            <w:pPr>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总投资（万元）</w:t>
            </w:r>
          </w:p>
        </w:tc>
        <w:tc>
          <w:tcPr>
            <w:tcW w:w="2496" w:type="dxa"/>
            <w:vAlign w:val="center"/>
          </w:tcPr>
          <w:p>
            <w:pPr>
              <w:adjustRightInd w:val="0"/>
              <w:snapToGrid w:val="0"/>
              <w:spacing w:line="240" w:lineRule="auto"/>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1000</w:t>
            </w:r>
          </w:p>
        </w:tc>
        <w:tc>
          <w:tcPr>
            <w:tcW w:w="2013" w:type="dxa"/>
            <w:tcMar>
              <w:top w:w="16" w:type="dxa"/>
              <w:left w:w="16" w:type="dxa"/>
              <w:right w:w="16" w:type="dxa"/>
            </w:tcMar>
            <w:vAlign w:val="center"/>
          </w:tcPr>
          <w:p>
            <w:pPr>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环保投资（万元）</w:t>
            </w:r>
          </w:p>
        </w:tc>
        <w:tc>
          <w:tcPr>
            <w:tcW w:w="2735" w:type="dxa"/>
            <w:vAlign w:val="center"/>
          </w:tcPr>
          <w:p>
            <w:pPr>
              <w:adjustRightInd w:val="0"/>
              <w:snapToGrid w:val="0"/>
              <w:spacing w:line="240" w:lineRule="auto"/>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12.9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26" w:type="dxa"/>
            <w:tcMar>
              <w:top w:w="16" w:type="dxa"/>
              <w:left w:w="16" w:type="dxa"/>
              <w:right w:w="16" w:type="dxa"/>
            </w:tcMar>
            <w:vAlign w:val="center"/>
          </w:tcPr>
          <w:p>
            <w:pPr>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环保投资占比（%）</w:t>
            </w:r>
          </w:p>
        </w:tc>
        <w:tc>
          <w:tcPr>
            <w:tcW w:w="2496" w:type="dxa"/>
            <w:vAlign w:val="center"/>
          </w:tcPr>
          <w:p>
            <w:pPr>
              <w:adjustRightInd w:val="0"/>
              <w:snapToGrid w:val="0"/>
              <w:spacing w:line="240" w:lineRule="auto"/>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1.29%</w:t>
            </w:r>
          </w:p>
        </w:tc>
        <w:tc>
          <w:tcPr>
            <w:tcW w:w="2013" w:type="dxa"/>
            <w:tcMar>
              <w:top w:w="16" w:type="dxa"/>
              <w:left w:w="16" w:type="dxa"/>
              <w:right w:w="16" w:type="dxa"/>
            </w:tcMar>
            <w:vAlign w:val="center"/>
          </w:tcPr>
          <w:p>
            <w:pPr>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施工工期</w:t>
            </w:r>
          </w:p>
        </w:tc>
        <w:tc>
          <w:tcPr>
            <w:tcW w:w="2735" w:type="dxa"/>
            <w:vAlign w:val="center"/>
          </w:tcPr>
          <w:p>
            <w:pPr>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3个月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26" w:type="dxa"/>
            <w:tcMar>
              <w:top w:w="16" w:type="dxa"/>
              <w:left w:w="16" w:type="dxa"/>
              <w:right w:w="16" w:type="dxa"/>
            </w:tcMar>
            <w:vAlign w:val="center"/>
          </w:tcPr>
          <w:p>
            <w:pPr>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是否开工建设</w:t>
            </w:r>
          </w:p>
        </w:tc>
        <w:tc>
          <w:tcPr>
            <w:tcW w:w="2496" w:type="dxa"/>
            <w:vAlign w:val="center"/>
          </w:tcPr>
          <w:p>
            <w:pPr>
              <w:adjustRightInd w:val="0"/>
              <w:snapToGrid w:val="0"/>
              <w:spacing w:line="240" w:lineRule="auto"/>
              <w:rPr>
                <w:color w:val="000000" w:themeColor="text1"/>
                <w:kern w:val="0"/>
                <w14:textFill>
                  <w14:solidFill>
                    <w14:schemeClr w14:val="tx1"/>
                  </w14:solidFill>
                </w14:textFill>
              </w:rPr>
            </w:pPr>
            <w:r>
              <w:rPr>
                <w:color w:val="000000" w:themeColor="text1"/>
                <w:kern w:val="0"/>
                <w14:textFill>
                  <w14:solidFill>
                    <w14:schemeClr w14:val="tx1"/>
                  </w14:solidFill>
                </w14:textFill>
              </w:rPr>
              <w:sym w:font="Wingdings 2" w:char="0052"/>
            </w:r>
            <w:r>
              <w:rPr>
                <w:color w:val="000000" w:themeColor="text1"/>
                <w:kern w:val="0"/>
                <w14:textFill>
                  <w14:solidFill>
                    <w14:schemeClr w14:val="tx1"/>
                  </w14:solidFill>
                </w14:textFill>
              </w:rPr>
              <w:t>否</w:t>
            </w:r>
          </w:p>
          <w:p>
            <w:pPr>
              <w:adjustRightInd w:val="0"/>
              <w:snapToGrid w:val="0"/>
              <w:spacing w:line="240" w:lineRule="auto"/>
              <w:rPr>
                <w:color w:val="000000" w:themeColor="text1"/>
                <w:kern w:val="0"/>
                <w14:textFill>
                  <w14:solidFill>
                    <w14:schemeClr w14:val="tx1"/>
                  </w14:solidFill>
                </w14:textFill>
              </w:rPr>
            </w:pPr>
            <w:r>
              <w:rPr>
                <w:color w:val="000000" w:themeColor="text1"/>
                <w:kern w:val="0"/>
                <w14:textFill>
                  <w14:solidFill>
                    <w14:schemeClr w14:val="tx1"/>
                  </w14:solidFill>
                </w14:textFill>
              </w:rPr>
              <w:sym w:font="Wingdings 2" w:char="00A3"/>
            </w:r>
            <w:r>
              <w:rPr>
                <w:color w:val="000000" w:themeColor="text1"/>
                <w:kern w:val="0"/>
                <w14:textFill>
                  <w14:solidFill>
                    <w14:schemeClr w14:val="tx1"/>
                  </w14:solidFill>
                </w14:textFill>
              </w:rPr>
              <w:t>是</w:t>
            </w:r>
            <w:r>
              <w:rPr>
                <w:color w:val="000000" w:themeColor="text1"/>
                <w:kern w:val="0"/>
                <w:u w:val="single"/>
                <w14:textFill>
                  <w14:solidFill>
                    <w14:schemeClr w14:val="tx1"/>
                  </w14:solidFill>
                </w14:textFill>
              </w:rPr>
              <w:t xml:space="preserve">            </w:t>
            </w:r>
          </w:p>
        </w:tc>
        <w:tc>
          <w:tcPr>
            <w:tcW w:w="2013" w:type="dxa"/>
            <w:tcMar>
              <w:top w:w="16" w:type="dxa"/>
              <w:left w:w="16" w:type="dxa"/>
              <w:right w:w="16" w:type="dxa"/>
            </w:tcMar>
            <w:vAlign w:val="center"/>
          </w:tcPr>
          <w:p>
            <w:pPr>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用地（用海）</w:t>
            </w:r>
          </w:p>
          <w:p>
            <w:pPr>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面积（m</w:t>
            </w:r>
            <w:r>
              <w:rPr>
                <w:color w:val="000000" w:themeColor="text1"/>
                <w:kern w:val="0"/>
                <w:vertAlign w:val="superscript"/>
                <w14:textFill>
                  <w14:solidFill>
                    <w14:schemeClr w14:val="tx1"/>
                  </w14:solidFill>
                </w14:textFill>
              </w:rPr>
              <w:t>2</w:t>
            </w:r>
            <w:r>
              <w:rPr>
                <w:color w:val="000000" w:themeColor="text1"/>
                <w:kern w:val="0"/>
                <w14:textFill>
                  <w14:solidFill>
                    <w14:schemeClr w14:val="tx1"/>
                  </w14:solidFill>
                </w14:textFill>
              </w:rPr>
              <w:t>）</w:t>
            </w:r>
          </w:p>
        </w:tc>
        <w:tc>
          <w:tcPr>
            <w:tcW w:w="2735" w:type="dxa"/>
            <w:vAlign w:val="center"/>
          </w:tcPr>
          <w:p>
            <w:pPr>
              <w:adjustRightInd w:val="0"/>
              <w:snapToGrid w:val="0"/>
              <w:spacing w:line="240" w:lineRule="auto"/>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3480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1626" w:type="dxa"/>
            <w:vAlign w:val="center"/>
          </w:tcPr>
          <w:p>
            <w:pPr>
              <w:autoSpaceDE w:val="0"/>
              <w:autoSpaceDN w:val="0"/>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专项评价设置情况</w:t>
            </w:r>
          </w:p>
        </w:tc>
        <w:tc>
          <w:tcPr>
            <w:tcW w:w="7244" w:type="dxa"/>
            <w:gridSpan w:val="3"/>
            <w:vAlign w:val="center"/>
          </w:tcPr>
          <w:p>
            <w:pPr>
              <w:autoSpaceDE w:val="0"/>
              <w:autoSpaceDN w:val="0"/>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626" w:type="dxa"/>
            <w:vAlign w:val="center"/>
          </w:tcPr>
          <w:p>
            <w:pPr>
              <w:autoSpaceDE w:val="0"/>
              <w:autoSpaceDN w:val="0"/>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规划情况</w:t>
            </w:r>
          </w:p>
        </w:tc>
        <w:tc>
          <w:tcPr>
            <w:tcW w:w="7244" w:type="dxa"/>
            <w:gridSpan w:val="3"/>
            <w:vAlign w:val="center"/>
          </w:tcPr>
          <w:p>
            <w:pPr>
              <w:autoSpaceDE w:val="0"/>
              <w:autoSpaceDN w:val="0"/>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规划名称：晋宁工业园区总体规划修编（2012~2030）</w:t>
            </w:r>
          </w:p>
          <w:p>
            <w:pPr>
              <w:autoSpaceDE w:val="0"/>
              <w:autoSpaceDN w:val="0"/>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审批机关：</w:t>
            </w:r>
            <w:r>
              <w:rPr>
                <w:color w:val="000000" w:themeColor="text1"/>
                <w14:textFill>
                  <w14:solidFill>
                    <w14:schemeClr w14:val="tx1"/>
                  </w14:solidFill>
                </w14:textFill>
              </w:rPr>
              <w:t>云南省工业和信息化委员会</w:t>
            </w:r>
          </w:p>
          <w:p>
            <w:pPr>
              <w:autoSpaceDE w:val="0"/>
              <w:autoSpaceDN w:val="0"/>
              <w:jc w:val="left"/>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备案</w:t>
            </w:r>
            <w:r>
              <w:rPr>
                <w:color w:val="000000" w:themeColor="text1"/>
                <w:kern w:val="0"/>
                <w14:textFill>
                  <w14:solidFill>
                    <w14:schemeClr w14:val="tx1"/>
                  </w14:solidFill>
                </w14:textFill>
              </w:rPr>
              <w:t>文件名称文号：</w:t>
            </w:r>
            <w:r>
              <w:rPr>
                <w:color w:val="000000" w:themeColor="text1"/>
                <w14:textFill>
                  <w14:solidFill>
                    <w14:schemeClr w14:val="tx1"/>
                  </w14:solidFill>
                </w14:textFill>
              </w:rPr>
              <w:t>云南省工业和信息化委员会</w:t>
            </w:r>
            <w:r>
              <w:rPr>
                <w:rFonts w:hint="eastAsia"/>
                <w:color w:val="000000" w:themeColor="text1"/>
                <w14:textFill>
                  <w14:solidFill>
                    <w14:schemeClr w14:val="tx1"/>
                  </w14:solidFill>
                </w14:textFill>
              </w:rPr>
              <w:t>关于对晋宁工业园区总体规划修编予以备案的意见（园区</w:t>
            </w:r>
            <w:r>
              <w:rPr>
                <w:color w:val="000000" w:themeColor="text1"/>
                <w:kern w:val="0"/>
                <w14:textFill>
                  <w14:solidFill>
                    <w14:schemeClr w14:val="tx1"/>
                  </w14:solidFill>
                </w14:textFill>
              </w:rPr>
              <w:t>﹝201</w:t>
            </w:r>
            <w:r>
              <w:rPr>
                <w:rFonts w:hint="eastAsia"/>
                <w:color w:val="000000" w:themeColor="text1"/>
                <w:kern w:val="0"/>
                <w14:textFill>
                  <w14:solidFill>
                    <w14:schemeClr w14:val="tx1"/>
                  </w14:solidFill>
                </w14:textFill>
              </w:rPr>
              <w:t>2</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684</w:t>
            </w:r>
            <w:r>
              <w:rPr>
                <w:color w:val="000000" w:themeColor="text1"/>
                <w:kern w:val="0"/>
                <w14:textFill>
                  <w14:solidFill>
                    <w14:schemeClr w14:val="tx1"/>
                  </w14:solidFill>
                </w14:textFill>
              </w:rPr>
              <w:t>号</w:t>
            </w:r>
            <w:r>
              <w:rPr>
                <w:rFonts w:hint="eastAsia"/>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626" w:type="dxa"/>
            <w:vAlign w:val="center"/>
          </w:tcPr>
          <w:p>
            <w:pPr>
              <w:adjustRightInd w:val="0"/>
              <w:snapToGrid w:val="0"/>
              <w:spacing w:before="120" w:beforeLines="5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规划环境影响评价情况</w:t>
            </w:r>
          </w:p>
        </w:tc>
        <w:tc>
          <w:tcPr>
            <w:tcW w:w="7244" w:type="dxa"/>
            <w:gridSpan w:val="3"/>
            <w:vAlign w:val="center"/>
          </w:tcPr>
          <w:p>
            <w:pPr>
              <w:autoSpaceDE w:val="0"/>
              <w:autoSpaceDN w:val="0"/>
              <w:adjustRightInd w:val="0"/>
              <w:snapToGrid w:val="0"/>
              <w:rPr>
                <w:color w:val="000000" w:themeColor="text1"/>
                <w:kern w:val="0"/>
                <w14:textFill>
                  <w14:solidFill>
                    <w14:schemeClr w14:val="tx1"/>
                  </w14:solidFill>
                </w14:textFill>
              </w:rPr>
            </w:pPr>
            <w:r>
              <w:rPr>
                <w:color w:val="000000" w:themeColor="text1"/>
                <w:kern w:val="0"/>
                <w14:textFill>
                  <w14:solidFill>
                    <w14:schemeClr w14:val="tx1"/>
                  </w14:solidFill>
                </w14:textFill>
              </w:rPr>
              <w:t>规划环评名称：晋宁工业园区总体规划修编（2012~2030）环境影响报告书</w:t>
            </w:r>
          </w:p>
          <w:p>
            <w:pPr>
              <w:autoSpaceDE w:val="0"/>
              <w:autoSpaceDN w:val="0"/>
              <w:adjustRightInd w:val="0"/>
              <w:snapToGrid w:val="0"/>
              <w:rPr>
                <w:color w:val="000000" w:themeColor="text1"/>
                <w:kern w:val="0"/>
                <w14:textFill>
                  <w14:solidFill>
                    <w14:schemeClr w14:val="tx1"/>
                  </w14:solidFill>
                </w14:textFill>
              </w:rPr>
            </w:pPr>
            <w:r>
              <w:rPr>
                <w:color w:val="000000" w:themeColor="text1"/>
                <w:kern w:val="0"/>
                <w14:textFill>
                  <w14:solidFill>
                    <w14:schemeClr w14:val="tx1"/>
                  </w14:solidFill>
                </w14:textFill>
              </w:rPr>
              <w:t>审查机关：云南省环境保护厅</w:t>
            </w:r>
          </w:p>
          <w:p>
            <w:pPr>
              <w:autoSpaceDE w:val="0"/>
              <w:autoSpaceDN w:val="0"/>
              <w:adjustRightInd w:val="0"/>
              <w:snapToGrid w:val="0"/>
              <w:rPr>
                <w:color w:val="000000" w:themeColor="text1"/>
                <w:kern w:val="0"/>
                <w14:textFill>
                  <w14:solidFill>
                    <w14:schemeClr w14:val="tx1"/>
                  </w14:solidFill>
                </w14:textFill>
              </w:rPr>
            </w:pPr>
            <w:r>
              <w:rPr>
                <w:color w:val="000000" w:themeColor="text1"/>
                <w:kern w:val="0"/>
                <w14:textFill>
                  <w14:solidFill>
                    <w14:schemeClr w14:val="tx1"/>
                  </w14:solidFill>
                </w14:textFill>
              </w:rPr>
              <w:t>审查文件名称及文号：云南省环境保护厅关于《晋宁工业园区总体规划修编（2012~2030）环境影响报告书》的审查意见的函（云环函﹝2014﹞131号）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48" w:hRule="atLeast"/>
          <w:jc w:val="center"/>
        </w:trPr>
        <w:tc>
          <w:tcPr>
            <w:tcW w:w="1626" w:type="dxa"/>
            <w:vAlign w:val="center"/>
          </w:tcPr>
          <w:p>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14:textFill>
                  <w14:solidFill>
                    <w14:schemeClr w14:val="tx1"/>
                  </w14:solidFill>
                </w14:textFill>
              </w:rPr>
              <w:t>规划及规划环境影响评价符合性分析</w:t>
            </w:r>
          </w:p>
        </w:tc>
        <w:tc>
          <w:tcPr>
            <w:tcW w:w="7244" w:type="dxa"/>
            <w:gridSpan w:val="3"/>
            <w:vAlign w:val="center"/>
          </w:tcPr>
          <w:p>
            <w:pPr>
              <w:autoSpaceDE w:val="0"/>
              <w:autoSpaceDN w:val="0"/>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一、规划符合性分析</w:t>
            </w:r>
          </w:p>
          <w:p>
            <w:pPr>
              <w:autoSpaceDE w:val="0"/>
              <w:autoSpaceDN w:val="0"/>
              <w:ind w:firstLine="482" w:firstLineChars="200"/>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1、规划概述</w:t>
            </w:r>
          </w:p>
          <w:p>
            <w:pPr>
              <w:tabs>
                <w:tab w:val="left" w:pos="5460"/>
              </w:tabs>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根据《云南晋宁工业园区总体规划修编（2012-2030）》，园区空间布局结构为“一园三区六基地”。“一园”即晋宁工业园区；“三区”即东区、西区和南区；三区又划分为“六基地”，东区含晋城工业基地和上蒜工业基地，西区含二街工业基地和青山工业基地，南区含宝峰工业基地和乌龙工业基地，六个工业基地共同构成晋宁工业园区。</w:t>
            </w:r>
          </w:p>
          <w:p>
            <w:pPr>
              <w:autoSpaceDE w:val="0"/>
              <w:autoSpaceDN w:val="0"/>
              <w:ind w:firstLine="482" w:firstLineChars="200"/>
              <w:rPr>
                <w:color w:val="000000" w:themeColor="text1"/>
                <w:kern w:val="0"/>
                <w14:textFill>
                  <w14:solidFill>
                    <w14:schemeClr w14:val="tx1"/>
                  </w14:solidFill>
                </w14:textFill>
              </w:rPr>
            </w:pPr>
            <w:r>
              <w:rPr>
                <w:b/>
                <w:bCs/>
                <w:color w:val="000000" w:themeColor="text1"/>
                <w:kern w:val="0"/>
                <w14:textFill>
                  <w14:solidFill>
                    <w14:schemeClr w14:val="tx1"/>
                  </w14:solidFill>
                </w14:textFill>
              </w:rPr>
              <w:t>晋城工业基地：</w:t>
            </w:r>
            <w:r>
              <w:rPr>
                <w:color w:val="000000" w:themeColor="text1"/>
                <w:kern w:val="0"/>
                <w14:textFill>
                  <w14:solidFill>
                    <w14:schemeClr w14:val="tx1"/>
                  </w14:solidFill>
                </w14:textFill>
              </w:rPr>
              <w:t>定位为云南省重要的先进装备制造及相关产业基地，由先进装备制造产业园和轨道交通产业园构成。规划总用地面积为10.92平方公里，装备制造产业园规划总用地面积为8.63平方公里，轨道交通产业园规划总用地面积为2.29平方公里。</w:t>
            </w:r>
          </w:p>
          <w:p>
            <w:pPr>
              <w:autoSpaceDE w:val="0"/>
              <w:autoSpaceDN w:val="0"/>
              <w:ind w:firstLine="482" w:firstLineChars="200"/>
              <w:rPr>
                <w:color w:val="000000" w:themeColor="text1"/>
                <w:kern w:val="0"/>
                <w14:textFill>
                  <w14:solidFill>
                    <w14:schemeClr w14:val="tx1"/>
                  </w14:solidFill>
                </w14:textFill>
              </w:rPr>
            </w:pPr>
            <w:r>
              <w:rPr>
                <w:b/>
                <w:bCs/>
                <w:color w:val="000000" w:themeColor="text1"/>
                <w:kern w:val="0"/>
                <w14:textFill>
                  <w14:solidFill>
                    <w14:schemeClr w14:val="tx1"/>
                  </w14:solidFill>
                </w14:textFill>
              </w:rPr>
              <w:t>上蒜工业基地：</w:t>
            </w:r>
            <w:r>
              <w:rPr>
                <w:color w:val="000000" w:themeColor="text1"/>
                <w:kern w:val="0"/>
                <w14:textFill>
                  <w14:solidFill>
                    <w14:schemeClr w14:val="tx1"/>
                  </w14:solidFill>
                </w14:textFill>
              </w:rPr>
              <w:t>定位为新型建材和电子信息材料产业基地，规划总用地面积为2.66平方公里。</w:t>
            </w:r>
          </w:p>
          <w:p>
            <w:pPr>
              <w:autoSpaceDE w:val="0"/>
              <w:autoSpaceDN w:val="0"/>
              <w:ind w:firstLine="482" w:firstLineChars="200"/>
              <w:rPr>
                <w:color w:val="000000" w:themeColor="text1"/>
                <w:kern w:val="0"/>
                <w14:textFill>
                  <w14:solidFill>
                    <w14:schemeClr w14:val="tx1"/>
                  </w14:solidFill>
                </w14:textFill>
              </w:rPr>
            </w:pPr>
            <w:r>
              <w:rPr>
                <w:b/>
                <w:bCs/>
                <w:color w:val="000000" w:themeColor="text1"/>
                <w:kern w:val="0"/>
                <w14:textFill>
                  <w14:solidFill>
                    <w14:schemeClr w14:val="tx1"/>
                  </w14:solidFill>
                </w14:textFill>
              </w:rPr>
              <w:t>二街工业基地：</w:t>
            </w:r>
            <w:r>
              <w:rPr>
                <w:color w:val="000000" w:themeColor="text1"/>
                <w:kern w:val="0"/>
                <w14:textFill>
                  <w14:solidFill>
                    <w14:schemeClr w14:val="tx1"/>
                  </w14:solidFill>
                </w14:textFill>
              </w:rPr>
              <w:t>定位为云南乃至中国西南的国家重点精细磷化工产业园，规划总用地面积为8.55平方公里。</w:t>
            </w:r>
          </w:p>
          <w:p>
            <w:pPr>
              <w:autoSpaceDE w:val="0"/>
              <w:autoSpaceDN w:val="0"/>
              <w:ind w:firstLine="482" w:firstLineChars="200"/>
              <w:rPr>
                <w:color w:val="000000" w:themeColor="text1"/>
                <w:kern w:val="0"/>
                <w14:textFill>
                  <w14:solidFill>
                    <w14:schemeClr w14:val="tx1"/>
                  </w14:solidFill>
                </w14:textFill>
              </w:rPr>
            </w:pPr>
            <w:r>
              <w:rPr>
                <w:b/>
                <w:bCs/>
                <w:color w:val="000000" w:themeColor="text1"/>
                <w:kern w:val="0"/>
                <w14:textFill>
                  <w14:solidFill>
                    <w14:schemeClr w14:val="tx1"/>
                  </w14:solidFill>
                </w14:textFill>
              </w:rPr>
              <w:t>青山工业基地：</w:t>
            </w:r>
            <w:r>
              <w:rPr>
                <w:color w:val="000000" w:themeColor="text1"/>
                <w:kern w:val="0"/>
                <w14:textFill>
                  <w14:solidFill>
                    <w14:schemeClr w14:val="tx1"/>
                  </w14:solidFill>
                </w14:textFill>
              </w:rPr>
              <w:t>定位为以大宗生产资料和生活原料生产储运为重点的国际公铁联运平台、综合性物流产业、国际贸易及加工制造工业基地，规划总用地面积为8.62平方公里。</w:t>
            </w:r>
          </w:p>
          <w:p>
            <w:pPr>
              <w:autoSpaceDE w:val="0"/>
              <w:autoSpaceDN w:val="0"/>
              <w:ind w:firstLine="482" w:firstLineChars="200"/>
              <w:rPr>
                <w:color w:val="000000" w:themeColor="text1"/>
                <w:kern w:val="0"/>
                <w14:textFill>
                  <w14:solidFill>
                    <w14:schemeClr w14:val="tx1"/>
                  </w14:solidFill>
                </w14:textFill>
              </w:rPr>
            </w:pPr>
            <w:r>
              <w:rPr>
                <w:b/>
                <w:bCs/>
                <w:color w:val="000000" w:themeColor="text1"/>
                <w:kern w:val="0"/>
                <w14:textFill>
                  <w14:solidFill>
                    <w14:schemeClr w14:val="tx1"/>
                  </w14:solidFill>
                </w14:textFill>
              </w:rPr>
              <w:t>宝峰工业基地：</w:t>
            </w:r>
            <w:r>
              <w:rPr>
                <w:color w:val="000000" w:themeColor="text1"/>
                <w:kern w:val="0"/>
                <w14:textFill>
                  <w14:solidFill>
                    <w14:schemeClr w14:val="tx1"/>
                  </w14:solidFill>
                </w14:textFill>
              </w:rPr>
              <w:t>定位为晋宁大健康产业配套健康食品加工产业和生物医药制造产业基地，规划总用地面积2.14平方公里。</w:t>
            </w:r>
          </w:p>
          <w:p>
            <w:pPr>
              <w:autoSpaceDE w:val="0"/>
              <w:autoSpaceDN w:val="0"/>
              <w:ind w:firstLine="482" w:firstLineChars="200"/>
              <w:rPr>
                <w:color w:val="000000" w:themeColor="text1"/>
                <w:kern w:val="0"/>
                <w14:textFill>
                  <w14:solidFill>
                    <w14:schemeClr w14:val="tx1"/>
                  </w14:solidFill>
                </w14:textFill>
              </w:rPr>
            </w:pPr>
            <w:r>
              <w:rPr>
                <w:b/>
                <w:bCs/>
                <w:color w:val="000000" w:themeColor="text1"/>
                <w:kern w:val="0"/>
                <w14:textFill>
                  <w14:solidFill>
                    <w14:schemeClr w14:val="tx1"/>
                  </w14:solidFill>
                </w14:textFill>
              </w:rPr>
              <w:t>乌龙工业基地：</w:t>
            </w:r>
            <w:r>
              <w:rPr>
                <w:color w:val="000000" w:themeColor="text1"/>
                <w:kern w:val="0"/>
                <w14:textFill>
                  <w14:solidFill>
                    <w14:schemeClr w14:val="tx1"/>
                  </w14:solidFill>
                </w14:textFill>
              </w:rPr>
              <w:t>定位为中小企业孵化、总部经济产业和光学仪器产业基地，规划总用地面积0.72平方公里。</w:t>
            </w:r>
          </w:p>
          <w:p>
            <w:pPr>
              <w:autoSpaceDE w:val="0"/>
              <w:autoSpaceDN w:val="0"/>
              <w:ind w:firstLine="482" w:firstLineChars="200"/>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2、符合性分析</w:t>
            </w:r>
          </w:p>
          <w:p>
            <w:pPr>
              <w:autoSpaceDE w:val="0"/>
              <w:autoSpaceDN w:val="0"/>
              <w:ind w:firstLine="482" w:firstLineChars="200"/>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（1）用地符合性分析</w:t>
            </w:r>
          </w:p>
          <w:p>
            <w:pPr>
              <w:autoSpaceDE w:val="0"/>
              <w:autoSpaceDN w:val="0"/>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本项目位于晋宁工业园区，</w:t>
            </w:r>
            <w:r>
              <w:rPr>
                <w:rFonts w:hint="eastAsia"/>
                <w:color w:val="000000" w:themeColor="text1"/>
                <w:kern w:val="0"/>
                <w14:textFill>
                  <w14:solidFill>
                    <w14:schemeClr w14:val="tx1"/>
                  </w14:solidFill>
                </w14:textFill>
              </w:rPr>
              <w:t>占地类型为二类工业用地</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项目占地类型</w:t>
            </w:r>
            <w:r>
              <w:rPr>
                <w:color w:val="000000" w:themeColor="text1"/>
                <w:kern w:val="0"/>
                <w14:textFill>
                  <w14:solidFill>
                    <w14:schemeClr w14:val="tx1"/>
                  </w14:solidFill>
                </w14:textFill>
              </w:rPr>
              <w:t>详见附图5</w:t>
            </w:r>
            <w:r>
              <w:rPr>
                <w:rFonts w:hint="eastAsia"/>
                <w:color w:val="000000" w:themeColor="text1"/>
                <w:kern w:val="0"/>
                <w14:textFill>
                  <w14:solidFill>
                    <w14:schemeClr w14:val="tx1"/>
                  </w14:solidFill>
                </w14:textFill>
              </w:rPr>
              <w:t>。</w:t>
            </w:r>
          </w:p>
          <w:p>
            <w:pPr>
              <w:autoSpaceDE w:val="0"/>
              <w:autoSpaceDN w:val="0"/>
              <w:ind w:firstLine="482" w:firstLineChars="200"/>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（2）产业布局符合性分析</w:t>
            </w:r>
          </w:p>
          <w:p>
            <w:pPr>
              <w:autoSpaceDE w:val="0"/>
              <w:autoSpaceDN w:val="0"/>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根据《晋宁工业园区总体规划修编（2012~2030）》，本项目所在</w:t>
            </w:r>
            <w:r>
              <w:rPr>
                <w:rFonts w:hint="eastAsia"/>
                <w:color w:val="000000" w:themeColor="text1"/>
                <w:kern w:val="0"/>
                <w14:textFill>
                  <w14:solidFill>
                    <w14:schemeClr w14:val="tx1"/>
                  </w14:solidFill>
                </w14:textFill>
              </w:rPr>
              <w:t>青山</w:t>
            </w:r>
            <w:r>
              <w:rPr>
                <w:color w:val="000000" w:themeColor="text1"/>
                <w:kern w:val="0"/>
                <w14:textFill>
                  <w14:solidFill>
                    <w14:schemeClr w14:val="tx1"/>
                  </w14:solidFill>
                </w14:textFill>
              </w:rPr>
              <w:t>工业基地定位为</w:t>
            </w:r>
            <w:r>
              <w:rPr>
                <w:rFonts w:hint="eastAsia"/>
                <w:color w:val="000000" w:themeColor="text1"/>
                <w:kern w:val="0"/>
                <w14:textFill>
                  <w14:solidFill>
                    <w14:schemeClr w14:val="tx1"/>
                  </w14:solidFill>
                </w14:textFill>
              </w:rPr>
              <w:t>以大宗生产资料和生活原料生产储运为重点的国际公铁联运平台、综合性物流产业及加工制造工业园区</w:t>
            </w:r>
            <w:r>
              <w:rPr>
                <w:color w:val="000000" w:themeColor="text1"/>
                <w:kern w:val="0"/>
                <w14:textFill>
                  <w14:solidFill>
                    <w14:schemeClr w14:val="tx1"/>
                  </w14:solidFill>
                </w14:textFill>
              </w:rPr>
              <w:t>。本项目主要进行</w:t>
            </w:r>
            <w:r>
              <w:rPr>
                <w:rFonts w:hint="eastAsia"/>
                <w:color w:val="000000" w:themeColor="text1"/>
                <w:kern w:val="0"/>
                <w14:textFill>
                  <w14:solidFill>
                    <w14:schemeClr w14:val="tx1"/>
                  </w14:solidFill>
                </w14:textFill>
              </w:rPr>
              <w:t>隧道施工专用机械（湿喷台车）</w:t>
            </w:r>
            <w:r>
              <w:rPr>
                <w:color w:val="000000" w:themeColor="text1"/>
                <w:kern w:val="0"/>
                <w14:textFill>
                  <w14:solidFill>
                    <w14:schemeClr w14:val="tx1"/>
                  </w14:solidFill>
                </w14:textFill>
              </w:rPr>
              <w:t>的</w:t>
            </w:r>
            <w:r>
              <w:rPr>
                <w:rFonts w:hint="eastAsia"/>
                <w:color w:val="000000" w:themeColor="text1"/>
                <w:kern w:val="0"/>
                <w14:textFill>
                  <w14:solidFill>
                    <w14:schemeClr w14:val="tx1"/>
                  </w14:solidFill>
                </w14:textFill>
              </w:rPr>
              <w:t>加工制造（</w:t>
            </w:r>
            <w:r>
              <w:rPr>
                <w:rFonts w:hint="eastAsia"/>
                <w:bCs/>
                <w:color w:val="000000" w:themeColor="text1"/>
                <w:kern w:val="0"/>
                <w14:textFill>
                  <w14:solidFill>
                    <w14:schemeClr w14:val="tx1"/>
                  </w14:solidFill>
                </w14:textFill>
              </w:rPr>
              <w:t>对外购的各个成品件进行组装，局部进行补漆、补接</w:t>
            </w:r>
            <w:r>
              <w:rPr>
                <w:rFonts w:hint="eastAsia"/>
                <w:color w:val="000000" w:themeColor="text1"/>
                <w:kern w:val="0"/>
                <w14:textFill>
                  <w14:solidFill>
                    <w14:schemeClr w14:val="tx1"/>
                  </w14:solidFill>
                </w14:textFill>
              </w:rPr>
              <w:t>）</w:t>
            </w:r>
            <w:r>
              <w:rPr>
                <w:color w:val="000000" w:themeColor="text1"/>
                <w:kern w:val="0"/>
                <w14:textFill>
                  <w14:solidFill>
                    <w14:schemeClr w14:val="tx1"/>
                  </w14:solidFill>
                </w14:textFill>
              </w:rPr>
              <w:t>，</w:t>
            </w: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与</w:t>
            </w:r>
            <w:r>
              <w:rPr>
                <w:color w:val="000000" w:themeColor="text1"/>
                <w14:textFill>
                  <w14:solidFill>
                    <w14:schemeClr w14:val="tx1"/>
                  </w14:solidFill>
                </w14:textFill>
              </w:rPr>
              <w:t>园区产业定位</w:t>
            </w:r>
            <w:r>
              <w:rPr>
                <w:rFonts w:hint="eastAsia"/>
                <w:color w:val="000000" w:themeColor="text1"/>
                <w14:textFill>
                  <w14:solidFill>
                    <w14:schemeClr w14:val="tx1"/>
                  </w14:solidFill>
                </w14:textFill>
              </w:rPr>
              <w:t>不冲突</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项目于2021年9月取得“晋宁工业园区管理委员会关于同意云南途腾智能装备有限公司湿喷台车组装生产基地项目入园的批复”（园区管委会复[2021]107号）。</w:t>
            </w:r>
          </w:p>
          <w:p>
            <w:pPr>
              <w:autoSpaceDE w:val="0"/>
              <w:autoSpaceDN w:val="0"/>
              <w:ind w:firstLine="480" w:firstLineChars="200"/>
              <w:rPr>
                <w:color w:val="000000" w:themeColor="text1"/>
                <w:kern w:val="0"/>
                <w:szCs w:val="28"/>
                <w14:textFill>
                  <w14:solidFill>
                    <w14:schemeClr w14:val="tx1"/>
                  </w14:solidFill>
                </w14:textFill>
              </w:rPr>
            </w:pPr>
            <w:r>
              <w:rPr>
                <w:color w:val="000000" w:themeColor="text1"/>
                <w:kern w:val="0"/>
                <w:szCs w:val="28"/>
                <w14:textFill>
                  <w14:solidFill>
                    <w14:schemeClr w14:val="tx1"/>
                  </w14:solidFill>
                </w14:textFill>
              </w:rPr>
              <w:t>综上述所，本项目与</w:t>
            </w:r>
            <w:r>
              <w:rPr>
                <w:color w:val="000000" w:themeColor="text1"/>
                <w:kern w:val="0"/>
                <w14:textFill>
                  <w14:solidFill>
                    <w14:schemeClr w14:val="tx1"/>
                  </w14:solidFill>
                </w14:textFill>
              </w:rPr>
              <w:t>《晋宁工业园区总体规划修编（2012~2030）》产业布局不冲突。</w:t>
            </w:r>
          </w:p>
          <w:p>
            <w:pPr>
              <w:numPr>
                <w:ilvl w:val="0"/>
                <w:numId w:val="3"/>
              </w:numPr>
              <w:autoSpaceDE w:val="0"/>
              <w:autoSpaceDN w:val="0"/>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规划环评及审查意见符合性分析</w:t>
            </w:r>
          </w:p>
          <w:p>
            <w:pPr>
              <w:numPr>
                <w:ilvl w:val="0"/>
                <w:numId w:val="4"/>
              </w:numPr>
              <w:ind w:firstLine="482" w:firstLineChars="200"/>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规划环评符合性分析</w:t>
            </w:r>
          </w:p>
          <w:p>
            <w:pPr>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根据《晋宁工业园区总体规划修编（2012~2030）环境影响报告书》（以下简称“园区规划环评”），《园区规划环评》未列明“鼓励入园项目”及“负面清单”，但提出了入园原则和要求，项目与其原则和要求符合性分析如下。</w:t>
            </w:r>
          </w:p>
          <w:p>
            <w:pPr>
              <w:spacing w:line="240" w:lineRule="auto"/>
              <w:jc w:val="center"/>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表1-1   项目与晋宁工业园区规划环评入园原则符合性分析</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1"/>
              <w:gridCol w:w="3071"/>
              <w:gridCol w:w="3431"/>
              <w:gridCol w:w="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8" w:type="pct"/>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序号</w:t>
                  </w:r>
                </w:p>
              </w:tc>
              <w:tc>
                <w:tcPr>
                  <w:tcW w:w="1971" w:type="pct"/>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入园原则</w:t>
                  </w:r>
                </w:p>
              </w:tc>
              <w:tc>
                <w:tcPr>
                  <w:tcW w:w="2202" w:type="pct"/>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本项目情况</w:t>
                  </w:r>
                </w:p>
              </w:tc>
              <w:tc>
                <w:tcPr>
                  <w:tcW w:w="497" w:type="pct"/>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8"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w:t>
                  </w:r>
                </w:p>
              </w:tc>
              <w:tc>
                <w:tcPr>
                  <w:tcW w:w="1971" w:type="pct"/>
                  <w:vAlign w:val="center"/>
                </w:tcPr>
                <w:p>
                  <w:pPr>
                    <w:adjustRightInd w:val="0"/>
                    <w:snapToGrid w:val="0"/>
                    <w:spacing w:line="240" w:lineRule="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符合国家及云南省相关产业政策原则：规划区引进的项目，其工艺、规模及产品应符合国家及云南省相关产业政策要求。</w:t>
                  </w:r>
                </w:p>
              </w:tc>
              <w:tc>
                <w:tcPr>
                  <w:tcW w:w="2202" w:type="pct"/>
                  <w:vAlign w:val="center"/>
                </w:tcPr>
                <w:p>
                  <w:pPr>
                    <w:adjustRightInd w:val="0"/>
                    <w:snapToGrid w:val="0"/>
                    <w:spacing w:line="240" w:lineRule="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本项目属于</w:t>
                  </w:r>
                  <w:r>
                    <w:rPr>
                      <w:rFonts w:hint="eastAsia"/>
                      <w:color w:val="000000" w:themeColor="text1"/>
                      <w:kern w:val="0"/>
                      <w:sz w:val="21"/>
                      <w:szCs w:val="21"/>
                      <w14:textFill>
                        <w14:solidFill>
                          <w14:schemeClr w14:val="tx1"/>
                        </w14:solidFill>
                      </w14:textFill>
                    </w:rPr>
                    <w:t>专用设备制造</w:t>
                  </w:r>
                  <w:r>
                    <w:rPr>
                      <w:color w:val="000000" w:themeColor="text1"/>
                      <w:kern w:val="0"/>
                      <w:sz w:val="21"/>
                      <w:szCs w:val="21"/>
                      <w14:textFill>
                        <w14:solidFill>
                          <w14:schemeClr w14:val="tx1"/>
                        </w14:solidFill>
                      </w14:textFill>
                    </w:rPr>
                    <w:t>业</w:t>
                  </w:r>
                  <w:r>
                    <w:rPr>
                      <w:rFonts w:hint="eastAsia"/>
                      <w:color w:val="000000" w:themeColor="text1"/>
                      <w:kern w:val="0"/>
                      <w:sz w:val="21"/>
                      <w:szCs w:val="21"/>
                      <w14:textFill>
                        <w14:solidFill>
                          <w14:schemeClr w14:val="tx1"/>
                        </w14:solidFill>
                      </w14:textFill>
                    </w:rPr>
                    <w:t>及金属制品、机械和设备修理业</w:t>
                  </w:r>
                  <w:r>
                    <w:rPr>
                      <w:color w:val="000000" w:themeColor="text1"/>
                      <w:kern w:val="0"/>
                      <w:sz w:val="21"/>
                      <w:szCs w:val="21"/>
                      <w14:textFill>
                        <w14:solidFill>
                          <w14:schemeClr w14:val="tx1"/>
                        </w14:solidFill>
                      </w14:textFill>
                    </w:rPr>
                    <w:t>，不属于《产业结构调整指导目录（2019年本）》、《云南省工业产业结构调整指导目录》中的鼓励类、限制类、淘汰类，属于允许类。</w:t>
                  </w:r>
                </w:p>
                <w:p>
                  <w:pPr>
                    <w:adjustRightInd w:val="0"/>
                    <w:snapToGrid w:val="0"/>
                    <w:spacing w:line="240" w:lineRule="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符合国家及地方产业政策要求。</w:t>
                  </w:r>
                </w:p>
              </w:tc>
              <w:tc>
                <w:tcPr>
                  <w:tcW w:w="497"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8"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2</w:t>
                  </w:r>
                </w:p>
              </w:tc>
              <w:tc>
                <w:tcPr>
                  <w:tcW w:w="1971" w:type="pct"/>
                  <w:vAlign w:val="center"/>
                </w:tcPr>
                <w:p>
                  <w:pPr>
                    <w:adjustRightInd w:val="0"/>
                    <w:snapToGrid w:val="0"/>
                    <w:spacing w:line="240" w:lineRule="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有利于实现晋宁工业园区产业结构的原则：引进的项目，应有利于实现晋宁工业园区产业结构，有利于晋宁工业园区规划目标的达成。</w:t>
                  </w:r>
                </w:p>
              </w:tc>
              <w:tc>
                <w:tcPr>
                  <w:tcW w:w="2202" w:type="pct"/>
                  <w:vAlign w:val="center"/>
                </w:tcPr>
                <w:p>
                  <w:pPr>
                    <w:adjustRightInd w:val="0"/>
                    <w:snapToGrid w:val="0"/>
                    <w:spacing w:line="240" w:lineRule="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本项目主要</w:t>
                  </w:r>
                  <w:r>
                    <w:rPr>
                      <w:rFonts w:hint="eastAsia"/>
                      <w:color w:val="000000" w:themeColor="text1"/>
                      <w:kern w:val="0"/>
                      <w:sz w:val="21"/>
                      <w:szCs w:val="21"/>
                      <w14:textFill>
                        <w14:solidFill>
                          <w14:schemeClr w14:val="tx1"/>
                        </w14:solidFill>
                      </w14:textFill>
                    </w:rPr>
                    <w:t>从事湿喷台车组装及修理，</w:t>
                  </w:r>
                  <w:r>
                    <w:rPr>
                      <w:color w:val="000000" w:themeColor="text1"/>
                      <w:kern w:val="0"/>
                      <w:sz w:val="21"/>
                      <w:szCs w:val="21"/>
                      <w14:textFill>
                        <w14:solidFill>
                          <w14:schemeClr w14:val="tx1"/>
                        </w14:solidFill>
                      </w14:textFill>
                    </w:rPr>
                    <w:t>与</w:t>
                  </w:r>
                  <w:r>
                    <w:rPr>
                      <w:rFonts w:hint="eastAsia"/>
                      <w:color w:val="000000" w:themeColor="text1"/>
                      <w:kern w:val="0"/>
                      <w:sz w:val="21"/>
                      <w:szCs w:val="21"/>
                      <w14:textFill>
                        <w14:solidFill>
                          <w14:schemeClr w14:val="tx1"/>
                        </w14:solidFill>
                      </w14:textFill>
                    </w:rPr>
                    <w:t>青山</w:t>
                  </w:r>
                  <w:r>
                    <w:rPr>
                      <w:color w:val="000000" w:themeColor="text1"/>
                      <w:kern w:val="0"/>
                      <w:sz w:val="21"/>
                      <w:szCs w:val="21"/>
                      <w14:textFill>
                        <w14:solidFill>
                          <w14:schemeClr w14:val="tx1"/>
                        </w14:solidFill>
                      </w14:textFill>
                    </w:rPr>
                    <w:t>工业基地的产业定位</w:t>
                  </w:r>
                  <w:r>
                    <w:rPr>
                      <w:rFonts w:hint="eastAsia"/>
                      <w:color w:val="000000" w:themeColor="text1"/>
                      <w:kern w:val="0"/>
                      <w:sz w:val="21"/>
                      <w:szCs w:val="21"/>
                      <w14:textFill>
                        <w14:solidFill>
                          <w14:schemeClr w14:val="tx1"/>
                        </w14:solidFill>
                      </w14:textFill>
                    </w:rPr>
                    <w:t>不冲突</w:t>
                  </w:r>
                  <w:r>
                    <w:rPr>
                      <w:color w:val="000000" w:themeColor="text1"/>
                      <w:kern w:val="0"/>
                      <w:sz w:val="21"/>
                      <w:szCs w:val="21"/>
                      <w14:textFill>
                        <w14:solidFill>
                          <w14:schemeClr w14:val="tx1"/>
                        </w14:solidFill>
                      </w14:textFill>
                    </w:rPr>
                    <w:t>，有利于园区规划目标的达成。</w:t>
                  </w:r>
                </w:p>
              </w:tc>
              <w:tc>
                <w:tcPr>
                  <w:tcW w:w="497"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8"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3</w:t>
                  </w:r>
                </w:p>
              </w:tc>
              <w:tc>
                <w:tcPr>
                  <w:tcW w:w="1971" w:type="pct"/>
                  <w:vAlign w:val="center"/>
                </w:tcPr>
                <w:p>
                  <w:pPr>
                    <w:adjustRightInd w:val="0"/>
                    <w:snapToGrid w:val="0"/>
                    <w:spacing w:line="240" w:lineRule="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资源节约原则：引进的项目应能够满足资源节约的原则，清洁生产水平应达到国内先进水平以上。</w:t>
                  </w:r>
                </w:p>
              </w:tc>
              <w:tc>
                <w:tcPr>
                  <w:tcW w:w="2202" w:type="pct"/>
                  <w:vAlign w:val="center"/>
                </w:tcPr>
                <w:p>
                  <w:pPr>
                    <w:adjustRightInd w:val="0"/>
                    <w:snapToGrid w:val="0"/>
                    <w:spacing w:line="240" w:lineRule="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项目使用电能，</w:t>
                  </w:r>
                  <w:r>
                    <w:rPr>
                      <w:rFonts w:hint="eastAsia"/>
                      <w:color w:val="000000" w:themeColor="text1"/>
                      <w:kern w:val="0"/>
                      <w:sz w:val="21"/>
                      <w:szCs w:val="21"/>
                      <w14:textFill>
                        <w14:solidFill>
                          <w14:schemeClr w14:val="tx1"/>
                        </w14:solidFill>
                      </w14:textFill>
                    </w:rPr>
                    <w:t>焊接烟气经移动式焊接烟尘净化器净化后呈无组织排放，喷漆、刷漆工段产生废气通过设置2个移动式集气罩，采用过滤棉+活性炭吸附后，通过15米高排气筒排放</w:t>
                  </w:r>
                  <w:r>
                    <w:rPr>
                      <w:color w:val="000000" w:themeColor="text1"/>
                      <w:kern w:val="0"/>
                      <w:sz w:val="21"/>
                      <w:szCs w:val="21"/>
                      <w14:textFill>
                        <w14:solidFill>
                          <w14:schemeClr w14:val="tx1"/>
                        </w14:solidFill>
                      </w14:textFill>
                    </w:rPr>
                    <w:t>；用水主要为员工生活，无生产废水产生；固废实现综合利用。</w:t>
                  </w:r>
                </w:p>
              </w:tc>
              <w:tc>
                <w:tcPr>
                  <w:tcW w:w="497"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8"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4</w:t>
                  </w:r>
                </w:p>
              </w:tc>
              <w:tc>
                <w:tcPr>
                  <w:tcW w:w="1971" w:type="pct"/>
                  <w:vAlign w:val="center"/>
                </w:tcPr>
                <w:p>
                  <w:pPr>
                    <w:adjustRightInd w:val="0"/>
                    <w:snapToGrid w:val="0"/>
                    <w:spacing w:line="240" w:lineRule="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环境友好原则：引进的项目应符合环境友好的原则，优先引进无污染或少污染企业。</w:t>
                  </w:r>
                </w:p>
              </w:tc>
              <w:tc>
                <w:tcPr>
                  <w:tcW w:w="2202" w:type="pct"/>
                  <w:vAlign w:val="center"/>
                </w:tcPr>
                <w:p>
                  <w:pPr>
                    <w:adjustRightInd w:val="0"/>
                    <w:snapToGrid w:val="0"/>
                    <w:spacing w:line="240" w:lineRule="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项目废气达标排放，无生产废水产生，生活污水达标接管，噪声达标排放，固废100%处置，对周围环境影响小。</w:t>
                  </w:r>
                </w:p>
              </w:tc>
              <w:tc>
                <w:tcPr>
                  <w:tcW w:w="497"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8"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5</w:t>
                  </w:r>
                </w:p>
              </w:tc>
              <w:tc>
                <w:tcPr>
                  <w:tcW w:w="1971" w:type="pct"/>
                  <w:vAlign w:val="center"/>
                </w:tcPr>
                <w:p>
                  <w:pPr>
                    <w:adjustRightInd w:val="0"/>
                    <w:snapToGrid w:val="0"/>
                    <w:spacing w:line="240" w:lineRule="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协调发展原则：引进的项目应有利于统筹城乡协调发展，有利于改善区域环境质量。</w:t>
                  </w:r>
                </w:p>
              </w:tc>
              <w:tc>
                <w:tcPr>
                  <w:tcW w:w="2202" w:type="pct"/>
                  <w:vAlign w:val="center"/>
                </w:tcPr>
                <w:p>
                  <w:pPr>
                    <w:adjustRightInd w:val="0"/>
                    <w:snapToGrid w:val="0"/>
                    <w:spacing w:line="240" w:lineRule="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项目位于工业园区，</w:t>
                  </w:r>
                  <w:r>
                    <w:rPr>
                      <w:rFonts w:hint="eastAsia"/>
                      <w:color w:val="000000" w:themeColor="text1"/>
                      <w:kern w:val="0"/>
                      <w:sz w:val="21"/>
                      <w:szCs w:val="21"/>
                      <w14:textFill>
                        <w14:solidFill>
                          <w14:schemeClr w14:val="tx1"/>
                        </w14:solidFill>
                      </w14:textFill>
                    </w:rPr>
                    <w:t>与</w:t>
                  </w:r>
                  <w:r>
                    <w:rPr>
                      <w:color w:val="000000" w:themeColor="text1"/>
                      <w:kern w:val="0"/>
                      <w:sz w:val="21"/>
                      <w:szCs w:val="21"/>
                      <w14:textFill>
                        <w14:solidFill>
                          <w14:schemeClr w14:val="tx1"/>
                        </w14:solidFill>
                      </w14:textFill>
                    </w:rPr>
                    <w:t>园区产业定位</w:t>
                  </w:r>
                  <w:r>
                    <w:rPr>
                      <w:rFonts w:hint="eastAsia"/>
                      <w:color w:val="000000" w:themeColor="text1"/>
                      <w:kern w:val="0"/>
                      <w:sz w:val="21"/>
                      <w:szCs w:val="21"/>
                      <w14:textFill>
                        <w14:solidFill>
                          <w14:schemeClr w14:val="tx1"/>
                        </w14:solidFill>
                      </w14:textFill>
                    </w:rPr>
                    <w:t>不冲突</w:t>
                  </w:r>
                  <w:r>
                    <w:rPr>
                      <w:color w:val="000000" w:themeColor="text1"/>
                      <w:kern w:val="0"/>
                      <w:sz w:val="21"/>
                      <w:szCs w:val="21"/>
                      <w14:textFill>
                        <w14:solidFill>
                          <w14:schemeClr w14:val="tx1"/>
                        </w14:solidFill>
                      </w14:textFill>
                    </w:rPr>
                    <w:t>，有利于当地城乡协调发展。</w:t>
                  </w:r>
                </w:p>
              </w:tc>
              <w:tc>
                <w:tcPr>
                  <w:tcW w:w="497"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符合</w:t>
                  </w:r>
                </w:p>
              </w:tc>
            </w:tr>
          </w:tbl>
          <w:p>
            <w:pPr>
              <w:spacing w:line="240" w:lineRule="auto"/>
              <w:jc w:val="center"/>
              <w:rPr>
                <w:b/>
                <w:bCs/>
                <w:color w:val="000000" w:themeColor="text1"/>
                <w:kern w:val="0"/>
                <w14:textFill>
                  <w14:solidFill>
                    <w14:schemeClr w14:val="tx1"/>
                  </w14:solidFill>
                </w14:textFill>
              </w:rPr>
            </w:pPr>
          </w:p>
          <w:p>
            <w:pPr>
              <w:spacing w:line="240" w:lineRule="auto"/>
              <w:jc w:val="center"/>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表1-2   项目与晋宁工业园区规划环评入园环保要求符合性分析</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1"/>
              <w:gridCol w:w="3294"/>
              <w:gridCol w:w="3206"/>
              <w:gridCol w:w="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1" w:type="pct"/>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序号</w:t>
                  </w:r>
                </w:p>
              </w:tc>
              <w:tc>
                <w:tcPr>
                  <w:tcW w:w="2114" w:type="pct"/>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入园环保</w:t>
                  </w:r>
                </w:p>
              </w:tc>
              <w:tc>
                <w:tcPr>
                  <w:tcW w:w="2058" w:type="pct"/>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本项目情况</w:t>
                  </w:r>
                </w:p>
              </w:tc>
              <w:tc>
                <w:tcPr>
                  <w:tcW w:w="485" w:type="pct"/>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1"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w:t>
                  </w:r>
                </w:p>
              </w:tc>
              <w:tc>
                <w:tcPr>
                  <w:tcW w:w="2114" w:type="pct"/>
                  <w:vAlign w:val="center"/>
                </w:tcPr>
                <w:p>
                  <w:pPr>
                    <w:adjustRightInd w:val="0"/>
                    <w:snapToGrid w:val="0"/>
                    <w:spacing w:line="240" w:lineRule="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项目必须实现达标排放，同时满足规划区总量控制要求。</w:t>
                  </w:r>
                </w:p>
              </w:tc>
              <w:tc>
                <w:tcPr>
                  <w:tcW w:w="2058" w:type="pct"/>
                  <w:vAlign w:val="center"/>
                </w:tcPr>
                <w:p>
                  <w:pPr>
                    <w:adjustRightInd w:val="0"/>
                    <w:snapToGrid w:val="0"/>
                    <w:spacing w:line="240" w:lineRule="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项目废气、废水、噪声均达标排放，固废处置率100%，排放总量满足区域要求。</w:t>
                  </w:r>
                </w:p>
              </w:tc>
              <w:tc>
                <w:tcPr>
                  <w:tcW w:w="485"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1"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2</w:t>
                  </w:r>
                </w:p>
              </w:tc>
              <w:tc>
                <w:tcPr>
                  <w:tcW w:w="2114" w:type="pct"/>
                  <w:vAlign w:val="center"/>
                </w:tcPr>
                <w:p>
                  <w:pPr>
                    <w:adjustRightInd w:val="0"/>
                    <w:snapToGrid w:val="0"/>
                    <w:spacing w:line="240" w:lineRule="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入驻项目应采取满足达标排放要求、运行稳定、技术先进、经济效益好的污染治理设施、措施。</w:t>
                  </w:r>
                </w:p>
              </w:tc>
              <w:tc>
                <w:tcPr>
                  <w:tcW w:w="2058" w:type="pct"/>
                  <w:vAlign w:val="center"/>
                </w:tcPr>
                <w:p>
                  <w:pPr>
                    <w:adjustRightInd w:val="0"/>
                    <w:snapToGrid w:val="0"/>
                    <w:spacing w:line="240" w:lineRule="auto"/>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挥发性有机物、漆雾通过设置2个移动式集气罩，采用过滤棉+活性炭吸附后，通过15米高排气筒排放</w:t>
                  </w:r>
                  <w:r>
                    <w:rPr>
                      <w:color w:val="000000" w:themeColor="text1"/>
                      <w:kern w:val="0"/>
                      <w:sz w:val="21"/>
                      <w:szCs w:val="21"/>
                      <w14:textFill>
                        <w14:solidFill>
                          <w14:schemeClr w14:val="tx1"/>
                        </w14:solidFill>
                      </w14:textFill>
                    </w:rPr>
                    <w:t>，均为环保可行技术；废水主要是生活废水，经化粪池处理后接市政管网；噪声主要采用基础减震、厂房隔声的措施减缓；固体废物能回收的进行回收，不能回收的均100%处置。上述设施均属于成本低、运行稳定的设施，能保证各项污染物就能稳定达标排放，且具有良好的经济效益。</w:t>
                  </w:r>
                </w:p>
              </w:tc>
              <w:tc>
                <w:tcPr>
                  <w:tcW w:w="485"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1"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3</w:t>
                  </w:r>
                </w:p>
              </w:tc>
              <w:tc>
                <w:tcPr>
                  <w:tcW w:w="2114" w:type="pct"/>
                  <w:vAlign w:val="center"/>
                </w:tcPr>
                <w:p>
                  <w:pPr>
                    <w:adjustRightInd w:val="0"/>
                    <w:snapToGrid w:val="0"/>
                    <w:spacing w:line="240" w:lineRule="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入驻企业产生的各种工业固体废弃物，应满足</w:t>
                  </w:r>
                  <w:r>
                    <w:rPr>
                      <w:rFonts w:hint="eastAsia"/>
                      <w:color w:val="000000" w:themeColor="text1"/>
                      <w:kern w:val="0"/>
                      <w:sz w:val="21"/>
                      <w:szCs w:val="21"/>
                      <w14:textFill>
                        <w14:solidFill>
                          <w14:schemeClr w14:val="tx1"/>
                        </w14:solidFill>
                      </w14:textFill>
                    </w:rPr>
                    <w:t>“</w:t>
                  </w:r>
                  <w:r>
                    <w:rPr>
                      <w:color w:val="000000" w:themeColor="text1"/>
                      <w:kern w:val="0"/>
                      <w:sz w:val="21"/>
                      <w:szCs w:val="21"/>
                      <w14:textFill>
                        <w14:solidFill>
                          <w14:schemeClr w14:val="tx1"/>
                        </w14:solidFill>
                      </w14:textFill>
                    </w:rPr>
                    <w:t>减量化、资源化、无害化</w:t>
                  </w:r>
                  <w:r>
                    <w:rPr>
                      <w:rFonts w:hint="eastAsia"/>
                      <w:color w:val="000000" w:themeColor="text1"/>
                      <w:kern w:val="0"/>
                      <w:sz w:val="21"/>
                      <w:szCs w:val="21"/>
                      <w14:textFill>
                        <w14:solidFill>
                          <w14:schemeClr w14:val="tx1"/>
                        </w14:solidFill>
                      </w14:textFill>
                    </w:rPr>
                    <w:t>”</w:t>
                  </w:r>
                  <w:r>
                    <w:rPr>
                      <w:color w:val="000000" w:themeColor="text1"/>
                      <w:kern w:val="0"/>
                      <w:sz w:val="21"/>
                      <w:szCs w:val="21"/>
                      <w14:textFill>
                        <w14:solidFill>
                          <w14:schemeClr w14:val="tx1"/>
                        </w14:solidFill>
                      </w14:textFill>
                    </w:rPr>
                    <w:t>要求，实现废物的零排放。</w:t>
                  </w:r>
                </w:p>
              </w:tc>
              <w:tc>
                <w:tcPr>
                  <w:tcW w:w="2058" w:type="pct"/>
                  <w:vAlign w:val="center"/>
                </w:tcPr>
                <w:p>
                  <w:pPr>
                    <w:adjustRightInd w:val="0"/>
                    <w:snapToGrid w:val="0"/>
                    <w:spacing w:line="240" w:lineRule="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固废均可100%处置，满足</w:t>
                  </w:r>
                  <w:r>
                    <w:rPr>
                      <w:rFonts w:hint="eastAsia"/>
                      <w:color w:val="000000" w:themeColor="text1"/>
                      <w:kern w:val="0"/>
                      <w:sz w:val="21"/>
                      <w:szCs w:val="21"/>
                      <w14:textFill>
                        <w14:solidFill>
                          <w14:schemeClr w14:val="tx1"/>
                        </w14:solidFill>
                      </w14:textFill>
                    </w:rPr>
                    <w:t>“</w:t>
                  </w:r>
                  <w:r>
                    <w:rPr>
                      <w:color w:val="000000" w:themeColor="text1"/>
                      <w:kern w:val="0"/>
                      <w:sz w:val="21"/>
                      <w:szCs w:val="21"/>
                      <w14:textFill>
                        <w14:solidFill>
                          <w14:schemeClr w14:val="tx1"/>
                        </w14:solidFill>
                      </w14:textFill>
                    </w:rPr>
                    <w:t>减量化、资源化、无害化</w:t>
                  </w:r>
                  <w:r>
                    <w:rPr>
                      <w:rFonts w:hint="eastAsia"/>
                      <w:color w:val="000000" w:themeColor="text1"/>
                      <w:kern w:val="0"/>
                      <w:sz w:val="21"/>
                      <w:szCs w:val="21"/>
                      <w14:textFill>
                        <w14:solidFill>
                          <w14:schemeClr w14:val="tx1"/>
                        </w14:solidFill>
                      </w14:textFill>
                    </w:rPr>
                    <w:t>”</w:t>
                  </w:r>
                  <w:r>
                    <w:rPr>
                      <w:color w:val="000000" w:themeColor="text1"/>
                      <w:kern w:val="0"/>
                      <w:sz w:val="21"/>
                      <w:szCs w:val="21"/>
                      <w14:textFill>
                        <w14:solidFill>
                          <w14:schemeClr w14:val="tx1"/>
                        </w14:solidFill>
                      </w14:textFill>
                    </w:rPr>
                    <w:t>的要求。</w:t>
                  </w:r>
                </w:p>
              </w:tc>
              <w:tc>
                <w:tcPr>
                  <w:tcW w:w="485"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1"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4</w:t>
                  </w:r>
                </w:p>
              </w:tc>
              <w:tc>
                <w:tcPr>
                  <w:tcW w:w="2114" w:type="pct"/>
                  <w:vAlign w:val="center"/>
                </w:tcPr>
                <w:p>
                  <w:pPr>
                    <w:adjustRightInd w:val="0"/>
                    <w:snapToGrid w:val="0"/>
                    <w:spacing w:line="240" w:lineRule="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限制发展高耗水、高排水产业。</w:t>
                  </w:r>
                </w:p>
              </w:tc>
              <w:tc>
                <w:tcPr>
                  <w:tcW w:w="2058" w:type="pct"/>
                  <w:vAlign w:val="center"/>
                </w:tcPr>
                <w:p>
                  <w:pPr>
                    <w:adjustRightInd w:val="0"/>
                    <w:snapToGrid w:val="0"/>
                    <w:spacing w:line="240" w:lineRule="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本项目用水主要为生活用水，</w:t>
                  </w:r>
                  <w:r>
                    <w:rPr>
                      <w:rFonts w:hint="eastAsia"/>
                      <w:color w:val="000000" w:themeColor="text1"/>
                      <w:kern w:val="0"/>
                      <w:sz w:val="21"/>
                      <w:szCs w:val="21"/>
                      <w14:textFill>
                        <w14:solidFill>
                          <w14:schemeClr w14:val="tx1"/>
                        </w14:solidFill>
                      </w14:textFill>
                    </w:rPr>
                    <w:t>且项目不属于高耗水产业，运行期</w:t>
                  </w:r>
                  <w:r>
                    <w:rPr>
                      <w:color w:val="000000" w:themeColor="text1"/>
                      <w:kern w:val="0"/>
                      <w:sz w:val="21"/>
                      <w:szCs w:val="21"/>
                      <w14:textFill>
                        <w14:solidFill>
                          <w14:schemeClr w14:val="tx1"/>
                        </w14:solidFill>
                      </w14:textFill>
                    </w:rPr>
                    <w:t>无生产废水产生。</w:t>
                  </w:r>
                </w:p>
              </w:tc>
              <w:tc>
                <w:tcPr>
                  <w:tcW w:w="485"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1"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5</w:t>
                  </w:r>
                </w:p>
              </w:tc>
              <w:tc>
                <w:tcPr>
                  <w:tcW w:w="2114" w:type="pct"/>
                  <w:vAlign w:val="center"/>
                </w:tcPr>
                <w:p>
                  <w:pPr>
                    <w:adjustRightInd w:val="0"/>
                    <w:snapToGrid w:val="0"/>
                    <w:spacing w:line="240" w:lineRule="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企业选址应符合《昆明市人民政府关于加强“一湖两江”流域水环境保护工作的若干规定》。</w:t>
                  </w:r>
                </w:p>
              </w:tc>
              <w:tc>
                <w:tcPr>
                  <w:tcW w:w="2058" w:type="pct"/>
                  <w:vAlign w:val="center"/>
                </w:tcPr>
                <w:p>
                  <w:pPr>
                    <w:adjustRightInd w:val="0"/>
                    <w:snapToGrid w:val="0"/>
                    <w:spacing w:line="240" w:lineRule="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本项目选址符合要求，且该规定已废止。</w:t>
                  </w:r>
                </w:p>
              </w:tc>
              <w:tc>
                <w:tcPr>
                  <w:tcW w:w="485"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1"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6</w:t>
                  </w:r>
                </w:p>
              </w:tc>
              <w:tc>
                <w:tcPr>
                  <w:tcW w:w="2114" w:type="pct"/>
                  <w:vAlign w:val="center"/>
                </w:tcPr>
                <w:p>
                  <w:pPr>
                    <w:adjustRightInd w:val="0"/>
                    <w:snapToGrid w:val="0"/>
                    <w:spacing w:line="240" w:lineRule="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入驻企业清洁生产水平应达到国内先进水平以上。</w:t>
                  </w:r>
                </w:p>
              </w:tc>
              <w:tc>
                <w:tcPr>
                  <w:tcW w:w="2058" w:type="pct"/>
                  <w:vAlign w:val="center"/>
                </w:tcPr>
                <w:p>
                  <w:pPr>
                    <w:adjustRightInd w:val="0"/>
                    <w:snapToGrid w:val="0"/>
                    <w:spacing w:line="240" w:lineRule="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项目使用电能，同时采取先进的治理措施减少污染物排放；项目用水主要为员工生活用水，无生产用水；废水主要为生活废水，无生产废水产生；固废实现综合利用。企业</w:t>
                  </w:r>
                  <w:r>
                    <w:rPr>
                      <w:rFonts w:hint="eastAsia"/>
                      <w:color w:val="000000" w:themeColor="text1"/>
                      <w:kern w:val="0"/>
                      <w:sz w:val="21"/>
                      <w:szCs w:val="21"/>
                      <w14:textFill>
                        <w14:solidFill>
                          <w14:schemeClr w14:val="tx1"/>
                        </w14:solidFill>
                      </w14:textFill>
                    </w:rPr>
                    <w:t>将严格落实</w:t>
                  </w:r>
                  <w:r>
                    <w:rPr>
                      <w:color w:val="000000" w:themeColor="text1"/>
                      <w:kern w:val="0"/>
                      <w:sz w:val="21"/>
                      <w:szCs w:val="21"/>
                      <w14:textFill>
                        <w14:solidFill>
                          <w14:schemeClr w14:val="tx1"/>
                        </w14:solidFill>
                      </w14:textFill>
                    </w:rPr>
                    <w:t>清洁生产</w:t>
                  </w:r>
                  <w:r>
                    <w:rPr>
                      <w:rFonts w:hint="eastAsia"/>
                      <w:color w:val="000000" w:themeColor="text1"/>
                      <w:kern w:val="0"/>
                      <w:sz w:val="21"/>
                      <w:szCs w:val="21"/>
                      <w14:textFill>
                        <w14:solidFill>
                          <w14:schemeClr w14:val="tx1"/>
                        </w14:solidFill>
                      </w14:textFill>
                    </w:rPr>
                    <w:t>政策要求，使企业清洁生产</w:t>
                  </w:r>
                  <w:r>
                    <w:rPr>
                      <w:color w:val="000000" w:themeColor="text1"/>
                      <w:kern w:val="0"/>
                      <w:sz w:val="21"/>
                      <w:szCs w:val="21"/>
                      <w14:textFill>
                        <w14:solidFill>
                          <w14:schemeClr w14:val="tx1"/>
                        </w14:solidFill>
                      </w14:textFill>
                    </w:rPr>
                    <w:t>水平</w:t>
                  </w:r>
                  <w:r>
                    <w:rPr>
                      <w:rFonts w:hint="eastAsia"/>
                      <w:color w:val="000000" w:themeColor="text1"/>
                      <w:kern w:val="0"/>
                      <w:sz w:val="21"/>
                      <w:szCs w:val="21"/>
                      <w14:textFill>
                        <w14:solidFill>
                          <w14:schemeClr w14:val="tx1"/>
                        </w14:solidFill>
                      </w14:textFill>
                    </w:rPr>
                    <w:t>达到</w:t>
                  </w:r>
                  <w:r>
                    <w:rPr>
                      <w:color w:val="000000" w:themeColor="text1"/>
                      <w:kern w:val="0"/>
                      <w:sz w:val="21"/>
                      <w:szCs w:val="21"/>
                      <w14:textFill>
                        <w14:solidFill>
                          <w14:schemeClr w14:val="tx1"/>
                        </w14:solidFill>
                      </w14:textFill>
                    </w:rPr>
                    <w:t>国内先进水平。</w:t>
                  </w:r>
                </w:p>
              </w:tc>
              <w:tc>
                <w:tcPr>
                  <w:tcW w:w="485"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1"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7</w:t>
                  </w:r>
                </w:p>
              </w:tc>
              <w:tc>
                <w:tcPr>
                  <w:tcW w:w="2114" w:type="pct"/>
                  <w:vAlign w:val="center"/>
                </w:tcPr>
                <w:p>
                  <w:pPr>
                    <w:adjustRightInd w:val="0"/>
                    <w:snapToGrid w:val="0"/>
                    <w:spacing w:line="240" w:lineRule="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滇池流域不得引进违反《云南省滇池保护条例》（2013年1月1日执行）限制或禁止建设的项目，即：严禁在滇池盆地区（上蒜、晋城、青山、宝峰、乌龙基地）新建钢铁、有色冶金、基础化工、石油化工、化肥、农药、电镀、造纸制浆、制革、印染、石棉制品、土硫磺、土磷肥和染料等污染严重的企业和项目。</w:t>
                  </w:r>
                </w:p>
              </w:tc>
              <w:tc>
                <w:tcPr>
                  <w:tcW w:w="2058" w:type="pct"/>
                  <w:vAlign w:val="center"/>
                </w:tcPr>
                <w:p>
                  <w:pPr>
                    <w:adjustRightInd w:val="0"/>
                    <w:snapToGrid w:val="0"/>
                    <w:spacing w:line="240" w:lineRule="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本项目</w:t>
                  </w:r>
                  <w:r>
                    <w:rPr>
                      <w:rFonts w:hint="eastAsia"/>
                      <w:color w:val="000000" w:themeColor="text1"/>
                      <w:kern w:val="0"/>
                      <w:sz w:val="21"/>
                      <w:szCs w:val="21"/>
                      <w14:textFill>
                        <w14:solidFill>
                          <w14:schemeClr w14:val="tx1"/>
                        </w14:solidFill>
                      </w14:textFill>
                    </w:rPr>
                    <w:t>位于青山基地，位于滇池三级保护区内，</w:t>
                  </w:r>
                  <w:r>
                    <w:rPr>
                      <w:color w:val="000000" w:themeColor="text1"/>
                      <w:kern w:val="0"/>
                      <w:sz w:val="21"/>
                      <w:szCs w:val="21"/>
                      <w14:textFill>
                        <w14:solidFill>
                          <w14:schemeClr w14:val="tx1"/>
                        </w14:solidFill>
                      </w14:textFill>
                    </w:rPr>
                    <w:t>主要进行</w:t>
                  </w:r>
                  <w:r>
                    <w:rPr>
                      <w:rFonts w:hint="eastAsia"/>
                      <w:color w:val="000000" w:themeColor="text1"/>
                      <w:kern w:val="0"/>
                      <w:sz w:val="21"/>
                      <w:szCs w:val="21"/>
                      <w14:textFill>
                        <w14:solidFill>
                          <w14:schemeClr w14:val="tx1"/>
                        </w14:solidFill>
                      </w14:textFill>
                    </w:rPr>
                    <w:t>隧道施工专用机械制造及专业设备维修</w:t>
                  </w:r>
                  <w:r>
                    <w:rPr>
                      <w:color w:val="000000" w:themeColor="text1"/>
                      <w:kern w:val="0"/>
                      <w:sz w:val="21"/>
                      <w:szCs w:val="21"/>
                      <w14:textFill>
                        <w14:solidFill>
                          <w14:schemeClr w14:val="tx1"/>
                        </w14:solidFill>
                      </w14:textFill>
                    </w:rPr>
                    <w:t>，不属于条例禁止和限制的行业。</w:t>
                  </w:r>
                </w:p>
              </w:tc>
              <w:tc>
                <w:tcPr>
                  <w:tcW w:w="485"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41"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8</w:t>
                  </w:r>
                </w:p>
              </w:tc>
              <w:tc>
                <w:tcPr>
                  <w:tcW w:w="2114" w:type="pct"/>
                  <w:vAlign w:val="center"/>
                </w:tcPr>
                <w:p>
                  <w:pPr>
                    <w:adjustRightInd w:val="0"/>
                    <w:snapToGrid w:val="0"/>
                    <w:spacing w:line="240" w:lineRule="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满足规划区功能定位及产业结构的企业，只有满足上述要求后方能进驻。</w:t>
                  </w:r>
                </w:p>
              </w:tc>
              <w:tc>
                <w:tcPr>
                  <w:tcW w:w="2058" w:type="pct"/>
                  <w:vAlign w:val="center"/>
                </w:tcPr>
                <w:p>
                  <w:pPr>
                    <w:adjustRightInd w:val="0"/>
                    <w:snapToGrid w:val="0"/>
                    <w:spacing w:line="240" w:lineRule="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本项目与园区产业定位不冲突，且满足上述要求。</w:t>
                  </w:r>
                </w:p>
              </w:tc>
              <w:tc>
                <w:tcPr>
                  <w:tcW w:w="485"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符合</w:t>
                  </w:r>
                </w:p>
              </w:tc>
            </w:tr>
          </w:tbl>
          <w:p>
            <w:pPr>
              <w:autoSpaceDE w:val="0"/>
              <w:autoSpaceDN w:val="0"/>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综上所述，本项目符合《晋宁工业园区总体规划修编（2012~2030）环境影响报告书》提出的入园原则和环保要求。</w:t>
            </w:r>
          </w:p>
          <w:p>
            <w:pPr>
              <w:autoSpaceDE w:val="0"/>
              <w:autoSpaceDN w:val="0"/>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三、与“云南省环境保护厅关于《晋宁工业园区总体规划修编（2012~2030）环境影响报告书》审查意见的函（云环函〔2014〕131号）”符合性分析</w:t>
            </w:r>
          </w:p>
          <w:p>
            <w:pPr>
              <w:autoSpaceDE w:val="0"/>
              <w:autoSpaceDN w:val="0"/>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项目与“云南省环境保护厅关于《晋宁工业园区总体规划修编（2012~2030）环境影响报告书》审查意见的函（云环函〔2014〕131号）”符合性分析见表1-3。</w:t>
            </w:r>
          </w:p>
          <w:p>
            <w:pPr>
              <w:spacing w:line="240" w:lineRule="auto"/>
              <w:jc w:val="center"/>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表1-3   项目与晋宁工业园区规划环评审查意见符合性分析</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8"/>
              <w:gridCol w:w="3465"/>
              <w:gridCol w:w="3054"/>
              <w:gridCol w:w="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 w:type="pct"/>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序号</w:t>
                  </w:r>
                </w:p>
              </w:tc>
              <w:tc>
                <w:tcPr>
                  <w:tcW w:w="2224" w:type="pct"/>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审查意见的函</w:t>
                  </w:r>
                </w:p>
                <w:p>
                  <w:pPr>
                    <w:adjustRightInd w:val="0"/>
                    <w:snapToGrid w:val="0"/>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（主要摘选与项目相关要求）</w:t>
                  </w:r>
                </w:p>
              </w:tc>
              <w:tc>
                <w:tcPr>
                  <w:tcW w:w="1960" w:type="pct"/>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本项目情况</w:t>
                  </w:r>
                </w:p>
              </w:tc>
              <w:tc>
                <w:tcPr>
                  <w:tcW w:w="475" w:type="pct"/>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w:t>
                  </w:r>
                </w:p>
              </w:tc>
              <w:tc>
                <w:tcPr>
                  <w:tcW w:w="2224" w:type="pct"/>
                  <w:vAlign w:val="center"/>
                </w:tcPr>
                <w:p>
                  <w:pPr>
                    <w:adjustRightInd w:val="0"/>
                    <w:snapToGrid w:val="0"/>
                    <w:spacing w:line="240" w:lineRule="auto"/>
                    <w:ind w:firstLine="422" w:firstLineChars="200"/>
                    <w:rPr>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关于水资源和水环境保护问题：</w:t>
                  </w:r>
                  <w:r>
                    <w:rPr>
                      <w:color w:val="000000" w:themeColor="text1"/>
                      <w:kern w:val="0"/>
                      <w:sz w:val="21"/>
                      <w:szCs w:val="21"/>
                      <w14:textFill>
                        <w14:solidFill>
                          <w14:schemeClr w14:val="tx1"/>
                        </w14:solidFill>
                      </w14:textFill>
                    </w:rPr>
                    <w:t>（三）园区青山、宝峰、上蒜、晋城、乌龙5个基地均位于滇池流域，规划实施过程中应严格执行《云南省滇池保护条例》相关规定，禁止建设造纸、制革、印染、染料、炼焦、炼硫、炼砷、炼油、炼汞、电镀、化肥、农药、石棉、水泥、玻璃、冶金、火电以及其他严重污染环境的生产项目。加快乌龙、青山、上蒜、晋城基地与截污干管的对接工作，确保各基地项目入驻时，能够及时进入各基地对应的污水处理厂处理。在古城河、大河、柴河和东大河等入滇河流两侧外延50米不得进行园区建设。</w:t>
                  </w:r>
                </w:p>
              </w:tc>
              <w:tc>
                <w:tcPr>
                  <w:tcW w:w="1960" w:type="pct"/>
                  <w:vAlign w:val="center"/>
                </w:tcPr>
                <w:p>
                  <w:pPr>
                    <w:adjustRightInd w:val="0"/>
                    <w:snapToGrid w:val="0"/>
                    <w:spacing w:line="240" w:lineRule="auto"/>
                    <w:ind w:firstLine="420" w:firstLineChars="200"/>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本项目</w:t>
                  </w:r>
                  <w:r>
                    <w:rPr>
                      <w:rFonts w:hint="eastAsia"/>
                      <w:color w:val="000000" w:themeColor="text1"/>
                      <w:kern w:val="0"/>
                      <w:sz w:val="21"/>
                      <w:szCs w:val="21"/>
                      <w14:textFill>
                        <w14:solidFill>
                          <w14:schemeClr w14:val="tx1"/>
                        </w14:solidFill>
                      </w14:textFill>
                    </w:rPr>
                    <w:t>位于青山基地，位于滇池三级保护区内，</w:t>
                  </w:r>
                  <w:r>
                    <w:rPr>
                      <w:color w:val="000000" w:themeColor="text1"/>
                      <w:kern w:val="0"/>
                      <w:sz w:val="21"/>
                      <w:szCs w:val="21"/>
                      <w14:textFill>
                        <w14:solidFill>
                          <w14:schemeClr w14:val="tx1"/>
                        </w14:solidFill>
                      </w14:textFill>
                    </w:rPr>
                    <w:t>属于</w:t>
                  </w:r>
                  <w:r>
                    <w:rPr>
                      <w:rFonts w:hint="eastAsia"/>
                      <w:color w:val="000000" w:themeColor="text1"/>
                      <w:kern w:val="0"/>
                      <w:sz w:val="21"/>
                      <w:szCs w:val="21"/>
                      <w14:textFill>
                        <w14:solidFill>
                          <w14:schemeClr w14:val="tx1"/>
                        </w14:solidFill>
                      </w14:textFill>
                    </w:rPr>
                    <w:t>专用设备制造、修理</w:t>
                  </w:r>
                  <w:r>
                    <w:rPr>
                      <w:color w:val="000000" w:themeColor="text1"/>
                      <w:kern w:val="0"/>
                      <w:sz w:val="21"/>
                      <w:szCs w:val="21"/>
                      <w14:textFill>
                        <w14:solidFill>
                          <w14:schemeClr w14:val="tx1"/>
                        </w14:solidFill>
                      </w14:textFill>
                    </w:rPr>
                    <w:t>业，不在所禁止的行业范围内。</w:t>
                  </w:r>
                  <w:r>
                    <w:rPr>
                      <w:rFonts w:hint="eastAsia"/>
                      <w:color w:val="000000" w:themeColor="text1"/>
                      <w:kern w:val="0"/>
                      <w:sz w:val="21"/>
                      <w:szCs w:val="21"/>
                      <w14:textFill>
                        <w14:solidFill>
                          <w14:schemeClr w14:val="tx1"/>
                        </w14:solidFill>
                      </w14:textFill>
                    </w:rPr>
                    <w:t>项目区域地表水体为古城河，本</w:t>
                  </w:r>
                  <w:r>
                    <w:rPr>
                      <w:color w:val="000000" w:themeColor="text1"/>
                      <w:kern w:val="0"/>
                      <w:sz w:val="21"/>
                      <w:szCs w:val="21"/>
                      <w14:textFill>
                        <w14:solidFill>
                          <w14:schemeClr w14:val="tx1"/>
                        </w14:solidFill>
                      </w14:textFill>
                    </w:rPr>
                    <w:t>项目位置距离</w:t>
                  </w:r>
                  <w:r>
                    <w:rPr>
                      <w:rFonts w:hint="eastAsia"/>
                      <w:color w:val="000000" w:themeColor="text1"/>
                      <w:kern w:val="0"/>
                      <w:sz w:val="21"/>
                      <w:szCs w:val="21"/>
                      <w14:textFill>
                        <w14:solidFill>
                          <w14:schemeClr w14:val="tx1"/>
                        </w14:solidFill>
                      </w14:textFill>
                    </w:rPr>
                    <w:t>古城</w:t>
                  </w:r>
                  <w:r>
                    <w:rPr>
                      <w:color w:val="000000" w:themeColor="text1"/>
                      <w:kern w:val="0"/>
                      <w:sz w:val="21"/>
                      <w:szCs w:val="21"/>
                      <w14:textFill>
                        <w14:solidFill>
                          <w14:schemeClr w14:val="tx1"/>
                        </w14:solidFill>
                      </w14:textFill>
                    </w:rPr>
                    <w:t>河最近距离为2</w:t>
                  </w:r>
                  <w:r>
                    <w:rPr>
                      <w:rFonts w:hint="eastAsia"/>
                      <w:color w:val="000000" w:themeColor="text1"/>
                      <w:kern w:val="0"/>
                      <w:sz w:val="21"/>
                      <w:szCs w:val="21"/>
                      <w14:textFill>
                        <w14:solidFill>
                          <w14:schemeClr w14:val="tx1"/>
                        </w14:solidFill>
                      </w14:textFill>
                    </w:rPr>
                    <w:t>75</w:t>
                  </w:r>
                  <w:r>
                    <w:rPr>
                      <w:color w:val="000000" w:themeColor="text1"/>
                      <w:kern w:val="0"/>
                      <w:sz w:val="21"/>
                      <w:szCs w:val="21"/>
                      <w14:textFill>
                        <w14:solidFill>
                          <w14:schemeClr w14:val="tx1"/>
                        </w14:solidFill>
                      </w14:textFill>
                    </w:rPr>
                    <w:t>m。</w:t>
                  </w:r>
                </w:p>
              </w:tc>
              <w:tc>
                <w:tcPr>
                  <w:tcW w:w="475"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2</w:t>
                  </w:r>
                </w:p>
              </w:tc>
              <w:tc>
                <w:tcPr>
                  <w:tcW w:w="2224" w:type="pct"/>
                  <w:vAlign w:val="center"/>
                </w:tcPr>
                <w:p>
                  <w:pPr>
                    <w:adjustRightInd w:val="0"/>
                    <w:snapToGrid w:val="0"/>
                    <w:spacing w:line="240" w:lineRule="auto"/>
                    <w:ind w:firstLine="422" w:firstLineChars="200"/>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关于园区大气环境保护问题：</w:t>
                  </w:r>
                </w:p>
                <w:p>
                  <w:pPr>
                    <w:numPr>
                      <w:ilvl w:val="0"/>
                      <w:numId w:val="5"/>
                    </w:numPr>
                    <w:adjustRightInd w:val="0"/>
                    <w:snapToGrid w:val="0"/>
                    <w:spacing w:line="240" w:lineRule="auto"/>
                    <w:ind w:firstLine="420" w:firstLineChars="200"/>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考虑</w:t>
                  </w:r>
                  <w:r>
                    <w:rPr>
                      <w:color w:val="000000" w:themeColor="text1"/>
                      <w:kern w:val="0"/>
                      <w:sz w:val="21"/>
                      <w:szCs w:val="21"/>
                      <w14:textFill>
                        <w14:solidFill>
                          <w14:schemeClr w14:val="tx1"/>
                        </w14:solidFill>
                      </w14:textFill>
                    </w:rPr>
                    <w:t>二街基地</w:t>
                  </w:r>
                  <w:r>
                    <w:rPr>
                      <w:rFonts w:hint="eastAsia"/>
                      <w:color w:val="000000" w:themeColor="text1"/>
                      <w:kern w:val="0"/>
                      <w:sz w:val="21"/>
                      <w:szCs w:val="21"/>
                      <w14:textFill>
                        <w14:solidFill>
                          <w14:schemeClr w14:val="tx1"/>
                        </w14:solidFill>
                      </w14:textFill>
                    </w:rPr>
                    <w:t>对昆明主城区、晋宁区的影响</w:t>
                  </w:r>
                  <w:r>
                    <w:rPr>
                      <w:color w:val="000000" w:themeColor="text1"/>
                      <w:kern w:val="0"/>
                      <w:sz w:val="21"/>
                      <w:szCs w:val="21"/>
                      <w14:textFill>
                        <w14:solidFill>
                          <w14:schemeClr w14:val="tx1"/>
                        </w14:solidFill>
                      </w14:textFill>
                    </w:rPr>
                    <w:t>，</w:t>
                  </w:r>
                  <w:r>
                    <w:rPr>
                      <w:rFonts w:hint="eastAsia"/>
                      <w:color w:val="000000" w:themeColor="text1"/>
                      <w:kern w:val="0"/>
                      <w:sz w:val="21"/>
                      <w:szCs w:val="21"/>
                      <w14:textFill>
                        <w14:solidFill>
                          <w14:schemeClr w14:val="tx1"/>
                        </w14:solidFill>
                      </w14:textFill>
                    </w:rPr>
                    <w:t>不宜新增布局有色金属冶炼和粗放型磷化工等大气重污染产业</w:t>
                  </w:r>
                  <w:r>
                    <w:rPr>
                      <w:color w:val="000000" w:themeColor="text1"/>
                      <w:kern w:val="0"/>
                      <w:sz w:val="21"/>
                      <w:szCs w:val="21"/>
                      <w14:textFill>
                        <w14:solidFill>
                          <w14:schemeClr w14:val="tx1"/>
                        </w14:solidFill>
                      </w14:textFill>
                    </w:rPr>
                    <w:t>。</w:t>
                  </w:r>
                </w:p>
                <w:p>
                  <w:pPr>
                    <w:numPr>
                      <w:ilvl w:val="0"/>
                      <w:numId w:val="5"/>
                    </w:numPr>
                    <w:adjustRightInd w:val="0"/>
                    <w:snapToGrid w:val="0"/>
                    <w:spacing w:line="240" w:lineRule="auto"/>
                    <w:ind w:firstLine="420" w:firstLineChars="200"/>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园区应与城镇发展规划、园内村庄搬迁及园内现有村庄保持必要的环境防护距离，入园企业应严格按照建设项目环境影响评价文件明确的环境防护距离要求进行选址，防止对保留村庄的环境污染影响。</w:t>
                  </w:r>
                </w:p>
              </w:tc>
              <w:tc>
                <w:tcPr>
                  <w:tcW w:w="1960" w:type="pct"/>
                  <w:vAlign w:val="center"/>
                </w:tcPr>
                <w:p>
                  <w:pPr>
                    <w:numPr>
                      <w:ilvl w:val="0"/>
                      <w:numId w:val="6"/>
                    </w:numPr>
                    <w:adjustRightInd w:val="0"/>
                    <w:snapToGrid w:val="0"/>
                    <w:spacing w:line="240" w:lineRule="auto"/>
                    <w:ind w:firstLine="420" w:firstLineChars="200"/>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本项目废气主要为焊接粉尘、喷涂</w:t>
                  </w:r>
                  <w:r>
                    <w:rPr>
                      <w:rFonts w:hint="eastAsia"/>
                      <w:color w:val="000000" w:themeColor="text1"/>
                      <w:kern w:val="0"/>
                      <w:sz w:val="21"/>
                      <w:szCs w:val="21"/>
                      <w14:textFill>
                        <w14:solidFill>
                          <w14:schemeClr w14:val="tx1"/>
                        </w14:solidFill>
                      </w14:textFill>
                    </w:rPr>
                    <w:t>工段</w:t>
                  </w:r>
                  <w:r>
                    <w:rPr>
                      <w:color w:val="000000" w:themeColor="text1"/>
                      <w:kern w:val="0"/>
                      <w:sz w:val="21"/>
                      <w:szCs w:val="21"/>
                      <w14:textFill>
                        <w14:solidFill>
                          <w14:schemeClr w14:val="tx1"/>
                        </w14:solidFill>
                      </w14:textFill>
                    </w:rPr>
                    <w:t>产生的有机废气</w:t>
                  </w:r>
                  <w:r>
                    <w:rPr>
                      <w:rFonts w:hint="eastAsia"/>
                      <w:color w:val="000000" w:themeColor="text1"/>
                      <w:kern w:val="0"/>
                      <w:sz w:val="21"/>
                      <w:szCs w:val="21"/>
                      <w14:textFill>
                        <w14:solidFill>
                          <w14:schemeClr w14:val="tx1"/>
                        </w14:solidFill>
                      </w14:textFill>
                    </w:rPr>
                    <w:t>和漆雾</w:t>
                  </w:r>
                  <w:r>
                    <w:rPr>
                      <w:color w:val="000000" w:themeColor="text1"/>
                      <w:kern w:val="0"/>
                      <w:sz w:val="21"/>
                      <w:szCs w:val="21"/>
                      <w14:textFill>
                        <w14:solidFill>
                          <w14:schemeClr w14:val="tx1"/>
                        </w14:solidFill>
                      </w14:textFill>
                    </w:rPr>
                    <w:t>，</w:t>
                  </w:r>
                  <w:r>
                    <w:rPr>
                      <w:rFonts w:hint="eastAsia"/>
                      <w:color w:val="000000" w:themeColor="text1"/>
                      <w:kern w:val="0"/>
                      <w:sz w:val="21"/>
                      <w:szCs w:val="21"/>
                      <w14:textFill>
                        <w14:solidFill>
                          <w14:schemeClr w14:val="tx1"/>
                        </w14:solidFill>
                      </w14:textFill>
                    </w:rPr>
                    <w:t>焊接烟气经移动式焊接烟尘净化器净化后呈无组织排放，喷涂工段产生有机废气及漆雾通过设置移动式集气罩，采用过滤棉+活性炭吸附后，通过15米高排气筒排放</w:t>
                  </w:r>
                  <w:r>
                    <w:rPr>
                      <w:color w:val="000000" w:themeColor="text1"/>
                      <w:kern w:val="0"/>
                      <w:sz w:val="21"/>
                      <w:szCs w:val="21"/>
                      <w14:textFill>
                        <w14:solidFill>
                          <w14:schemeClr w14:val="tx1"/>
                        </w14:solidFill>
                      </w14:textFill>
                    </w:rPr>
                    <w:t>，废气排放量少，不属于大气重污染型企业。</w:t>
                  </w:r>
                </w:p>
                <w:p>
                  <w:pPr>
                    <w:numPr>
                      <w:ilvl w:val="0"/>
                      <w:numId w:val="6"/>
                    </w:numPr>
                    <w:adjustRightInd w:val="0"/>
                    <w:snapToGrid w:val="0"/>
                    <w:spacing w:line="240" w:lineRule="auto"/>
                    <w:ind w:firstLine="420" w:firstLineChars="200"/>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本项目环境影响评价文件类型为报告表，根据《建设项目环境影响报告表编制技术指南》（污染影响类），</w:t>
                  </w:r>
                  <w:r>
                    <w:rPr>
                      <w:rFonts w:hint="eastAsia"/>
                      <w:color w:val="000000" w:themeColor="text1"/>
                      <w:kern w:val="0"/>
                      <w:sz w:val="21"/>
                      <w:szCs w:val="21"/>
                      <w14:textFill>
                        <w14:solidFill>
                          <w14:schemeClr w14:val="tx1"/>
                        </w14:solidFill>
                      </w14:textFill>
                    </w:rPr>
                    <w:t>焊接烟气经移动式焊接烟尘净化器净化后呈无组织排放，喷涂工段产生有机废气及漆雾通过2个移动式集气罩，采用过滤棉+活性炭吸附后，通过15米高排气筒排放</w:t>
                  </w:r>
                  <w:r>
                    <w:rPr>
                      <w:color w:val="000000" w:themeColor="text1"/>
                      <w:kern w:val="0"/>
                      <w:sz w:val="21"/>
                      <w:szCs w:val="21"/>
                      <w14:textFill>
                        <w14:solidFill>
                          <w14:schemeClr w14:val="tx1"/>
                        </w14:solidFill>
                      </w14:textFill>
                    </w:rPr>
                    <w:t>，可达标排放</w:t>
                  </w:r>
                  <w:r>
                    <w:rPr>
                      <w:rFonts w:hint="eastAsia"/>
                      <w:color w:val="000000" w:themeColor="text1"/>
                      <w:kern w:val="0"/>
                      <w:sz w:val="21"/>
                      <w:szCs w:val="21"/>
                      <w14:textFill>
                        <w14:solidFill>
                          <w14:schemeClr w14:val="tx1"/>
                        </w14:solidFill>
                      </w14:textFill>
                    </w:rPr>
                    <w:t>，且排放废气不含二噁英、苯并[a]芘、氰化物、氯气，本项目不设大气专项，无需设置大气防护距离。</w:t>
                  </w:r>
                </w:p>
              </w:tc>
              <w:tc>
                <w:tcPr>
                  <w:tcW w:w="475"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3</w:t>
                  </w:r>
                </w:p>
              </w:tc>
              <w:tc>
                <w:tcPr>
                  <w:tcW w:w="2224" w:type="pct"/>
                  <w:vAlign w:val="center"/>
                </w:tcPr>
                <w:p>
                  <w:pPr>
                    <w:adjustRightInd w:val="0"/>
                    <w:snapToGrid w:val="0"/>
                    <w:spacing w:line="240" w:lineRule="auto"/>
                    <w:ind w:firstLine="422" w:firstLineChars="200"/>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关于园区固体废弃物处置问题：</w:t>
                  </w:r>
                </w:p>
                <w:p>
                  <w:pPr>
                    <w:adjustRightInd w:val="0"/>
                    <w:snapToGrid w:val="0"/>
                    <w:spacing w:line="240" w:lineRule="auto"/>
                    <w:ind w:firstLine="420" w:firstLineChars="200"/>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（二）园区应加强管理，要求企业自身提高固废回收利用率，同时合理引入下游产业将固体废弃物充分综合利用，尽量将园区固体废物资源化和减量化。</w:t>
                  </w:r>
                </w:p>
              </w:tc>
              <w:tc>
                <w:tcPr>
                  <w:tcW w:w="1960" w:type="pct"/>
                  <w:vAlign w:val="center"/>
                </w:tcPr>
                <w:p>
                  <w:pPr>
                    <w:adjustRightInd w:val="0"/>
                    <w:snapToGrid w:val="0"/>
                    <w:spacing w:line="240" w:lineRule="auto"/>
                    <w:ind w:firstLine="420" w:firstLineChars="200"/>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项目运行期产生的固废主要包括员工生活垃圾、食堂泔水、隔油池污泥、焊渣（沉降金属粉尘）、废零件、废混凝土及部分危险废物等。生活垃圾、废混凝土委托环卫部门清运；食堂泔水、隔油池污泥委托有资质单位清运处置；焊渣（沉降金属粉尘）收集后外售给废品回收单位；废零件由厂家回收；危废暂存于危废暂存间，委托有资质单位定期清运处置。</w:t>
                  </w:r>
                </w:p>
              </w:tc>
              <w:tc>
                <w:tcPr>
                  <w:tcW w:w="475"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 w:type="pct"/>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类别</w:t>
                  </w:r>
                </w:p>
              </w:tc>
              <w:tc>
                <w:tcPr>
                  <w:tcW w:w="2224" w:type="pct"/>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审查意见</w:t>
                  </w:r>
                </w:p>
                <w:p>
                  <w:pPr>
                    <w:adjustRightInd w:val="0"/>
                    <w:snapToGrid w:val="0"/>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（主要摘选与项目相关要求）</w:t>
                  </w:r>
                </w:p>
              </w:tc>
              <w:tc>
                <w:tcPr>
                  <w:tcW w:w="1960" w:type="pct"/>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本项目情况</w:t>
                  </w:r>
                </w:p>
              </w:tc>
              <w:tc>
                <w:tcPr>
                  <w:tcW w:w="475" w:type="pct"/>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 w:type="pct"/>
                  <w:vMerge w:val="restar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大气污染防治措施</w:t>
                  </w:r>
                </w:p>
              </w:tc>
              <w:tc>
                <w:tcPr>
                  <w:tcW w:w="2224" w:type="pct"/>
                  <w:vAlign w:val="center"/>
                </w:tcPr>
                <w:p>
                  <w:pPr>
                    <w:adjustRightInd w:val="0"/>
                    <w:snapToGrid w:val="0"/>
                    <w:spacing w:line="240" w:lineRule="auto"/>
                    <w:ind w:firstLine="420" w:firstLineChars="200"/>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从严格筛选入园企业入手，鼓励能耗低、工艺设备先进、排放废气污染物较少的企业入园。禁止不符合国家和地方产业政策的项目，以及列入《严重污染环境（大气）的淘汰工艺和设备名录》的项目进入园区。</w:t>
                  </w:r>
                </w:p>
              </w:tc>
              <w:tc>
                <w:tcPr>
                  <w:tcW w:w="1960" w:type="pct"/>
                  <w:vAlign w:val="center"/>
                </w:tcPr>
                <w:p>
                  <w:pPr>
                    <w:adjustRightInd w:val="0"/>
                    <w:snapToGrid w:val="0"/>
                    <w:spacing w:line="240" w:lineRule="auto"/>
                    <w:ind w:firstLine="420" w:firstLineChars="200"/>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本项目主要使用电能，使用的设备均不属于高耗能设备</w:t>
                  </w:r>
                  <w:r>
                    <w:rPr>
                      <w:rFonts w:hint="eastAsia"/>
                      <w:color w:val="000000" w:themeColor="text1"/>
                      <w:kern w:val="0"/>
                      <w:sz w:val="21"/>
                      <w:szCs w:val="21"/>
                      <w14:textFill>
                        <w14:solidFill>
                          <w14:schemeClr w14:val="tx1"/>
                        </w14:solidFill>
                      </w14:textFill>
                    </w:rPr>
                    <w:t>。</w:t>
                  </w:r>
                  <w:r>
                    <w:rPr>
                      <w:color w:val="000000" w:themeColor="text1"/>
                      <w:kern w:val="0"/>
                      <w:sz w:val="21"/>
                      <w:szCs w:val="21"/>
                      <w14:textFill>
                        <w14:solidFill>
                          <w14:schemeClr w14:val="tx1"/>
                        </w14:solidFill>
                      </w14:textFill>
                    </w:rPr>
                    <w:t>项目符合国家和地方产业政策，生产工艺主要为</w:t>
                  </w:r>
                  <w:r>
                    <w:rPr>
                      <w:rFonts w:hint="eastAsia"/>
                      <w:color w:val="000000" w:themeColor="text1"/>
                      <w:kern w:val="0"/>
                      <w:sz w:val="21"/>
                      <w:szCs w:val="21"/>
                      <w14:textFill>
                        <w14:solidFill>
                          <w14:schemeClr w14:val="tx1"/>
                        </w14:solidFill>
                      </w14:textFill>
                    </w:rPr>
                    <w:t>组装、</w:t>
                  </w:r>
                  <w:r>
                    <w:rPr>
                      <w:color w:val="000000" w:themeColor="text1"/>
                      <w:kern w:val="0"/>
                      <w:sz w:val="21"/>
                      <w:szCs w:val="21"/>
                      <w14:textFill>
                        <w14:solidFill>
                          <w14:schemeClr w14:val="tx1"/>
                        </w14:solidFill>
                      </w14:textFill>
                    </w:rPr>
                    <w:t>焊接、喷漆等，工艺和设备均不属于《严重污染环境（大气）的淘汰工艺和设备名录》中所列项目。</w:t>
                  </w:r>
                </w:p>
              </w:tc>
              <w:tc>
                <w:tcPr>
                  <w:tcW w:w="475"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 w:type="pct"/>
                  <w:vMerge w:val="continue"/>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p>
              </w:tc>
              <w:tc>
                <w:tcPr>
                  <w:tcW w:w="2224" w:type="pct"/>
                  <w:vAlign w:val="center"/>
                </w:tcPr>
                <w:p>
                  <w:pPr>
                    <w:adjustRightInd w:val="0"/>
                    <w:snapToGrid w:val="0"/>
                    <w:spacing w:line="240" w:lineRule="auto"/>
                    <w:ind w:firstLine="420" w:firstLineChars="200"/>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严格项目生产运营中的废气污染源控制，推行清洁生产，降低能耗、物耗；加强无组织排放粉尘、工艺废气的控制。产生的废气应处理达标后才可以排放。</w:t>
                  </w:r>
                </w:p>
              </w:tc>
              <w:tc>
                <w:tcPr>
                  <w:tcW w:w="1960" w:type="pct"/>
                  <w:vMerge w:val="restart"/>
                  <w:vAlign w:val="center"/>
                </w:tcPr>
                <w:p>
                  <w:pPr>
                    <w:adjustRightInd w:val="0"/>
                    <w:snapToGrid w:val="0"/>
                    <w:spacing w:line="240" w:lineRule="auto"/>
                    <w:ind w:firstLine="420" w:firstLineChars="200"/>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本项目废气主要为焊接粉尘、喷涂</w:t>
                  </w:r>
                  <w:r>
                    <w:rPr>
                      <w:rFonts w:hint="eastAsia"/>
                      <w:color w:val="000000" w:themeColor="text1"/>
                      <w:kern w:val="0"/>
                      <w:sz w:val="21"/>
                      <w:szCs w:val="21"/>
                      <w14:textFill>
                        <w14:solidFill>
                          <w14:schemeClr w14:val="tx1"/>
                        </w14:solidFill>
                      </w14:textFill>
                    </w:rPr>
                    <w:t>工段</w:t>
                  </w:r>
                  <w:r>
                    <w:rPr>
                      <w:color w:val="000000" w:themeColor="text1"/>
                      <w:kern w:val="0"/>
                      <w:sz w:val="21"/>
                      <w:szCs w:val="21"/>
                      <w14:textFill>
                        <w14:solidFill>
                          <w14:schemeClr w14:val="tx1"/>
                        </w14:solidFill>
                      </w14:textFill>
                    </w:rPr>
                    <w:t>产生的有机废气</w:t>
                  </w:r>
                  <w:r>
                    <w:rPr>
                      <w:rFonts w:hint="eastAsia"/>
                      <w:color w:val="000000" w:themeColor="text1"/>
                      <w:kern w:val="0"/>
                      <w:sz w:val="21"/>
                      <w:szCs w:val="21"/>
                      <w14:textFill>
                        <w14:solidFill>
                          <w14:schemeClr w14:val="tx1"/>
                        </w14:solidFill>
                      </w14:textFill>
                    </w:rPr>
                    <w:t>及漆雾</w:t>
                  </w:r>
                  <w:r>
                    <w:rPr>
                      <w:color w:val="000000" w:themeColor="text1"/>
                      <w:kern w:val="0"/>
                      <w:sz w:val="21"/>
                      <w:szCs w:val="21"/>
                      <w14:textFill>
                        <w14:solidFill>
                          <w14:schemeClr w14:val="tx1"/>
                        </w14:solidFill>
                      </w14:textFill>
                    </w:rPr>
                    <w:t>，</w:t>
                  </w:r>
                  <w:r>
                    <w:rPr>
                      <w:rFonts w:hint="eastAsia"/>
                      <w:color w:val="000000" w:themeColor="text1"/>
                      <w:kern w:val="0"/>
                      <w:sz w:val="21"/>
                      <w:szCs w:val="21"/>
                      <w14:textFill>
                        <w14:solidFill>
                          <w14:schemeClr w14:val="tx1"/>
                        </w14:solidFill>
                      </w14:textFill>
                    </w:rPr>
                    <w:t>焊接烟气经移动式焊接烟尘净化器净化后呈无组织排放，喷漆、刷漆工段产生有机废气及漆雾通过设置移动式集气罩，采用过滤棉+活性炭吸附后，通过15米高排气筒排放</w:t>
                  </w:r>
                  <w:r>
                    <w:rPr>
                      <w:color w:val="000000" w:themeColor="text1"/>
                      <w:kern w:val="0"/>
                      <w:sz w:val="21"/>
                      <w:szCs w:val="21"/>
                      <w14:textFill>
                        <w14:solidFill>
                          <w14:schemeClr w14:val="tx1"/>
                        </w14:solidFill>
                      </w14:textFill>
                    </w:rPr>
                    <w:t>，可达标排放。</w:t>
                  </w:r>
                </w:p>
              </w:tc>
              <w:tc>
                <w:tcPr>
                  <w:tcW w:w="475"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 w:type="pct"/>
                  <w:vMerge w:val="continue"/>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p>
              </w:tc>
              <w:tc>
                <w:tcPr>
                  <w:tcW w:w="2224" w:type="pct"/>
                  <w:vAlign w:val="center"/>
                </w:tcPr>
                <w:p>
                  <w:pPr>
                    <w:adjustRightInd w:val="0"/>
                    <w:snapToGrid w:val="0"/>
                    <w:spacing w:line="240" w:lineRule="auto"/>
                    <w:ind w:firstLine="420" w:firstLineChars="200"/>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对大气污染物实行严格的总量控制，园区应削减现有企业排污量，近、中、远期应分别达到区域环境总量控制目标。通过对现有企业的排放量进行削减，严格控制新入园企业的排放量，以及区域削减，实现园区排污总量达标，为新建项目腾出总量指标。对于SO</w:t>
                  </w:r>
                  <w:r>
                    <w:rPr>
                      <w:color w:val="000000" w:themeColor="text1"/>
                      <w:kern w:val="0"/>
                      <w:sz w:val="21"/>
                      <w:szCs w:val="21"/>
                      <w:vertAlign w:val="subscript"/>
                      <w14:textFill>
                        <w14:solidFill>
                          <w14:schemeClr w14:val="tx1"/>
                        </w14:solidFill>
                      </w14:textFill>
                    </w:rPr>
                    <w:t>2</w:t>
                  </w:r>
                  <w:r>
                    <w:rPr>
                      <w:color w:val="000000" w:themeColor="text1"/>
                      <w:kern w:val="0"/>
                      <w:sz w:val="21"/>
                      <w:szCs w:val="21"/>
                      <w14:textFill>
                        <w14:solidFill>
                          <w14:schemeClr w14:val="tx1"/>
                        </w14:solidFill>
                      </w14:textFill>
                    </w:rPr>
                    <w:t>、NO</w:t>
                  </w:r>
                  <w:r>
                    <w:rPr>
                      <w:color w:val="000000" w:themeColor="text1"/>
                      <w:kern w:val="0"/>
                      <w:sz w:val="21"/>
                      <w:szCs w:val="21"/>
                      <w:vertAlign w:val="subscript"/>
                      <w14:textFill>
                        <w14:solidFill>
                          <w14:schemeClr w14:val="tx1"/>
                        </w14:solidFill>
                      </w14:textFill>
                    </w:rPr>
                    <w:t>X</w:t>
                  </w:r>
                  <w:r>
                    <w:rPr>
                      <w:color w:val="000000" w:themeColor="text1"/>
                      <w:kern w:val="0"/>
                      <w:sz w:val="21"/>
                      <w:szCs w:val="21"/>
                      <w14:textFill>
                        <w14:solidFill>
                          <w14:schemeClr w14:val="tx1"/>
                        </w14:solidFill>
                      </w14:textFill>
                    </w:rPr>
                    <w:t>、烟（粉）尘等大气污染物，要求各企业严格进行治理，达标排放。</w:t>
                  </w:r>
                </w:p>
              </w:tc>
              <w:tc>
                <w:tcPr>
                  <w:tcW w:w="1960" w:type="pct"/>
                  <w:vMerge w:val="continue"/>
                  <w:vAlign w:val="center"/>
                </w:tcPr>
                <w:p>
                  <w:pPr>
                    <w:adjustRightInd w:val="0"/>
                    <w:snapToGrid w:val="0"/>
                    <w:spacing w:line="240" w:lineRule="auto"/>
                    <w:ind w:firstLine="420" w:firstLineChars="200"/>
                    <w:rPr>
                      <w:color w:val="000000" w:themeColor="text1"/>
                      <w:kern w:val="0"/>
                      <w:sz w:val="21"/>
                      <w:szCs w:val="21"/>
                      <w14:textFill>
                        <w14:solidFill>
                          <w14:schemeClr w14:val="tx1"/>
                        </w14:solidFill>
                      </w14:textFill>
                    </w:rPr>
                  </w:pPr>
                </w:p>
              </w:tc>
              <w:tc>
                <w:tcPr>
                  <w:tcW w:w="475"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 w:type="pct"/>
                  <w:vMerge w:val="restar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水污染防治措施</w:t>
                  </w:r>
                </w:p>
              </w:tc>
              <w:tc>
                <w:tcPr>
                  <w:tcW w:w="2224" w:type="pct"/>
                  <w:vAlign w:val="center"/>
                </w:tcPr>
                <w:p>
                  <w:pPr>
                    <w:adjustRightInd w:val="0"/>
                    <w:snapToGrid w:val="0"/>
                    <w:spacing w:line="240" w:lineRule="auto"/>
                    <w:ind w:firstLine="420" w:firstLineChars="200"/>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乌龙、晋城、上蒜、青山基地生活污水通过各自企业自建污水处理设施处理后，进入各区域环湖截污管网，最后进入各污水处理厂处理；生产废水做到企业内部或企业间循环利用，不外排。</w:t>
                  </w:r>
                </w:p>
              </w:tc>
              <w:tc>
                <w:tcPr>
                  <w:tcW w:w="1960" w:type="pct"/>
                  <w:vAlign w:val="center"/>
                </w:tcPr>
                <w:p>
                  <w:pPr>
                    <w:adjustRightInd w:val="0"/>
                    <w:snapToGrid w:val="0"/>
                    <w:spacing w:line="240" w:lineRule="auto"/>
                    <w:ind w:firstLine="420" w:firstLineChars="200"/>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本项目</w:t>
                  </w:r>
                  <w:r>
                    <w:rPr>
                      <w:rFonts w:hint="eastAsia"/>
                      <w:color w:val="000000" w:themeColor="text1"/>
                      <w:kern w:val="0"/>
                      <w:sz w:val="21"/>
                      <w:szCs w:val="21"/>
                      <w14:textFill>
                        <w14:solidFill>
                          <w14:schemeClr w14:val="tx1"/>
                        </w14:solidFill>
                      </w14:textFill>
                    </w:rPr>
                    <w:t>位于青山基地，位于滇池三级保护区内，</w:t>
                  </w:r>
                  <w:r>
                    <w:rPr>
                      <w:color w:val="000000" w:themeColor="text1"/>
                      <w:kern w:val="0"/>
                      <w:sz w:val="21"/>
                      <w:szCs w:val="21"/>
                      <w14:textFill>
                        <w14:solidFill>
                          <w14:schemeClr w14:val="tx1"/>
                        </w14:solidFill>
                      </w14:textFill>
                    </w:rPr>
                    <w:t>项目运营不产生生产废水，生活废水主要为食堂废水、洗浴废水、冲厕废水等，食堂废水设隔油池预处理，预处理后同其他生活废水一起依托</w:t>
                  </w:r>
                  <w:r>
                    <w:rPr>
                      <w:rFonts w:hint="eastAsia"/>
                      <w:color w:val="000000" w:themeColor="text1"/>
                      <w:kern w:val="0"/>
                      <w:sz w:val="21"/>
                      <w:szCs w:val="21"/>
                      <w14:textFill>
                        <w14:solidFill>
                          <w14:schemeClr w14:val="tx1"/>
                        </w14:solidFill>
                      </w14:textFill>
                    </w:rPr>
                    <w:t>晋宁志诚物流有限责任公司</w:t>
                  </w:r>
                  <w:r>
                    <w:rPr>
                      <w:color w:val="000000" w:themeColor="text1"/>
                      <w:kern w:val="0"/>
                      <w:sz w:val="21"/>
                      <w:szCs w:val="21"/>
                      <w14:textFill>
                        <w14:solidFill>
                          <w14:schemeClr w14:val="tx1"/>
                        </w14:solidFill>
                      </w14:textFill>
                    </w:rPr>
                    <w:t>已建化粪池处理，最终排入园区管网。</w:t>
                  </w:r>
                </w:p>
              </w:tc>
              <w:tc>
                <w:tcPr>
                  <w:tcW w:w="475"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 w:type="pct"/>
                  <w:vMerge w:val="continue"/>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p>
              </w:tc>
              <w:tc>
                <w:tcPr>
                  <w:tcW w:w="2224" w:type="pct"/>
                  <w:vAlign w:val="center"/>
                </w:tcPr>
                <w:p>
                  <w:pPr>
                    <w:adjustRightInd w:val="0"/>
                    <w:snapToGrid w:val="0"/>
                    <w:spacing w:line="240" w:lineRule="auto"/>
                    <w:ind w:firstLine="420" w:firstLineChars="200"/>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管理部门在招商引资的时候应禁止生产工艺装备落后及耗水量大、水污染物产生和排放量多的企业进入园区，鼓励和优先发展无污染或轻污染、科技含量高、产品附加值高的产业及企业。</w:t>
                  </w:r>
                </w:p>
              </w:tc>
              <w:tc>
                <w:tcPr>
                  <w:tcW w:w="1960" w:type="pct"/>
                  <w:vAlign w:val="center"/>
                </w:tcPr>
                <w:p>
                  <w:pPr>
                    <w:adjustRightInd w:val="0"/>
                    <w:snapToGrid w:val="0"/>
                    <w:spacing w:line="240" w:lineRule="auto"/>
                    <w:ind w:firstLine="420" w:firstLineChars="200"/>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本项目用水主要为生活用水，不产生生产废水。</w:t>
                  </w:r>
                </w:p>
              </w:tc>
              <w:tc>
                <w:tcPr>
                  <w:tcW w:w="475"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 w:type="pct"/>
                  <w:vMerge w:val="continue"/>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p>
              </w:tc>
              <w:tc>
                <w:tcPr>
                  <w:tcW w:w="2224" w:type="pct"/>
                  <w:vAlign w:val="center"/>
                </w:tcPr>
                <w:p>
                  <w:pPr>
                    <w:adjustRightInd w:val="0"/>
                    <w:snapToGrid w:val="0"/>
                    <w:spacing w:line="240" w:lineRule="auto"/>
                    <w:ind w:firstLine="420" w:firstLineChars="200"/>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未经当地水行政主管部门的同意，各企业不得将废水直接排向区域地表水体。</w:t>
                  </w:r>
                </w:p>
              </w:tc>
              <w:tc>
                <w:tcPr>
                  <w:tcW w:w="1960" w:type="pct"/>
                  <w:vAlign w:val="center"/>
                </w:tcPr>
                <w:p>
                  <w:pPr>
                    <w:adjustRightInd w:val="0"/>
                    <w:snapToGrid w:val="0"/>
                    <w:spacing w:line="240" w:lineRule="auto"/>
                    <w:ind w:firstLine="420" w:firstLineChars="200"/>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本项目无生产废水，生活废水经处理后排入园区管网，不直接外排。</w:t>
                  </w:r>
                </w:p>
              </w:tc>
              <w:tc>
                <w:tcPr>
                  <w:tcW w:w="475"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 w:type="pct"/>
                  <w:vMerge w:val="continue"/>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p>
              </w:tc>
              <w:tc>
                <w:tcPr>
                  <w:tcW w:w="2224" w:type="pct"/>
                  <w:vAlign w:val="center"/>
                </w:tcPr>
                <w:p>
                  <w:pPr>
                    <w:adjustRightInd w:val="0"/>
                    <w:snapToGrid w:val="0"/>
                    <w:spacing w:line="240" w:lineRule="auto"/>
                    <w:ind w:firstLine="420" w:firstLineChars="200"/>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做好各企业排污口设置及规范化建设与管理。各企业外排废水与基地污水污水收集管网只能设置1个对接口，并在对接口前安装污水流量计、设置污水采样口，定期进行排水水质监测。</w:t>
                  </w:r>
                </w:p>
              </w:tc>
              <w:tc>
                <w:tcPr>
                  <w:tcW w:w="1960" w:type="pct"/>
                  <w:vAlign w:val="center"/>
                </w:tcPr>
                <w:p>
                  <w:pPr>
                    <w:adjustRightInd w:val="0"/>
                    <w:snapToGrid w:val="0"/>
                    <w:spacing w:line="240" w:lineRule="auto"/>
                    <w:ind w:firstLine="420" w:firstLineChars="200"/>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本项目不单独设置废水排口，依托</w:t>
                  </w:r>
                  <w:r>
                    <w:rPr>
                      <w:rFonts w:hint="eastAsia"/>
                      <w:color w:val="000000" w:themeColor="text1"/>
                      <w:kern w:val="0"/>
                      <w:sz w:val="21"/>
                      <w:szCs w:val="21"/>
                      <w14:textFill>
                        <w14:solidFill>
                          <w14:schemeClr w14:val="tx1"/>
                        </w14:solidFill>
                      </w14:textFill>
                    </w:rPr>
                    <w:t>晋宁志诚物流有限责任公司</w:t>
                  </w:r>
                  <w:r>
                    <w:rPr>
                      <w:color w:val="000000" w:themeColor="text1"/>
                      <w:kern w:val="0"/>
                      <w:sz w:val="21"/>
                      <w:szCs w:val="21"/>
                      <w14:textFill>
                        <w14:solidFill>
                          <w14:schemeClr w14:val="tx1"/>
                        </w14:solidFill>
                      </w14:textFill>
                    </w:rPr>
                    <w:t>排口排放。</w:t>
                  </w:r>
                </w:p>
              </w:tc>
              <w:tc>
                <w:tcPr>
                  <w:tcW w:w="475"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 w:type="pct"/>
                  <w:vMerge w:val="continue"/>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p>
              </w:tc>
              <w:tc>
                <w:tcPr>
                  <w:tcW w:w="2224" w:type="pct"/>
                  <w:vAlign w:val="center"/>
                </w:tcPr>
                <w:p>
                  <w:pPr>
                    <w:adjustRightInd w:val="0"/>
                    <w:snapToGrid w:val="0"/>
                    <w:spacing w:line="240" w:lineRule="auto"/>
                    <w:ind w:firstLine="420" w:firstLineChars="200"/>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避免引进高耗水、高污染企业入驻滇池流域内各工业基地。</w:t>
                  </w:r>
                </w:p>
              </w:tc>
              <w:tc>
                <w:tcPr>
                  <w:tcW w:w="1960" w:type="pct"/>
                  <w:vAlign w:val="center"/>
                </w:tcPr>
                <w:p>
                  <w:pPr>
                    <w:adjustRightInd w:val="0"/>
                    <w:snapToGrid w:val="0"/>
                    <w:spacing w:line="240" w:lineRule="auto"/>
                    <w:ind w:firstLine="420" w:firstLineChars="200"/>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本项目</w:t>
                  </w:r>
                  <w:r>
                    <w:rPr>
                      <w:rFonts w:hint="eastAsia"/>
                      <w:color w:val="000000" w:themeColor="text1"/>
                      <w:kern w:val="0"/>
                      <w:sz w:val="21"/>
                      <w:szCs w:val="21"/>
                      <w14:textFill>
                        <w14:solidFill>
                          <w14:schemeClr w14:val="tx1"/>
                        </w14:solidFill>
                      </w14:textFill>
                    </w:rPr>
                    <w:t>位于青山基地，位于滇池三级保护区内，</w:t>
                  </w:r>
                  <w:r>
                    <w:rPr>
                      <w:color w:val="000000" w:themeColor="text1"/>
                      <w:kern w:val="0"/>
                      <w:sz w:val="21"/>
                      <w:szCs w:val="21"/>
                      <w14:textFill>
                        <w14:solidFill>
                          <w14:schemeClr w14:val="tx1"/>
                        </w14:solidFill>
                      </w14:textFill>
                    </w:rPr>
                    <w:t>项目主要进行</w:t>
                  </w:r>
                  <w:r>
                    <w:rPr>
                      <w:rFonts w:hint="eastAsia"/>
                      <w:color w:val="000000" w:themeColor="text1"/>
                      <w:kern w:val="0"/>
                      <w:sz w:val="21"/>
                      <w:szCs w:val="21"/>
                      <w14:textFill>
                        <w14:solidFill>
                          <w14:schemeClr w14:val="tx1"/>
                        </w14:solidFill>
                      </w14:textFill>
                    </w:rPr>
                    <w:t>隧道施工专用机械制造</w:t>
                  </w:r>
                  <w:r>
                    <w:rPr>
                      <w:color w:val="000000" w:themeColor="text1"/>
                      <w:kern w:val="0"/>
                      <w:sz w:val="21"/>
                      <w:szCs w:val="21"/>
                      <w14:textFill>
                        <w14:solidFill>
                          <w14:schemeClr w14:val="tx1"/>
                        </w14:solidFill>
                      </w14:textFill>
                    </w:rPr>
                    <w:t>，不属于高耗水、高污染企业。</w:t>
                  </w:r>
                </w:p>
              </w:tc>
              <w:tc>
                <w:tcPr>
                  <w:tcW w:w="475"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 w:type="pct"/>
                  <w:vMerge w:val="continue"/>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p>
              </w:tc>
              <w:tc>
                <w:tcPr>
                  <w:tcW w:w="2224" w:type="pct"/>
                  <w:vAlign w:val="center"/>
                </w:tcPr>
                <w:p>
                  <w:pPr>
                    <w:adjustRightInd w:val="0"/>
                    <w:snapToGrid w:val="0"/>
                    <w:spacing w:line="240" w:lineRule="auto"/>
                    <w:ind w:firstLine="420" w:firstLineChars="200"/>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生产废水不能做到零排放的企业不得入驻晋城、青山、上蒜、乌龙基地。</w:t>
                  </w:r>
                </w:p>
              </w:tc>
              <w:tc>
                <w:tcPr>
                  <w:tcW w:w="1960" w:type="pct"/>
                  <w:vAlign w:val="center"/>
                </w:tcPr>
                <w:p>
                  <w:pPr>
                    <w:adjustRightInd w:val="0"/>
                    <w:snapToGrid w:val="0"/>
                    <w:spacing w:line="240" w:lineRule="auto"/>
                    <w:ind w:firstLine="420" w:firstLineChars="200"/>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本项目</w:t>
                  </w:r>
                  <w:r>
                    <w:rPr>
                      <w:rFonts w:hint="eastAsia"/>
                      <w:color w:val="000000" w:themeColor="text1"/>
                      <w:kern w:val="0"/>
                      <w:sz w:val="21"/>
                      <w:szCs w:val="21"/>
                      <w14:textFill>
                        <w14:solidFill>
                          <w14:schemeClr w14:val="tx1"/>
                        </w14:solidFill>
                      </w14:textFill>
                    </w:rPr>
                    <w:t>位于青山基地，</w:t>
                  </w:r>
                  <w:r>
                    <w:rPr>
                      <w:color w:val="000000" w:themeColor="text1"/>
                      <w:kern w:val="0"/>
                      <w:sz w:val="21"/>
                      <w:szCs w:val="21"/>
                      <w14:textFill>
                        <w14:solidFill>
                          <w14:schemeClr w14:val="tx1"/>
                        </w14:solidFill>
                      </w14:textFill>
                    </w:rPr>
                    <w:t>项目无生产废水产生。</w:t>
                  </w:r>
                </w:p>
              </w:tc>
              <w:tc>
                <w:tcPr>
                  <w:tcW w:w="475"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 w:type="pct"/>
                  <w:vMerge w:val="continue"/>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p>
              </w:tc>
              <w:tc>
                <w:tcPr>
                  <w:tcW w:w="2224" w:type="pct"/>
                  <w:vAlign w:val="center"/>
                </w:tcPr>
                <w:p>
                  <w:pPr>
                    <w:adjustRightInd w:val="0"/>
                    <w:snapToGrid w:val="0"/>
                    <w:spacing w:line="240" w:lineRule="auto"/>
                    <w:ind w:firstLine="420" w:firstLineChars="200"/>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滇池流域禁止引进不符合《云南省滇池保护条例》相关规定的企业入驻。</w:t>
                  </w:r>
                </w:p>
              </w:tc>
              <w:tc>
                <w:tcPr>
                  <w:tcW w:w="1960" w:type="pct"/>
                  <w:vAlign w:val="center"/>
                </w:tcPr>
                <w:p>
                  <w:pPr>
                    <w:adjustRightInd w:val="0"/>
                    <w:snapToGrid w:val="0"/>
                    <w:spacing w:line="240" w:lineRule="auto"/>
                    <w:ind w:firstLine="420" w:firstLineChars="200"/>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本项目</w:t>
                  </w:r>
                  <w:r>
                    <w:rPr>
                      <w:rFonts w:hint="eastAsia"/>
                      <w:color w:val="000000" w:themeColor="text1"/>
                      <w:kern w:val="0"/>
                      <w:sz w:val="21"/>
                      <w:szCs w:val="21"/>
                      <w14:textFill>
                        <w14:solidFill>
                          <w14:schemeClr w14:val="tx1"/>
                        </w14:solidFill>
                      </w14:textFill>
                    </w:rPr>
                    <w:t>位于青山基地，位于滇池三级保护区内，</w:t>
                  </w:r>
                  <w:r>
                    <w:rPr>
                      <w:color w:val="000000" w:themeColor="text1"/>
                      <w:kern w:val="0"/>
                      <w:sz w:val="21"/>
                      <w:szCs w:val="21"/>
                      <w14:textFill>
                        <w14:solidFill>
                          <w14:schemeClr w14:val="tx1"/>
                        </w14:solidFill>
                      </w14:textFill>
                    </w:rPr>
                    <w:t>项目不在条例禁止行为中。</w:t>
                  </w:r>
                </w:p>
              </w:tc>
              <w:tc>
                <w:tcPr>
                  <w:tcW w:w="475"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声环境污染防治措施</w:t>
                  </w:r>
                </w:p>
              </w:tc>
              <w:tc>
                <w:tcPr>
                  <w:tcW w:w="2224" w:type="pct"/>
                  <w:vAlign w:val="center"/>
                </w:tcPr>
                <w:p>
                  <w:pPr>
                    <w:adjustRightInd w:val="0"/>
                    <w:snapToGrid w:val="0"/>
                    <w:spacing w:line="240" w:lineRule="auto"/>
                    <w:ind w:firstLine="420" w:firstLineChars="200"/>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为确保园区边界噪声达标排放，园区应加强监督管理，督促入驻园区的企业进行噪声治理，确保其厂界噪声达标排放，并通过对企业合理布局，将噪声较大的企业布置在远离园区边界和园区内村庄等噪声敏感目标的地方。</w:t>
                  </w:r>
                </w:p>
              </w:tc>
              <w:tc>
                <w:tcPr>
                  <w:tcW w:w="1960" w:type="pct"/>
                  <w:vAlign w:val="center"/>
                </w:tcPr>
                <w:p>
                  <w:pPr>
                    <w:adjustRightInd w:val="0"/>
                    <w:snapToGrid w:val="0"/>
                    <w:spacing w:line="240" w:lineRule="auto"/>
                    <w:ind w:firstLine="420" w:firstLineChars="200"/>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本项目噪声设备均设置在厂房内，设备进行基础减震，可实现厂界达标排放。</w:t>
                  </w:r>
                </w:p>
              </w:tc>
              <w:tc>
                <w:tcPr>
                  <w:tcW w:w="475"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 w:type="pct"/>
                  <w:vMerge w:val="restart"/>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主要固废污染防治措施</w:t>
                  </w:r>
                </w:p>
              </w:tc>
              <w:tc>
                <w:tcPr>
                  <w:tcW w:w="2224" w:type="pct"/>
                  <w:vAlign w:val="center"/>
                </w:tcPr>
                <w:p>
                  <w:pPr>
                    <w:adjustRightInd w:val="0"/>
                    <w:snapToGrid w:val="0"/>
                    <w:spacing w:line="240" w:lineRule="auto"/>
                    <w:ind w:firstLine="420" w:firstLineChars="200"/>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对于危险废物，需按照《危险废物贮存污染控制标准》（GB18597-2001）的要求进行贮存，委托昆明市危险废物中心处理；目前不能处置的废物，应在项目内妥善处置。</w:t>
                  </w:r>
                </w:p>
              </w:tc>
              <w:tc>
                <w:tcPr>
                  <w:tcW w:w="1960" w:type="pct"/>
                  <w:vAlign w:val="center"/>
                </w:tcPr>
                <w:p>
                  <w:pPr>
                    <w:adjustRightInd w:val="0"/>
                    <w:snapToGrid w:val="0"/>
                    <w:spacing w:line="240" w:lineRule="auto"/>
                    <w:ind w:firstLine="420" w:firstLineChars="200"/>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本项目危险废物设置危废暂存间进行收集暂存，委托有资质单位定期清运处置。</w:t>
                  </w:r>
                </w:p>
              </w:tc>
              <w:tc>
                <w:tcPr>
                  <w:tcW w:w="475"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 w:type="pct"/>
                  <w:vMerge w:val="continue"/>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p>
              </w:tc>
              <w:tc>
                <w:tcPr>
                  <w:tcW w:w="2224" w:type="pct"/>
                  <w:vAlign w:val="center"/>
                </w:tcPr>
                <w:p>
                  <w:pPr>
                    <w:adjustRightInd w:val="0"/>
                    <w:snapToGrid w:val="0"/>
                    <w:spacing w:line="240" w:lineRule="auto"/>
                    <w:ind w:firstLine="420" w:firstLineChars="200"/>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大力推行循环经济和清洁生产，从源头减少工业固体废物的产生量。把好工业园区的入园门槛，避免生产工艺落后、高污染的排污大户进入园区。</w:t>
                  </w:r>
                </w:p>
              </w:tc>
              <w:tc>
                <w:tcPr>
                  <w:tcW w:w="1960" w:type="pct"/>
                  <w:vAlign w:val="center"/>
                </w:tcPr>
                <w:p>
                  <w:pPr>
                    <w:adjustRightInd w:val="0"/>
                    <w:snapToGrid w:val="0"/>
                    <w:spacing w:line="240" w:lineRule="auto"/>
                    <w:ind w:firstLine="420" w:firstLineChars="200"/>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本项目生产工艺均不属于淘汰落后工艺，也不属于高污染行业。</w:t>
                  </w:r>
                </w:p>
              </w:tc>
              <w:tc>
                <w:tcPr>
                  <w:tcW w:w="475"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符合</w:t>
                  </w:r>
                </w:p>
              </w:tc>
            </w:tr>
          </w:tbl>
          <w:p>
            <w:pPr>
              <w:autoSpaceDE w:val="0"/>
              <w:autoSpaceDN w:val="0"/>
              <w:adjustRightInd w:val="0"/>
              <w:snapToGrid w:val="0"/>
              <w:ind w:firstLine="480" w:firstLineChars="200"/>
              <w:rPr>
                <w:color w:val="000000" w:themeColor="text1"/>
                <w:kern w:val="0"/>
                <w:szCs w:val="21"/>
                <w14:textFill>
                  <w14:solidFill>
                    <w14:schemeClr w14:val="tx1"/>
                  </w14:solidFill>
                </w14:textFill>
              </w:rPr>
            </w:pPr>
            <w:r>
              <w:rPr>
                <w:color w:val="000000" w:themeColor="text1"/>
                <w:kern w:val="0"/>
                <w14:textFill>
                  <w14:solidFill>
                    <w14:schemeClr w14:val="tx1"/>
                  </w14:solidFill>
                </w14:textFill>
              </w:rPr>
              <w:t>综上，本项目符合云南省环境保护厅关于《晋宁工业园区总体规划修编（2012~2030）环境影响报告书》审查意见的函（云环函〔2014〕131号）中相关要求。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626" w:type="dxa"/>
            <w:vAlign w:val="center"/>
          </w:tcPr>
          <w:p>
            <w:pPr>
              <w:autoSpaceDE w:val="0"/>
              <w:autoSpaceDN w:val="0"/>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其他符合性分析</w:t>
            </w:r>
          </w:p>
        </w:tc>
        <w:tc>
          <w:tcPr>
            <w:tcW w:w="7244" w:type="dxa"/>
            <w:gridSpan w:val="3"/>
            <w:vAlign w:val="center"/>
          </w:tcPr>
          <w:p>
            <w:pPr>
              <w:numPr>
                <w:ilvl w:val="0"/>
                <w:numId w:val="7"/>
              </w:numPr>
              <w:autoSpaceDE w:val="0"/>
              <w:autoSpaceDN w:val="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产业政策符合性分析</w:t>
            </w:r>
          </w:p>
          <w:p>
            <w:pPr>
              <w:autoSpaceDE w:val="0"/>
              <w:autoSpaceDN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本项目为</w:t>
            </w:r>
            <w:r>
              <w:rPr>
                <w:rFonts w:hint="eastAsia"/>
                <w:color w:val="000000" w:themeColor="text1"/>
                <w:kern w:val="0"/>
                <w14:textFill>
                  <w14:solidFill>
                    <w14:schemeClr w14:val="tx1"/>
                  </w14:solidFill>
                </w14:textFill>
              </w:rPr>
              <w:t>隧道施工专用机械制造</w:t>
            </w:r>
            <w:r>
              <w:rPr>
                <w:rFonts w:hint="eastAsia"/>
                <w:color w:val="000000" w:themeColor="text1"/>
                <w14:textFill>
                  <w14:solidFill>
                    <w14:schemeClr w14:val="tx1"/>
                  </w14:solidFill>
                </w14:textFill>
              </w:rPr>
              <w:t>项目，根据国家发改委《产业结构调整指导目录（2019本）》中的相关内容，项目不属于产业政策中的鼓励、限制和淘汰类行业，属于允许类，且项目已取得投资项目备案证（备案号〔项目代码〕</w:t>
            </w:r>
            <w:r>
              <w:rPr>
                <w:rFonts w:hint="eastAsia"/>
                <w:color w:val="000000" w:themeColor="text1"/>
                <w:kern w:val="0"/>
                <w14:textFill>
                  <w14:solidFill>
                    <w14:schemeClr w14:val="tx1"/>
                  </w14:solidFill>
                </w14:textFill>
              </w:rPr>
              <w:t>2110-530115-04-05-474986</w:t>
            </w:r>
            <w:r>
              <w:rPr>
                <w:rFonts w:hint="eastAsia"/>
                <w:color w:val="000000" w:themeColor="text1"/>
                <w14:textFill>
                  <w14:solidFill>
                    <w14:schemeClr w14:val="tx1"/>
                  </w14:solidFill>
                </w14:textFill>
              </w:rPr>
              <w:t>）。综上，项目符合我国及当地产业政策。</w:t>
            </w:r>
          </w:p>
          <w:p>
            <w:pPr>
              <w:autoSpaceDE w:val="0"/>
              <w:autoSpaceDN w:val="0"/>
              <w:rPr>
                <w:b/>
                <w:bCs/>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二、与《云南省滇池保护条例》（2018年11月29日修订）的符合性分析</w:t>
            </w:r>
          </w:p>
          <w:p>
            <w:pPr>
              <w:widowControl/>
              <w:ind w:firstLine="480" w:firstLineChars="200"/>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根据《云南省滇池保护条例》，滇池保护范围分为一、二、三级保护区和城镇饮用水源保护区。</w:t>
            </w:r>
          </w:p>
          <w:p>
            <w:pPr>
              <w:widowControl/>
              <w:numPr>
                <w:ilvl w:val="0"/>
                <w:numId w:val="8"/>
              </w:numPr>
              <w:ind w:firstLine="480" w:firstLineChars="200"/>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一级保护区，指滇池水域以及保护界桩向外水平延伸100米以内的区域，但保护界桩在环湖路（不含水体上的桥梁）以外的，以环湖路以内的路缘线为界；</w:t>
            </w:r>
          </w:p>
          <w:p>
            <w:pPr>
              <w:widowControl/>
              <w:numPr>
                <w:ilvl w:val="0"/>
                <w:numId w:val="8"/>
              </w:numPr>
              <w:ind w:firstLine="480" w:firstLineChars="200"/>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二级保护区，指一级保护区以外至滇池面山以内的城市规划确定的禁止建设区和限制建设区，以及主要入湖河道两侧沿地表向外水平延伸50米以内的区域；</w:t>
            </w:r>
          </w:p>
          <w:p>
            <w:pPr>
              <w:widowControl/>
              <w:numPr>
                <w:ilvl w:val="0"/>
                <w:numId w:val="8"/>
              </w:numPr>
              <w:ind w:firstLine="480" w:firstLineChars="200"/>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三级保护区，指一、二级保护区以外，滇池流域分水岭以内区域。</w:t>
            </w:r>
          </w:p>
          <w:p>
            <w:pPr>
              <w:ind w:firstLine="480" w:firstLineChars="200"/>
              <w:rPr>
                <w:b/>
                <w:bCs/>
                <w:color w:val="000000" w:themeColor="text1"/>
                <w:kern w:val="0"/>
                <w:sz w:val="21"/>
                <w:szCs w:val="21"/>
                <w14:textFill>
                  <w14:solidFill>
                    <w14:schemeClr w14:val="tx1"/>
                  </w14:solidFill>
                </w14:textFill>
              </w:rPr>
            </w:pPr>
            <w:r>
              <w:rPr>
                <w:color w:val="000000" w:themeColor="text1"/>
                <w:kern w:val="0"/>
                <w14:textFill>
                  <w14:solidFill>
                    <w14:schemeClr w14:val="tx1"/>
                  </w14:solidFill>
                </w14:textFill>
              </w:rPr>
              <w:t>本项目选址于</w:t>
            </w:r>
            <w:r>
              <w:rPr>
                <w:rFonts w:hint="eastAsia"/>
                <w:color w:val="000000" w:themeColor="text1"/>
                <w:kern w:val="0"/>
                <w14:textFill>
                  <w14:solidFill>
                    <w14:schemeClr w14:val="tx1"/>
                  </w14:solidFill>
                </w14:textFill>
              </w:rPr>
              <w:t>云南省昆明市晋宁工业园区青山基地，与入滇河流古城河相距约275m，在三级保护区范围内，</w:t>
            </w:r>
            <w:r>
              <w:rPr>
                <w:color w:val="000000" w:themeColor="text1"/>
                <w:kern w:val="0"/>
                <w14:textFill>
                  <w14:solidFill>
                    <w14:schemeClr w14:val="tx1"/>
                  </w14:solidFill>
                </w14:textFill>
              </w:rPr>
              <w:t>本项目与滇池保护条例的符合性分析如下表所示。</w:t>
            </w:r>
          </w:p>
          <w:p>
            <w:pPr>
              <w:pStyle w:val="60"/>
              <w:spacing w:before="0" w:beforeAutospacing="0" w:after="0" w:afterAutospacing="0"/>
              <w:jc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表</w:t>
            </w:r>
            <w:r>
              <w:rPr>
                <w:rFonts w:hint="eastAsia" w:ascii="Times New Roman" w:hAnsi="Times New Roman" w:cs="Times New Roman"/>
                <w:b/>
                <w:bCs/>
                <w:color w:val="000000" w:themeColor="text1"/>
                <w14:textFill>
                  <w14:solidFill>
                    <w14:schemeClr w14:val="tx1"/>
                  </w14:solidFill>
                </w14:textFill>
              </w:rPr>
              <w:t>1</w:t>
            </w:r>
            <w:r>
              <w:rPr>
                <w:rFonts w:ascii="Times New Roman" w:hAnsi="Times New Roman" w:cs="Times New Roman"/>
                <w:b/>
                <w:bCs/>
                <w:color w:val="000000" w:themeColor="text1"/>
                <w14:textFill>
                  <w14:solidFill>
                    <w14:schemeClr w14:val="tx1"/>
                  </w14:solidFill>
                </w14:textFill>
              </w:rPr>
              <w:t>-</w:t>
            </w:r>
            <w:r>
              <w:rPr>
                <w:rFonts w:hint="eastAsia" w:ascii="Times New Roman" w:hAnsi="Times New Roman" w:cs="Times New Roman"/>
                <w:b/>
                <w:bCs/>
                <w:color w:val="000000" w:themeColor="text1"/>
                <w14:textFill>
                  <w14:solidFill>
                    <w14:schemeClr w14:val="tx1"/>
                  </w14:solidFill>
                </w14:textFill>
              </w:rPr>
              <w:t>4</w:t>
            </w:r>
            <w:r>
              <w:rPr>
                <w:rFonts w:ascii="Times New Roman" w:hAnsi="Times New Roman" w:cs="Times New Roman"/>
                <w:b/>
                <w:bCs/>
                <w:color w:val="000000" w:themeColor="text1"/>
                <w14:textFill>
                  <w14:solidFill>
                    <w14:schemeClr w14:val="tx1"/>
                  </w14:solidFill>
                </w14:textFill>
              </w:rPr>
              <w:t xml:space="preserve">  </w:t>
            </w:r>
            <w:r>
              <w:rPr>
                <w:rFonts w:hint="eastAsia" w:ascii="Times New Roman" w:hAnsi="Times New Roman" w:cs="Times New Roman"/>
                <w:b/>
                <w:bCs/>
                <w:color w:val="000000" w:themeColor="text1"/>
                <w14:textFill>
                  <w14:solidFill>
                    <w14:schemeClr w14:val="tx1"/>
                  </w14:solidFill>
                </w14:textFill>
              </w:rPr>
              <w:t xml:space="preserve"> 项目</w:t>
            </w:r>
            <w:r>
              <w:rPr>
                <w:rFonts w:ascii="Times New Roman" w:hAnsi="Times New Roman" w:cs="Times New Roman"/>
                <w:b/>
                <w:bCs/>
                <w:color w:val="000000" w:themeColor="text1"/>
                <w14:textFill>
                  <w14:solidFill>
                    <w14:schemeClr w14:val="tx1"/>
                  </w14:solidFill>
                </w14:textFill>
              </w:rPr>
              <w:t>与《云南省滇池保护条例》相符性分析</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8"/>
              <w:gridCol w:w="3294"/>
              <w:gridCol w:w="3157"/>
              <w:gridCol w:w="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 w:type="pct"/>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序号</w:t>
                  </w:r>
                </w:p>
              </w:tc>
              <w:tc>
                <w:tcPr>
                  <w:tcW w:w="2114" w:type="pct"/>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三级保护区要求</w:t>
                  </w:r>
                </w:p>
              </w:tc>
              <w:tc>
                <w:tcPr>
                  <w:tcW w:w="2026" w:type="pct"/>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本项目情况</w:t>
                  </w:r>
                </w:p>
              </w:tc>
              <w:tc>
                <w:tcPr>
                  <w:tcW w:w="518" w:type="pct"/>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w:t>
                  </w:r>
                </w:p>
              </w:tc>
              <w:tc>
                <w:tcPr>
                  <w:tcW w:w="2114" w:type="pct"/>
                  <w:vAlign w:val="center"/>
                </w:tcPr>
                <w:p>
                  <w:pPr>
                    <w:adjustRightInd w:val="0"/>
                    <w:snapToGrid w:val="0"/>
                    <w:spacing w:line="240" w:lineRule="auto"/>
                    <w:ind w:firstLine="422" w:firstLineChars="200"/>
                    <w:jc w:val="left"/>
                    <w:rPr>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第四十九条</w:t>
                  </w:r>
                  <w:r>
                    <w:rPr>
                      <w:rFonts w:hint="eastAsia"/>
                      <w:color w:val="000000" w:themeColor="text1"/>
                      <w:kern w:val="0"/>
                      <w:sz w:val="21"/>
                      <w:szCs w:val="21"/>
                      <w14:textFill>
                        <w14:solidFill>
                          <w14:schemeClr w14:val="tx1"/>
                        </w14:solidFill>
                      </w14:textFill>
                    </w:rPr>
                    <w:t xml:space="preserve">  不得建设不符合国家产业政策的造纸、制革、印染、染料、炼焦、炼硫、炼砷、炼油、炼汞、电镀、化肥、农药、石棉、水泥、玻璃、冶金、火电以及其他严重污染环境的生产项目。</w:t>
                  </w:r>
                </w:p>
              </w:tc>
              <w:tc>
                <w:tcPr>
                  <w:tcW w:w="2026" w:type="pct"/>
                  <w:vAlign w:val="center"/>
                </w:tcPr>
                <w:p>
                  <w:pPr>
                    <w:adjustRightInd w:val="0"/>
                    <w:snapToGrid w:val="0"/>
                    <w:spacing w:line="240" w:lineRule="auto"/>
                    <w:ind w:firstLine="420" w:firstLineChars="200"/>
                    <w:jc w:val="left"/>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本项目属于专用设备制造、设备修理项目，不在禁止建设行业中。</w:t>
                  </w:r>
                </w:p>
              </w:tc>
              <w:tc>
                <w:tcPr>
                  <w:tcW w:w="518"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 w:type="pct"/>
                  <w:vMerge w:val="restar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2</w:t>
                  </w:r>
                </w:p>
              </w:tc>
              <w:tc>
                <w:tcPr>
                  <w:tcW w:w="2114" w:type="pct"/>
                  <w:vAlign w:val="center"/>
                </w:tcPr>
                <w:p>
                  <w:pPr>
                    <w:adjustRightInd w:val="0"/>
                    <w:snapToGrid w:val="0"/>
                    <w:spacing w:line="240" w:lineRule="auto"/>
                    <w:ind w:firstLine="422" w:firstLineChars="200"/>
                    <w:jc w:val="left"/>
                    <w:rPr>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第五十三条</w:t>
                  </w:r>
                  <w:r>
                    <w:rPr>
                      <w:rFonts w:hint="eastAsia"/>
                      <w:color w:val="000000" w:themeColor="text1"/>
                      <w:kern w:val="0"/>
                      <w:sz w:val="21"/>
                      <w:szCs w:val="21"/>
                      <w14:textFill>
                        <w14:solidFill>
                          <w14:schemeClr w14:val="tx1"/>
                        </w14:solidFill>
                      </w14:textFill>
                    </w:rPr>
                    <w:t xml:space="preserve">  三级保护区内禁止下列行为：</w:t>
                  </w:r>
                </w:p>
              </w:tc>
              <w:tc>
                <w:tcPr>
                  <w:tcW w:w="2026"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w:t>
                  </w:r>
                </w:p>
              </w:tc>
              <w:tc>
                <w:tcPr>
                  <w:tcW w:w="518"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 w:type="pct"/>
                  <w:vMerge w:val="continue"/>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p>
              </w:tc>
              <w:tc>
                <w:tcPr>
                  <w:tcW w:w="2114" w:type="pct"/>
                  <w:vAlign w:val="center"/>
                </w:tcPr>
                <w:p>
                  <w:pPr>
                    <w:adjustRightInd w:val="0"/>
                    <w:snapToGrid w:val="0"/>
                    <w:spacing w:line="240" w:lineRule="auto"/>
                    <w:ind w:firstLine="420" w:firstLineChars="200"/>
                    <w:jc w:val="left"/>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（一）向河道、沟渠等水体倾倒固体废弃物，排放粪便、污水、废液及其他超过水污染物排放标准的污水、废水，或者在河道中清洗生产生活用具、车辆和其他可能污染水体的物品；</w:t>
                  </w:r>
                </w:p>
              </w:tc>
              <w:tc>
                <w:tcPr>
                  <w:tcW w:w="2026" w:type="pct"/>
                  <w:vAlign w:val="center"/>
                </w:tcPr>
                <w:p>
                  <w:pPr>
                    <w:adjustRightInd w:val="0"/>
                    <w:snapToGrid w:val="0"/>
                    <w:spacing w:line="240" w:lineRule="auto"/>
                    <w:ind w:firstLine="420" w:firstLineChars="200"/>
                    <w:jc w:val="left"/>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本项目固体废物均100%处置；废水依托晋宁志诚物流有限责任公司化粪池、排口，处理达标后排入园区管网；并在运营中严格要求员工，不得在河道中清洗物品。</w:t>
                  </w:r>
                </w:p>
              </w:tc>
              <w:tc>
                <w:tcPr>
                  <w:tcW w:w="518"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 w:type="pct"/>
                  <w:vMerge w:val="continue"/>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p>
              </w:tc>
              <w:tc>
                <w:tcPr>
                  <w:tcW w:w="2114" w:type="pct"/>
                  <w:vAlign w:val="center"/>
                </w:tcPr>
                <w:p>
                  <w:pPr>
                    <w:adjustRightInd w:val="0"/>
                    <w:snapToGrid w:val="0"/>
                    <w:spacing w:line="240" w:lineRule="auto"/>
                    <w:ind w:firstLine="420" w:firstLineChars="200"/>
                    <w:jc w:val="left"/>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（二）在河道滩地和岸坡堆放、存贮固体废弃物和其他污染物，或者将其埋入集水区范围内的土壤中。</w:t>
                  </w:r>
                </w:p>
              </w:tc>
              <w:tc>
                <w:tcPr>
                  <w:tcW w:w="2026" w:type="pct"/>
                  <w:vAlign w:val="center"/>
                </w:tcPr>
                <w:p>
                  <w:pPr>
                    <w:adjustRightInd w:val="0"/>
                    <w:snapToGrid w:val="0"/>
                    <w:spacing w:line="240" w:lineRule="auto"/>
                    <w:ind w:firstLine="420" w:firstLineChars="200"/>
                    <w:jc w:val="left"/>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项目固体废物处置率100%，不存在所列行为。</w:t>
                  </w:r>
                </w:p>
              </w:tc>
              <w:tc>
                <w:tcPr>
                  <w:tcW w:w="518"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 w:type="pct"/>
                  <w:vMerge w:val="continue"/>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p>
              </w:tc>
              <w:tc>
                <w:tcPr>
                  <w:tcW w:w="2114" w:type="pct"/>
                  <w:vAlign w:val="center"/>
                </w:tcPr>
                <w:p>
                  <w:pPr>
                    <w:adjustRightInd w:val="0"/>
                    <w:snapToGrid w:val="0"/>
                    <w:spacing w:line="240" w:lineRule="auto"/>
                    <w:ind w:firstLine="420" w:firstLineChars="200"/>
                    <w:jc w:val="left"/>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（三）盗伐、滥伐林木或者其他破坏与保护水源有关的植被的行为。</w:t>
                  </w:r>
                </w:p>
              </w:tc>
              <w:tc>
                <w:tcPr>
                  <w:tcW w:w="2026" w:type="pct"/>
                  <w:vAlign w:val="center"/>
                </w:tcPr>
                <w:p>
                  <w:pPr>
                    <w:adjustRightInd w:val="0"/>
                    <w:snapToGrid w:val="0"/>
                    <w:spacing w:line="240" w:lineRule="auto"/>
                    <w:ind w:firstLine="420" w:firstLineChars="200"/>
                    <w:jc w:val="left"/>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项目不存在盗伐、滥伐林木或者其他破坏与保护水源有关的植被的行为。</w:t>
                  </w:r>
                </w:p>
              </w:tc>
              <w:tc>
                <w:tcPr>
                  <w:tcW w:w="518"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 w:type="pct"/>
                  <w:vMerge w:val="continue"/>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p>
              </w:tc>
              <w:tc>
                <w:tcPr>
                  <w:tcW w:w="2114" w:type="pct"/>
                  <w:vAlign w:val="center"/>
                </w:tcPr>
                <w:p>
                  <w:pPr>
                    <w:adjustRightInd w:val="0"/>
                    <w:snapToGrid w:val="0"/>
                    <w:spacing w:line="240" w:lineRule="auto"/>
                    <w:ind w:firstLine="420" w:firstLineChars="200"/>
                    <w:jc w:val="left"/>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（四）毁林开垦或者违法占用林地资源。</w:t>
                  </w:r>
                </w:p>
              </w:tc>
              <w:tc>
                <w:tcPr>
                  <w:tcW w:w="2026" w:type="pct"/>
                  <w:vAlign w:val="center"/>
                </w:tcPr>
                <w:p>
                  <w:pPr>
                    <w:adjustRightInd w:val="0"/>
                    <w:snapToGrid w:val="0"/>
                    <w:spacing w:line="240" w:lineRule="auto"/>
                    <w:ind w:firstLine="420" w:firstLineChars="200"/>
                    <w:jc w:val="left"/>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项目租用晋宁志诚物流有限责任公司已建厂房进行生产，不占用林地资源。</w:t>
                  </w:r>
                </w:p>
              </w:tc>
              <w:tc>
                <w:tcPr>
                  <w:tcW w:w="518"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 w:type="pct"/>
                  <w:vMerge w:val="continue"/>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p>
              </w:tc>
              <w:tc>
                <w:tcPr>
                  <w:tcW w:w="2114" w:type="pct"/>
                  <w:vAlign w:val="center"/>
                </w:tcPr>
                <w:p>
                  <w:pPr>
                    <w:adjustRightInd w:val="0"/>
                    <w:snapToGrid w:val="0"/>
                    <w:spacing w:line="240" w:lineRule="auto"/>
                    <w:ind w:firstLine="420" w:firstLineChars="200"/>
                    <w:jc w:val="left"/>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（五）猎捕野生动物。</w:t>
                  </w:r>
                </w:p>
              </w:tc>
              <w:tc>
                <w:tcPr>
                  <w:tcW w:w="2026" w:type="pct"/>
                  <w:vAlign w:val="center"/>
                </w:tcPr>
                <w:p>
                  <w:pPr>
                    <w:adjustRightInd w:val="0"/>
                    <w:snapToGrid w:val="0"/>
                    <w:spacing w:line="240" w:lineRule="auto"/>
                    <w:ind w:firstLine="420" w:firstLineChars="200"/>
                    <w:jc w:val="left"/>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不捕猎野生动物。</w:t>
                  </w:r>
                </w:p>
              </w:tc>
              <w:tc>
                <w:tcPr>
                  <w:tcW w:w="518"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 w:type="pct"/>
                  <w:vMerge w:val="continue"/>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p>
              </w:tc>
              <w:tc>
                <w:tcPr>
                  <w:tcW w:w="2114" w:type="pct"/>
                  <w:vAlign w:val="center"/>
                </w:tcPr>
                <w:p>
                  <w:pPr>
                    <w:adjustRightInd w:val="0"/>
                    <w:snapToGrid w:val="0"/>
                    <w:spacing w:line="240" w:lineRule="auto"/>
                    <w:ind w:firstLine="420" w:firstLineChars="200"/>
                    <w:jc w:val="left"/>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（六）在禁止开垦区内开垦土地。</w:t>
                  </w:r>
                </w:p>
              </w:tc>
              <w:tc>
                <w:tcPr>
                  <w:tcW w:w="2026" w:type="pct"/>
                  <w:vAlign w:val="center"/>
                </w:tcPr>
                <w:p>
                  <w:pPr>
                    <w:adjustRightInd w:val="0"/>
                    <w:snapToGrid w:val="0"/>
                    <w:spacing w:line="240" w:lineRule="auto"/>
                    <w:ind w:firstLine="420" w:firstLineChars="200"/>
                    <w:jc w:val="left"/>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项目位于工业园区内，租用场地，不存在条款所列行为。</w:t>
                  </w:r>
                </w:p>
              </w:tc>
              <w:tc>
                <w:tcPr>
                  <w:tcW w:w="518"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 w:type="pct"/>
                  <w:vMerge w:val="continue"/>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p>
              </w:tc>
              <w:tc>
                <w:tcPr>
                  <w:tcW w:w="2114" w:type="pct"/>
                  <w:vAlign w:val="center"/>
                </w:tcPr>
                <w:p>
                  <w:pPr>
                    <w:adjustRightInd w:val="0"/>
                    <w:snapToGrid w:val="0"/>
                    <w:spacing w:line="240" w:lineRule="auto"/>
                    <w:ind w:firstLine="420" w:firstLineChars="200"/>
                    <w:jc w:val="left"/>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（七）新建、改建、扩建向入湖河道排放氮、磷污染物的工业项目以及污染环境、破坏生态平衡和自然景观的其他项目。</w:t>
                  </w:r>
                </w:p>
              </w:tc>
              <w:tc>
                <w:tcPr>
                  <w:tcW w:w="2026" w:type="pct"/>
                  <w:vAlign w:val="center"/>
                </w:tcPr>
                <w:p>
                  <w:pPr>
                    <w:adjustRightInd w:val="0"/>
                    <w:snapToGrid w:val="0"/>
                    <w:spacing w:line="240" w:lineRule="auto"/>
                    <w:ind w:firstLine="420" w:firstLineChars="200"/>
                    <w:jc w:val="left"/>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本项目主要产生生活废水，经处理达标后排入园区管网，废气、噪声采取措施后可达标排放，固废处置率100%，对周围环境影响小。</w:t>
                  </w:r>
                </w:p>
              </w:tc>
              <w:tc>
                <w:tcPr>
                  <w:tcW w:w="518"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符合</w:t>
                  </w:r>
                </w:p>
              </w:tc>
            </w:tr>
          </w:tbl>
          <w:p>
            <w:pPr>
              <w:adjustRightInd w:val="0"/>
              <w:snapToGrid w:val="0"/>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综上所述，本项目的建设符合《云南省滇池保护条例》中规定的要求。</w:t>
            </w:r>
          </w:p>
          <w:p>
            <w:pPr>
              <w:autoSpaceDE w:val="0"/>
              <w:autoSpaceDN w:val="0"/>
              <w:rPr>
                <w:b/>
                <w:bCs/>
                <w:color w:val="000000" w:themeColor="text1"/>
                <w:kern w:val="0"/>
                <w14:textFill>
                  <w14:solidFill>
                    <w14:schemeClr w14:val="tx1"/>
                  </w14:solidFill>
                </w14:textFill>
              </w:rPr>
            </w:pPr>
            <w:r>
              <w:rPr>
                <w:rFonts w:hint="eastAsia"/>
                <w:b/>
                <w:bCs/>
                <w:color w:val="000000" w:themeColor="text1"/>
                <w14:textFill>
                  <w14:solidFill>
                    <w14:schemeClr w14:val="tx1"/>
                  </w14:solidFill>
                </w14:textFill>
              </w:rPr>
              <w:t>三、与《云南省人民政府关于实施</w:t>
            </w:r>
            <w:r>
              <w:rPr>
                <w:b/>
                <w:bCs/>
                <w:color w:val="000000" w:themeColor="text1"/>
                <w14:textFill>
                  <w14:solidFill>
                    <w14:schemeClr w14:val="tx1"/>
                  </w14:solidFill>
                </w14:textFill>
              </w:rPr>
              <w:t>“</w:t>
            </w:r>
            <w:r>
              <w:rPr>
                <w:rFonts w:hint="eastAsia"/>
                <w:b/>
                <w:bCs/>
                <w:color w:val="000000" w:themeColor="text1"/>
                <w14:textFill>
                  <w14:solidFill>
                    <w14:schemeClr w14:val="tx1"/>
                  </w14:solidFill>
                </w14:textFill>
              </w:rPr>
              <w:t>三线一单</w:t>
            </w:r>
            <w:r>
              <w:rPr>
                <w:b/>
                <w:bCs/>
                <w:color w:val="000000" w:themeColor="text1"/>
                <w14:textFill>
                  <w14:solidFill>
                    <w14:schemeClr w14:val="tx1"/>
                  </w14:solidFill>
                </w14:textFill>
              </w:rPr>
              <w:t>”</w:t>
            </w:r>
            <w:r>
              <w:rPr>
                <w:rFonts w:hint="eastAsia"/>
                <w:b/>
                <w:bCs/>
                <w:color w:val="000000" w:themeColor="text1"/>
                <w14:textFill>
                  <w14:solidFill>
                    <w14:schemeClr w14:val="tx1"/>
                  </w14:solidFill>
                </w14:textFill>
              </w:rPr>
              <w:t>生态环境分区管控的意见》符合性分析</w:t>
            </w:r>
          </w:p>
          <w:p>
            <w:pPr>
              <w:autoSpaceDE w:val="0"/>
              <w:autoSpaceDN w:val="0"/>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根据《云南省人民政府关于实施</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三线一单</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生态环境分区管控的意见》，根据《云南省人民政府关于实施“三线一单”生态环境分区管控的意见》（云政发[</w:t>
            </w:r>
            <w:r>
              <w:rPr>
                <w:color w:val="000000" w:themeColor="text1"/>
                <w14:textFill>
                  <w14:solidFill>
                    <w14:schemeClr w14:val="tx1"/>
                  </w14:solidFill>
                </w14:textFill>
              </w:rPr>
              <w:t>2020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29</w:t>
            </w:r>
            <w:r>
              <w:rPr>
                <w:rFonts w:hint="eastAsia"/>
                <w:color w:val="000000" w:themeColor="text1"/>
                <w14:textFill>
                  <w14:solidFill>
                    <w14:schemeClr w14:val="tx1"/>
                  </w14:solidFill>
                </w14:textFill>
              </w:rPr>
              <w:t>号），全省生态环境管控单元划分为优先保护、重点管控和一般管控</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类，共</w:t>
            </w:r>
            <w:r>
              <w:rPr>
                <w:color w:val="000000" w:themeColor="text1"/>
                <w14:textFill>
                  <w14:solidFill>
                    <w14:schemeClr w14:val="tx1"/>
                  </w14:solidFill>
                </w14:textFill>
              </w:rPr>
              <w:t>1164</w:t>
            </w:r>
            <w:r>
              <w:rPr>
                <w:rFonts w:hint="eastAsia"/>
                <w:color w:val="000000" w:themeColor="text1"/>
                <w14:textFill>
                  <w14:solidFill>
                    <w14:schemeClr w14:val="tx1"/>
                  </w14:solidFill>
                </w14:textFill>
              </w:rPr>
              <w:t>个生态环境管控单元。</w:t>
            </w:r>
          </w:p>
          <w:p>
            <w:pPr>
              <w:autoSpaceDE w:val="0"/>
              <w:autoSpaceDN w:val="0"/>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优先保护单元：</w:t>
            </w:r>
            <w:r>
              <w:rPr>
                <w:color w:val="000000" w:themeColor="text1"/>
                <w14:textFill>
                  <w14:solidFill>
                    <w14:schemeClr w14:val="tx1"/>
                  </w14:solidFill>
                </w14:textFill>
              </w:rPr>
              <w:t>383</w:t>
            </w:r>
            <w:r>
              <w:rPr>
                <w:rFonts w:hint="eastAsia"/>
                <w:color w:val="000000" w:themeColor="text1"/>
                <w14:textFill>
                  <w14:solidFill>
                    <w14:schemeClr w14:val="tx1"/>
                  </w14:solidFill>
                </w14:textFill>
              </w:rPr>
              <w:t xml:space="preserve">个，包含生态保护红线和一般生态空间，主要分布在滇西北山区、南部边境山区、哀牢山和无量山、滇东南喀斯特石漠化防治区、金沙江干热河谷、高原湖泊湖区等重点生态功能区域。 </w:t>
            </w:r>
          </w:p>
          <w:p>
            <w:pPr>
              <w:autoSpaceDE w:val="0"/>
              <w:autoSpaceDN w:val="0"/>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重点管控单元：</w:t>
            </w:r>
            <w:r>
              <w:rPr>
                <w:color w:val="000000" w:themeColor="text1"/>
                <w14:textFill>
                  <w14:solidFill>
                    <w14:schemeClr w14:val="tx1"/>
                  </w14:solidFill>
                </w14:textFill>
              </w:rPr>
              <w:t>652</w:t>
            </w:r>
            <w:r>
              <w:rPr>
                <w:rFonts w:hint="eastAsia"/>
                <w:color w:val="000000" w:themeColor="text1"/>
                <w14:textFill>
                  <w14:solidFill>
                    <w14:schemeClr w14:val="tx1"/>
                  </w14:solidFill>
                </w14:textFill>
              </w:rPr>
              <w:t>个，包含开发强度高、污染物排放强度大、环境问题相对集中的区域和大气环境布局敏感、弱扩散区等，主要分布在滇中城市群、九大高原湖泊流域、各类开发区和工业集中区、城镇规划区及环境质量改善压力较大的区域。</w:t>
            </w:r>
          </w:p>
          <w:p>
            <w:pPr>
              <w:autoSpaceDE w:val="0"/>
              <w:autoSpaceDN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一般管控单元：</w:t>
            </w:r>
            <w:r>
              <w:rPr>
                <w:color w:val="000000" w:themeColor="text1"/>
                <w14:textFill>
                  <w14:solidFill>
                    <w14:schemeClr w14:val="tx1"/>
                  </w14:solidFill>
                </w14:textFill>
              </w:rPr>
              <w:t>129</w:t>
            </w:r>
            <w:r>
              <w:rPr>
                <w:rFonts w:hint="eastAsia"/>
                <w:color w:val="000000" w:themeColor="text1"/>
                <w14:textFill>
                  <w14:solidFill>
                    <w14:schemeClr w14:val="tx1"/>
                  </w14:solidFill>
                </w14:textFill>
              </w:rPr>
              <w:t>个，为优先保护、重点管控单元之外的区域。</w:t>
            </w:r>
          </w:p>
          <w:p>
            <w:pPr>
              <w:autoSpaceDE w:val="0"/>
              <w:autoSpaceDN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本项目选址位于晋宁工业园区青山基地，为工业集中区，属于重点管控单元。项目与“三线一单”符合性分析</w:t>
            </w:r>
            <w:r>
              <w:rPr>
                <w:color w:val="000000" w:themeColor="text1"/>
                <w14:textFill>
                  <w14:solidFill>
                    <w14:schemeClr w14:val="tx1"/>
                  </w14:solidFill>
                </w14:textFill>
              </w:rPr>
              <w:t>详见表</w:t>
            </w:r>
            <w:r>
              <w:rPr>
                <w:rFonts w:hint="eastAsia"/>
                <w:color w:val="000000" w:themeColor="text1"/>
                <w14:textFill>
                  <w14:solidFill>
                    <w14:schemeClr w14:val="tx1"/>
                  </w14:solidFill>
                </w14:textFill>
              </w:rPr>
              <w:t>1-5</w:t>
            </w:r>
            <w:r>
              <w:rPr>
                <w:color w:val="000000" w:themeColor="text1"/>
                <w14:textFill>
                  <w14:solidFill>
                    <w14:schemeClr w14:val="tx1"/>
                  </w14:solidFill>
                </w14:textFill>
              </w:rPr>
              <w:t>。</w:t>
            </w:r>
          </w:p>
          <w:p>
            <w:pPr>
              <w:spacing w:line="240" w:lineRule="auto"/>
              <w:jc w:val="center"/>
              <w:rPr>
                <w:b/>
                <w:bCs/>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表1-5  项目与“三线一单”符合性分析</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8"/>
              <w:gridCol w:w="5249"/>
              <w:gridCol w:w="1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pct"/>
                  <w:vAlign w:val="center"/>
                </w:tcPr>
                <w:p>
                  <w:pPr>
                    <w:pStyle w:val="62"/>
                    <w:snapToGrid w:val="0"/>
                    <w:rPr>
                      <w:color w:val="000000" w:themeColor="text1"/>
                      <w14:textFill>
                        <w14:solidFill>
                          <w14:schemeClr w14:val="tx1"/>
                        </w14:solidFill>
                      </w14:textFill>
                    </w:rPr>
                  </w:pPr>
                  <w:r>
                    <w:rPr>
                      <w:color w:val="000000" w:themeColor="text1"/>
                      <w14:textFill>
                        <w14:solidFill>
                          <w14:schemeClr w14:val="tx1"/>
                        </w14:solidFill>
                      </w14:textFill>
                    </w:rPr>
                    <w:t>内容</w:t>
                  </w:r>
                </w:p>
              </w:tc>
              <w:tc>
                <w:tcPr>
                  <w:tcW w:w="3368" w:type="pct"/>
                  <w:vAlign w:val="center"/>
                </w:tcPr>
                <w:p>
                  <w:pPr>
                    <w:pStyle w:val="62"/>
                    <w:snapToGrid w:val="0"/>
                    <w:rPr>
                      <w:color w:val="000000" w:themeColor="text1"/>
                      <w14:textFill>
                        <w14:solidFill>
                          <w14:schemeClr w14:val="tx1"/>
                        </w14:solidFill>
                      </w14:textFill>
                    </w:rPr>
                  </w:pPr>
                  <w:r>
                    <w:rPr>
                      <w:color w:val="000000" w:themeColor="text1"/>
                      <w14:textFill>
                        <w14:solidFill>
                          <w14:schemeClr w14:val="tx1"/>
                        </w14:solidFill>
                      </w14:textFill>
                    </w:rPr>
                    <w:t>本项目</w:t>
                  </w:r>
                </w:p>
              </w:tc>
              <w:tc>
                <w:tcPr>
                  <w:tcW w:w="694" w:type="pct"/>
                  <w:vAlign w:val="center"/>
                </w:tcPr>
                <w:p>
                  <w:pPr>
                    <w:pStyle w:val="62"/>
                    <w:snapToGrid w:val="0"/>
                    <w:rPr>
                      <w:color w:val="000000" w:themeColor="text1"/>
                      <w14:textFill>
                        <w14:solidFill>
                          <w14:schemeClr w14:val="tx1"/>
                        </w14:solidFill>
                      </w14:textFill>
                    </w:rPr>
                  </w:pPr>
                  <w:r>
                    <w:rPr>
                      <w:color w:val="000000" w:themeColor="text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pct"/>
                  <w:vAlign w:val="center"/>
                </w:tcPr>
                <w:p>
                  <w:pPr>
                    <w:pStyle w:val="62"/>
                    <w:snapToGrid w:val="0"/>
                    <w:rPr>
                      <w:color w:val="000000" w:themeColor="text1"/>
                      <w14:textFill>
                        <w14:solidFill>
                          <w14:schemeClr w14:val="tx1"/>
                        </w14:solidFill>
                      </w14:textFill>
                    </w:rPr>
                  </w:pPr>
                  <w:r>
                    <w:rPr>
                      <w:color w:val="000000" w:themeColor="text1"/>
                      <w14:textFill>
                        <w14:solidFill>
                          <w14:schemeClr w14:val="tx1"/>
                        </w14:solidFill>
                      </w14:textFill>
                    </w:rPr>
                    <w:t>生态保护红线</w:t>
                  </w:r>
                </w:p>
              </w:tc>
              <w:tc>
                <w:tcPr>
                  <w:tcW w:w="3368" w:type="pct"/>
                  <w:vAlign w:val="center"/>
                </w:tcPr>
                <w:p>
                  <w:pPr>
                    <w:pStyle w:val="62"/>
                    <w:snapToGrid w:val="0"/>
                    <w:jc w:val="both"/>
                    <w:rPr>
                      <w:color w:val="000000" w:themeColor="text1"/>
                      <w14:textFill>
                        <w14:solidFill>
                          <w14:schemeClr w14:val="tx1"/>
                        </w14:solidFill>
                      </w14:textFill>
                    </w:rPr>
                  </w:pPr>
                  <w:r>
                    <w:rPr>
                      <w:color w:val="000000" w:themeColor="text1"/>
                      <w14:textFill>
                        <w14:solidFill>
                          <w14:schemeClr w14:val="tx1"/>
                        </w14:solidFill>
                      </w14:textFill>
                    </w:rPr>
                    <w:t>项目位于</w:t>
                  </w:r>
                  <w:r>
                    <w:rPr>
                      <w:rFonts w:hint="eastAsia"/>
                      <w:color w:val="000000" w:themeColor="text1"/>
                      <w14:textFill>
                        <w14:solidFill>
                          <w14:schemeClr w14:val="tx1"/>
                        </w14:solidFill>
                      </w14:textFill>
                    </w:rPr>
                    <w:t>晋宁工业园区</w:t>
                  </w:r>
                  <w:r>
                    <w:rPr>
                      <w:color w:val="000000" w:themeColor="text1"/>
                      <w14:textFill>
                        <w14:solidFill>
                          <w14:schemeClr w14:val="tx1"/>
                        </w14:solidFill>
                      </w14:textFill>
                    </w:rPr>
                    <w:t>青山</w:t>
                  </w:r>
                  <w:r>
                    <w:rPr>
                      <w:rFonts w:hint="eastAsia"/>
                      <w:color w:val="000000" w:themeColor="text1"/>
                      <w14:textFill>
                        <w14:solidFill>
                          <w14:schemeClr w14:val="tx1"/>
                        </w14:solidFill>
                      </w14:textFill>
                    </w:rPr>
                    <w:t>基地</w:t>
                  </w:r>
                  <w:r>
                    <w:rPr>
                      <w:color w:val="000000" w:themeColor="text1"/>
                      <w14:textFill>
                        <w14:solidFill>
                          <w14:schemeClr w14:val="tx1"/>
                        </w14:solidFill>
                      </w14:textFill>
                    </w:rPr>
                    <w:t>，不涉及具有特殊重要生态功能必须实行强制性严格保护的区域</w:t>
                  </w:r>
                  <w:r>
                    <w:rPr>
                      <w:rFonts w:hint="eastAsia"/>
                      <w:color w:val="000000" w:themeColor="text1"/>
                      <w14:textFill>
                        <w14:solidFill>
                          <w14:schemeClr w14:val="tx1"/>
                        </w14:solidFill>
                      </w14:textFill>
                    </w:rPr>
                    <w:t>。且项目租用</w:t>
                  </w:r>
                  <w:r>
                    <w:rPr>
                      <w:color w:val="000000" w:themeColor="text1"/>
                      <w:kern w:val="0"/>
                      <w14:textFill>
                        <w14:solidFill>
                          <w14:schemeClr w14:val="tx1"/>
                        </w14:solidFill>
                      </w14:textFill>
                    </w:rPr>
                    <w:t>晋宁志诚物流有限责任公司</w:t>
                  </w:r>
                  <w:r>
                    <w:rPr>
                      <w:rFonts w:hint="eastAsia"/>
                      <w:color w:val="000000" w:themeColor="text1"/>
                      <w14:textFill>
                        <w14:solidFill>
                          <w14:schemeClr w14:val="tx1"/>
                        </w14:solidFill>
                      </w14:textFill>
                    </w:rPr>
                    <w:t>闲置厂房进行生产。</w:t>
                  </w:r>
                </w:p>
              </w:tc>
              <w:tc>
                <w:tcPr>
                  <w:tcW w:w="694" w:type="pct"/>
                  <w:vAlign w:val="center"/>
                </w:tcPr>
                <w:p>
                  <w:pPr>
                    <w:pStyle w:val="62"/>
                    <w:snapToGrid w:val="0"/>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pct"/>
                  <w:vAlign w:val="center"/>
                </w:tcPr>
                <w:p>
                  <w:pPr>
                    <w:pStyle w:val="62"/>
                    <w:snapToGrid w:val="0"/>
                    <w:rPr>
                      <w:color w:val="000000" w:themeColor="text1"/>
                      <w14:textFill>
                        <w14:solidFill>
                          <w14:schemeClr w14:val="tx1"/>
                        </w14:solidFill>
                      </w14:textFill>
                    </w:rPr>
                  </w:pPr>
                  <w:r>
                    <w:rPr>
                      <w:color w:val="000000" w:themeColor="text1"/>
                      <w14:textFill>
                        <w14:solidFill>
                          <w14:schemeClr w14:val="tx1"/>
                        </w14:solidFill>
                      </w14:textFill>
                    </w:rPr>
                    <w:t>环境质量底线</w:t>
                  </w:r>
                </w:p>
              </w:tc>
              <w:tc>
                <w:tcPr>
                  <w:tcW w:w="3368" w:type="pct"/>
                  <w:vAlign w:val="center"/>
                </w:tcPr>
                <w:p>
                  <w:pPr>
                    <w:pStyle w:val="62"/>
                    <w:snapToGrid w:val="0"/>
                    <w:jc w:val="both"/>
                    <w:rPr>
                      <w:color w:val="000000" w:themeColor="text1"/>
                      <w14:textFill>
                        <w14:solidFill>
                          <w14:schemeClr w14:val="tx1"/>
                        </w14:solidFill>
                      </w14:textFill>
                    </w:rPr>
                  </w:pPr>
                  <w:r>
                    <w:rPr>
                      <w:color w:val="000000" w:themeColor="text1"/>
                      <w14:textFill>
                        <w14:solidFill>
                          <w14:schemeClr w14:val="tx1"/>
                        </w14:solidFill>
                      </w14:textFill>
                    </w:rPr>
                    <w:t>项目所在地环境空气质量可达《环境空气质量标准》（GB3095-2012）二级标准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地表水达</w:t>
                  </w:r>
                  <w:r>
                    <w:rPr>
                      <w:rFonts w:hint="eastAsia"/>
                      <w:color w:val="000000" w:themeColor="text1"/>
                      <w:kern w:val="0"/>
                      <w14:textFill>
                        <w14:solidFill>
                          <w14:schemeClr w14:val="tx1"/>
                        </w14:solidFill>
                      </w14:textFill>
                    </w:rPr>
                    <w:t>III</w:t>
                  </w:r>
                  <w:r>
                    <w:rPr>
                      <w:color w:val="000000" w:themeColor="text1"/>
                      <w14:textFill>
                        <w14:solidFill>
                          <w14:schemeClr w14:val="tx1"/>
                        </w14:solidFill>
                      </w14:textFill>
                    </w:rPr>
                    <w:t>类水质标准</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声环境质量可达《声环境质量标准》（GB3096-2008）</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类区标准</w:t>
                  </w:r>
                  <w:r>
                    <w:rPr>
                      <w:rFonts w:hint="eastAsia"/>
                      <w:color w:val="000000" w:themeColor="text1"/>
                      <w14:textFill>
                        <w14:solidFill>
                          <w14:schemeClr w14:val="tx1"/>
                        </w14:solidFill>
                      </w14:textFill>
                    </w:rPr>
                    <w:t>，梅树村、汉营村可达《声环境质量标准》（GB3096-2008）2类标准</w:t>
                  </w: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生活污水经化粪池处理后</w:t>
                  </w:r>
                  <w:r>
                    <w:rPr>
                      <w:color w:val="000000" w:themeColor="text1"/>
                      <w14:textFill>
                        <w14:solidFill>
                          <w14:schemeClr w14:val="tx1"/>
                        </w14:solidFill>
                      </w14:textFill>
                    </w:rPr>
                    <w:t>排</w:t>
                  </w:r>
                  <w:r>
                    <w:rPr>
                      <w:rFonts w:hint="eastAsia"/>
                      <w:color w:val="000000" w:themeColor="text1"/>
                      <w14:textFill>
                        <w14:solidFill>
                          <w14:schemeClr w14:val="tx1"/>
                        </w14:solidFill>
                      </w14:textFill>
                    </w:rPr>
                    <w:t>入市政管网</w:t>
                  </w:r>
                  <w:r>
                    <w:rPr>
                      <w:color w:val="000000" w:themeColor="text1"/>
                      <w14:textFill>
                        <w14:solidFill>
                          <w14:schemeClr w14:val="tx1"/>
                        </w14:solidFill>
                      </w14:textFill>
                    </w:rPr>
                    <w:t>，对地表环境影响小</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废气</w:t>
                  </w:r>
                  <w:r>
                    <w:rPr>
                      <w:rFonts w:hint="eastAsia"/>
                      <w:color w:val="000000" w:themeColor="text1"/>
                      <w14:textFill>
                        <w14:solidFill>
                          <w14:schemeClr w14:val="tx1"/>
                        </w14:solidFill>
                      </w14:textFill>
                    </w:rPr>
                    <w:t>产生量较小</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能做到达标排放，</w:t>
                  </w:r>
                  <w:r>
                    <w:rPr>
                      <w:color w:val="000000" w:themeColor="text1"/>
                      <w14:textFill>
                        <w14:solidFill>
                          <w14:schemeClr w14:val="tx1"/>
                        </w14:solidFill>
                      </w14:textFill>
                    </w:rPr>
                    <w:t>对环境空气影响小</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噪声通过设备减震、墙体隔声后对周围环境影响小</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固废通过相应设施收集后，委托相关单位处理，项目符合环境质量底线。</w:t>
                  </w:r>
                </w:p>
              </w:tc>
              <w:tc>
                <w:tcPr>
                  <w:tcW w:w="694" w:type="pct"/>
                  <w:vAlign w:val="center"/>
                </w:tcPr>
                <w:p>
                  <w:pPr>
                    <w:pStyle w:val="62"/>
                    <w:snapToGrid w:val="0"/>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936" w:type="pct"/>
                  <w:vAlign w:val="center"/>
                </w:tcPr>
                <w:p>
                  <w:pPr>
                    <w:pStyle w:val="62"/>
                    <w:snapToGrid w:val="0"/>
                    <w:rPr>
                      <w:color w:val="000000" w:themeColor="text1"/>
                      <w14:textFill>
                        <w14:solidFill>
                          <w14:schemeClr w14:val="tx1"/>
                        </w14:solidFill>
                      </w14:textFill>
                    </w:rPr>
                  </w:pPr>
                  <w:r>
                    <w:rPr>
                      <w:color w:val="000000" w:themeColor="text1"/>
                      <w14:textFill>
                        <w14:solidFill>
                          <w14:schemeClr w14:val="tx1"/>
                        </w14:solidFill>
                      </w14:textFill>
                    </w:rPr>
                    <w:t>资源利用上线</w:t>
                  </w:r>
                </w:p>
              </w:tc>
              <w:tc>
                <w:tcPr>
                  <w:tcW w:w="3368" w:type="pct"/>
                  <w:vAlign w:val="center"/>
                </w:tcPr>
                <w:p>
                  <w:pPr>
                    <w:pStyle w:val="62"/>
                    <w:snapToGrid w:val="0"/>
                    <w:jc w:val="both"/>
                    <w:rPr>
                      <w:color w:val="000000" w:themeColor="text1"/>
                      <w14:textFill>
                        <w14:solidFill>
                          <w14:schemeClr w14:val="tx1"/>
                        </w14:solidFill>
                      </w14:textFill>
                    </w:rPr>
                  </w:pPr>
                  <w:r>
                    <w:rPr>
                      <w:color w:val="000000" w:themeColor="text1"/>
                      <w14:textFill>
                        <w14:solidFill>
                          <w14:schemeClr w14:val="tx1"/>
                        </w14:solidFill>
                      </w14:textFill>
                    </w:rPr>
                    <w:t>项目所用能源主要是电</w:t>
                  </w:r>
                  <w:r>
                    <w:rPr>
                      <w:rFonts w:hint="eastAsia"/>
                      <w:color w:val="000000" w:themeColor="text1"/>
                      <w14:textFill>
                        <w14:solidFill>
                          <w14:schemeClr w14:val="tx1"/>
                        </w14:solidFill>
                      </w14:textFill>
                    </w:rPr>
                    <w:t>和水</w:t>
                  </w:r>
                  <w:r>
                    <w:rPr>
                      <w:color w:val="000000" w:themeColor="text1"/>
                      <w14:textFill>
                        <w14:solidFill>
                          <w14:schemeClr w14:val="tx1"/>
                        </w14:solidFill>
                      </w14:textFill>
                    </w:rPr>
                    <w:t>，能做到节约利用，符合资源利用上限</w:t>
                  </w:r>
                  <w:r>
                    <w:rPr>
                      <w:rFonts w:hint="eastAsia"/>
                      <w:color w:val="000000" w:themeColor="text1"/>
                      <w14:textFill>
                        <w14:solidFill>
                          <w14:schemeClr w14:val="tx1"/>
                        </w14:solidFill>
                      </w14:textFill>
                    </w:rPr>
                    <w:t>。</w:t>
                  </w:r>
                </w:p>
              </w:tc>
              <w:tc>
                <w:tcPr>
                  <w:tcW w:w="694" w:type="pct"/>
                  <w:vAlign w:val="center"/>
                </w:tcPr>
                <w:p>
                  <w:pPr>
                    <w:pStyle w:val="62"/>
                    <w:snapToGrid w:val="0"/>
                    <w:rPr>
                      <w:color w:val="000000" w:themeColor="text1"/>
                      <w14:textFill>
                        <w14:solidFill>
                          <w14:schemeClr w14:val="tx1"/>
                        </w14:solidFill>
                      </w14:textFill>
                    </w:rPr>
                  </w:pPr>
                  <w:r>
                    <w:rPr>
                      <w:color w:val="000000" w:themeColor="text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pct"/>
                  <w:vAlign w:val="center"/>
                </w:tcPr>
                <w:p>
                  <w:pPr>
                    <w:pStyle w:val="62"/>
                    <w:snapToGrid w:val="0"/>
                    <w:rPr>
                      <w:color w:val="000000" w:themeColor="text1"/>
                      <w14:textFill>
                        <w14:solidFill>
                          <w14:schemeClr w14:val="tx1"/>
                        </w14:solidFill>
                      </w14:textFill>
                    </w:rPr>
                  </w:pPr>
                  <w:r>
                    <w:rPr>
                      <w:color w:val="000000" w:themeColor="text1"/>
                      <w14:textFill>
                        <w14:solidFill>
                          <w14:schemeClr w14:val="tx1"/>
                        </w14:solidFill>
                      </w14:textFill>
                    </w:rPr>
                    <w:t>环境准入负面清单</w:t>
                  </w:r>
                </w:p>
              </w:tc>
              <w:tc>
                <w:tcPr>
                  <w:tcW w:w="3368" w:type="pct"/>
                  <w:vAlign w:val="center"/>
                </w:tcPr>
                <w:p>
                  <w:pPr>
                    <w:pStyle w:val="62"/>
                    <w:snapToGrid w:val="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项目未列入</w:t>
                  </w:r>
                  <w:r>
                    <w:rPr>
                      <w:color w:val="000000" w:themeColor="text1"/>
                      <w14:textFill>
                        <w14:solidFill>
                          <w14:schemeClr w14:val="tx1"/>
                        </w14:solidFill>
                      </w14:textFill>
                    </w:rPr>
                    <w:t>环境准入负面清单</w:t>
                  </w:r>
                  <w:r>
                    <w:rPr>
                      <w:rFonts w:hint="eastAsia"/>
                      <w:color w:val="000000" w:themeColor="text1"/>
                      <w14:textFill>
                        <w14:solidFill>
                          <w14:schemeClr w14:val="tx1"/>
                        </w14:solidFill>
                      </w14:textFill>
                    </w:rPr>
                    <w:t>。</w:t>
                  </w:r>
                </w:p>
              </w:tc>
              <w:tc>
                <w:tcPr>
                  <w:tcW w:w="694" w:type="pct"/>
                  <w:vAlign w:val="center"/>
                </w:tcPr>
                <w:p>
                  <w:pPr>
                    <w:pStyle w:val="62"/>
                    <w:snapToGrid w:val="0"/>
                    <w:rPr>
                      <w:color w:val="000000" w:themeColor="text1"/>
                      <w14:textFill>
                        <w14:solidFill>
                          <w14:schemeClr w14:val="tx1"/>
                        </w14:solidFill>
                      </w14:textFill>
                    </w:rPr>
                  </w:pPr>
                  <w:r>
                    <w:rPr>
                      <w:color w:val="000000" w:themeColor="text1"/>
                      <w14:textFill>
                        <w14:solidFill>
                          <w14:schemeClr w14:val="tx1"/>
                        </w14:solidFill>
                      </w14:textFill>
                    </w:rPr>
                    <w:t>符合</w:t>
                  </w:r>
                </w:p>
              </w:tc>
            </w:tr>
          </w:tbl>
          <w:p>
            <w:pPr>
              <w:snapToGrid w:val="0"/>
              <w:ind w:firstLine="480" w:firstLineChars="200"/>
              <w:rPr>
                <w:color w:val="000000" w:themeColor="text1"/>
                <w14:textFill>
                  <w14:solidFill>
                    <w14:schemeClr w14:val="tx1"/>
                  </w14:solidFill>
                </w14:textFill>
              </w:rPr>
            </w:pPr>
            <w:bookmarkStart w:id="2" w:name="_Toc11043"/>
            <w:r>
              <w:rPr>
                <w:rFonts w:hint="eastAsia"/>
                <w:color w:val="000000" w:themeColor="text1"/>
                <w14:textFill>
                  <w14:solidFill>
                    <w14:schemeClr w14:val="tx1"/>
                  </w14:solidFill>
                </w14:textFill>
              </w:rPr>
              <w:t>项目与《云南省人民政府关于实施“三线一单”生态环境分区管控的意见》中重点管控单元符合性分析详见表1-6。</w:t>
            </w:r>
          </w:p>
          <w:p>
            <w:pPr>
              <w:pStyle w:val="18"/>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表1-6 项目与重点管控单元符合性分析</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90"/>
              <w:gridCol w:w="3275"/>
              <w:gridCol w:w="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内容</w:t>
                  </w:r>
                </w:p>
              </w:tc>
              <w:tc>
                <w:tcPr>
                  <w:tcW w:w="3275" w:type="dxa"/>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w:t>
                  </w:r>
                </w:p>
              </w:tc>
              <w:tc>
                <w:tcPr>
                  <w:tcW w:w="927" w:type="dxa"/>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合理规划产业分区和功能定位，禁止不符合开发区规划要求的项目入区</w:t>
                  </w:r>
                </w:p>
              </w:tc>
              <w:tc>
                <w:tcPr>
                  <w:tcW w:w="3275" w:type="dxa"/>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项目符合园区规划</w:t>
                  </w:r>
                </w:p>
              </w:tc>
              <w:tc>
                <w:tcPr>
                  <w:tcW w:w="927" w:type="dxa"/>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合理规划居住区与工业功能区，在居住小区和工业区、工业企业之间按照要求设置环境防护距离及生态隔离带</w:t>
                  </w:r>
                </w:p>
              </w:tc>
              <w:tc>
                <w:tcPr>
                  <w:tcW w:w="3275" w:type="dxa"/>
                  <w:vMerge w:val="restart"/>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焊接烟气经移动式焊接烟尘净化器净化后呈无组织排放，</w:t>
                  </w:r>
                  <w:r>
                    <w:rPr>
                      <w:rFonts w:hint="eastAsia"/>
                      <w:color w:val="000000" w:themeColor="text1"/>
                      <w:sz w:val="21"/>
                      <w:szCs w:val="21"/>
                      <w14:textFill>
                        <w14:solidFill>
                          <w14:schemeClr w14:val="tx1"/>
                        </w14:solidFill>
                      </w14:textFill>
                    </w:rPr>
                    <w:t>喷涂</w:t>
                  </w:r>
                  <w:r>
                    <w:rPr>
                      <w:color w:val="000000" w:themeColor="text1"/>
                      <w:sz w:val="21"/>
                      <w:szCs w:val="21"/>
                      <w14:textFill>
                        <w14:solidFill>
                          <w14:schemeClr w14:val="tx1"/>
                        </w14:solidFill>
                      </w14:textFill>
                    </w:rPr>
                    <w:t>工段产生废气通过设置</w:t>
                  </w:r>
                  <w:r>
                    <w:rPr>
                      <w:rFonts w:hint="eastAsia"/>
                      <w:color w:val="000000" w:themeColor="text1"/>
                      <w:sz w:val="21"/>
                      <w:szCs w:val="21"/>
                      <w14:textFill>
                        <w14:solidFill>
                          <w14:schemeClr w14:val="tx1"/>
                        </w14:solidFill>
                      </w14:textFill>
                    </w:rPr>
                    <w:t>2个移动式</w:t>
                  </w:r>
                  <w:r>
                    <w:rPr>
                      <w:color w:val="000000" w:themeColor="text1"/>
                      <w:sz w:val="21"/>
                      <w:szCs w:val="21"/>
                      <w14:textFill>
                        <w14:solidFill>
                          <w14:schemeClr w14:val="tx1"/>
                        </w14:solidFill>
                      </w14:textFill>
                    </w:rPr>
                    <w:t>集气罩，采用</w:t>
                  </w:r>
                  <w:r>
                    <w:rPr>
                      <w:rFonts w:hint="eastAsia"/>
                      <w:color w:val="000000" w:themeColor="text1"/>
                      <w:sz w:val="21"/>
                      <w:szCs w:val="21"/>
                      <w14:textFill>
                        <w14:solidFill>
                          <w14:schemeClr w14:val="tx1"/>
                        </w14:solidFill>
                      </w14:textFill>
                    </w:rPr>
                    <w:t>过滤棉+</w:t>
                  </w:r>
                  <w:r>
                    <w:rPr>
                      <w:color w:val="000000" w:themeColor="text1"/>
                      <w:sz w:val="21"/>
                      <w:szCs w:val="21"/>
                      <w14:textFill>
                        <w14:solidFill>
                          <w14:schemeClr w14:val="tx1"/>
                        </w14:solidFill>
                      </w14:textFill>
                    </w:rPr>
                    <w:t>活性炭吸附后，通过15米高排气筒排放，可达标排放，且排放废气不含二噁英、苯并[a]芘、氰化物、氯气，本项目不设大气专项，无需设置大气防护距离。</w:t>
                  </w:r>
                </w:p>
              </w:tc>
              <w:tc>
                <w:tcPr>
                  <w:tcW w:w="927" w:type="dxa"/>
                  <w:vMerge w:val="restart"/>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加强污染防治，在实现稳定达标排放基础上，根据区域环境质量改善目标，实施污染物排放总量控制，降低排放强度</w:t>
                  </w:r>
                  <w:r>
                    <w:rPr>
                      <w:rFonts w:hint="eastAsia"/>
                      <w:color w:val="000000" w:themeColor="text1"/>
                      <w:sz w:val="21"/>
                      <w:szCs w:val="21"/>
                      <w14:textFill>
                        <w14:solidFill>
                          <w14:schemeClr w14:val="tx1"/>
                        </w14:solidFill>
                      </w14:textFill>
                    </w:rPr>
                    <w:t>。</w:t>
                  </w:r>
                </w:p>
              </w:tc>
              <w:tc>
                <w:tcPr>
                  <w:tcW w:w="3275" w:type="dxa"/>
                  <w:vMerge w:val="continue"/>
                  <w:vAlign w:val="center"/>
                </w:tcPr>
                <w:p>
                  <w:pPr>
                    <w:adjustRightInd w:val="0"/>
                    <w:snapToGrid w:val="0"/>
                    <w:spacing w:line="240" w:lineRule="auto"/>
                    <w:jc w:val="center"/>
                    <w:rPr>
                      <w:color w:val="000000" w:themeColor="text1"/>
                      <w:sz w:val="21"/>
                      <w:szCs w:val="21"/>
                      <w14:textFill>
                        <w14:solidFill>
                          <w14:schemeClr w14:val="tx1"/>
                        </w14:solidFill>
                      </w14:textFill>
                    </w:rPr>
                  </w:pPr>
                </w:p>
              </w:tc>
              <w:tc>
                <w:tcPr>
                  <w:tcW w:w="927" w:type="dxa"/>
                  <w:vMerge w:val="continue"/>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开发区及区内企业实现“雨污分流”、“清污分流”，开发区按照规定建成污水集中处理设施并确保稳定运行，加强土壤和地下水污染防治</w:t>
                  </w:r>
                  <w:r>
                    <w:rPr>
                      <w:rFonts w:hint="eastAsia"/>
                      <w:color w:val="000000" w:themeColor="text1"/>
                      <w:sz w:val="21"/>
                      <w:szCs w:val="21"/>
                      <w14:textFill>
                        <w14:solidFill>
                          <w14:schemeClr w14:val="tx1"/>
                        </w14:solidFill>
                      </w14:textFill>
                    </w:rPr>
                    <w:t>。</w:t>
                  </w:r>
                </w:p>
              </w:tc>
              <w:tc>
                <w:tcPr>
                  <w:tcW w:w="3275" w:type="dxa"/>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项目实行“雨污分流”，雨水排入雨水管网，生活污水经化粪池处理后排入市政管网，对地表环境影响小。</w:t>
                  </w:r>
                </w:p>
              </w:tc>
              <w:tc>
                <w:tcPr>
                  <w:tcW w:w="927" w:type="dxa"/>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0" w:type="dxa"/>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强化企业环境风险防范设施设备建设和运行监管，制定突发环境事件应急预案，建立企业隐患排查整治常态化监管机制。</w:t>
                  </w:r>
                </w:p>
              </w:tc>
              <w:tc>
                <w:tcPr>
                  <w:tcW w:w="3275" w:type="dxa"/>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项目需按相关要求编制突发环境事件应急预案，并报当地环保部门备案。</w:t>
                  </w:r>
                </w:p>
              </w:tc>
              <w:tc>
                <w:tcPr>
                  <w:tcW w:w="927" w:type="dxa"/>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bl>
          <w:p>
            <w:pPr>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因此，本项目建设符合《云南省人民政府关于实施“三线一单”生态环境分区管控的意见》（云政发[</w:t>
            </w:r>
            <w:r>
              <w:rPr>
                <w:color w:val="000000" w:themeColor="text1"/>
                <w14:textFill>
                  <w14:solidFill>
                    <w14:schemeClr w14:val="tx1"/>
                  </w14:solidFill>
                </w14:textFill>
              </w:rPr>
              <w:t>2020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29</w:t>
            </w:r>
            <w:r>
              <w:rPr>
                <w:rFonts w:hint="eastAsia"/>
                <w:color w:val="000000" w:themeColor="text1"/>
                <w14:textFill>
                  <w14:solidFill>
                    <w14:schemeClr w14:val="tx1"/>
                  </w14:solidFill>
                </w14:textFill>
              </w:rPr>
              <w:t>号）的相关要求。</w:t>
            </w:r>
          </w:p>
          <w:p>
            <w:pPr>
              <w:pStyle w:val="11"/>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 xml:space="preserve">四 </w:t>
            </w:r>
            <w:r>
              <w:rPr>
                <w:rFonts w:hint="eastAsia"/>
                <w:b/>
                <w:bCs/>
                <w:color w:val="000000" w:themeColor="text1"/>
                <w:kern w:val="2"/>
                <w:sz w:val="24"/>
                <w:szCs w:val="24"/>
                <w14:textFill>
                  <w14:solidFill>
                    <w14:schemeClr w14:val="tx1"/>
                  </w14:solidFill>
                </w14:textFill>
              </w:rPr>
              <w:t>与《昆明市“三线一单”生态环境分区管控实施方案》符合性分析</w:t>
            </w:r>
          </w:p>
          <w:p>
            <w:pPr>
              <w:autoSpaceDE w:val="0"/>
              <w:autoSpaceDN w:val="0"/>
              <w:adjustRightInd w:val="0"/>
              <w:snapToGrid w:val="0"/>
              <w:ind w:firstLine="480" w:firstLineChars="200"/>
              <w:rPr>
                <w:color w:val="000000" w:themeColor="text1"/>
                <w:kern w:val="0"/>
                <w14:textFill>
                  <w14:solidFill>
                    <w14:schemeClr w14:val="tx1"/>
                  </w14:solidFill>
                </w14:textFill>
              </w:rPr>
            </w:pPr>
            <w:r>
              <w:rPr>
                <w:rFonts w:hint="eastAsia"/>
                <w:color w:val="000000" w:themeColor="text1"/>
                <w14:textFill>
                  <w14:solidFill>
                    <w14:schemeClr w14:val="tx1"/>
                  </w14:solidFill>
                </w14:textFill>
              </w:rPr>
              <w:t>根据《昆明市人民政府关于昆明市“三线一单”生态环境分区管控的实施意见》（昆</w:t>
            </w:r>
            <w:r>
              <w:rPr>
                <w:color w:val="000000" w:themeColor="text1"/>
                <w14:textFill>
                  <w14:solidFill>
                    <w14:schemeClr w14:val="tx1"/>
                  </w14:solidFill>
                </w14:textFill>
              </w:rPr>
              <w:t>政发〔2021〕2</w:t>
            </w:r>
            <w:r>
              <w:rPr>
                <w:rFonts w:hint="eastAsia"/>
                <w:color w:val="000000" w:themeColor="text1"/>
                <w14:textFill>
                  <w14:solidFill>
                    <w14:schemeClr w14:val="tx1"/>
                  </w14:solidFill>
                </w14:textFill>
              </w:rPr>
              <w:t>1</w:t>
            </w:r>
            <w:r>
              <w:rPr>
                <w:color w:val="000000" w:themeColor="text1"/>
                <w14:textFill>
                  <w14:solidFill>
                    <w14:schemeClr w14:val="tx1"/>
                  </w14:solidFill>
                </w14:textFill>
              </w:rPr>
              <w:t>号</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本项目选址位于晋宁工业园区青山基地，</w:t>
            </w:r>
            <w:r>
              <w:rPr>
                <w:rFonts w:hint="eastAsia"/>
                <w:color w:val="000000" w:themeColor="text1"/>
                <w:kern w:val="0"/>
                <w14:textFill>
                  <w14:solidFill>
                    <w14:schemeClr w14:val="tx1"/>
                  </w14:solidFill>
                </w14:textFill>
              </w:rPr>
              <w:t>本项目所在地属于晋宁区“重点管控单元”。</w:t>
            </w:r>
          </w:p>
          <w:p>
            <w:pPr>
              <w:autoSpaceDE w:val="0"/>
              <w:autoSpaceDN w:val="0"/>
              <w:adjustRightInd w:val="0"/>
              <w:snapToGrid w:val="0"/>
              <w:spacing w:line="240" w:lineRule="auto"/>
              <w:jc w:val="center"/>
              <w:rPr>
                <w:b/>
                <w:color w:val="000000" w:themeColor="text1"/>
                <w14:textFill>
                  <w14:solidFill>
                    <w14:schemeClr w14:val="tx1"/>
                  </w14:solidFill>
                </w14:textFill>
              </w:rPr>
            </w:pPr>
            <w:r>
              <w:rPr>
                <w:b/>
                <w:color w:val="000000" w:themeColor="text1"/>
                <w14:textFill>
                  <w14:solidFill>
                    <w14:schemeClr w14:val="tx1"/>
                  </w14:solidFill>
                </w14:textFill>
              </w:rPr>
              <w:t>表1-</w:t>
            </w:r>
            <w:r>
              <w:rPr>
                <w:rFonts w:hint="eastAsia"/>
                <w:b/>
                <w:color w:val="000000" w:themeColor="text1"/>
                <w14:textFill>
                  <w14:solidFill>
                    <w14:schemeClr w14:val="tx1"/>
                  </w14:solidFill>
                </w14:textFill>
              </w:rPr>
              <w:t>7</w:t>
            </w:r>
            <w:r>
              <w:rPr>
                <w:b/>
                <w:color w:val="000000" w:themeColor="text1"/>
                <w14:textFill>
                  <w14:solidFill>
                    <w14:schemeClr w14:val="tx1"/>
                  </w14:solidFill>
                </w14:textFill>
              </w:rPr>
              <w:t xml:space="preserve">   本项目</w:t>
            </w:r>
            <w:r>
              <w:rPr>
                <w:rFonts w:hint="eastAsia"/>
                <w:b/>
                <w:color w:val="000000" w:themeColor="text1"/>
                <w14:textFill>
                  <w14:solidFill>
                    <w14:schemeClr w14:val="tx1"/>
                  </w14:solidFill>
                </w14:textFill>
              </w:rPr>
              <w:t>与昆明市</w:t>
            </w:r>
            <w:r>
              <w:rPr>
                <w:b/>
                <w:color w:val="000000" w:themeColor="text1"/>
                <w14:textFill>
                  <w14:solidFill>
                    <w14:schemeClr w14:val="tx1"/>
                  </w14:solidFill>
                </w14:textFill>
              </w:rPr>
              <w:t>“三线一单”符合性分析</w:t>
            </w:r>
          </w:p>
          <w:tbl>
            <w:tblPr>
              <w:tblStyle w:val="28"/>
              <w:tblW w:w="72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530"/>
              <w:gridCol w:w="4288"/>
              <w:gridCol w:w="2044"/>
              <w:gridCol w:w="4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530" w:type="dxa"/>
                  <w:vAlign w:val="center"/>
                </w:tcPr>
                <w:p>
                  <w:pPr>
                    <w:topLinePunct/>
                    <w:adjustRightInd w:val="0"/>
                    <w:snapToGrid w:val="0"/>
                    <w:spacing w:line="240" w:lineRule="auto"/>
                    <w:jc w:val="center"/>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项目</w:t>
                  </w:r>
                </w:p>
              </w:tc>
              <w:tc>
                <w:tcPr>
                  <w:tcW w:w="4288" w:type="dxa"/>
                  <w:vAlign w:val="center"/>
                </w:tcPr>
                <w:p>
                  <w:pPr>
                    <w:topLinePunct/>
                    <w:adjustRightInd w:val="0"/>
                    <w:snapToGrid w:val="0"/>
                    <w:spacing w:line="240" w:lineRule="auto"/>
                    <w:jc w:val="center"/>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昆</w:t>
                  </w:r>
                  <w:r>
                    <w:rPr>
                      <w:snapToGrid w:val="0"/>
                      <w:color w:val="000000" w:themeColor="text1"/>
                      <w:sz w:val="21"/>
                      <w:szCs w:val="21"/>
                      <w14:textFill>
                        <w14:solidFill>
                          <w14:schemeClr w14:val="tx1"/>
                        </w14:solidFill>
                      </w14:textFill>
                    </w:rPr>
                    <w:t>政发〔2021〕2</w:t>
                  </w:r>
                  <w:r>
                    <w:rPr>
                      <w:rFonts w:hint="eastAsia"/>
                      <w:snapToGrid w:val="0"/>
                      <w:color w:val="000000" w:themeColor="text1"/>
                      <w:sz w:val="21"/>
                      <w:szCs w:val="21"/>
                      <w14:textFill>
                        <w14:solidFill>
                          <w14:schemeClr w14:val="tx1"/>
                        </w14:solidFill>
                      </w14:textFill>
                    </w:rPr>
                    <w:t>1</w:t>
                  </w:r>
                  <w:r>
                    <w:rPr>
                      <w:snapToGrid w:val="0"/>
                      <w:color w:val="000000" w:themeColor="text1"/>
                      <w:sz w:val="21"/>
                      <w:szCs w:val="21"/>
                      <w14:textFill>
                        <w14:solidFill>
                          <w14:schemeClr w14:val="tx1"/>
                        </w14:solidFill>
                      </w14:textFill>
                    </w:rPr>
                    <w:t>号</w:t>
                  </w:r>
                </w:p>
              </w:tc>
              <w:tc>
                <w:tcPr>
                  <w:tcW w:w="2044" w:type="dxa"/>
                  <w:vAlign w:val="center"/>
                </w:tcPr>
                <w:p>
                  <w:pPr>
                    <w:topLinePunct/>
                    <w:adjustRightInd w:val="0"/>
                    <w:snapToGrid w:val="0"/>
                    <w:spacing w:line="240" w:lineRule="auto"/>
                    <w:jc w:val="center"/>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项目情况</w:t>
                  </w:r>
                </w:p>
              </w:tc>
              <w:tc>
                <w:tcPr>
                  <w:tcW w:w="435" w:type="dxa"/>
                  <w:vAlign w:val="center"/>
                </w:tcPr>
                <w:p>
                  <w:pPr>
                    <w:topLinePunct/>
                    <w:adjustRightInd w:val="0"/>
                    <w:snapToGrid w:val="0"/>
                    <w:spacing w:line="240" w:lineRule="auto"/>
                    <w:jc w:val="center"/>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530" w:type="dxa"/>
                  <w:vAlign w:val="center"/>
                </w:tcPr>
                <w:p>
                  <w:pPr>
                    <w:topLinePunct/>
                    <w:adjustRightInd w:val="0"/>
                    <w:snapToGrid w:val="0"/>
                    <w:spacing w:line="240" w:lineRule="auto"/>
                    <w:jc w:val="center"/>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生态保护红线</w:t>
                  </w:r>
                </w:p>
              </w:tc>
              <w:tc>
                <w:tcPr>
                  <w:tcW w:w="4288" w:type="dxa"/>
                  <w:vAlign w:val="center"/>
                </w:tcPr>
                <w:p>
                  <w:pPr>
                    <w:widowControl/>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生态保护红线区严格执行云南省人民政府发布的《云南省生态保护红线》，生态保护红线区按照国家和云南省颁布的生态保护红线有关管控政策办法执行，原则上按禁止开发区域的要求进行管理，严禁不符合主体功能定位的各类开发活动，严禁任意改变用途，确保生态保护红线生态功能不降低、面积不减少、性质不改变。</w:t>
                  </w:r>
                </w:p>
                <w:p>
                  <w:pPr>
                    <w:widowControl/>
                    <w:adjustRightInd w:val="0"/>
                    <w:snapToGrid w:val="0"/>
                    <w:spacing w:line="240" w:lineRule="auto"/>
                    <w:jc w:val="center"/>
                    <w:rPr>
                      <w:snapToGrid w:val="0"/>
                      <w:color w:val="000000" w:themeColor="text1"/>
                      <w:sz w:val="21"/>
                      <w:szCs w:val="21"/>
                      <w:highlight w:val="green"/>
                      <w14:textFill>
                        <w14:solidFill>
                          <w14:schemeClr w14:val="tx1"/>
                        </w14:solidFill>
                      </w14:textFill>
                    </w:rPr>
                  </w:pPr>
                  <w:r>
                    <w:rPr>
                      <w:rFonts w:hint="eastAsia"/>
                      <w:color w:val="000000" w:themeColor="text1"/>
                      <w:kern w:val="0"/>
                      <w:sz w:val="21"/>
                      <w:szCs w:val="21"/>
                      <w14:textFill>
                        <w14:solidFill>
                          <w14:schemeClr w14:val="tx1"/>
                        </w14:solidFill>
                      </w14:textFill>
                    </w:rPr>
                    <w:t>立足已形成的生态保护红线划定工作成果，遵循生态优先原则，将未划入生态保护红线的自然保护地、饮用水水源保护区、重要湿地、基本草原、生态公益林、天然林等生态功能重要、生态环境敏感区域划为一般生态空间，一般生态空间参照主体功能区中重点生态功能区的开发和管制原则进行管控，以保护和修复生态环境、提供生态产品为首要任务，依法限制大规模高强度的工业化和城镇化开发建设活动。加强资源环境承载力控制，防止过度垦殖、放牧、采伐、取水、渔猎、旅游等对生态功能造成损害，确保自然生态系统的稳定。划入一般生态空间的各类自然保护地原则上按照原管控要求进行管理，其他一般生态空间根据用途分区，依法依规进行生态环境管控。</w:t>
                  </w:r>
                </w:p>
              </w:tc>
              <w:tc>
                <w:tcPr>
                  <w:tcW w:w="2044" w:type="dxa"/>
                  <w:vAlign w:val="center"/>
                </w:tcPr>
                <w:p>
                  <w:pPr>
                    <w:widowControl/>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项目位于晋宁工业园区青山基地，本</w:t>
                  </w:r>
                  <w:r>
                    <w:rPr>
                      <w:color w:val="000000" w:themeColor="text1"/>
                      <w:kern w:val="0"/>
                      <w:sz w:val="21"/>
                      <w:szCs w:val="21"/>
                      <w14:textFill>
                        <w14:solidFill>
                          <w14:schemeClr w14:val="tx1"/>
                        </w14:solidFill>
                      </w14:textFill>
                    </w:rPr>
                    <w:t>项目未涉及占用生态保护红线。本项目也不涉及未划入</w:t>
                  </w:r>
                  <w:r>
                    <w:rPr>
                      <w:rFonts w:hint="eastAsia"/>
                      <w:color w:val="000000" w:themeColor="text1"/>
                      <w:kern w:val="0"/>
                      <w:sz w:val="21"/>
                      <w:szCs w:val="21"/>
                      <w14:textFill>
                        <w14:solidFill>
                          <w14:schemeClr w14:val="tx1"/>
                        </w14:solidFill>
                      </w14:textFill>
                    </w:rPr>
                    <w:t>生态保护红线的自然保护地、饮用水水源保护区、重要湿地、基本草原、生态公益林、天然林等生态功能重要、生态环境敏感区域</w:t>
                  </w:r>
                  <w:r>
                    <w:rPr>
                      <w:color w:val="000000" w:themeColor="text1"/>
                      <w:kern w:val="0"/>
                      <w:sz w:val="21"/>
                      <w:szCs w:val="21"/>
                      <w14:textFill>
                        <w14:solidFill>
                          <w14:schemeClr w14:val="tx1"/>
                        </w14:solidFill>
                      </w14:textFill>
                    </w:rPr>
                    <w:t>等一般生态空间</w:t>
                  </w:r>
                  <w:r>
                    <w:rPr>
                      <w:rFonts w:hint="eastAsia"/>
                      <w:color w:val="000000" w:themeColor="text1"/>
                      <w:kern w:val="0"/>
                      <w:sz w:val="21"/>
                      <w:szCs w:val="21"/>
                      <w14:textFill>
                        <w14:solidFill>
                          <w14:schemeClr w14:val="tx1"/>
                        </w14:solidFill>
                      </w14:textFill>
                    </w:rPr>
                    <w:t>的占用</w:t>
                  </w:r>
                  <w:r>
                    <w:rPr>
                      <w:color w:val="000000" w:themeColor="text1"/>
                      <w:kern w:val="0"/>
                      <w:sz w:val="21"/>
                      <w:szCs w:val="21"/>
                      <w14:textFill>
                        <w14:solidFill>
                          <w14:schemeClr w14:val="tx1"/>
                        </w14:solidFill>
                      </w14:textFill>
                    </w:rPr>
                    <w:t>。</w:t>
                  </w:r>
                </w:p>
              </w:tc>
              <w:tc>
                <w:tcPr>
                  <w:tcW w:w="435" w:type="dxa"/>
                  <w:vAlign w:val="center"/>
                </w:tcPr>
                <w:p>
                  <w:pPr>
                    <w:topLinePunct/>
                    <w:adjustRightInd w:val="0"/>
                    <w:snapToGrid w:val="0"/>
                    <w:spacing w:line="240" w:lineRule="auto"/>
                    <w:jc w:val="center"/>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530" w:type="dxa"/>
                  <w:vAlign w:val="center"/>
                </w:tcPr>
                <w:p>
                  <w:pPr>
                    <w:topLinePunct/>
                    <w:adjustRightInd w:val="0"/>
                    <w:snapToGrid w:val="0"/>
                    <w:spacing w:line="240" w:lineRule="auto"/>
                    <w:jc w:val="center"/>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环境质量底线</w:t>
                  </w:r>
                </w:p>
              </w:tc>
              <w:tc>
                <w:tcPr>
                  <w:tcW w:w="4288" w:type="dxa"/>
                  <w:vAlign w:val="center"/>
                </w:tcPr>
                <w:p>
                  <w:pPr>
                    <w:topLinePunct/>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到2025年，全市生态环境质量持续改善，生态空间得到优化和有效保护，区域生态安全屏障更加牢固。全市环境空气质量总体保持优良，主城建成区空气质量优良天数占比达99%以上，二氧化硫（SO</w:t>
                  </w:r>
                  <w:r>
                    <w:rPr>
                      <w:rFonts w:hint="eastAsia"/>
                      <w:color w:val="000000" w:themeColor="text1"/>
                      <w:kern w:val="0"/>
                      <w:sz w:val="21"/>
                      <w:szCs w:val="21"/>
                      <w:vertAlign w:val="subscript"/>
                      <w14:textFill>
                        <w14:solidFill>
                          <w14:schemeClr w14:val="tx1"/>
                        </w14:solidFill>
                      </w14:textFill>
                    </w:rPr>
                    <w:t>2</w:t>
                  </w:r>
                  <w:r>
                    <w:rPr>
                      <w:rFonts w:hint="eastAsia"/>
                      <w:color w:val="000000" w:themeColor="text1"/>
                      <w:kern w:val="0"/>
                      <w:sz w:val="21"/>
                      <w:szCs w:val="21"/>
                      <w14:textFill>
                        <w14:solidFill>
                          <w14:schemeClr w14:val="tx1"/>
                        </w14:solidFill>
                      </w14:textFill>
                    </w:rPr>
                    <w:t>）和氮氧化物（NO</w:t>
                  </w:r>
                  <w:r>
                    <w:rPr>
                      <w:rFonts w:hint="eastAsia"/>
                      <w:color w:val="000000" w:themeColor="text1"/>
                      <w:kern w:val="0"/>
                      <w:sz w:val="21"/>
                      <w:szCs w:val="21"/>
                      <w:vertAlign w:val="subscript"/>
                      <w14:textFill>
                        <w14:solidFill>
                          <w14:schemeClr w14:val="tx1"/>
                        </w14:solidFill>
                      </w14:textFill>
                    </w:rPr>
                    <w:t>X</w:t>
                  </w:r>
                  <w:r>
                    <w:rPr>
                      <w:rFonts w:hint="eastAsia"/>
                      <w:color w:val="000000" w:themeColor="text1"/>
                      <w:kern w:val="0"/>
                      <w:sz w:val="21"/>
                      <w:szCs w:val="21"/>
                      <w14:textFill>
                        <w14:solidFill>
                          <w14:schemeClr w14:val="tx1"/>
                        </w14:solidFill>
                      </w14:textFill>
                    </w:rPr>
                    <w:t>）排放总量控制在省下达的目标以内，主城区空气中颗粒物（PM</w:t>
                  </w:r>
                  <w:r>
                    <w:rPr>
                      <w:rFonts w:hint="eastAsia"/>
                      <w:color w:val="000000" w:themeColor="text1"/>
                      <w:kern w:val="0"/>
                      <w:sz w:val="21"/>
                      <w:szCs w:val="21"/>
                      <w:vertAlign w:val="subscript"/>
                      <w14:textFill>
                        <w14:solidFill>
                          <w14:schemeClr w14:val="tx1"/>
                        </w14:solidFill>
                      </w14:textFill>
                    </w:rPr>
                    <w:t>10</w:t>
                  </w:r>
                  <w:r>
                    <w:rPr>
                      <w:rFonts w:hint="eastAsia"/>
                      <w:color w:val="000000" w:themeColor="text1"/>
                      <w:kern w:val="0"/>
                      <w:sz w:val="21"/>
                      <w:szCs w:val="21"/>
                      <w14:textFill>
                        <w14:solidFill>
                          <w14:schemeClr w14:val="tx1"/>
                        </w14:solidFill>
                      </w14:textFill>
                    </w:rPr>
                    <w:t>、PM</w:t>
                  </w:r>
                  <w:r>
                    <w:rPr>
                      <w:rFonts w:hint="eastAsia"/>
                      <w:color w:val="000000" w:themeColor="text1"/>
                      <w:kern w:val="0"/>
                      <w:sz w:val="21"/>
                      <w:szCs w:val="21"/>
                      <w:vertAlign w:val="subscript"/>
                      <w14:textFill>
                        <w14:solidFill>
                          <w14:schemeClr w14:val="tx1"/>
                        </w14:solidFill>
                      </w14:textFill>
                    </w:rPr>
                    <w:t>2.5</w:t>
                  </w:r>
                  <w:r>
                    <w:rPr>
                      <w:rFonts w:hint="eastAsia"/>
                      <w:color w:val="000000" w:themeColor="text1"/>
                      <w:kern w:val="0"/>
                      <w:sz w:val="21"/>
                      <w:szCs w:val="21"/>
                      <w14:textFill>
                        <w14:solidFill>
                          <w14:schemeClr w14:val="tx1"/>
                        </w14:solidFill>
                      </w14:textFill>
                    </w:rPr>
                    <w:t>）稳定达《环境空气质量标准》二级标准以上。纳入国家和省级考核的地表水监测断面水质优良率稳步提升，滇池流域、阳宗海流域水环境质量明显改善，水生态系统功能逐步恢复，滇池草海水质达Ⅳ类，滇池外海水质达Ⅳ类（化学需氧量≤40毫克/升），阳宗海水质达Ⅲ类，集中式饮用水源水质巩固改善。土壤环境风险防范体系进一步完善，受污染耕地安全利用率和污染地块安全利用率进一步提高，逐步改善全市土壤环境质量，遏制土壤污染恶化趋势，土壤环境风险得到基本管控。污染地块安全利用率、耕地土壤环境质量达到国家和云南省考核要求。</w:t>
                  </w:r>
                </w:p>
                <w:p>
                  <w:pPr>
                    <w:topLinePunct/>
                    <w:adjustRightInd w:val="0"/>
                    <w:snapToGrid w:val="0"/>
                    <w:spacing w:line="240" w:lineRule="auto"/>
                    <w:jc w:val="center"/>
                    <w:rPr>
                      <w:snapToGrid w:val="0"/>
                      <w:color w:val="000000" w:themeColor="text1"/>
                      <w:sz w:val="21"/>
                      <w:szCs w:val="21"/>
                      <w:highlight w:val="green"/>
                      <w14:textFill>
                        <w14:solidFill>
                          <w14:schemeClr w14:val="tx1"/>
                        </w14:solidFill>
                      </w14:textFill>
                    </w:rPr>
                  </w:pPr>
                  <w:r>
                    <w:rPr>
                      <w:rFonts w:hint="eastAsia"/>
                      <w:color w:val="000000" w:themeColor="text1"/>
                      <w:kern w:val="0"/>
                      <w:sz w:val="21"/>
                      <w:szCs w:val="21"/>
                      <w14:textFill>
                        <w14:solidFill>
                          <w14:schemeClr w14:val="tx1"/>
                        </w14:solidFill>
                      </w14:textFill>
                    </w:rPr>
                    <w:t>到2035年，全市生态环境质量实现根本好转，生态功能显著提升，区域生态安全得到全面保障。全市环境空气质量全面改善，各县（市）区、开发（度假）区环境空气质量稳定达到国家二级标准。地表水体水质优良率全面提升，各监测断面水质达到水环境功能要求，消除劣Ⅴ类水体，集中式饮用水水源水质稳定达标。土壤环境质量稳中向好，农用地和建设用地土壤环境安全得到有效保障，土壤环境风险得到全面管控。</w:t>
                  </w:r>
                </w:p>
              </w:tc>
              <w:tc>
                <w:tcPr>
                  <w:tcW w:w="2044" w:type="dxa"/>
                  <w:vAlign w:val="center"/>
                </w:tcPr>
                <w:p>
                  <w:pPr>
                    <w:widowControl/>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根据昆明市生态环境</w:t>
                  </w:r>
                  <w:r>
                    <w:rPr>
                      <w:color w:val="000000" w:themeColor="text1"/>
                      <w:sz w:val="21"/>
                      <w:szCs w:val="21"/>
                      <w14:textFill>
                        <w14:solidFill>
                          <w14:schemeClr w14:val="tx1"/>
                        </w14:solidFill>
                      </w14:textFill>
                    </w:rPr>
                    <w:t>局发布的</w:t>
                  </w:r>
                  <w:r>
                    <w:rPr>
                      <w:rFonts w:hint="eastAsia"/>
                      <w:color w:val="000000" w:themeColor="text1"/>
                      <w:sz w:val="21"/>
                      <w:szCs w:val="21"/>
                      <w14:textFill>
                        <w14:solidFill>
                          <w14:schemeClr w14:val="tx1"/>
                        </w14:solidFill>
                      </w14:textFill>
                    </w:rPr>
                    <w:t>《</w:t>
                  </w:r>
                  <w:r>
                    <w:rPr>
                      <w:color w:val="000000" w:themeColor="text1"/>
                      <w:sz w:val="21"/>
                      <w:szCs w:val="21"/>
                      <w14:textFill>
                        <w14:solidFill>
                          <w14:schemeClr w14:val="tx1"/>
                        </w14:solidFill>
                      </w14:textFill>
                    </w:rPr>
                    <w:t>2020</w:t>
                  </w:r>
                  <w:r>
                    <w:rPr>
                      <w:rFonts w:hint="eastAsia"/>
                      <w:color w:val="000000" w:themeColor="text1"/>
                      <w:sz w:val="21"/>
                      <w:szCs w:val="21"/>
                      <w14:textFill>
                        <w14:solidFill>
                          <w14:schemeClr w14:val="tx1"/>
                        </w14:solidFill>
                      </w14:textFill>
                    </w:rPr>
                    <w:t>年度昆明市生态环境状况公报》</w:t>
                  </w:r>
                  <w:r>
                    <w:rPr>
                      <w:color w:val="000000" w:themeColor="text1"/>
                      <w:sz w:val="21"/>
                      <w:szCs w:val="21"/>
                      <w14:textFill>
                        <w14:solidFill>
                          <w14:schemeClr w14:val="tx1"/>
                        </w14:solidFill>
                      </w14:textFill>
                    </w:rPr>
                    <w:t>，古城河滇池入湖口达到昆明市考核目标</w:t>
                  </w:r>
                  <w:r>
                    <w:rPr>
                      <w:rFonts w:hint="eastAsia"/>
                      <w:color w:val="000000" w:themeColor="text1"/>
                      <w:sz w:val="21"/>
                      <w:szCs w:val="21"/>
                      <w14:textFill>
                        <w14:solidFill>
                          <w14:schemeClr w14:val="tx1"/>
                        </w14:solidFill>
                      </w14:textFill>
                    </w:rPr>
                    <w:t>。根据《</w:t>
                  </w:r>
                  <w:r>
                    <w:rPr>
                      <w:color w:val="000000" w:themeColor="text1"/>
                      <w:sz w:val="21"/>
                      <w:szCs w:val="21"/>
                      <w14:textFill>
                        <w14:solidFill>
                          <w14:schemeClr w14:val="tx1"/>
                        </w14:solidFill>
                      </w14:textFill>
                    </w:rPr>
                    <w:t>2020</w:t>
                  </w:r>
                  <w:r>
                    <w:rPr>
                      <w:rFonts w:hint="eastAsia"/>
                      <w:color w:val="000000" w:themeColor="text1"/>
                      <w:sz w:val="21"/>
                      <w:szCs w:val="21"/>
                      <w14:textFill>
                        <w14:solidFill>
                          <w14:schemeClr w14:val="tx1"/>
                        </w14:solidFill>
                      </w14:textFill>
                    </w:rPr>
                    <w:t>年度昆明市生态环境状况公报》，2020年各县（市）区环境空气质量总体保持良好，全年环境空气质量均达到二级标准，与2019年相比，石林县、富民县、寻甸县、嵩明县、安宁市、宜良县和禄劝县环境空气质量均有不同程度改善；晋宁区、东川区环境空气质量有所上升；阳宗海风景名胜区环境空气质量持平。项目区属于达标区。</w:t>
                  </w:r>
                </w:p>
                <w:p>
                  <w:pPr>
                    <w:pStyle w:val="18"/>
                    <w:adjustRightInd w:val="0"/>
                    <w:snapToGrid w:val="0"/>
                    <w:spacing w:line="240" w:lineRule="auto"/>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项目位于工业园区内，不涉及占用农用地，挥发性有机物采取处理措施后，达标排放，对土壤影响小。</w:t>
                  </w:r>
                </w:p>
              </w:tc>
              <w:tc>
                <w:tcPr>
                  <w:tcW w:w="435" w:type="dxa"/>
                  <w:vAlign w:val="center"/>
                </w:tcPr>
                <w:p>
                  <w:pPr>
                    <w:topLinePunct/>
                    <w:adjustRightInd w:val="0"/>
                    <w:snapToGrid w:val="0"/>
                    <w:spacing w:line="240" w:lineRule="auto"/>
                    <w:jc w:val="center"/>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258" w:hRule="atLeast"/>
                <w:jc w:val="center"/>
              </w:trPr>
              <w:tc>
                <w:tcPr>
                  <w:tcW w:w="530" w:type="dxa"/>
                  <w:vAlign w:val="center"/>
                </w:tcPr>
                <w:p>
                  <w:pPr>
                    <w:topLinePunct/>
                    <w:adjustRightInd w:val="0"/>
                    <w:snapToGrid w:val="0"/>
                    <w:spacing w:line="240" w:lineRule="auto"/>
                    <w:jc w:val="center"/>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资源利用上限</w:t>
                  </w:r>
                </w:p>
              </w:tc>
              <w:tc>
                <w:tcPr>
                  <w:tcW w:w="4288" w:type="dxa"/>
                  <w:vAlign w:val="center"/>
                </w:tcPr>
                <w:p>
                  <w:pPr>
                    <w:widowControl/>
                    <w:adjustRightInd w:val="0"/>
                    <w:snapToGrid w:val="0"/>
                    <w:spacing w:line="240" w:lineRule="auto"/>
                    <w:jc w:val="left"/>
                    <w:rPr>
                      <w:color w:val="000000" w:themeColor="text1"/>
                      <w:kern w:val="0"/>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按照国家、省、市有关要求和规划，按时完成全市用水总量、用水效率、限制纳污“三条红线”水资源上限控制指标；按时完成耕地保有量、基本农田保护面积、建设用地总规模等土地资源利用上限控制指标；按时完成单位GDP能耗下降率、能源消费总量等能源控制指标。</w:t>
                  </w:r>
                </w:p>
              </w:tc>
              <w:tc>
                <w:tcPr>
                  <w:tcW w:w="2044" w:type="dxa"/>
                  <w:vAlign w:val="center"/>
                </w:tcPr>
                <w:p>
                  <w:pPr>
                    <w:adjustRightInd w:val="0"/>
                    <w:snapToGrid w:val="0"/>
                    <w:spacing w:line="240" w:lineRule="auto"/>
                    <w:jc w:val="center"/>
                    <w:rPr>
                      <w:snapToGrid w:val="0"/>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项目不新增占地，供水、供电均依晋宁志诚物流有限责任公司。运营期间会消耗一定量的电能、水资源能源，资源的消耗量相对区域资源利用总量较少，符合资源利用上线的要求。</w:t>
                  </w:r>
                </w:p>
              </w:tc>
              <w:tc>
                <w:tcPr>
                  <w:tcW w:w="435" w:type="dxa"/>
                  <w:vAlign w:val="center"/>
                </w:tcPr>
                <w:p>
                  <w:pPr>
                    <w:topLinePunct/>
                    <w:adjustRightInd w:val="0"/>
                    <w:snapToGrid w:val="0"/>
                    <w:spacing w:line="240" w:lineRule="auto"/>
                    <w:jc w:val="center"/>
                    <w:rPr>
                      <w:snapToGrid w:val="0"/>
                      <w:color w:val="000000" w:themeColor="text1"/>
                      <w:sz w:val="21"/>
                      <w:szCs w:val="21"/>
                      <w14:textFill>
                        <w14:solidFill>
                          <w14:schemeClr w14:val="tx1"/>
                        </w14:solidFill>
                      </w14:textFill>
                    </w:rPr>
                  </w:pPr>
                  <w:r>
                    <w:rPr>
                      <w:snapToGrid w:val="0"/>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530" w:type="dxa"/>
                  <w:vMerge w:val="restart"/>
                  <w:vAlign w:val="center"/>
                </w:tcPr>
                <w:p>
                  <w:pPr>
                    <w:topLinePunct/>
                    <w:adjustRightInd w:val="0"/>
                    <w:snapToGrid w:val="0"/>
                    <w:spacing w:line="240" w:lineRule="auto"/>
                    <w:jc w:val="center"/>
                    <w:rPr>
                      <w:color w:val="000000" w:themeColor="text1"/>
                      <w:kern w:val="0"/>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云南晋宁工业园区重点管控单元生态环境准入清单</w:t>
                  </w:r>
                </w:p>
              </w:tc>
              <w:tc>
                <w:tcPr>
                  <w:tcW w:w="4288" w:type="dxa"/>
                  <w:vAlign w:val="center"/>
                </w:tcPr>
                <w:p>
                  <w:pPr>
                    <w:topLinePunct/>
                    <w:adjustRightInd w:val="0"/>
                    <w:snapToGrid w:val="0"/>
                    <w:spacing w:line="240" w:lineRule="auto"/>
                    <w:jc w:val="center"/>
                    <w:rPr>
                      <w:snapToGrid w:val="0"/>
                      <w:color w:val="000000" w:themeColor="text1"/>
                      <w:sz w:val="21"/>
                      <w:szCs w:val="21"/>
                      <w14:textFill>
                        <w14:solidFill>
                          <w14:schemeClr w14:val="tx1"/>
                        </w14:solidFill>
                      </w14:textFill>
                    </w:rPr>
                  </w:pPr>
                  <w:r>
                    <w:rPr>
                      <w:rFonts w:hint="eastAsia"/>
                      <w:b/>
                      <w:bCs/>
                      <w:snapToGrid w:val="0"/>
                      <w:color w:val="000000" w:themeColor="text1"/>
                      <w:sz w:val="21"/>
                      <w:szCs w:val="21"/>
                      <w14:textFill>
                        <w14:solidFill>
                          <w14:schemeClr w14:val="tx1"/>
                        </w14:solidFill>
                      </w14:textFill>
                    </w:rPr>
                    <w:t>空间布局约束：</w:t>
                  </w:r>
                  <w:r>
                    <w:rPr>
                      <w:rFonts w:hint="eastAsia"/>
                      <w:snapToGrid w:val="0"/>
                      <w:color w:val="000000" w:themeColor="text1"/>
                      <w:sz w:val="21"/>
                      <w:szCs w:val="21"/>
                      <w14:textFill>
                        <w14:solidFill>
                          <w14:schemeClr w14:val="tx1"/>
                        </w14:solidFill>
                      </w14:textFill>
                    </w:rPr>
                    <w:t>1、重点发展精密机械制造、生物资源加工、精细磷化工以及建材业。</w:t>
                  </w:r>
                </w:p>
                <w:p>
                  <w:pPr>
                    <w:topLinePunct/>
                    <w:adjustRightInd w:val="0"/>
                    <w:snapToGrid w:val="0"/>
                    <w:spacing w:line="240" w:lineRule="auto"/>
                    <w:jc w:val="center"/>
                    <w:rPr>
                      <w:b/>
                      <w:bCs/>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2.二街片区和晋城片区调整产业布局，引进大气污染小、噪声污染小的产业，增设绿化隔离带。3.晋城片区禁止发展有色冶金行业。</w:t>
                  </w:r>
                </w:p>
              </w:tc>
              <w:tc>
                <w:tcPr>
                  <w:tcW w:w="2044" w:type="dxa"/>
                  <w:vAlign w:val="center"/>
                </w:tcPr>
                <w:p>
                  <w:pPr>
                    <w:topLinePunct/>
                    <w:adjustRightInd w:val="0"/>
                    <w:snapToGrid w:val="0"/>
                    <w:spacing w:line="240" w:lineRule="auto"/>
                    <w:jc w:val="center"/>
                    <w:rPr>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项目位于青山基地，项目符合产业政策等相关要求，与青山基地定位不冲突且已取得</w:t>
                  </w:r>
                  <w:r>
                    <w:rPr>
                      <w:rFonts w:hint="eastAsia"/>
                      <w:color w:val="000000" w:themeColor="text1"/>
                      <w:kern w:val="0"/>
                      <w:sz w:val="21"/>
                      <w:szCs w:val="21"/>
                      <w14:textFill>
                        <w14:solidFill>
                          <w14:schemeClr w14:val="tx1"/>
                        </w14:solidFill>
                      </w14:textFill>
                    </w:rPr>
                    <w:t>晋宁工业园区管理委员会关于同意云南途腾智能装备有限公司湿喷台车组装生产基地项目入园的批复。</w:t>
                  </w:r>
                </w:p>
              </w:tc>
              <w:tc>
                <w:tcPr>
                  <w:tcW w:w="435" w:type="dxa"/>
                  <w:vAlign w:val="center"/>
                </w:tcPr>
                <w:p>
                  <w:pPr>
                    <w:topLinePunct/>
                    <w:adjustRightInd w:val="0"/>
                    <w:snapToGrid w:val="0"/>
                    <w:spacing w:line="240" w:lineRule="auto"/>
                    <w:jc w:val="center"/>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530" w:type="dxa"/>
                  <w:vMerge w:val="continue"/>
                  <w:vAlign w:val="center"/>
                </w:tcPr>
                <w:p>
                  <w:pPr>
                    <w:topLinePunct/>
                    <w:adjustRightInd w:val="0"/>
                    <w:snapToGrid w:val="0"/>
                    <w:spacing w:line="240" w:lineRule="auto"/>
                    <w:jc w:val="center"/>
                    <w:rPr>
                      <w:snapToGrid w:val="0"/>
                      <w:color w:val="000000" w:themeColor="text1"/>
                      <w:sz w:val="21"/>
                      <w:szCs w:val="21"/>
                      <w14:textFill>
                        <w14:solidFill>
                          <w14:schemeClr w14:val="tx1"/>
                        </w14:solidFill>
                      </w14:textFill>
                    </w:rPr>
                  </w:pPr>
                </w:p>
              </w:tc>
              <w:tc>
                <w:tcPr>
                  <w:tcW w:w="4288" w:type="dxa"/>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污染物排放管控（环境风险防控）：</w:t>
                  </w:r>
                  <w:r>
                    <w:rPr>
                      <w:rFonts w:hint="eastAsia"/>
                      <w:color w:val="000000" w:themeColor="text1"/>
                      <w:sz w:val="21"/>
                      <w:szCs w:val="21"/>
                      <w14:textFill>
                        <w14:solidFill>
                          <w14:schemeClr w14:val="tx1"/>
                        </w14:solidFill>
                      </w14:textFill>
                    </w:rPr>
                    <w:t>执行二级空气质量标准，强化污染物排放总量控制，从行业的污染物排放情况分析，矿山将是未来影响区域环境空气质量的主要污染源。</w:t>
                  </w:r>
                </w:p>
              </w:tc>
              <w:tc>
                <w:tcPr>
                  <w:tcW w:w="2044" w:type="dxa"/>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项目执行二级空气质量标准，项目</w:t>
                  </w:r>
                  <w:r>
                    <w:rPr>
                      <w:rFonts w:hint="eastAsia"/>
                      <w:snapToGrid w:val="0"/>
                      <w:color w:val="000000" w:themeColor="text1"/>
                      <w:sz w:val="21"/>
                      <w:szCs w:val="21"/>
                      <w14:textFill>
                        <w14:solidFill>
                          <w14:schemeClr w14:val="tx1"/>
                        </w14:solidFill>
                      </w14:textFill>
                    </w:rPr>
                    <w:t>CODcr申请排放量为</w:t>
                  </w:r>
                  <w:r>
                    <w:rPr>
                      <w:snapToGrid w:val="0"/>
                      <w:color w:val="000000" w:themeColor="text1"/>
                      <w:sz w:val="21"/>
                      <w:szCs w:val="21"/>
                      <w14:textFill>
                        <w14:solidFill>
                          <w14:schemeClr w14:val="tx1"/>
                        </w14:solidFill>
                      </w14:textFill>
                    </w:rPr>
                    <w:t>0.201</w:t>
                  </w:r>
                  <w:r>
                    <w:rPr>
                      <w:rFonts w:hint="eastAsia"/>
                      <w:snapToGrid w:val="0"/>
                      <w:color w:val="000000" w:themeColor="text1"/>
                      <w:sz w:val="21"/>
                      <w:szCs w:val="21"/>
                      <w14:textFill>
                        <w14:solidFill>
                          <w14:schemeClr w14:val="tx1"/>
                        </w14:solidFill>
                      </w14:textFill>
                    </w:rPr>
                    <w:t>3t/a、氨氮申请排放量为</w:t>
                  </w:r>
                  <w:r>
                    <w:rPr>
                      <w:snapToGrid w:val="0"/>
                      <w:color w:val="000000" w:themeColor="text1"/>
                      <w:sz w:val="21"/>
                      <w:szCs w:val="21"/>
                      <w14:textFill>
                        <w14:solidFill>
                          <w14:schemeClr w14:val="tx1"/>
                        </w14:solidFill>
                      </w14:textFill>
                    </w:rPr>
                    <w:t>0.002</w:t>
                  </w:r>
                  <w:r>
                    <w:rPr>
                      <w:rFonts w:hint="eastAsia"/>
                      <w:snapToGrid w:val="0"/>
                      <w:color w:val="000000" w:themeColor="text1"/>
                      <w:sz w:val="21"/>
                      <w:szCs w:val="21"/>
                      <w14:textFill>
                        <w14:solidFill>
                          <w14:schemeClr w14:val="tx1"/>
                        </w14:solidFill>
                      </w14:textFill>
                    </w:rPr>
                    <w:t>2t/a，无二氧化硫、氮氧化物排放，项目不涉及矿山。</w:t>
                  </w:r>
                </w:p>
              </w:tc>
              <w:tc>
                <w:tcPr>
                  <w:tcW w:w="435" w:type="dxa"/>
                  <w:vAlign w:val="center"/>
                </w:tcPr>
                <w:p>
                  <w:pPr>
                    <w:topLinePunct/>
                    <w:adjustRightInd w:val="0"/>
                    <w:snapToGrid w:val="0"/>
                    <w:spacing w:line="240" w:lineRule="auto"/>
                    <w:jc w:val="center"/>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530" w:type="dxa"/>
                  <w:vMerge w:val="continue"/>
                  <w:vAlign w:val="center"/>
                </w:tcPr>
                <w:p>
                  <w:pPr>
                    <w:topLinePunct/>
                    <w:adjustRightInd w:val="0"/>
                    <w:snapToGrid w:val="0"/>
                    <w:spacing w:line="240" w:lineRule="auto"/>
                    <w:jc w:val="center"/>
                    <w:rPr>
                      <w:snapToGrid w:val="0"/>
                      <w:color w:val="000000" w:themeColor="text1"/>
                      <w:sz w:val="21"/>
                      <w:szCs w:val="21"/>
                      <w14:textFill>
                        <w14:solidFill>
                          <w14:schemeClr w14:val="tx1"/>
                        </w14:solidFill>
                      </w14:textFill>
                    </w:rPr>
                  </w:pPr>
                </w:p>
              </w:tc>
              <w:tc>
                <w:tcPr>
                  <w:tcW w:w="4288" w:type="dxa"/>
                  <w:vAlign w:val="center"/>
                </w:tcPr>
                <w:p>
                  <w:pPr>
                    <w:adjustRightInd w:val="0"/>
                    <w:snapToGrid w:val="0"/>
                    <w:spacing w:line="240" w:lineRule="auto"/>
                    <w:rPr>
                      <w:rStyle w:val="87"/>
                      <w:rFonts w:eastAsia="仿宋_GB2312"/>
                      <w:color w:val="000000" w:themeColor="text1"/>
                      <w:kern w:val="0"/>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环境风险防控：</w:t>
                  </w:r>
                  <w:r>
                    <w:rPr>
                      <w:rFonts w:hint="eastAsia"/>
                      <w:color w:val="000000" w:themeColor="text1"/>
                      <w:sz w:val="21"/>
                      <w:szCs w:val="21"/>
                      <w14:textFill>
                        <w14:solidFill>
                          <w14:schemeClr w14:val="tx1"/>
                        </w14:solidFill>
                      </w14:textFill>
                    </w:rPr>
                    <w:t>1.危险废物必须进行集中处置。收集、贮存危险废物，必须按照危险废物标准进行分类，禁止混合收集、贮存、运输、处置性质不相同而未经安全性处置的危险废物，禁止将危险废物混入非危险废物中贮存。</w:t>
                  </w:r>
                  <w:r>
                    <w:rPr>
                      <w:rFonts w:hint="eastAsia"/>
                      <w:color w:val="000000" w:themeColor="text1"/>
                      <w:sz w:val="21"/>
                      <w:szCs w:val="21"/>
                      <w14:textFill>
                        <w14:solidFill>
                          <w14:schemeClr w14:val="tx1"/>
                        </w14:solidFill>
                      </w14:textFill>
                    </w:rPr>
                    <w:br w:type="textWrapping"/>
                  </w:r>
                  <w:r>
                    <w:rPr>
                      <w:rFonts w:hint="eastAsia"/>
                      <w:color w:val="000000" w:themeColor="text1"/>
                      <w:sz w:val="21"/>
                      <w:szCs w:val="21"/>
                      <w14:textFill>
                        <w14:solidFill>
                          <w14:schemeClr w14:val="tx1"/>
                        </w14:solidFill>
                      </w14:textFill>
                    </w:rPr>
                    <w:t>2.运输危险废物，必须采取防止污染环境的措施，并遵守国家有关危险废物运输管理的规定。</w:t>
                  </w:r>
                </w:p>
              </w:tc>
              <w:tc>
                <w:tcPr>
                  <w:tcW w:w="2044" w:type="dxa"/>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kern w:val="0"/>
                      <w:sz w:val="21"/>
                      <w:szCs w:val="21"/>
                      <w14:textFill>
                        <w14:solidFill>
                          <w14:schemeClr w14:val="tx1"/>
                        </w14:solidFill>
                      </w14:textFill>
                    </w:rPr>
                    <w:t>对于危险废物，按照《危险废物贮存污染控制标准》（GB18597-2001）的要求进行贮存，</w:t>
                  </w:r>
                  <w:r>
                    <w:rPr>
                      <w:rFonts w:hint="eastAsia"/>
                      <w:color w:val="000000" w:themeColor="text1"/>
                      <w:kern w:val="0"/>
                      <w:sz w:val="21"/>
                      <w:szCs w:val="21"/>
                      <w14:textFill>
                        <w14:solidFill>
                          <w14:schemeClr w14:val="tx1"/>
                        </w14:solidFill>
                      </w14:textFill>
                    </w:rPr>
                    <w:t>委托有资质单位定期清运处置。</w:t>
                  </w:r>
                </w:p>
              </w:tc>
              <w:tc>
                <w:tcPr>
                  <w:tcW w:w="435" w:type="dxa"/>
                  <w:vAlign w:val="center"/>
                </w:tcPr>
                <w:p>
                  <w:pPr>
                    <w:topLinePunct/>
                    <w:adjustRightInd w:val="0"/>
                    <w:snapToGrid w:val="0"/>
                    <w:spacing w:line="240" w:lineRule="auto"/>
                    <w:jc w:val="center"/>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jc w:val="center"/>
              </w:trPr>
              <w:tc>
                <w:tcPr>
                  <w:tcW w:w="530" w:type="dxa"/>
                  <w:vMerge w:val="continue"/>
                  <w:vAlign w:val="center"/>
                </w:tcPr>
                <w:p>
                  <w:pPr>
                    <w:topLinePunct/>
                    <w:adjustRightInd w:val="0"/>
                    <w:snapToGrid w:val="0"/>
                    <w:spacing w:line="240" w:lineRule="auto"/>
                    <w:jc w:val="center"/>
                    <w:rPr>
                      <w:snapToGrid w:val="0"/>
                      <w:color w:val="000000" w:themeColor="text1"/>
                      <w:sz w:val="21"/>
                      <w:szCs w:val="21"/>
                      <w14:textFill>
                        <w14:solidFill>
                          <w14:schemeClr w14:val="tx1"/>
                        </w14:solidFill>
                      </w14:textFill>
                    </w:rPr>
                  </w:pPr>
                </w:p>
              </w:tc>
              <w:tc>
                <w:tcPr>
                  <w:tcW w:w="4288" w:type="dxa"/>
                  <w:vAlign w:val="center"/>
                </w:tcPr>
                <w:p>
                  <w:pPr>
                    <w:adjustRightInd w:val="0"/>
                    <w:snapToGrid w:val="0"/>
                    <w:spacing w:line="240" w:lineRule="auto"/>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资源开发效率要求：</w:t>
                  </w:r>
                  <w:r>
                    <w:rPr>
                      <w:rFonts w:hint="eastAsia"/>
                      <w:color w:val="000000" w:themeColor="text1"/>
                      <w:sz w:val="21"/>
                      <w:szCs w:val="21"/>
                      <w14:textFill>
                        <w14:solidFill>
                          <w14:schemeClr w14:val="tx1"/>
                        </w14:solidFill>
                      </w14:textFill>
                    </w:rPr>
                    <w:t>禁止新建、扩建采用非清洁燃料的项目和设施。</w:t>
                  </w:r>
                </w:p>
              </w:tc>
              <w:tc>
                <w:tcPr>
                  <w:tcW w:w="2044" w:type="dxa"/>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项目不涉及非清洁燃料的项目和设施。</w:t>
                  </w:r>
                </w:p>
              </w:tc>
              <w:tc>
                <w:tcPr>
                  <w:tcW w:w="435" w:type="dxa"/>
                  <w:vAlign w:val="center"/>
                </w:tcPr>
                <w:p>
                  <w:pPr>
                    <w:topLinePunct/>
                    <w:adjustRightInd w:val="0"/>
                    <w:snapToGrid w:val="0"/>
                    <w:spacing w:line="240" w:lineRule="auto"/>
                    <w:jc w:val="center"/>
                    <w:rPr>
                      <w:snapToGrid w:val="0"/>
                      <w:color w:val="000000" w:themeColor="text1"/>
                      <w:sz w:val="21"/>
                      <w:szCs w:val="21"/>
                      <w14:textFill>
                        <w14:solidFill>
                          <w14:schemeClr w14:val="tx1"/>
                        </w14:solidFill>
                      </w14:textFill>
                    </w:rPr>
                  </w:pPr>
                  <w:r>
                    <w:rPr>
                      <w:rFonts w:hint="eastAsia"/>
                      <w:snapToGrid w:val="0"/>
                      <w:color w:val="000000" w:themeColor="text1"/>
                      <w:sz w:val="21"/>
                      <w:szCs w:val="21"/>
                      <w14:textFill>
                        <w14:solidFill>
                          <w14:schemeClr w14:val="tx1"/>
                        </w14:solidFill>
                      </w14:textFill>
                    </w:rPr>
                    <w:t>符合</w:t>
                  </w:r>
                </w:p>
              </w:tc>
            </w:tr>
          </w:tbl>
          <w:p>
            <w:pPr>
              <w:pStyle w:val="18"/>
              <w:adjustRightInd w:val="0"/>
              <w:snapToGrid w:val="0"/>
              <w:ind w:firstLine="480" w:firstLineChars="200"/>
              <w:rPr>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因此，本项目建设符合</w:t>
            </w:r>
            <w:r>
              <w:rPr>
                <w:rFonts w:hint="eastAsia" w:ascii="Times New Roman" w:hAnsi="Times New Roman"/>
                <w:color w:val="000000" w:themeColor="text1"/>
                <w14:textFill>
                  <w14:solidFill>
                    <w14:schemeClr w14:val="tx1"/>
                  </w14:solidFill>
                </w14:textFill>
              </w:rPr>
              <w:t>《</w:t>
            </w:r>
            <w:r>
              <w:rPr>
                <w:rFonts w:hint="eastAsia"/>
                <w:color w:val="000000" w:themeColor="text1"/>
                <w14:textFill>
                  <w14:solidFill>
                    <w14:schemeClr w14:val="tx1"/>
                  </w14:solidFill>
                </w14:textFill>
              </w:rPr>
              <w:t>昆明市</w:t>
            </w:r>
            <w:r>
              <w:rPr>
                <w:rFonts w:hint="eastAsia" w:ascii="Times New Roman" w:hAnsi="Times New Roman"/>
                <w:color w:val="000000" w:themeColor="text1"/>
                <w14:textFill>
                  <w14:solidFill>
                    <w14:schemeClr w14:val="tx1"/>
                  </w14:solidFill>
                </w14:textFill>
              </w:rPr>
              <w:t>“三线一单”生态环境分区管控实施方案》</w:t>
            </w:r>
            <w:r>
              <w:rPr>
                <w:rFonts w:ascii="Times New Roman" w:hAnsi="Times New Roman"/>
                <w:color w:val="000000" w:themeColor="text1"/>
                <w14:textFill>
                  <w14:solidFill>
                    <w14:schemeClr w14:val="tx1"/>
                  </w14:solidFill>
                </w14:textFill>
              </w:rPr>
              <w:t>的相关要求。</w:t>
            </w:r>
          </w:p>
          <w:p>
            <w:pPr>
              <w:snapToGrid w:val="0"/>
              <w:rPr>
                <w:b/>
                <w:color w:val="000000" w:themeColor="text1"/>
                <w:szCs w:val="20"/>
                <w:lang w:val="zh-CN"/>
                <w14:textFill>
                  <w14:solidFill>
                    <w14:schemeClr w14:val="tx1"/>
                  </w14:solidFill>
                </w14:textFill>
              </w:rPr>
            </w:pPr>
            <w:r>
              <w:rPr>
                <w:rFonts w:hint="eastAsia"/>
                <w:b/>
                <w:color w:val="000000" w:themeColor="text1"/>
                <w:szCs w:val="20"/>
                <w14:textFill>
                  <w14:solidFill>
                    <w14:schemeClr w14:val="tx1"/>
                  </w14:solidFill>
                </w14:textFill>
              </w:rPr>
              <w:t>五、</w:t>
            </w:r>
            <w:r>
              <w:rPr>
                <w:b/>
                <w:color w:val="000000" w:themeColor="text1"/>
                <w:szCs w:val="20"/>
                <w:lang w:val="zh-CN"/>
                <w14:textFill>
                  <w14:solidFill>
                    <w14:schemeClr w14:val="tx1"/>
                  </w14:solidFill>
                </w14:textFill>
              </w:rPr>
              <w:t>与《云南省长江经济带发展负面清单指南实施细则（试行）》的符合性分析</w:t>
            </w:r>
            <w:bookmarkEnd w:id="2"/>
          </w:p>
          <w:p>
            <w:pPr>
              <w:snapToGrid w:val="0"/>
              <w:ind w:firstLine="480" w:firstLineChars="200"/>
              <w:jc w:val="left"/>
              <w:rPr>
                <w:color w:val="000000" w:themeColor="text1"/>
                <w:lang w:val="zh-CN"/>
                <w14:textFill>
                  <w14:solidFill>
                    <w14:schemeClr w14:val="tx1"/>
                  </w14:solidFill>
                </w14:textFill>
              </w:rPr>
            </w:pPr>
            <w:r>
              <w:rPr>
                <w:color w:val="000000" w:themeColor="text1"/>
                <w:lang w:val="zh-CN"/>
                <w14:textFill>
                  <w14:solidFill>
                    <w14:schemeClr w14:val="tx1"/>
                  </w14:solidFill>
                </w14:textFill>
              </w:rPr>
              <w:t>为切实保护和改善长江生态环境，国家环保部、发改委、水利部会同有关部门编制了《长江经济带生态环境保护规划》，长江经济带生态环境保护规划的基本原则为“生态优先，绿色发展；统筹协调，系统保护；空间管控，分区施策；强化底线，严格约束；改革引领，科技支撑。”云南省属于长江经济带上游地区，为深入贯彻党中央、国务院关于推动长江经济带发展重大战略部署，坚持“生态优先、绿色发展”的战略导向，根据国家长江办印发的《长江经济带发展负面清单指南（试行）》和相关法律法规要求，云南省推动长江经济带发展领导小组办公室出台了《云南省长江经济带发展负面清单指南实施细则（试行）》（云发改基础[2019]24号）。</w:t>
            </w:r>
          </w:p>
          <w:p>
            <w:pPr>
              <w:snapToGrid w:val="0"/>
              <w:ind w:firstLine="480" w:firstLineChars="200"/>
              <w:jc w:val="left"/>
              <w:rPr>
                <w:color w:val="000000" w:themeColor="text1"/>
                <w:lang w:val="zh-CN"/>
                <w14:textFill>
                  <w14:solidFill>
                    <w14:schemeClr w14:val="tx1"/>
                  </w14:solidFill>
                </w14:textFill>
              </w:rPr>
            </w:pPr>
            <w:r>
              <w:rPr>
                <w:color w:val="000000" w:themeColor="text1"/>
                <w:lang w:val="zh-CN"/>
                <w14:textFill>
                  <w14:solidFill>
                    <w14:schemeClr w14:val="tx1"/>
                  </w14:solidFill>
                </w14:textFill>
              </w:rPr>
              <w:t>本项目与《云南省长江经济带发展负面清单指南实施细则（试行）》的符合性见表</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8</w:t>
            </w:r>
            <w:r>
              <w:rPr>
                <w:color w:val="000000" w:themeColor="text1"/>
                <w:lang w:val="zh-CN"/>
                <w14:textFill>
                  <w14:solidFill>
                    <w14:schemeClr w14:val="tx1"/>
                  </w14:solidFill>
                </w14:textFill>
              </w:rPr>
              <w:t>。</w:t>
            </w:r>
          </w:p>
          <w:p>
            <w:pPr>
              <w:spacing w:line="240" w:lineRule="auto"/>
              <w:ind w:firstLine="480"/>
              <w:jc w:val="center"/>
              <w:rPr>
                <w:b/>
                <w:bCs/>
                <w:color w:val="000000" w:themeColor="text1"/>
                <w14:textFill>
                  <w14:solidFill>
                    <w14:schemeClr w14:val="tx1"/>
                  </w14:solidFill>
                </w14:textFill>
              </w:rPr>
            </w:pPr>
            <w:r>
              <w:rPr>
                <w:b/>
                <w:bCs/>
                <w:color w:val="000000" w:themeColor="text1"/>
                <w14:textFill>
                  <w14:solidFill>
                    <w14:schemeClr w14:val="tx1"/>
                  </w14:solidFill>
                </w14:textFill>
              </w:rPr>
              <w:t>表1-</w:t>
            </w:r>
            <w:r>
              <w:rPr>
                <w:rFonts w:hint="eastAsia"/>
                <w:b/>
                <w:bCs/>
                <w:color w:val="000000" w:themeColor="text1"/>
                <w14:textFill>
                  <w14:solidFill>
                    <w14:schemeClr w14:val="tx1"/>
                  </w14:solidFill>
                </w14:textFill>
              </w:rPr>
              <w:t>8</w:t>
            </w:r>
            <w:r>
              <w:rPr>
                <w:b/>
                <w:bCs/>
                <w:color w:val="000000" w:themeColor="text1"/>
                <w14:textFill>
                  <w14:solidFill>
                    <w14:schemeClr w14:val="tx1"/>
                  </w14:solidFill>
                </w14:textFill>
              </w:rPr>
              <w:t xml:space="preserve">     项目与长江经济带发展负面清单符合性</w:t>
            </w:r>
          </w:p>
          <w:tbl>
            <w:tblPr>
              <w:tblStyle w:val="2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66"/>
              <w:gridCol w:w="4650"/>
              <w:gridCol w:w="2302"/>
              <w:gridCol w:w="2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jc w:val="center"/>
              </w:trPr>
              <w:tc>
                <w:tcPr>
                  <w:tcW w:w="0" w:type="auto"/>
                  <w:vAlign w:val="center"/>
                </w:tcPr>
                <w:p>
                  <w:pPr>
                    <w:pStyle w:val="69"/>
                    <w:adjustRightInd w:val="0"/>
                    <w:snapToGrid w:val="0"/>
                    <w:spacing w:line="240" w:lineRule="auto"/>
                    <w:jc w:val="center"/>
                    <w:rPr>
                      <w:rFonts w:eastAsia="宋体"/>
                      <w:color w:val="000000" w:themeColor="text1"/>
                      <w:sz w:val="21"/>
                      <w14:textFill>
                        <w14:solidFill>
                          <w14:schemeClr w14:val="tx1"/>
                        </w14:solidFill>
                      </w14:textFill>
                    </w:rPr>
                  </w:pPr>
                  <w:r>
                    <w:rPr>
                      <w:rFonts w:eastAsia="宋体"/>
                      <w:color w:val="000000" w:themeColor="text1"/>
                      <w:sz w:val="21"/>
                      <w14:textFill>
                        <w14:solidFill>
                          <w14:schemeClr w14:val="tx1"/>
                        </w14:solidFill>
                      </w14:textFill>
                    </w:rPr>
                    <w:t>功能区</w:t>
                  </w:r>
                </w:p>
              </w:tc>
              <w:tc>
                <w:tcPr>
                  <w:tcW w:w="0" w:type="auto"/>
                  <w:vAlign w:val="center"/>
                </w:tcPr>
                <w:p>
                  <w:pPr>
                    <w:pStyle w:val="69"/>
                    <w:adjustRightInd w:val="0"/>
                    <w:snapToGrid w:val="0"/>
                    <w:spacing w:line="240" w:lineRule="auto"/>
                    <w:jc w:val="center"/>
                    <w:rPr>
                      <w:rFonts w:eastAsia="宋体"/>
                      <w:color w:val="000000" w:themeColor="text1"/>
                      <w:sz w:val="21"/>
                      <w14:textFill>
                        <w14:solidFill>
                          <w14:schemeClr w14:val="tx1"/>
                        </w14:solidFill>
                      </w14:textFill>
                    </w:rPr>
                  </w:pPr>
                  <w:r>
                    <w:rPr>
                      <w:rFonts w:eastAsia="宋体"/>
                      <w:color w:val="000000" w:themeColor="text1"/>
                      <w:sz w:val="21"/>
                      <w14:textFill>
                        <w14:solidFill>
                          <w14:schemeClr w14:val="tx1"/>
                        </w14:solidFill>
                      </w14:textFill>
                    </w:rPr>
                    <w:t>具体要求</w:t>
                  </w:r>
                </w:p>
              </w:tc>
              <w:tc>
                <w:tcPr>
                  <w:tcW w:w="0" w:type="auto"/>
                  <w:vAlign w:val="center"/>
                </w:tcPr>
                <w:p>
                  <w:pPr>
                    <w:pStyle w:val="69"/>
                    <w:adjustRightInd w:val="0"/>
                    <w:snapToGrid w:val="0"/>
                    <w:spacing w:line="240" w:lineRule="auto"/>
                    <w:jc w:val="center"/>
                    <w:rPr>
                      <w:rFonts w:eastAsia="宋体"/>
                      <w:color w:val="000000" w:themeColor="text1"/>
                      <w:sz w:val="21"/>
                      <w14:textFill>
                        <w14:solidFill>
                          <w14:schemeClr w14:val="tx1"/>
                        </w14:solidFill>
                      </w14:textFill>
                    </w:rPr>
                  </w:pPr>
                  <w:r>
                    <w:rPr>
                      <w:rFonts w:eastAsia="宋体"/>
                      <w:color w:val="000000" w:themeColor="text1"/>
                      <w:sz w:val="21"/>
                      <w14:textFill>
                        <w14:solidFill>
                          <w14:schemeClr w14:val="tx1"/>
                        </w14:solidFill>
                      </w14:textFill>
                    </w:rPr>
                    <w:t>本项目</w:t>
                  </w:r>
                </w:p>
              </w:tc>
              <w:tc>
                <w:tcPr>
                  <w:tcW w:w="0" w:type="auto"/>
                  <w:vAlign w:val="center"/>
                </w:tcPr>
                <w:p>
                  <w:pPr>
                    <w:pStyle w:val="69"/>
                    <w:adjustRightInd w:val="0"/>
                    <w:snapToGrid w:val="0"/>
                    <w:spacing w:line="240" w:lineRule="auto"/>
                    <w:jc w:val="center"/>
                    <w:rPr>
                      <w:rFonts w:eastAsia="宋体"/>
                      <w:color w:val="000000" w:themeColor="text1"/>
                      <w:sz w:val="21"/>
                      <w14:textFill>
                        <w14:solidFill>
                          <w14:schemeClr w14:val="tx1"/>
                        </w14:solidFill>
                      </w14:textFill>
                    </w:rPr>
                  </w:pPr>
                  <w:r>
                    <w:rPr>
                      <w:rFonts w:eastAsia="宋体"/>
                      <w:color w:val="000000" w:themeColor="text1"/>
                      <w:sz w:val="21"/>
                      <w14:textFill>
                        <w14:solidFill>
                          <w14:schemeClr w14:val="tx1"/>
                        </w14:solidFill>
                      </w14:textFill>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2" w:hRule="atLeast"/>
                <w:jc w:val="center"/>
              </w:trPr>
              <w:tc>
                <w:tcPr>
                  <w:tcW w:w="0" w:type="auto"/>
                  <w:vMerge w:val="restart"/>
                  <w:vAlign w:val="center"/>
                </w:tcPr>
                <w:p>
                  <w:pPr>
                    <w:pStyle w:val="69"/>
                    <w:adjustRightInd w:val="0"/>
                    <w:snapToGrid w:val="0"/>
                    <w:spacing w:line="240" w:lineRule="auto"/>
                    <w:jc w:val="center"/>
                    <w:rPr>
                      <w:rFonts w:eastAsia="宋体"/>
                      <w:color w:val="000000" w:themeColor="text1"/>
                      <w:sz w:val="21"/>
                      <w14:textFill>
                        <w14:solidFill>
                          <w14:schemeClr w14:val="tx1"/>
                        </w14:solidFill>
                      </w14:textFill>
                    </w:rPr>
                  </w:pPr>
                  <w:r>
                    <w:rPr>
                      <w:rFonts w:eastAsia="宋体"/>
                      <w:color w:val="000000" w:themeColor="text1"/>
                      <w:sz w:val="21"/>
                      <w14:textFill>
                        <w14:solidFill>
                          <w14:schemeClr w14:val="tx1"/>
                        </w14:solidFill>
                      </w14:textFill>
                    </w:rPr>
                    <w:t>一、各类功能区</w:t>
                  </w:r>
                </w:p>
              </w:tc>
              <w:tc>
                <w:tcPr>
                  <w:tcW w:w="0" w:type="auto"/>
                  <w:vAlign w:val="center"/>
                </w:tcPr>
                <w:p>
                  <w:pPr>
                    <w:pStyle w:val="69"/>
                    <w:adjustRightInd w:val="0"/>
                    <w:snapToGrid w:val="0"/>
                    <w:spacing w:line="240" w:lineRule="auto"/>
                    <w:jc w:val="center"/>
                    <w:rPr>
                      <w:rFonts w:eastAsia="宋体"/>
                      <w:color w:val="000000" w:themeColor="text1"/>
                      <w:sz w:val="21"/>
                      <w:lang w:eastAsia="zh-CN"/>
                      <w14:textFill>
                        <w14:solidFill>
                          <w14:schemeClr w14:val="tx1"/>
                        </w14:solidFill>
                      </w14:textFill>
                    </w:rPr>
                  </w:pPr>
                  <w:r>
                    <w:rPr>
                      <w:rFonts w:eastAsia="宋体"/>
                      <w:color w:val="000000" w:themeColor="text1"/>
                      <w:sz w:val="21"/>
                      <w:lang w:eastAsia="zh-CN"/>
                      <w14:textFill>
                        <w14:solidFill>
                          <w14:schemeClr w14:val="tx1"/>
                        </w14:solidFill>
                      </w14:textFill>
                    </w:rPr>
                    <w:t>（一）禁止一切不符合主体功能定位的投资建设项目，严禁任意改变用途，因国家重大战略资源勘查需要，在不影响主体功能定位的前提下，经依法批准后予以安排勘查项目。</w:t>
                  </w:r>
                </w:p>
              </w:tc>
              <w:tc>
                <w:tcPr>
                  <w:tcW w:w="0" w:type="auto"/>
                  <w:vAlign w:val="center"/>
                </w:tcPr>
                <w:p>
                  <w:pPr>
                    <w:pStyle w:val="69"/>
                    <w:adjustRightInd w:val="0"/>
                    <w:snapToGrid w:val="0"/>
                    <w:spacing w:line="240" w:lineRule="auto"/>
                    <w:jc w:val="center"/>
                    <w:rPr>
                      <w:rFonts w:eastAsia="宋体"/>
                      <w:color w:val="000000" w:themeColor="text1"/>
                      <w:sz w:val="21"/>
                      <w:lang w:eastAsia="zh-CN"/>
                      <w14:textFill>
                        <w14:solidFill>
                          <w14:schemeClr w14:val="tx1"/>
                        </w14:solidFill>
                      </w14:textFill>
                    </w:rPr>
                  </w:pPr>
                  <w:r>
                    <w:rPr>
                      <w:rFonts w:eastAsia="宋体"/>
                      <w:color w:val="000000" w:themeColor="text1"/>
                      <w:sz w:val="21"/>
                      <w:lang w:eastAsia="zh-CN"/>
                      <w14:textFill>
                        <w14:solidFill>
                          <w14:schemeClr w14:val="tx1"/>
                        </w14:solidFill>
                      </w14:textFill>
                    </w:rPr>
                    <w:t>项目</w:t>
                  </w:r>
                  <w:r>
                    <w:rPr>
                      <w:rFonts w:hint="eastAsia" w:eastAsia="宋体"/>
                      <w:color w:val="000000" w:themeColor="text1"/>
                      <w:sz w:val="21"/>
                      <w:lang w:eastAsia="zh-CN"/>
                      <w14:textFill>
                        <w14:solidFill>
                          <w14:schemeClr w14:val="tx1"/>
                        </w14:solidFill>
                      </w14:textFill>
                    </w:rPr>
                    <w:t>位于晋宁工业园区青山基地，与基地的产业发展定位不冲突，项目所在属地属于国家重点开发区域</w:t>
                  </w:r>
                  <w:r>
                    <w:rPr>
                      <w:rFonts w:eastAsia="宋体"/>
                      <w:color w:val="000000" w:themeColor="text1"/>
                      <w:sz w:val="21"/>
                      <w:lang w:eastAsia="zh-CN"/>
                      <w14:textFill>
                        <w14:solidFill>
                          <w14:schemeClr w14:val="tx1"/>
                        </w14:solidFill>
                      </w14:textFill>
                    </w:rPr>
                    <w:t>。</w:t>
                  </w:r>
                </w:p>
              </w:tc>
              <w:tc>
                <w:tcPr>
                  <w:tcW w:w="0" w:type="auto"/>
                  <w:vAlign w:val="center"/>
                </w:tcPr>
                <w:p>
                  <w:pPr>
                    <w:pStyle w:val="69"/>
                    <w:adjustRightInd w:val="0"/>
                    <w:snapToGrid w:val="0"/>
                    <w:spacing w:line="240" w:lineRule="auto"/>
                    <w:jc w:val="center"/>
                    <w:rPr>
                      <w:rFonts w:eastAsia="宋体"/>
                      <w:color w:val="000000" w:themeColor="text1"/>
                      <w:sz w:val="21"/>
                      <w14:textFill>
                        <w14:solidFill>
                          <w14:schemeClr w14:val="tx1"/>
                        </w14:solidFill>
                      </w14:textFill>
                    </w:rPr>
                  </w:pPr>
                  <w:r>
                    <w:rPr>
                      <w:rFonts w:eastAsia="宋体"/>
                      <w:color w:val="000000" w:themeColor="text1"/>
                      <w:sz w:val="21"/>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5" w:hRule="atLeast"/>
                <w:jc w:val="center"/>
              </w:trPr>
              <w:tc>
                <w:tcPr>
                  <w:tcW w:w="0" w:type="auto"/>
                  <w:vMerge w:val="continue"/>
                  <w:tcBorders>
                    <w:top w:val="nil"/>
                  </w:tcBorders>
                  <w:vAlign w:val="center"/>
                </w:tcPr>
                <w:p>
                  <w:pPr>
                    <w:pStyle w:val="69"/>
                    <w:adjustRightInd w:val="0"/>
                    <w:snapToGrid w:val="0"/>
                    <w:spacing w:line="240" w:lineRule="auto"/>
                    <w:jc w:val="center"/>
                    <w:rPr>
                      <w:rFonts w:eastAsia="宋体"/>
                      <w:color w:val="000000" w:themeColor="text1"/>
                      <w:sz w:val="21"/>
                      <w14:textFill>
                        <w14:solidFill>
                          <w14:schemeClr w14:val="tx1"/>
                        </w14:solidFill>
                      </w14:textFill>
                    </w:rPr>
                  </w:pPr>
                </w:p>
              </w:tc>
              <w:tc>
                <w:tcPr>
                  <w:tcW w:w="0" w:type="auto"/>
                  <w:vAlign w:val="center"/>
                </w:tcPr>
                <w:p>
                  <w:pPr>
                    <w:pStyle w:val="69"/>
                    <w:adjustRightInd w:val="0"/>
                    <w:snapToGrid w:val="0"/>
                    <w:spacing w:line="240" w:lineRule="auto"/>
                    <w:jc w:val="center"/>
                    <w:rPr>
                      <w:rFonts w:eastAsia="宋体"/>
                      <w:color w:val="000000" w:themeColor="text1"/>
                      <w:sz w:val="21"/>
                      <w:lang w:eastAsia="zh-CN"/>
                      <w14:textFill>
                        <w14:solidFill>
                          <w14:schemeClr w14:val="tx1"/>
                        </w14:solidFill>
                      </w14:textFill>
                    </w:rPr>
                  </w:pPr>
                  <w:r>
                    <w:rPr>
                      <w:rFonts w:eastAsia="宋体"/>
                      <w:color w:val="000000" w:themeColor="text1"/>
                      <w:sz w:val="21"/>
                      <w:lang w:eastAsia="zh-CN"/>
                      <w14:textFill>
                        <w14:solidFill>
                          <w14:schemeClr w14:val="tx1"/>
                        </w14:solidFill>
                      </w14:textFill>
                    </w:rPr>
                    <w:t>（二）禁止在《长江岸线保护和开发利用总体规划》划定的岸线保护区内投资建设除保障防洪安全、河势稳定、供 水安全以及保护生态环境、已建重要枢纽工程以外的项目，禁止在岸线保留区内投资建设除保障防洪安全、河势稳定、供水安全、航道稳定以及保护生态环境以外的项目。禁止在《全国重要江河湖泊水功能区划》划定的河段保护区、保留区内投资建设不利于水资源及自然生态保护的项目。</w:t>
                  </w:r>
                </w:p>
              </w:tc>
              <w:tc>
                <w:tcPr>
                  <w:tcW w:w="0" w:type="auto"/>
                  <w:vAlign w:val="center"/>
                </w:tcPr>
                <w:p>
                  <w:pPr>
                    <w:pStyle w:val="69"/>
                    <w:adjustRightInd w:val="0"/>
                    <w:snapToGrid w:val="0"/>
                    <w:spacing w:line="240" w:lineRule="auto"/>
                    <w:jc w:val="center"/>
                    <w:rPr>
                      <w:rFonts w:eastAsia="宋体"/>
                      <w:color w:val="000000" w:themeColor="text1"/>
                      <w:sz w:val="21"/>
                      <w:lang w:eastAsia="zh-CN"/>
                      <w14:textFill>
                        <w14:solidFill>
                          <w14:schemeClr w14:val="tx1"/>
                        </w14:solidFill>
                      </w14:textFill>
                    </w:rPr>
                  </w:pPr>
                  <w:r>
                    <w:rPr>
                      <w:rFonts w:eastAsia="宋体"/>
                      <w:color w:val="000000" w:themeColor="text1"/>
                      <w:sz w:val="21"/>
                      <w:lang w:eastAsia="zh-CN"/>
                      <w14:textFill>
                        <w14:solidFill>
                          <w14:schemeClr w14:val="tx1"/>
                        </w14:solidFill>
                      </w14:textFill>
                    </w:rPr>
                    <w:t>项目</w:t>
                  </w:r>
                  <w:r>
                    <w:rPr>
                      <w:rFonts w:eastAsia="宋体"/>
                      <w:color w:val="000000" w:themeColor="text1"/>
                      <w:sz w:val="21"/>
                      <w:szCs w:val="21"/>
                      <w:lang w:eastAsia="zh-CN"/>
                      <w14:textFill>
                        <w14:solidFill>
                          <w14:schemeClr w14:val="tx1"/>
                        </w14:solidFill>
                      </w14:textFill>
                    </w:rPr>
                    <w:t>位于</w:t>
                  </w:r>
                  <w:r>
                    <w:rPr>
                      <w:rFonts w:eastAsia="宋体"/>
                      <w:color w:val="000000" w:themeColor="text1"/>
                      <w:sz w:val="21"/>
                      <w:lang w:eastAsia="zh-CN"/>
                      <w14:textFill>
                        <w14:solidFill>
                          <w14:schemeClr w14:val="tx1"/>
                        </w14:solidFill>
                      </w14:textFill>
                    </w:rPr>
                    <w:t>昆明市晋宁区，不在《长江岸线保护和开发利用总体规划》划定的岸线保护区内，不在《全国重要江河湖泊水功能区划》划定的河段保护区、保留区内。</w:t>
                  </w:r>
                </w:p>
              </w:tc>
              <w:tc>
                <w:tcPr>
                  <w:tcW w:w="0" w:type="auto"/>
                  <w:vAlign w:val="center"/>
                </w:tcPr>
                <w:p>
                  <w:pPr>
                    <w:pStyle w:val="69"/>
                    <w:adjustRightInd w:val="0"/>
                    <w:snapToGrid w:val="0"/>
                    <w:spacing w:line="240" w:lineRule="auto"/>
                    <w:jc w:val="center"/>
                    <w:rPr>
                      <w:rFonts w:eastAsia="宋体"/>
                      <w:color w:val="000000" w:themeColor="text1"/>
                      <w:sz w:val="21"/>
                      <w14:textFill>
                        <w14:solidFill>
                          <w14:schemeClr w14:val="tx1"/>
                        </w14:solidFill>
                      </w14:textFill>
                    </w:rPr>
                  </w:pPr>
                  <w:r>
                    <w:rPr>
                      <w:rFonts w:eastAsia="宋体"/>
                      <w:color w:val="000000" w:themeColor="text1"/>
                      <w:sz w:val="21"/>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3" w:hRule="atLeast"/>
                <w:jc w:val="center"/>
              </w:trPr>
              <w:tc>
                <w:tcPr>
                  <w:tcW w:w="0" w:type="auto"/>
                  <w:vMerge w:val="continue"/>
                  <w:tcBorders>
                    <w:top w:val="nil"/>
                  </w:tcBorders>
                  <w:vAlign w:val="center"/>
                </w:tcPr>
                <w:p>
                  <w:pPr>
                    <w:pStyle w:val="69"/>
                    <w:adjustRightInd w:val="0"/>
                    <w:snapToGrid w:val="0"/>
                    <w:spacing w:line="240" w:lineRule="auto"/>
                    <w:jc w:val="center"/>
                    <w:rPr>
                      <w:rFonts w:eastAsia="宋体"/>
                      <w:color w:val="000000" w:themeColor="text1"/>
                      <w:sz w:val="21"/>
                      <w14:textFill>
                        <w14:solidFill>
                          <w14:schemeClr w14:val="tx1"/>
                        </w14:solidFill>
                      </w14:textFill>
                    </w:rPr>
                  </w:pPr>
                </w:p>
              </w:tc>
              <w:tc>
                <w:tcPr>
                  <w:tcW w:w="0" w:type="auto"/>
                  <w:vAlign w:val="center"/>
                </w:tcPr>
                <w:p>
                  <w:pPr>
                    <w:pStyle w:val="69"/>
                    <w:adjustRightInd w:val="0"/>
                    <w:snapToGrid w:val="0"/>
                    <w:spacing w:line="240" w:lineRule="auto"/>
                    <w:jc w:val="center"/>
                    <w:rPr>
                      <w:rFonts w:eastAsia="宋体"/>
                      <w:color w:val="000000" w:themeColor="text1"/>
                      <w:sz w:val="21"/>
                      <w:lang w:eastAsia="zh-CN"/>
                      <w14:textFill>
                        <w14:solidFill>
                          <w14:schemeClr w14:val="tx1"/>
                        </w14:solidFill>
                      </w14:textFill>
                    </w:rPr>
                  </w:pPr>
                  <w:r>
                    <w:rPr>
                      <w:rFonts w:eastAsia="宋体"/>
                      <w:color w:val="000000" w:themeColor="text1"/>
                      <w:sz w:val="21"/>
                      <w:lang w:eastAsia="zh-CN"/>
                      <w14:textFill>
                        <w14:solidFill>
                          <w14:schemeClr w14:val="tx1"/>
                        </w14:solidFill>
                      </w14:textFill>
                    </w:rPr>
                    <w:t>（三）禁止在生态保护红线范围内投资建设除国家重大战略资源勘查项目、生态保护修复和环境治理项目、重大基础设施项目、军事国防项目以及农牧民基本生产生活等必要的民生项目以外的项目。生态保护红线原则上按禁止开发区域的要求进行管理。</w:t>
                  </w:r>
                </w:p>
              </w:tc>
              <w:tc>
                <w:tcPr>
                  <w:tcW w:w="0" w:type="auto"/>
                  <w:vAlign w:val="center"/>
                </w:tcPr>
                <w:p>
                  <w:pPr>
                    <w:pStyle w:val="69"/>
                    <w:adjustRightInd w:val="0"/>
                    <w:snapToGrid w:val="0"/>
                    <w:spacing w:line="240" w:lineRule="auto"/>
                    <w:jc w:val="center"/>
                    <w:rPr>
                      <w:rFonts w:eastAsia="宋体"/>
                      <w:color w:val="000000" w:themeColor="text1"/>
                      <w:sz w:val="21"/>
                      <w:lang w:eastAsia="zh-CN"/>
                      <w14:textFill>
                        <w14:solidFill>
                          <w14:schemeClr w14:val="tx1"/>
                        </w14:solidFill>
                      </w14:textFill>
                    </w:rPr>
                  </w:pPr>
                  <w:r>
                    <w:rPr>
                      <w:rFonts w:eastAsia="宋体"/>
                      <w:color w:val="000000" w:themeColor="text1"/>
                      <w:sz w:val="21"/>
                      <w:szCs w:val="21"/>
                      <w:lang w:eastAsia="zh-CN"/>
                      <w14:textFill>
                        <w14:solidFill>
                          <w14:schemeClr w14:val="tx1"/>
                        </w14:solidFill>
                      </w14:textFill>
                    </w:rPr>
                    <w:t>项目位于昆明市晋宁区，本项目不新增用地；不涉及生态保护红线范围</w:t>
                  </w:r>
                  <w:r>
                    <w:rPr>
                      <w:rFonts w:eastAsia="宋体"/>
                      <w:color w:val="000000" w:themeColor="text1"/>
                      <w:sz w:val="21"/>
                      <w:lang w:eastAsia="zh-CN"/>
                      <w14:textFill>
                        <w14:solidFill>
                          <w14:schemeClr w14:val="tx1"/>
                        </w14:solidFill>
                      </w14:textFill>
                    </w:rPr>
                    <w:t>。</w:t>
                  </w:r>
                </w:p>
              </w:tc>
              <w:tc>
                <w:tcPr>
                  <w:tcW w:w="0" w:type="auto"/>
                  <w:vAlign w:val="center"/>
                </w:tcPr>
                <w:p>
                  <w:pPr>
                    <w:pStyle w:val="69"/>
                    <w:adjustRightInd w:val="0"/>
                    <w:snapToGrid w:val="0"/>
                    <w:spacing w:line="240" w:lineRule="auto"/>
                    <w:jc w:val="center"/>
                    <w:rPr>
                      <w:rFonts w:eastAsia="宋体"/>
                      <w:color w:val="000000" w:themeColor="text1"/>
                      <w:sz w:val="21"/>
                      <w14:textFill>
                        <w14:solidFill>
                          <w14:schemeClr w14:val="tx1"/>
                        </w14:solidFill>
                      </w14:textFill>
                    </w:rPr>
                  </w:pPr>
                  <w:r>
                    <w:rPr>
                      <w:rFonts w:eastAsia="宋体"/>
                      <w:color w:val="000000" w:themeColor="text1"/>
                      <w:sz w:val="21"/>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45" w:hRule="atLeast"/>
                <w:jc w:val="center"/>
              </w:trPr>
              <w:tc>
                <w:tcPr>
                  <w:tcW w:w="0" w:type="auto"/>
                  <w:vMerge w:val="continue"/>
                  <w:tcBorders>
                    <w:top w:val="nil"/>
                  </w:tcBorders>
                  <w:vAlign w:val="center"/>
                </w:tcPr>
                <w:p>
                  <w:pPr>
                    <w:pStyle w:val="69"/>
                    <w:adjustRightInd w:val="0"/>
                    <w:snapToGrid w:val="0"/>
                    <w:spacing w:line="240" w:lineRule="auto"/>
                    <w:jc w:val="center"/>
                    <w:rPr>
                      <w:rFonts w:eastAsia="宋体"/>
                      <w:color w:val="000000" w:themeColor="text1"/>
                      <w:sz w:val="21"/>
                      <w14:textFill>
                        <w14:solidFill>
                          <w14:schemeClr w14:val="tx1"/>
                        </w14:solidFill>
                      </w14:textFill>
                    </w:rPr>
                  </w:pPr>
                </w:p>
              </w:tc>
              <w:tc>
                <w:tcPr>
                  <w:tcW w:w="0" w:type="auto"/>
                  <w:vAlign w:val="center"/>
                </w:tcPr>
                <w:p>
                  <w:pPr>
                    <w:pStyle w:val="69"/>
                    <w:adjustRightInd w:val="0"/>
                    <w:snapToGrid w:val="0"/>
                    <w:spacing w:line="240" w:lineRule="auto"/>
                    <w:jc w:val="center"/>
                    <w:rPr>
                      <w:rFonts w:eastAsia="宋体"/>
                      <w:color w:val="000000" w:themeColor="text1"/>
                      <w:sz w:val="21"/>
                      <w:lang w:eastAsia="zh-CN"/>
                      <w14:textFill>
                        <w14:solidFill>
                          <w14:schemeClr w14:val="tx1"/>
                        </w14:solidFill>
                      </w14:textFill>
                    </w:rPr>
                  </w:pPr>
                  <w:r>
                    <w:rPr>
                      <w:rFonts w:eastAsia="宋体"/>
                      <w:color w:val="000000" w:themeColor="text1"/>
                      <w:sz w:val="21"/>
                      <w:lang w:eastAsia="zh-CN"/>
                      <w14:textFill>
                        <w14:solidFill>
                          <w14:schemeClr w14:val="tx1"/>
                        </w14:solidFill>
                      </w14:textFill>
                    </w:rPr>
                    <w:t>（四）禁止在永久基本农田范围内投资建设除国家重大战略资源勘查项目、生态保护修复和环境治理项目、重大基础设施项目、军事国防项目以及农牧民基本生产生活等必要的民生项目以外的项目，重大建设项目选址确实难以避让永久基本农田的，需依法依规办理农用地转用和土地征收，并按照“数量不减、质量不降、布局稳定”的要求进行补划和法定程序修改相应的土地利用总体规划。</w:t>
                  </w:r>
                </w:p>
              </w:tc>
              <w:tc>
                <w:tcPr>
                  <w:tcW w:w="0" w:type="auto"/>
                  <w:vAlign w:val="center"/>
                </w:tcPr>
                <w:p>
                  <w:pPr>
                    <w:pStyle w:val="69"/>
                    <w:adjustRightInd w:val="0"/>
                    <w:snapToGrid w:val="0"/>
                    <w:spacing w:line="240" w:lineRule="auto"/>
                    <w:jc w:val="center"/>
                    <w:rPr>
                      <w:rFonts w:eastAsia="宋体"/>
                      <w:color w:val="000000" w:themeColor="text1"/>
                      <w:sz w:val="21"/>
                      <w14:textFill>
                        <w14:solidFill>
                          <w14:schemeClr w14:val="tx1"/>
                        </w14:solidFill>
                      </w14:textFill>
                    </w:rPr>
                  </w:pPr>
                  <w:r>
                    <w:rPr>
                      <w:rFonts w:eastAsia="宋体"/>
                      <w:color w:val="000000" w:themeColor="text1"/>
                      <w:sz w:val="21"/>
                      <w14:textFill>
                        <w14:solidFill>
                          <w14:schemeClr w14:val="tx1"/>
                        </w14:solidFill>
                      </w14:textFill>
                    </w:rPr>
                    <w:t>项目不涉及基本农田</w:t>
                  </w:r>
                </w:p>
              </w:tc>
              <w:tc>
                <w:tcPr>
                  <w:tcW w:w="0" w:type="auto"/>
                  <w:vAlign w:val="center"/>
                </w:tcPr>
                <w:p>
                  <w:pPr>
                    <w:pStyle w:val="69"/>
                    <w:adjustRightInd w:val="0"/>
                    <w:snapToGrid w:val="0"/>
                    <w:spacing w:line="240" w:lineRule="auto"/>
                    <w:jc w:val="center"/>
                    <w:rPr>
                      <w:rFonts w:eastAsia="宋体"/>
                      <w:color w:val="000000" w:themeColor="text1"/>
                      <w:sz w:val="21"/>
                      <w14:textFill>
                        <w14:solidFill>
                          <w14:schemeClr w14:val="tx1"/>
                        </w14:solidFill>
                      </w14:textFill>
                    </w:rPr>
                  </w:pPr>
                  <w:r>
                    <w:rPr>
                      <w:rFonts w:eastAsia="宋体"/>
                      <w:color w:val="000000" w:themeColor="text1"/>
                      <w:sz w:val="21"/>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0" w:type="auto"/>
                  <w:vMerge w:val="continue"/>
                  <w:tcBorders>
                    <w:top w:val="nil"/>
                  </w:tcBorders>
                  <w:vAlign w:val="center"/>
                </w:tcPr>
                <w:p>
                  <w:pPr>
                    <w:pStyle w:val="69"/>
                    <w:adjustRightInd w:val="0"/>
                    <w:snapToGrid w:val="0"/>
                    <w:spacing w:line="240" w:lineRule="auto"/>
                    <w:jc w:val="center"/>
                    <w:rPr>
                      <w:rFonts w:eastAsia="宋体"/>
                      <w:color w:val="000000" w:themeColor="text1"/>
                      <w:sz w:val="21"/>
                      <w14:textFill>
                        <w14:solidFill>
                          <w14:schemeClr w14:val="tx1"/>
                        </w14:solidFill>
                      </w14:textFill>
                    </w:rPr>
                  </w:pPr>
                </w:p>
              </w:tc>
              <w:tc>
                <w:tcPr>
                  <w:tcW w:w="0" w:type="auto"/>
                  <w:vAlign w:val="center"/>
                </w:tcPr>
                <w:p>
                  <w:pPr>
                    <w:pStyle w:val="69"/>
                    <w:adjustRightInd w:val="0"/>
                    <w:snapToGrid w:val="0"/>
                    <w:spacing w:line="240" w:lineRule="auto"/>
                    <w:jc w:val="center"/>
                    <w:rPr>
                      <w:rFonts w:eastAsia="宋体"/>
                      <w:color w:val="000000" w:themeColor="text1"/>
                      <w:sz w:val="21"/>
                      <w:lang w:eastAsia="zh-CN"/>
                      <w14:textFill>
                        <w14:solidFill>
                          <w14:schemeClr w14:val="tx1"/>
                        </w14:solidFill>
                      </w14:textFill>
                    </w:rPr>
                  </w:pPr>
                  <w:r>
                    <w:rPr>
                      <w:rFonts w:eastAsia="宋体"/>
                      <w:color w:val="000000" w:themeColor="text1"/>
                      <w:sz w:val="21"/>
                      <w:lang w:eastAsia="zh-CN"/>
                      <w14:textFill>
                        <w14:solidFill>
                          <w14:schemeClr w14:val="tx1"/>
                        </w14:solidFill>
                      </w14:textFill>
                    </w:rPr>
                    <w:t>（五）禁止擅自占用和调整已经划定的永久基本农田特别是城市周边永久基本农田，不得多预留永久基本农田为建设占用留有空间，严禁通过擅自调整县乡土地利用总体规划规避占用永久基本农田的审批，严禁未经审批违法违规占用。禁止在永久基本农田范围内建窑、建房、建坟、挖沙、采石、采矿、取土、堆放固体废弃物或者进行其他破坏永久基本农田的活动；禁止任何单位和个人破坏永久基本农田耕作层；禁止任何单位和个人闲置、荒芜永久基本农田。禁止以设施农用地为名违规占用永久基本农田建设休闲旅游、仓储厂房等设施，坚决防止永久基本农田</w:t>
                  </w:r>
                  <w:r>
                    <w:rPr>
                      <w:rFonts w:hint="eastAsia" w:eastAsia="宋体"/>
                      <w:color w:val="000000" w:themeColor="text1"/>
                      <w:sz w:val="21"/>
                      <w:lang w:eastAsia="zh-CN"/>
                      <w14:textFill>
                        <w14:solidFill>
                          <w14:schemeClr w14:val="tx1"/>
                        </w14:solidFill>
                      </w14:textFill>
                    </w:rPr>
                    <w:t>“</w:t>
                  </w:r>
                  <w:r>
                    <w:rPr>
                      <w:rFonts w:eastAsia="宋体"/>
                      <w:color w:val="000000" w:themeColor="text1"/>
                      <w:sz w:val="21"/>
                      <w:lang w:eastAsia="zh-CN"/>
                      <w14:textFill>
                        <w14:solidFill>
                          <w14:schemeClr w14:val="tx1"/>
                        </w14:solidFill>
                      </w14:textFill>
                    </w:rPr>
                    <w:t>非农化</w:t>
                  </w:r>
                  <w:r>
                    <w:rPr>
                      <w:rFonts w:hint="eastAsia" w:eastAsia="宋体"/>
                      <w:color w:val="000000" w:themeColor="text1"/>
                      <w:sz w:val="21"/>
                      <w:lang w:eastAsia="zh-CN"/>
                      <w14:textFill>
                        <w14:solidFill>
                          <w14:schemeClr w14:val="tx1"/>
                        </w14:solidFill>
                      </w14:textFill>
                    </w:rPr>
                    <w:t>”</w:t>
                  </w:r>
                  <w:r>
                    <w:rPr>
                      <w:rFonts w:eastAsia="宋体"/>
                      <w:color w:val="000000" w:themeColor="text1"/>
                      <w:sz w:val="21"/>
                      <w:lang w:eastAsia="zh-CN"/>
                      <w14:textFill>
                        <w14:solidFill>
                          <w14:schemeClr w14:val="tx1"/>
                        </w14:solidFill>
                      </w14:textFill>
                    </w:rPr>
                    <w:t>。</w:t>
                  </w:r>
                </w:p>
              </w:tc>
              <w:tc>
                <w:tcPr>
                  <w:tcW w:w="0" w:type="auto"/>
                  <w:vAlign w:val="center"/>
                </w:tcPr>
                <w:p>
                  <w:pPr>
                    <w:pStyle w:val="69"/>
                    <w:adjustRightInd w:val="0"/>
                    <w:snapToGrid w:val="0"/>
                    <w:spacing w:line="240" w:lineRule="auto"/>
                    <w:jc w:val="center"/>
                    <w:rPr>
                      <w:rFonts w:eastAsia="宋体"/>
                      <w:color w:val="000000" w:themeColor="text1"/>
                      <w:sz w:val="21"/>
                      <w:lang w:eastAsia="zh-CN"/>
                      <w14:textFill>
                        <w14:solidFill>
                          <w14:schemeClr w14:val="tx1"/>
                        </w14:solidFill>
                      </w14:textFill>
                    </w:rPr>
                  </w:pPr>
                  <w:r>
                    <w:rPr>
                      <w:rFonts w:eastAsia="宋体"/>
                      <w:color w:val="000000" w:themeColor="text1"/>
                      <w:sz w:val="21"/>
                      <w:lang w:eastAsia="zh-CN"/>
                      <w14:textFill>
                        <w14:solidFill>
                          <w14:schemeClr w14:val="tx1"/>
                        </w14:solidFill>
                      </w14:textFill>
                    </w:rPr>
                    <w:t>项目不涉及基本农田。</w:t>
                  </w:r>
                </w:p>
              </w:tc>
              <w:tc>
                <w:tcPr>
                  <w:tcW w:w="0" w:type="auto"/>
                  <w:vAlign w:val="center"/>
                </w:tcPr>
                <w:p>
                  <w:pPr>
                    <w:pStyle w:val="69"/>
                    <w:adjustRightInd w:val="0"/>
                    <w:snapToGrid w:val="0"/>
                    <w:spacing w:line="240" w:lineRule="auto"/>
                    <w:jc w:val="center"/>
                    <w:rPr>
                      <w:rFonts w:eastAsia="宋体"/>
                      <w:color w:val="000000" w:themeColor="text1"/>
                      <w:sz w:val="21"/>
                      <w14:textFill>
                        <w14:solidFill>
                          <w14:schemeClr w14:val="tx1"/>
                        </w14:solidFill>
                      </w14:textFill>
                    </w:rPr>
                  </w:pPr>
                  <w:r>
                    <w:rPr>
                      <w:rFonts w:eastAsia="宋体"/>
                      <w:color w:val="000000" w:themeColor="text1"/>
                      <w:sz w:val="21"/>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2" w:hRule="atLeast"/>
                <w:jc w:val="center"/>
              </w:trPr>
              <w:tc>
                <w:tcPr>
                  <w:tcW w:w="0" w:type="auto"/>
                  <w:vMerge w:val="continue"/>
                  <w:tcBorders>
                    <w:top w:val="nil"/>
                  </w:tcBorders>
                  <w:vAlign w:val="center"/>
                </w:tcPr>
                <w:p>
                  <w:pPr>
                    <w:pStyle w:val="69"/>
                    <w:adjustRightInd w:val="0"/>
                    <w:snapToGrid w:val="0"/>
                    <w:spacing w:line="240" w:lineRule="auto"/>
                    <w:jc w:val="center"/>
                    <w:rPr>
                      <w:rFonts w:eastAsia="宋体"/>
                      <w:color w:val="000000" w:themeColor="text1"/>
                      <w:sz w:val="21"/>
                      <w14:textFill>
                        <w14:solidFill>
                          <w14:schemeClr w14:val="tx1"/>
                        </w14:solidFill>
                      </w14:textFill>
                    </w:rPr>
                  </w:pPr>
                </w:p>
              </w:tc>
              <w:tc>
                <w:tcPr>
                  <w:tcW w:w="0" w:type="auto"/>
                  <w:vAlign w:val="center"/>
                </w:tcPr>
                <w:p>
                  <w:pPr>
                    <w:pStyle w:val="69"/>
                    <w:adjustRightInd w:val="0"/>
                    <w:snapToGrid w:val="0"/>
                    <w:spacing w:line="240" w:lineRule="auto"/>
                    <w:jc w:val="center"/>
                    <w:rPr>
                      <w:rFonts w:eastAsia="宋体"/>
                      <w:color w:val="000000" w:themeColor="text1"/>
                      <w:sz w:val="21"/>
                      <w:lang w:eastAsia="zh-CN"/>
                      <w14:textFill>
                        <w14:solidFill>
                          <w14:schemeClr w14:val="tx1"/>
                        </w14:solidFill>
                      </w14:textFill>
                    </w:rPr>
                  </w:pPr>
                  <w:r>
                    <w:rPr>
                      <w:rFonts w:eastAsia="宋体"/>
                      <w:color w:val="000000" w:themeColor="text1"/>
                      <w:sz w:val="21"/>
                      <w:lang w:eastAsia="zh-CN"/>
                      <w14:textFill>
                        <w14:solidFill>
                          <w14:schemeClr w14:val="tx1"/>
                        </w14:solidFill>
                      </w14:textFill>
                    </w:rPr>
                    <w:t>（六）禁止在金沙江、长江一级支流（详见附件1）建设除党中央、国务院、国家投资主管部门、省级有关部门批复同意以外的过江基础设施项目</w:t>
                  </w:r>
                </w:p>
              </w:tc>
              <w:tc>
                <w:tcPr>
                  <w:tcW w:w="0" w:type="auto"/>
                  <w:vAlign w:val="center"/>
                </w:tcPr>
                <w:p>
                  <w:pPr>
                    <w:pStyle w:val="69"/>
                    <w:adjustRightInd w:val="0"/>
                    <w:snapToGrid w:val="0"/>
                    <w:spacing w:line="240" w:lineRule="auto"/>
                    <w:jc w:val="center"/>
                    <w:rPr>
                      <w:rFonts w:eastAsia="宋体"/>
                      <w:color w:val="000000" w:themeColor="text1"/>
                      <w:sz w:val="21"/>
                      <w:lang w:eastAsia="zh-CN"/>
                      <w14:textFill>
                        <w14:solidFill>
                          <w14:schemeClr w14:val="tx1"/>
                        </w14:solidFill>
                      </w14:textFill>
                    </w:rPr>
                  </w:pPr>
                  <w:r>
                    <w:rPr>
                      <w:rFonts w:eastAsia="宋体"/>
                      <w:color w:val="000000" w:themeColor="text1"/>
                      <w:sz w:val="21"/>
                      <w:lang w:eastAsia="zh-CN"/>
                      <w14:textFill>
                        <w14:solidFill>
                          <w14:schemeClr w14:val="tx1"/>
                        </w14:solidFill>
                      </w14:textFill>
                    </w:rPr>
                    <w:t>项目周边涉及的地表水体为</w:t>
                  </w:r>
                  <w:r>
                    <w:rPr>
                      <w:rFonts w:hint="eastAsia" w:eastAsia="宋体"/>
                      <w:color w:val="000000" w:themeColor="text1"/>
                      <w:sz w:val="21"/>
                      <w:lang w:eastAsia="zh-CN"/>
                      <w14:textFill>
                        <w14:solidFill>
                          <w14:schemeClr w14:val="tx1"/>
                        </w14:solidFill>
                      </w14:textFill>
                    </w:rPr>
                    <w:t>古城河，</w:t>
                  </w:r>
                  <w:r>
                    <w:rPr>
                      <w:rFonts w:eastAsia="宋体"/>
                      <w:color w:val="000000" w:themeColor="text1"/>
                      <w:sz w:val="21"/>
                      <w:lang w:eastAsia="zh-CN"/>
                      <w14:textFill>
                        <w14:solidFill>
                          <w14:schemeClr w14:val="tx1"/>
                        </w14:solidFill>
                      </w14:textFill>
                    </w:rPr>
                    <w:t>不在金沙江、长江一级支流内</w:t>
                  </w:r>
                  <w:r>
                    <w:rPr>
                      <w:rFonts w:hint="eastAsia" w:eastAsia="宋体"/>
                      <w:color w:val="000000" w:themeColor="text1"/>
                      <w:sz w:val="21"/>
                      <w:lang w:eastAsia="zh-CN"/>
                      <w14:textFill>
                        <w14:solidFill>
                          <w14:schemeClr w14:val="tx1"/>
                        </w14:solidFill>
                      </w14:textFill>
                    </w:rPr>
                    <w:t>。</w:t>
                  </w:r>
                </w:p>
              </w:tc>
              <w:tc>
                <w:tcPr>
                  <w:tcW w:w="0" w:type="auto"/>
                  <w:vAlign w:val="center"/>
                </w:tcPr>
                <w:p>
                  <w:pPr>
                    <w:pStyle w:val="69"/>
                    <w:adjustRightInd w:val="0"/>
                    <w:snapToGrid w:val="0"/>
                    <w:spacing w:line="240" w:lineRule="auto"/>
                    <w:jc w:val="center"/>
                    <w:rPr>
                      <w:rFonts w:eastAsia="宋体"/>
                      <w:color w:val="000000" w:themeColor="text1"/>
                      <w:sz w:val="21"/>
                      <w:lang w:eastAsia="zh-CN"/>
                      <w14:textFill>
                        <w14:solidFill>
                          <w14:schemeClr w14:val="tx1"/>
                        </w14:solidFill>
                      </w14:textFill>
                    </w:rPr>
                  </w:pPr>
                  <w:r>
                    <w:rPr>
                      <w:rFonts w:eastAsia="宋体"/>
                      <w:color w:val="000000" w:themeColor="text1"/>
                      <w:sz w:val="21"/>
                      <w:lang w:eastAsia="zh-CN"/>
                      <w14:textFill>
                        <w14:solidFill>
                          <w14:schemeClr w14:val="tx1"/>
                        </w14:solidFill>
                      </w14:textFill>
                    </w:rPr>
                    <w:t>符合</w:t>
                  </w:r>
                </w:p>
              </w:tc>
            </w:tr>
          </w:tbl>
          <w:p>
            <w:pPr>
              <w:autoSpaceDE w:val="0"/>
              <w:autoSpaceDN w:val="0"/>
              <w:adjustRightInd w:val="0"/>
              <w:snapToGrid w:val="0"/>
              <w:ind w:firstLine="482" w:firstLineChars="200"/>
              <w:rPr>
                <w:b/>
                <w:bCs/>
                <w:color w:val="000000" w:themeColor="text1"/>
                <w:kern w:val="0"/>
                <w14:textFill>
                  <w14:solidFill>
                    <w14:schemeClr w14:val="tx1"/>
                  </w14:solidFill>
                </w14:textFill>
              </w:rPr>
            </w:pPr>
          </w:p>
          <w:p>
            <w:pPr>
              <w:autoSpaceDE w:val="0"/>
              <w:autoSpaceDN w:val="0"/>
              <w:rPr>
                <w:b/>
                <w:bCs/>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六、项目与《中华人民共和国长江保护法》符合性分析</w:t>
            </w:r>
          </w:p>
          <w:p>
            <w:pPr>
              <w:pStyle w:val="11"/>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表1-9 项目与《中华人民共和国长江保护法》的相符性</w:t>
            </w:r>
          </w:p>
          <w:tbl>
            <w:tblPr>
              <w:tblStyle w:val="28"/>
              <w:tblW w:w="773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459"/>
              <w:gridCol w:w="4291"/>
              <w:gridCol w:w="2312"/>
              <w:gridCol w:w="6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55" w:hRule="atLeast"/>
                <w:jc w:val="center"/>
              </w:trPr>
              <w:tc>
                <w:tcPr>
                  <w:tcW w:w="459" w:type="dxa"/>
                  <w:tcBorders>
                    <w:tl2br w:val="nil"/>
                    <w:tr2bl w:val="nil"/>
                  </w:tcBorders>
                  <w:tcMar>
                    <w:top w:w="0" w:type="dxa"/>
                    <w:left w:w="51" w:type="dxa"/>
                    <w:bottom w:w="0" w:type="dxa"/>
                    <w:right w:w="51" w:type="dxa"/>
                  </w:tcMar>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序号</w:t>
                  </w:r>
                </w:p>
              </w:tc>
              <w:tc>
                <w:tcPr>
                  <w:tcW w:w="4291" w:type="dxa"/>
                  <w:tcBorders>
                    <w:tl2br w:val="nil"/>
                    <w:tr2bl w:val="nil"/>
                  </w:tcBorders>
                  <w:tcMar>
                    <w:top w:w="0" w:type="dxa"/>
                    <w:left w:w="51" w:type="dxa"/>
                    <w:bottom w:w="0" w:type="dxa"/>
                    <w:right w:w="51" w:type="dxa"/>
                  </w:tcMar>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相关</w:t>
                  </w:r>
                  <w:r>
                    <w:rPr>
                      <w:rFonts w:hint="eastAsia"/>
                      <w:color w:val="000000" w:themeColor="text1"/>
                      <w:sz w:val="21"/>
                      <w:szCs w:val="21"/>
                      <w14:textFill>
                        <w14:solidFill>
                          <w14:schemeClr w14:val="tx1"/>
                        </w14:solidFill>
                      </w14:textFill>
                    </w:rPr>
                    <w:t>规定</w:t>
                  </w:r>
                </w:p>
              </w:tc>
              <w:tc>
                <w:tcPr>
                  <w:tcW w:w="2312" w:type="dxa"/>
                  <w:tcBorders>
                    <w:tl2br w:val="nil"/>
                    <w:tr2bl w:val="nil"/>
                  </w:tcBorders>
                  <w:tcMar>
                    <w:top w:w="0" w:type="dxa"/>
                    <w:left w:w="51" w:type="dxa"/>
                    <w:bottom w:w="0" w:type="dxa"/>
                    <w:right w:w="51" w:type="dxa"/>
                  </w:tcMar>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本项目情况</w:t>
                  </w:r>
                </w:p>
              </w:tc>
              <w:tc>
                <w:tcPr>
                  <w:tcW w:w="668" w:type="dxa"/>
                  <w:tcBorders>
                    <w:tl2br w:val="nil"/>
                    <w:tr2bl w:val="nil"/>
                  </w:tcBorders>
                  <w:tcMar>
                    <w:top w:w="0" w:type="dxa"/>
                    <w:left w:w="51" w:type="dxa"/>
                    <w:bottom w:w="0" w:type="dxa"/>
                    <w:right w:w="51" w:type="dxa"/>
                  </w:tcMar>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相符性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55" w:hRule="atLeast"/>
                <w:jc w:val="center"/>
              </w:trPr>
              <w:tc>
                <w:tcPr>
                  <w:tcW w:w="459" w:type="dxa"/>
                  <w:tcBorders>
                    <w:tl2br w:val="nil"/>
                    <w:tr2bl w:val="nil"/>
                  </w:tcBorders>
                  <w:tcMar>
                    <w:top w:w="0" w:type="dxa"/>
                    <w:left w:w="51" w:type="dxa"/>
                    <w:bottom w:w="0" w:type="dxa"/>
                    <w:right w:w="51" w:type="dxa"/>
                  </w:tcMar>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4291" w:type="dxa"/>
                  <w:tcBorders>
                    <w:tl2br w:val="nil"/>
                    <w:tr2bl w:val="nil"/>
                  </w:tcBorders>
                  <w:tcMar>
                    <w:top w:w="0" w:type="dxa"/>
                    <w:left w:w="51" w:type="dxa"/>
                    <w:bottom w:w="0" w:type="dxa"/>
                    <w:right w:w="51" w:type="dxa"/>
                  </w:tcMar>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shd w:val="clear" w:color="auto" w:fill="FFFFFF"/>
                      <w14:textFill>
                        <w14:solidFill>
                          <w14:schemeClr w14:val="tx1"/>
                        </w14:solidFill>
                      </w14:textFill>
                    </w:rPr>
                    <w:t>对长江流域已建小水电工程，不符合生态保护要求的，县级以上地方人民政府应当组织分类整改或者采取措施逐步退出。</w:t>
                  </w:r>
                </w:p>
              </w:tc>
              <w:tc>
                <w:tcPr>
                  <w:tcW w:w="2312" w:type="dxa"/>
                  <w:tcBorders>
                    <w:tl2br w:val="nil"/>
                    <w:tr2bl w:val="nil"/>
                  </w:tcBorders>
                  <w:tcMar>
                    <w:top w:w="0" w:type="dxa"/>
                    <w:left w:w="51" w:type="dxa"/>
                    <w:bottom w:w="0" w:type="dxa"/>
                    <w:right w:w="51" w:type="dxa"/>
                  </w:tcMar>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14:textFill>
                        <w14:solidFill>
                          <w14:schemeClr w14:val="tx1"/>
                        </w14:solidFill>
                      </w14:textFill>
                    </w:rPr>
                    <w:t>本项目不属于</w:t>
                  </w:r>
                  <w:r>
                    <w:rPr>
                      <w:rFonts w:hint="eastAsia"/>
                      <w:color w:val="000000" w:themeColor="text1"/>
                      <w:sz w:val="21"/>
                      <w:szCs w:val="21"/>
                      <w:shd w:val="clear" w:color="auto" w:fill="FFFFFF"/>
                      <w14:textFill>
                        <w14:solidFill>
                          <w14:schemeClr w14:val="tx1"/>
                        </w14:solidFill>
                      </w14:textFill>
                    </w:rPr>
                    <w:t>小水电工程。</w:t>
                  </w:r>
                </w:p>
              </w:tc>
              <w:tc>
                <w:tcPr>
                  <w:tcW w:w="668" w:type="dxa"/>
                  <w:tcBorders>
                    <w:tl2br w:val="nil"/>
                    <w:tr2bl w:val="nil"/>
                  </w:tcBorders>
                  <w:tcMar>
                    <w:top w:w="0" w:type="dxa"/>
                    <w:left w:w="51" w:type="dxa"/>
                    <w:bottom w:w="0" w:type="dxa"/>
                    <w:right w:w="51" w:type="dxa"/>
                  </w:tcMar>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55" w:hRule="atLeast"/>
                <w:jc w:val="center"/>
              </w:trPr>
              <w:tc>
                <w:tcPr>
                  <w:tcW w:w="459" w:type="dxa"/>
                  <w:tcBorders>
                    <w:tl2br w:val="nil"/>
                    <w:tr2bl w:val="nil"/>
                  </w:tcBorders>
                  <w:tcMar>
                    <w:top w:w="0" w:type="dxa"/>
                    <w:left w:w="51" w:type="dxa"/>
                    <w:bottom w:w="0" w:type="dxa"/>
                    <w:right w:w="51" w:type="dxa"/>
                  </w:tcMar>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2</w:t>
                  </w:r>
                </w:p>
              </w:tc>
              <w:tc>
                <w:tcPr>
                  <w:tcW w:w="4291" w:type="dxa"/>
                  <w:tcBorders>
                    <w:tl2br w:val="nil"/>
                    <w:tr2bl w:val="nil"/>
                  </w:tcBorders>
                  <w:tcMar>
                    <w:top w:w="0" w:type="dxa"/>
                    <w:left w:w="51" w:type="dxa"/>
                    <w:bottom w:w="0" w:type="dxa"/>
                    <w:right w:w="51" w:type="dxa"/>
                  </w:tcMar>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shd w:val="clear" w:color="auto" w:fill="FFFFFF"/>
                      <w14:textFill>
                        <w14:solidFill>
                          <w14:schemeClr w14:val="tx1"/>
                        </w14:solidFill>
                      </w14:textFill>
                    </w:rPr>
                    <w:t>禁止在长江干支流岸线一公里范围内新建、扩建化工园区和化工项目。</w:t>
                  </w:r>
                </w:p>
              </w:tc>
              <w:tc>
                <w:tcPr>
                  <w:tcW w:w="2312" w:type="dxa"/>
                  <w:tcBorders>
                    <w:tl2br w:val="nil"/>
                    <w:tr2bl w:val="nil"/>
                  </w:tcBorders>
                  <w:tcMar>
                    <w:top w:w="0" w:type="dxa"/>
                    <w:left w:w="51" w:type="dxa"/>
                    <w:bottom w:w="0" w:type="dxa"/>
                    <w:right w:w="51" w:type="dxa"/>
                  </w:tcMar>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本项目不属于新建、扩建化工园区和化工项目。</w:t>
                  </w:r>
                </w:p>
              </w:tc>
              <w:tc>
                <w:tcPr>
                  <w:tcW w:w="668" w:type="dxa"/>
                  <w:tcBorders>
                    <w:tl2br w:val="nil"/>
                    <w:tr2bl w:val="nil"/>
                  </w:tcBorders>
                  <w:tcMar>
                    <w:top w:w="0" w:type="dxa"/>
                    <w:left w:w="51" w:type="dxa"/>
                    <w:bottom w:w="0" w:type="dxa"/>
                    <w:right w:w="51" w:type="dxa"/>
                  </w:tcMar>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55" w:hRule="atLeast"/>
                <w:jc w:val="center"/>
              </w:trPr>
              <w:tc>
                <w:tcPr>
                  <w:tcW w:w="459" w:type="dxa"/>
                  <w:tcBorders>
                    <w:tl2br w:val="nil"/>
                    <w:tr2bl w:val="nil"/>
                  </w:tcBorders>
                  <w:tcMar>
                    <w:top w:w="0" w:type="dxa"/>
                    <w:left w:w="51" w:type="dxa"/>
                    <w:bottom w:w="0" w:type="dxa"/>
                    <w:right w:w="51" w:type="dxa"/>
                  </w:tcMar>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3</w:t>
                  </w:r>
                </w:p>
              </w:tc>
              <w:tc>
                <w:tcPr>
                  <w:tcW w:w="4291" w:type="dxa"/>
                  <w:tcBorders>
                    <w:tl2br w:val="nil"/>
                    <w:tr2bl w:val="nil"/>
                  </w:tcBorders>
                  <w:tcMar>
                    <w:top w:w="0" w:type="dxa"/>
                    <w:left w:w="51" w:type="dxa"/>
                    <w:bottom w:w="0" w:type="dxa"/>
                    <w:right w:w="51" w:type="dxa"/>
                  </w:tcMar>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shd w:val="clear" w:color="auto" w:fill="FFFFFF"/>
                      <w14:textFill>
                        <w14:solidFill>
                          <w14:schemeClr w14:val="tx1"/>
                        </w14:solidFill>
                      </w14:textFill>
                    </w:rPr>
                    <w:t>禁止在长江干流岸线三公里范围内和重要支流岸线一公里范围内新建、改建、扩建尾矿库；但是以提升安全、生态环境保护水平为目的的改建除外。</w:t>
                  </w:r>
                </w:p>
              </w:tc>
              <w:tc>
                <w:tcPr>
                  <w:tcW w:w="2312" w:type="dxa"/>
                  <w:tcBorders>
                    <w:tl2br w:val="nil"/>
                    <w:tr2bl w:val="nil"/>
                  </w:tcBorders>
                  <w:tcMar>
                    <w:top w:w="0" w:type="dxa"/>
                    <w:left w:w="51" w:type="dxa"/>
                    <w:bottom w:w="0" w:type="dxa"/>
                    <w:right w:w="51" w:type="dxa"/>
                  </w:tcMar>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本项目不属于</w:t>
                  </w:r>
                  <w:r>
                    <w:rPr>
                      <w:rFonts w:hint="eastAsia"/>
                      <w:color w:val="000000" w:themeColor="text1"/>
                      <w:sz w:val="21"/>
                      <w:szCs w:val="21"/>
                      <w:shd w:val="clear" w:color="auto" w:fill="FFFFFF"/>
                      <w14:textFill>
                        <w14:solidFill>
                          <w14:schemeClr w14:val="tx1"/>
                        </w14:solidFill>
                      </w14:textFill>
                    </w:rPr>
                    <w:t>新建、改建、扩建</w:t>
                  </w:r>
                  <w:r>
                    <w:rPr>
                      <w:rFonts w:hint="eastAsia"/>
                      <w:color w:val="000000" w:themeColor="text1"/>
                      <w:sz w:val="21"/>
                      <w:szCs w:val="21"/>
                      <w14:textFill>
                        <w14:solidFill>
                          <w14:schemeClr w14:val="tx1"/>
                        </w14:solidFill>
                      </w14:textFill>
                    </w:rPr>
                    <w:t>尾矿库项目。</w:t>
                  </w:r>
                </w:p>
              </w:tc>
              <w:tc>
                <w:tcPr>
                  <w:tcW w:w="668" w:type="dxa"/>
                  <w:tcBorders>
                    <w:tl2br w:val="nil"/>
                    <w:tr2bl w:val="nil"/>
                  </w:tcBorders>
                  <w:tcMar>
                    <w:top w:w="0" w:type="dxa"/>
                    <w:left w:w="51" w:type="dxa"/>
                    <w:bottom w:w="0" w:type="dxa"/>
                    <w:right w:w="51" w:type="dxa"/>
                  </w:tcMar>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55" w:hRule="atLeast"/>
                <w:jc w:val="center"/>
              </w:trPr>
              <w:tc>
                <w:tcPr>
                  <w:tcW w:w="459" w:type="dxa"/>
                  <w:tcBorders>
                    <w:tl2br w:val="nil"/>
                    <w:tr2bl w:val="nil"/>
                  </w:tcBorders>
                  <w:tcMar>
                    <w:top w:w="0" w:type="dxa"/>
                    <w:left w:w="51" w:type="dxa"/>
                    <w:bottom w:w="0" w:type="dxa"/>
                    <w:right w:w="51" w:type="dxa"/>
                  </w:tcMar>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p>
              </w:tc>
              <w:tc>
                <w:tcPr>
                  <w:tcW w:w="4291" w:type="dxa"/>
                  <w:tcBorders>
                    <w:tl2br w:val="nil"/>
                    <w:tr2bl w:val="nil"/>
                  </w:tcBorders>
                  <w:tcMar>
                    <w:top w:w="0" w:type="dxa"/>
                    <w:left w:w="51" w:type="dxa"/>
                    <w:bottom w:w="0" w:type="dxa"/>
                    <w:right w:w="51" w:type="dxa"/>
                  </w:tcMar>
                  <w:vAlign w:val="center"/>
                </w:tcPr>
                <w:p>
                  <w:pPr>
                    <w:spacing w:line="240" w:lineRule="auto"/>
                    <w:jc w:val="center"/>
                    <w:rPr>
                      <w:color w:val="000000" w:themeColor="text1"/>
                      <w:sz w:val="21"/>
                      <w:szCs w:val="21"/>
                      <w:shd w:val="clear" w:color="auto" w:fill="FFFFFF"/>
                      <w14:textFill>
                        <w14:solidFill>
                          <w14:schemeClr w14:val="tx1"/>
                        </w14:solidFill>
                      </w14:textFill>
                    </w:rPr>
                  </w:pPr>
                  <w:r>
                    <w:rPr>
                      <w:rFonts w:hint="eastAsia"/>
                      <w:color w:val="000000" w:themeColor="text1"/>
                      <w:sz w:val="21"/>
                      <w:szCs w:val="21"/>
                      <w:shd w:val="clear" w:color="auto" w:fill="FFFFFF"/>
                      <w14:textFill>
                        <w14:solidFill>
                          <w14:schemeClr w14:val="tx1"/>
                        </w14:solidFill>
                      </w14:textFill>
                    </w:rPr>
                    <w:t>严格限制在长江流域生态保护红线、自然保护地、水生生物重要栖息地水域实施航道整治工程；确需整治的，应当经科学论证，并依法办理相关手续。</w:t>
                  </w:r>
                </w:p>
              </w:tc>
              <w:tc>
                <w:tcPr>
                  <w:tcW w:w="2312" w:type="dxa"/>
                  <w:tcBorders>
                    <w:tl2br w:val="nil"/>
                    <w:tr2bl w:val="nil"/>
                  </w:tcBorders>
                  <w:tcMar>
                    <w:top w:w="0" w:type="dxa"/>
                    <w:left w:w="51" w:type="dxa"/>
                    <w:bottom w:w="0" w:type="dxa"/>
                    <w:right w:w="51" w:type="dxa"/>
                  </w:tcMar>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本项目不属于</w:t>
                  </w:r>
                  <w:r>
                    <w:rPr>
                      <w:rFonts w:hint="eastAsia"/>
                      <w:color w:val="000000" w:themeColor="text1"/>
                      <w:sz w:val="21"/>
                      <w:szCs w:val="21"/>
                      <w:shd w:val="clear" w:color="auto" w:fill="FFFFFF"/>
                      <w14:textFill>
                        <w14:solidFill>
                          <w14:schemeClr w14:val="tx1"/>
                        </w14:solidFill>
                      </w14:textFill>
                    </w:rPr>
                    <w:t>航道整治工程。</w:t>
                  </w:r>
                </w:p>
              </w:tc>
              <w:tc>
                <w:tcPr>
                  <w:tcW w:w="668" w:type="dxa"/>
                  <w:tcBorders>
                    <w:tl2br w:val="nil"/>
                    <w:tr2bl w:val="nil"/>
                  </w:tcBorders>
                  <w:tcMar>
                    <w:top w:w="0" w:type="dxa"/>
                    <w:left w:w="51" w:type="dxa"/>
                    <w:bottom w:w="0" w:type="dxa"/>
                    <w:right w:w="51" w:type="dxa"/>
                  </w:tcMar>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55" w:hRule="atLeast"/>
                <w:jc w:val="center"/>
              </w:trPr>
              <w:tc>
                <w:tcPr>
                  <w:tcW w:w="459" w:type="dxa"/>
                  <w:tcBorders>
                    <w:tl2br w:val="nil"/>
                    <w:tr2bl w:val="nil"/>
                  </w:tcBorders>
                  <w:tcMar>
                    <w:top w:w="0" w:type="dxa"/>
                    <w:left w:w="51" w:type="dxa"/>
                    <w:bottom w:w="0" w:type="dxa"/>
                    <w:right w:w="51" w:type="dxa"/>
                  </w:tcMar>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4291" w:type="dxa"/>
                  <w:tcBorders>
                    <w:tl2br w:val="nil"/>
                    <w:tr2bl w:val="nil"/>
                  </w:tcBorders>
                  <w:tcMar>
                    <w:top w:w="0" w:type="dxa"/>
                    <w:left w:w="51" w:type="dxa"/>
                    <w:bottom w:w="0" w:type="dxa"/>
                    <w:right w:w="51" w:type="dxa"/>
                  </w:tcMar>
                  <w:vAlign w:val="center"/>
                </w:tcPr>
                <w:p>
                  <w:pPr>
                    <w:spacing w:line="240" w:lineRule="auto"/>
                    <w:jc w:val="center"/>
                    <w:rPr>
                      <w:color w:val="000000" w:themeColor="text1"/>
                      <w:sz w:val="21"/>
                      <w:szCs w:val="21"/>
                      <w:shd w:val="clear" w:color="auto" w:fill="FFFFFF"/>
                      <w14:textFill>
                        <w14:solidFill>
                          <w14:schemeClr w14:val="tx1"/>
                        </w14:solidFill>
                      </w14:textFill>
                    </w:rPr>
                  </w:pPr>
                  <w:r>
                    <w:rPr>
                      <w:rFonts w:hint="eastAsia"/>
                      <w:color w:val="000000" w:themeColor="text1"/>
                      <w:sz w:val="21"/>
                      <w:szCs w:val="21"/>
                      <w:shd w:val="clear" w:color="auto" w:fill="FFFFFF"/>
                      <w14:textFill>
                        <w14:solidFill>
                          <w14:schemeClr w14:val="tx1"/>
                        </w14:solidFill>
                      </w14:textFill>
                    </w:rPr>
                    <w:t>国家建立长江流域河道采砂规划和许可制度。长江流域河道采砂应当依法取得国务院水行政主管部门有关流域管理机构或者县级以上地方人民政府水行政主管部门的许可。</w:t>
                  </w:r>
                </w:p>
              </w:tc>
              <w:tc>
                <w:tcPr>
                  <w:tcW w:w="2312" w:type="dxa"/>
                  <w:tcBorders>
                    <w:tl2br w:val="nil"/>
                    <w:tr2bl w:val="nil"/>
                  </w:tcBorders>
                  <w:tcMar>
                    <w:top w:w="0" w:type="dxa"/>
                    <w:left w:w="51" w:type="dxa"/>
                    <w:bottom w:w="0" w:type="dxa"/>
                    <w:right w:w="51" w:type="dxa"/>
                  </w:tcMar>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本项目不属于</w:t>
                  </w:r>
                  <w:r>
                    <w:rPr>
                      <w:rFonts w:hint="eastAsia"/>
                      <w:color w:val="000000" w:themeColor="text1"/>
                      <w:sz w:val="21"/>
                      <w:szCs w:val="21"/>
                      <w:shd w:val="clear" w:color="auto" w:fill="FFFFFF"/>
                      <w14:textFill>
                        <w14:solidFill>
                          <w14:schemeClr w14:val="tx1"/>
                        </w14:solidFill>
                      </w14:textFill>
                    </w:rPr>
                    <w:t>采砂项目。</w:t>
                  </w:r>
                </w:p>
              </w:tc>
              <w:tc>
                <w:tcPr>
                  <w:tcW w:w="668" w:type="dxa"/>
                  <w:tcBorders>
                    <w:tl2br w:val="nil"/>
                    <w:tr2bl w:val="nil"/>
                  </w:tcBorders>
                  <w:tcMar>
                    <w:top w:w="0" w:type="dxa"/>
                    <w:left w:w="51" w:type="dxa"/>
                    <w:bottom w:w="0" w:type="dxa"/>
                    <w:right w:w="51" w:type="dxa"/>
                  </w:tcMar>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55" w:hRule="atLeast"/>
                <w:jc w:val="center"/>
              </w:trPr>
              <w:tc>
                <w:tcPr>
                  <w:tcW w:w="459" w:type="dxa"/>
                  <w:tcBorders>
                    <w:tl2br w:val="nil"/>
                    <w:tr2bl w:val="nil"/>
                  </w:tcBorders>
                  <w:tcMar>
                    <w:top w:w="0" w:type="dxa"/>
                    <w:left w:w="51" w:type="dxa"/>
                    <w:bottom w:w="0" w:type="dxa"/>
                    <w:right w:w="51" w:type="dxa"/>
                  </w:tcMar>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p>
              </w:tc>
              <w:tc>
                <w:tcPr>
                  <w:tcW w:w="4291" w:type="dxa"/>
                  <w:tcBorders>
                    <w:tl2br w:val="nil"/>
                    <w:tr2bl w:val="nil"/>
                  </w:tcBorders>
                  <w:tcMar>
                    <w:top w:w="0" w:type="dxa"/>
                    <w:left w:w="51" w:type="dxa"/>
                    <w:bottom w:w="0" w:type="dxa"/>
                    <w:right w:w="51" w:type="dxa"/>
                  </w:tcMar>
                  <w:vAlign w:val="center"/>
                </w:tcPr>
                <w:p>
                  <w:pPr>
                    <w:spacing w:line="240" w:lineRule="auto"/>
                    <w:jc w:val="center"/>
                    <w:rPr>
                      <w:color w:val="000000" w:themeColor="text1"/>
                      <w:sz w:val="21"/>
                      <w:szCs w:val="21"/>
                      <w:shd w:val="clear" w:color="auto" w:fill="FFFFFF"/>
                      <w14:textFill>
                        <w14:solidFill>
                          <w14:schemeClr w14:val="tx1"/>
                        </w14:solidFill>
                      </w14:textFill>
                    </w:rPr>
                  </w:pPr>
                  <w:r>
                    <w:rPr>
                      <w:rFonts w:hint="eastAsia"/>
                      <w:color w:val="000000" w:themeColor="text1"/>
                      <w:sz w:val="21"/>
                      <w:szCs w:val="21"/>
                      <w:shd w:val="clear" w:color="auto" w:fill="FFFFFF"/>
                      <w14:textFill>
                        <w14:solidFill>
                          <w14:schemeClr w14:val="tx1"/>
                        </w14:solidFill>
                      </w14:textFill>
                    </w:rPr>
                    <w:t>长江流域水资源保护与利用，应当根据流域综合规划，优先满足城乡居民生活用水，保障基本生态用水，并统筹农业、工业用水以及航运等需要。</w:t>
                  </w:r>
                </w:p>
                <w:p>
                  <w:pPr>
                    <w:spacing w:line="240" w:lineRule="auto"/>
                    <w:jc w:val="center"/>
                    <w:rPr>
                      <w:color w:val="000000" w:themeColor="text1"/>
                      <w:sz w:val="21"/>
                      <w:szCs w:val="21"/>
                      <w:shd w:val="clear" w:color="auto" w:fill="FFFFFF"/>
                      <w14:textFill>
                        <w14:solidFill>
                          <w14:schemeClr w14:val="tx1"/>
                        </w14:solidFill>
                      </w14:textFill>
                    </w:rPr>
                  </w:pPr>
                </w:p>
              </w:tc>
              <w:tc>
                <w:tcPr>
                  <w:tcW w:w="2312" w:type="dxa"/>
                  <w:tcBorders>
                    <w:tl2br w:val="nil"/>
                    <w:tr2bl w:val="nil"/>
                  </w:tcBorders>
                  <w:tcMar>
                    <w:top w:w="0" w:type="dxa"/>
                    <w:left w:w="51" w:type="dxa"/>
                    <w:bottom w:w="0" w:type="dxa"/>
                    <w:right w:w="51" w:type="dxa"/>
                  </w:tcMar>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本项目不在长江流域取水。</w:t>
                  </w:r>
                </w:p>
              </w:tc>
              <w:tc>
                <w:tcPr>
                  <w:tcW w:w="668" w:type="dxa"/>
                  <w:tcBorders>
                    <w:tl2br w:val="nil"/>
                    <w:tr2bl w:val="nil"/>
                  </w:tcBorders>
                  <w:tcMar>
                    <w:top w:w="0" w:type="dxa"/>
                    <w:left w:w="51" w:type="dxa"/>
                    <w:bottom w:w="0" w:type="dxa"/>
                    <w:right w:w="51" w:type="dxa"/>
                  </w:tcMar>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55" w:hRule="atLeast"/>
                <w:jc w:val="center"/>
              </w:trPr>
              <w:tc>
                <w:tcPr>
                  <w:tcW w:w="459" w:type="dxa"/>
                  <w:tcBorders>
                    <w:tl2br w:val="nil"/>
                    <w:tr2bl w:val="nil"/>
                  </w:tcBorders>
                  <w:tcMar>
                    <w:top w:w="0" w:type="dxa"/>
                    <w:left w:w="51" w:type="dxa"/>
                    <w:bottom w:w="0" w:type="dxa"/>
                    <w:right w:w="51" w:type="dxa"/>
                  </w:tcMar>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w:t>
                  </w:r>
                </w:p>
              </w:tc>
              <w:tc>
                <w:tcPr>
                  <w:tcW w:w="4291" w:type="dxa"/>
                  <w:tcBorders>
                    <w:tl2br w:val="nil"/>
                    <w:tr2bl w:val="nil"/>
                  </w:tcBorders>
                  <w:tcMar>
                    <w:top w:w="0" w:type="dxa"/>
                    <w:left w:w="51" w:type="dxa"/>
                    <w:bottom w:w="0" w:type="dxa"/>
                    <w:right w:w="51" w:type="dxa"/>
                  </w:tcMar>
                  <w:vAlign w:val="center"/>
                </w:tcPr>
                <w:p>
                  <w:pPr>
                    <w:spacing w:line="240" w:lineRule="auto"/>
                    <w:jc w:val="center"/>
                    <w:rPr>
                      <w:color w:val="000000" w:themeColor="text1"/>
                      <w:sz w:val="21"/>
                      <w:szCs w:val="21"/>
                      <w:shd w:val="clear" w:color="auto" w:fill="FFFFFF"/>
                      <w14:textFill>
                        <w14:solidFill>
                          <w14:schemeClr w14:val="tx1"/>
                        </w14:solidFill>
                      </w14:textFill>
                    </w:rPr>
                  </w:pPr>
                  <w:r>
                    <w:rPr>
                      <w:rFonts w:hint="eastAsia"/>
                      <w:color w:val="000000" w:themeColor="text1"/>
                      <w:sz w:val="21"/>
                      <w:szCs w:val="21"/>
                      <w:shd w:val="clear" w:color="auto" w:fill="FFFFFF"/>
                      <w14:textFill>
                        <w14:solidFill>
                          <w14:schemeClr w14:val="tx1"/>
                        </w14:solidFill>
                      </w14:textFill>
                    </w:rPr>
                    <w:t>长江干流、重要支流和重要湖泊上游的水利水电、航运枢纽等工程应当将生态用水调度纳入日常运行调度规程，建立常规生态调度机制，保证河湖生态流量；其下泄流量不符合生态流量泄放要求的，由县级以上人民政府水行政主管部门提出整改措施并监督实施。</w:t>
                  </w:r>
                </w:p>
              </w:tc>
              <w:tc>
                <w:tcPr>
                  <w:tcW w:w="2312" w:type="dxa"/>
                  <w:tcBorders>
                    <w:tl2br w:val="nil"/>
                    <w:tr2bl w:val="nil"/>
                  </w:tcBorders>
                  <w:tcMar>
                    <w:top w:w="0" w:type="dxa"/>
                    <w:left w:w="51" w:type="dxa"/>
                    <w:bottom w:w="0" w:type="dxa"/>
                    <w:right w:w="51" w:type="dxa"/>
                  </w:tcMar>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本项目不属于</w:t>
                  </w:r>
                  <w:r>
                    <w:rPr>
                      <w:rFonts w:hint="eastAsia"/>
                      <w:color w:val="000000" w:themeColor="text1"/>
                      <w:sz w:val="21"/>
                      <w:szCs w:val="21"/>
                      <w:shd w:val="clear" w:color="auto" w:fill="FFFFFF"/>
                      <w14:textFill>
                        <w14:solidFill>
                          <w14:schemeClr w14:val="tx1"/>
                        </w14:solidFill>
                      </w14:textFill>
                    </w:rPr>
                    <w:t>水利水电、航运枢纽等工程。</w:t>
                  </w:r>
                </w:p>
              </w:tc>
              <w:tc>
                <w:tcPr>
                  <w:tcW w:w="668" w:type="dxa"/>
                  <w:tcBorders>
                    <w:tl2br w:val="nil"/>
                    <w:tr2bl w:val="nil"/>
                  </w:tcBorders>
                  <w:tcMar>
                    <w:top w:w="0" w:type="dxa"/>
                    <w:left w:w="51" w:type="dxa"/>
                    <w:bottom w:w="0" w:type="dxa"/>
                    <w:right w:w="51" w:type="dxa"/>
                  </w:tcMar>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55" w:hRule="atLeast"/>
                <w:jc w:val="center"/>
              </w:trPr>
              <w:tc>
                <w:tcPr>
                  <w:tcW w:w="459" w:type="dxa"/>
                  <w:tcBorders>
                    <w:tl2br w:val="nil"/>
                    <w:tr2bl w:val="nil"/>
                  </w:tcBorders>
                  <w:tcMar>
                    <w:top w:w="0" w:type="dxa"/>
                    <w:left w:w="51" w:type="dxa"/>
                    <w:bottom w:w="0" w:type="dxa"/>
                    <w:right w:w="51" w:type="dxa"/>
                  </w:tcMar>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w:t>
                  </w:r>
                </w:p>
              </w:tc>
              <w:tc>
                <w:tcPr>
                  <w:tcW w:w="4291" w:type="dxa"/>
                  <w:tcBorders>
                    <w:tl2br w:val="nil"/>
                    <w:tr2bl w:val="nil"/>
                  </w:tcBorders>
                  <w:tcMar>
                    <w:top w:w="0" w:type="dxa"/>
                    <w:left w:w="51" w:type="dxa"/>
                    <w:bottom w:w="0" w:type="dxa"/>
                    <w:right w:w="51" w:type="dxa"/>
                  </w:tcMar>
                  <w:vAlign w:val="center"/>
                </w:tcPr>
                <w:p>
                  <w:pPr>
                    <w:spacing w:line="240" w:lineRule="auto"/>
                    <w:jc w:val="center"/>
                    <w:rPr>
                      <w:color w:val="000000" w:themeColor="text1"/>
                      <w:sz w:val="21"/>
                      <w:szCs w:val="21"/>
                      <w:shd w:val="clear" w:color="auto" w:fill="FFFFFF"/>
                      <w14:textFill>
                        <w14:solidFill>
                          <w14:schemeClr w14:val="tx1"/>
                        </w14:solidFill>
                      </w14:textFill>
                    </w:rPr>
                  </w:pPr>
                  <w:r>
                    <w:rPr>
                      <w:rFonts w:hint="eastAsia"/>
                      <w:color w:val="000000" w:themeColor="text1"/>
                      <w:sz w:val="21"/>
                      <w:szCs w:val="21"/>
                      <w:shd w:val="clear" w:color="auto" w:fill="FFFFFF"/>
                      <w14:textFill>
                        <w14:solidFill>
                          <w14:schemeClr w14:val="tx1"/>
                        </w14:solidFill>
                      </w14:textFill>
                    </w:rPr>
                    <w:t>磷矿开采加工、磷肥和含磷农药制造等企业，应当按照排污许可要求，采取有效措施控制总磷排放浓度和排放总量；对排污口和周边环境进行总磷监测，依法公开监测信息。</w:t>
                  </w:r>
                </w:p>
              </w:tc>
              <w:tc>
                <w:tcPr>
                  <w:tcW w:w="2312" w:type="dxa"/>
                  <w:tcBorders>
                    <w:tl2br w:val="nil"/>
                    <w:tr2bl w:val="nil"/>
                  </w:tcBorders>
                  <w:tcMar>
                    <w:top w:w="0" w:type="dxa"/>
                    <w:left w:w="51" w:type="dxa"/>
                    <w:bottom w:w="0" w:type="dxa"/>
                    <w:right w:w="51" w:type="dxa"/>
                  </w:tcMar>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本项目不属于</w:t>
                  </w:r>
                  <w:r>
                    <w:rPr>
                      <w:rFonts w:hint="eastAsia"/>
                      <w:color w:val="000000" w:themeColor="text1"/>
                      <w:sz w:val="21"/>
                      <w:szCs w:val="21"/>
                      <w:shd w:val="clear" w:color="auto" w:fill="FFFFFF"/>
                      <w14:textFill>
                        <w14:solidFill>
                          <w14:schemeClr w14:val="tx1"/>
                        </w14:solidFill>
                      </w14:textFill>
                    </w:rPr>
                    <w:t>磷矿开采加工、磷肥和含磷农药制造等企业。</w:t>
                  </w:r>
                </w:p>
              </w:tc>
              <w:tc>
                <w:tcPr>
                  <w:tcW w:w="668" w:type="dxa"/>
                  <w:tcBorders>
                    <w:tl2br w:val="nil"/>
                    <w:tr2bl w:val="nil"/>
                  </w:tcBorders>
                  <w:tcMar>
                    <w:top w:w="0" w:type="dxa"/>
                    <w:left w:w="51" w:type="dxa"/>
                    <w:bottom w:w="0" w:type="dxa"/>
                    <w:right w:w="51" w:type="dxa"/>
                  </w:tcMar>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55" w:hRule="atLeast"/>
                <w:jc w:val="center"/>
              </w:trPr>
              <w:tc>
                <w:tcPr>
                  <w:tcW w:w="459" w:type="dxa"/>
                  <w:tcBorders>
                    <w:tl2br w:val="nil"/>
                    <w:tr2bl w:val="nil"/>
                  </w:tcBorders>
                  <w:tcMar>
                    <w:top w:w="0" w:type="dxa"/>
                    <w:left w:w="51" w:type="dxa"/>
                    <w:bottom w:w="0" w:type="dxa"/>
                    <w:right w:w="51" w:type="dxa"/>
                  </w:tcMar>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w:t>
                  </w:r>
                </w:p>
              </w:tc>
              <w:tc>
                <w:tcPr>
                  <w:tcW w:w="4291" w:type="dxa"/>
                  <w:tcBorders>
                    <w:tl2br w:val="nil"/>
                    <w:tr2bl w:val="nil"/>
                  </w:tcBorders>
                  <w:tcMar>
                    <w:top w:w="0" w:type="dxa"/>
                    <w:left w:w="51" w:type="dxa"/>
                    <w:bottom w:w="0" w:type="dxa"/>
                    <w:right w:w="51" w:type="dxa"/>
                  </w:tcMar>
                  <w:vAlign w:val="center"/>
                </w:tcPr>
                <w:p>
                  <w:pPr>
                    <w:spacing w:line="240" w:lineRule="auto"/>
                    <w:jc w:val="center"/>
                    <w:rPr>
                      <w:color w:val="000000" w:themeColor="text1"/>
                      <w:sz w:val="21"/>
                      <w:szCs w:val="21"/>
                      <w:shd w:val="clear" w:color="auto" w:fill="FFFFFF"/>
                      <w14:textFill>
                        <w14:solidFill>
                          <w14:schemeClr w14:val="tx1"/>
                        </w14:solidFill>
                      </w14:textFill>
                    </w:rPr>
                  </w:pPr>
                  <w:r>
                    <w:rPr>
                      <w:rFonts w:hint="eastAsia"/>
                      <w:color w:val="000000" w:themeColor="text1"/>
                      <w:sz w:val="21"/>
                      <w:szCs w:val="21"/>
                      <w:shd w:val="clear" w:color="auto" w:fill="FFFFFF"/>
                      <w14:textFill>
                        <w14:solidFill>
                          <w14:schemeClr w14:val="tx1"/>
                        </w14:solidFill>
                      </w14:textFill>
                    </w:rPr>
                    <w:t>在长江流域江河、湖泊新设、改设或者扩大排污口，应当按照国家有关规定报经有管辖权的生态环境主管部门或者长江流域生态环境监督管理机构同意。对未达到水质目标的水功能区，除污水集中处理设施排污口外，应当严格控制新设、改设或者扩大排污口。</w:t>
                  </w:r>
                </w:p>
              </w:tc>
              <w:tc>
                <w:tcPr>
                  <w:tcW w:w="2312" w:type="dxa"/>
                  <w:tcBorders>
                    <w:tl2br w:val="nil"/>
                    <w:tr2bl w:val="nil"/>
                  </w:tcBorders>
                  <w:tcMar>
                    <w:top w:w="0" w:type="dxa"/>
                    <w:left w:w="51" w:type="dxa"/>
                    <w:bottom w:w="0" w:type="dxa"/>
                    <w:right w:w="51" w:type="dxa"/>
                  </w:tcMar>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本项目依托晋宁志诚物流有限责任公司化粪池，</w:t>
                  </w:r>
                  <w:r>
                    <w:rPr>
                      <w:color w:val="000000" w:themeColor="text1"/>
                      <w:sz w:val="21"/>
                      <w:szCs w:val="21"/>
                      <w14:textFill>
                        <w14:solidFill>
                          <w14:schemeClr w14:val="tx1"/>
                        </w14:solidFill>
                      </w14:textFill>
                    </w:rPr>
                    <w:t>生活污水</w:t>
                  </w:r>
                  <w:r>
                    <w:rPr>
                      <w:rFonts w:hint="eastAsia"/>
                      <w:color w:val="000000" w:themeColor="text1"/>
                      <w:sz w:val="21"/>
                      <w:szCs w:val="21"/>
                      <w14:textFill>
                        <w14:solidFill>
                          <w14:schemeClr w14:val="tx1"/>
                        </w14:solidFill>
                      </w14:textFill>
                    </w:rPr>
                    <w:t>经隔油池及</w:t>
                  </w:r>
                  <w:r>
                    <w:rPr>
                      <w:color w:val="000000" w:themeColor="text1"/>
                      <w:sz w:val="21"/>
                      <w:szCs w:val="21"/>
                      <w14:textFill>
                        <w14:solidFill>
                          <w14:schemeClr w14:val="tx1"/>
                        </w14:solidFill>
                      </w14:textFill>
                    </w:rPr>
                    <w:t>化粪池</w:t>
                  </w:r>
                  <w:r>
                    <w:rPr>
                      <w:rFonts w:hint="eastAsia"/>
                      <w:color w:val="000000" w:themeColor="text1"/>
                      <w:sz w:val="21"/>
                      <w:szCs w:val="21"/>
                      <w14:textFill>
                        <w14:solidFill>
                          <w14:schemeClr w14:val="tx1"/>
                        </w14:solidFill>
                      </w14:textFill>
                    </w:rPr>
                    <w:t>预</w:t>
                  </w:r>
                  <w:r>
                    <w:rPr>
                      <w:color w:val="000000" w:themeColor="text1"/>
                      <w:sz w:val="21"/>
                      <w:szCs w:val="21"/>
                      <w14:textFill>
                        <w14:solidFill>
                          <w14:schemeClr w14:val="tx1"/>
                        </w14:solidFill>
                      </w14:textFill>
                    </w:rPr>
                    <w:t>处理</w:t>
                  </w:r>
                  <w:r>
                    <w:rPr>
                      <w:rFonts w:hint="eastAsia"/>
                      <w:color w:val="000000" w:themeColor="text1"/>
                      <w:sz w:val="21"/>
                      <w:szCs w:val="21"/>
                      <w14:textFill>
                        <w14:solidFill>
                          <w14:schemeClr w14:val="tx1"/>
                        </w14:solidFill>
                      </w14:textFill>
                    </w:rPr>
                    <w:t>达标</w:t>
                  </w:r>
                  <w:r>
                    <w:rPr>
                      <w:color w:val="000000" w:themeColor="text1"/>
                      <w:sz w:val="21"/>
                      <w:szCs w:val="21"/>
                      <w14:textFill>
                        <w14:solidFill>
                          <w14:schemeClr w14:val="tx1"/>
                        </w14:solidFill>
                      </w14:textFill>
                    </w:rPr>
                    <w:t>后</w:t>
                  </w:r>
                  <w:r>
                    <w:rPr>
                      <w:rFonts w:hint="eastAsia"/>
                      <w:color w:val="000000" w:themeColor="text1"/>
                      <w:spacing w:val="-9"/>
                      <w:sz w:val="21"/>
                      <w14:textFill>
                        <w14:solidFill>
                          <w14:schemeClr w14:val="tx1"/>
                        </w14:solidFill>
                      </w14:textFill>
                    </w:rPr>
                    <w:t>排</w:t>
                  </w:r>
                  <w:r>
                    <w:rPr>
                      <w:color w:val="000000" w:themeColor="text1"/>
                      <w:sz w:val="21"/>
                      <w14:textFill>
                        <w14:solidFill>
                          <w14:schemeClr w14:val="tx1"/>
                        </w14:solidFill>
                      </w14:textFill>
                    </w:rPr>
                    <w:t>入园区污水管网，最终进入</w:t>
                  </w:r>
                  <w:r>
                    <w:rPr>
                      <w:rFonts w:hint="eastAsia"/>
                      <w:color w:val="000000" w:themeColor="text1"/>
                      <w:sz w:val="21"/>
                      <w14:textFill>
                        <w14:solidFill>
                          <w14:schemeClr w14:val="tx1"/>
                        </w14:solidFill>
                      </w14:textFill>
                    </w:rPr>
                    <w:t>环湖西岸污水处理厂</w:t>
                  </w:r>
                  <w:r>
                    <w:rPr>
                      <w:color w:val="000000" w:themeColor="text1"/>
                      <w:sz w:val="21"/>
                      <w:szCs w:val="21"/>
                      <w14:textFill>
                        <w14:solidFill>
                          <w14:schemeClr w14:val="tx1"/>
                        </w14:solidFill>
                      </w14:textFill>
                    </w:rPr>
                    <w:t>。</w:t>
                  </w:r>
                </w:p>
              </w:tc>
              <w:tc>
                <w:tcPr>
                  <w:tcW w:w="668" w:type="dxa"/>
                  <w:tcBorders>
                    <w:tl2br w:val="nil"/>
                    <w:tr2bl w:val="nil"/>
                  </w:tcBorders>
                  <w:tcMar>
                    <w:top w:w="0" w:type="dxa"/>
                    <w:left w:w="51" w:type="dxa"/>
                    <w:bottom w:w="0" w:type="dxa"/>
                    <w:right w:w="51" w:type="dxa"/>
                  </w:tcMar>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55" w:hRule="atLeast"/>
                <w:jc w:val="center"/>
              </w:trPr>
              <w:tc>
                <w:tcPr>
                  <w:tcW w:w="459" w:type="dxa"/>
                  <w:tcBorders>
                    <w:tl2br w:val="nil"/>
                    <w:tr2bl w:val="nil"/>
                  </w:tcBorders>
                  <w:tcMar>
                    <w:top w:w="0" w:type="dxa"/>
                    <w:left w:w="51" w:type="dxa"/>
                    <w:bottom w:w="0" w:type="dxa"/>
                    <w:right w:w="51" w:type="dxa"/>
                  </w:tcMar>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w:t>
                  </w:r>
                </w:p>
              </w:tc>
              <w:tc>
                <w:tcPr>
                  <w:tcW w:w="4291" w:type="dxa"/>
                  <w:tcBorders>
                    <w:tl2br w:val="nil"/>
                    <w:tr2bl w:val="nil"/>
                  </w:tcBorders>
                  <w:tcMar>
                    <w:top w:w="0" w:type="dxa"/>
                    <w:left w:w="51" w:type="dxa"/>
                    <w:bottom w:w="0" w:type="dxa"/>
                    <w:right w:w="51" w:type="dxa"/>
                  </w:tcMar>
                  <w:vAlign w:val="center"/>
                </w:tcPr>
                <w:p>
                  <w:pPr>
                    <w:spacing w:line="240" w:lineRule="auto"/>
                    <w:jc w:val="center"/>
                    <w:rPr>
                      <w:color w:val="000000" w:themeColor="text1"/>
                      <w:sz w:val="21"/>
                      <w:szCs w:val="21"/>
                      <w:shd w:val="clear" w:color="auto" w:fill="FFFFFF"/>
                      <w14:textFill>
                        <w14:solidFill>
                          <w14:schemeClr w14:val="tx1"/>
                        </w14:solidFill>
                      </w14:textFill>
                    </w:rPr>
                  </w:pPr>
                  <w:r>
                    <w:rPr>
                      <w:rFonts w:hint="eastAsia"/>
                      <w:color w:val="000000" w:themeColor="text1"/>
                      <w:sz w:val="21"/>
                      <w:szCs w:val="21"/>
                      <w:shd w:val="clear" w:color="auto" w:fill="FFFFFF"/>
                      <w14:textFill>
                        <w14:solidFill>
                          <w14:schemeClr w14:val="tx1"/>
                        </w14:solidFill>
                      </w14:textFill>
                    </w:rPr>
                    <w:t>禁止在长江流域河湖管理范围内倾倒、填埋、堆放、弃置、处理固体废物。</w:t>
                  </w:r>
                </w:p>
              </w:tc>
              <w:tc>
                <w:tcPr>
                  <w:tcW w:w="2312" w:type="dxa"/>
                  <w:tcBorders>
                    <w:tl2br w:val="nil"/>
                    <w:tr2bl w:val="nil"/>
                  </w:tcBorders>
                  <w:tcMar>
                    <w:top w:w="0" w:type="dxa"/>
                    <w:left w:w="51" w:type="dxa"/>
                    <w:bottom w:w="0" w:type="dxa"/>
                    <w:right w:w="51" w:type="dxa"/>
                  </w:tcMar>
                  <w:vAlign w:val="center"/>
                </w:tcPr>
                <w:p>
                  <w:pPr>
                    <w:spacing w:line="240" w:lineRule="auto"/>
                    <w:jc w:val="center"/>
                    <w:rPr>
                      <w:color w:val="000000" w:themeColor="text1"/>
                      <w:sz w:val="21"/>
                      <w:szCs w:val="21"/>
                      <w:shd w:val="clear" w:color="auto" w:fill="FFFFFF"/>
                      <w14:textFill>
                        <w14:solidFill>
                          <w14:schemeClr w14:val="tx1"/>
                        </w14:solidFill>
                      </w14:textFill>
                    </w:rPr>
                  </w:pPr>
                  <w:r>
                    <w:rPr>
                      <w:rFonts w:hint="eastAsia"/>
                      <w:color w:val="000000" w:themeColor="text1"/>
                      <w:sz w:val="21"/>
                      <w:szCs w:val="21"/>
                      <w14:textFill>
                        <w14:solidFill>
                          <w14:schemeClr w14:val="tx1"/>
                        </w14:solidFill>
                      </w14:textFill>
                    </w:rPr>
                    <w:t>本项目固体废弃物均有合理的处置措施，不在古城河</w:t>
                  </w:r>
                  <w:r>
                    <w:rPr>
                      <w:rFonts w:hint="eastAsia"/>
                      <w:color w:val="000000" w:themeColor="text1"/>
                      <w:sz w:val="21"/>
                      <w:szCs w:val="21"/>
                      <w:shd w:val="clear" w:color="auto" w:fill="FFFFFF"/>
                      <w14:textFill>
                        <w14:solidFill>
                          <w14:schemeClr w14:val="tx1"/>
                        </w14:solidFill>
                      </w14:textFill>
                    </w:rPr>
                    <w:t>管理范围内倾倒、填埋、堆放、弃置、处理固体废物。</w:t>
                  </w:r>
                </w:p>
              </w:tc>
              <w:tc>
                <w:tcPr>
                  <w:tcW w:w="668" w:type="dxa"/>
                  <w:tcBorders>
                    <w:tl2br w:val="nil"/>
                    <w:tr2bl w:val="nil"/>
                  </w:tcBorders>
                  <w:tcMar>
                    <w:top w:w="0" w:type="dxa"/>
                    <w:left w:w="51" w:type="dxa"/>
                    <w:bottom w:w="0" w:type="dxa"/>
                    <w:right w:w="51" w:type="dxa"/>
                  </w:tcMar>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55" w:hRule="atLeast"/>
                <w:jc w:val="center"/>
              </w:trPr>
              <w:tc>
                <w:tcPr>
                  <w:tcW w:w="459" w:type="dxa"/>
                  <w:tcBorders>
                    <w:tl2br w:val="nil"/>
                    <w:tr2bl w:val="nil"/>
                  </w:tcBorders>
                  <w:tcMar>
                    <w:top w:w="0" w:type="dxa"/>
                    <w:left w:w="51" w:type="dxa"/>
                    <w:bottom w:w="0" w:type="dxa"/>
                    <w:right w:w="51" w:type="dxa"/>
                  </w:tcMar>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11</w:t>
                  </w:r>
                </w:p>
              </w:tc>
              <w:tc>
                <w:tcPr>
                  <w:tcW w:w="4291" w:type="dxa"/>
                  <w:tcBorders>
                    <w:tl2br w:val="nil"/>
                    <w:tr2bl w:val="nil"/>
                  </w:tcBorders>
                  <w:tcMar>
                    <w:top w:w="0" w:type="dxa"/>
                    <w:left w:w="51" w:type="dxa"/>
                    <w:bottom w:w="0" w:type="dxa"/>
                    <w:right w:w="51" w:type="dxa"/>
                  </w:tcMar>
                  <w:vAlign w:val="center"/>
                </w:tcPr>
                <w:p>
                  <w:pPr>
                    <w:spacing w:line="240" w:lineRule="auto"/>
                    <w:jc w:val="center"/>
                    <w:rPr>
                      <w:color w:val="000000" w:themeColor="text1"/>
                      <w:sz w:val="21"/>
                      <w:szCs w:val="21"/>
                      <w:shd w:val="clear" w:color="auto" w:fill="FFFFFF"/>
                      <w14:textFill>
                        <w14:solidFill>
                          <w14:schemeClr w14:val="tx1"/>
                        </w14:solidFill>
                      </w14:textFill>
                    </w:rPr>
                  </w:pPr>
                  <w:r>
                    <w:rPr>
                      <w:rFonts w:hint="eastAsia"/>
                      <w:color w:val="000000" w:themeColor="text1"/>
                      <w:sz w:val="21"/>
                      <w:szCs w:val="21"/>
                      <w:shd w:val="clear" w:color="auto" w:fill="FFFFFF"/>
                      <w14:textFill>
                        <w14:solidFill>
                          <w14:schemeClr w14:val="tx1"/>
                        </w14:solidFill>
                      </w14:textFill>
                    </w:rPr>
                    <w:t>禁止在长江流域水土流失严重、生态脆弱的区域开展可能造成水土流失的生产建设活动。确因国家发展战略和国计民生需要建设的，应当经科学论证，并依法办理审批手续。</w:t>
                  </w:r>
                </w:p>
              </w:tc>
              <w:tc>
                <w:tcPr>
                  <w:tcW w:w="2312" w:type="dxa"/>
                  <w:tcBorders>
                    <w:tl2br w:val="nil"/>
                    <w:tr2bl w:val="nil"/>
                  </w:tcBorders>
                  <w:tcMar>
                    <w:top w:w="0" w:type="dxa"/>
                    <w:left w:w="51" w:type="dxa"/>
                    <w:bottom w:w="0" w:type="dxa"/>
                    <w:right w:w="51" w:type="dxa"/>
                  </w:tcMar>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本项目所处地区不属于</w:t>
                  </w:r>
                  <w:r>
                    <w:rPr>
                      <w:rFonts w:hint="eastAsia"/>
                      <w:color w:val="000000" w:themeColor="text1"/>
                      <w:sz w:val="21"/>
                      <w:szCs w:val="21"/>
                      <w:shd w:val="clear" w:color="auto" w:fill="FFFFFF"/>
                      <w14:textFill>
                        <w14:solidFill>
                          <w14:schemeClr w14:val="tx1"/>
                        </w14:solidFill>
                      </w14:textFill>
                    </w:rPr>
                    <w:t>水土流失严重、生态脆弱的区域。</w:t>
                  </w:r>
                </w:p>
              </w:tc>
              <w:tc>
                <w:tcPr>
                  <w:tcW w:w="668" w:type="dxa"/>
                  <w:tcBorders>
                    <w:tl2br w:val="nil"/>
                    <w:tr2bl w:val="nil"/>
                  </w:tcBorders>
                  <w:tcMar>
                    <w:top w:w="0" w:type="dxa"/>
                    <w:left w:w="51" w:type="dxa"/>
                    <w:bottom w:w="0" w:type="dxa"/>
                    <w:right w:w="51" w:type="dxa"/>
                  </w:tcMar>
                  <w:vAlign w:val="center"/>
                </w:tcPr>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符合</w:t>
                  </w:r>
                </w:p>
              </w:tc>
            </w:tr>
          </w:tbl>
          <w:p>
            <w:pPr>
              <w:pStyle w:val="12"/>
              <w:adjustRightInd w:val="0"/>
              <w:snapToGrid w:val="0"/>
              <w:spacing w:before="0" w:after="0" w:line="360" w:lineRule="auto"/>
              <w:ind w:left="0" w:right="0" w:firstLine="480" w:firstLineChars="200"/>
              <w:jc w:val="both"/>
              <w:rPr>
                <w:i w:val="0"/>
                <w:color w:val="000000" w:themeColor="text1"/>
                <w:sz w:val="24"/>
                <w:szCs w:val="22"/>
                <w:lang w:val="zh-CN"/>
                <w14:textFill>
                  <w14:solidFill>
                    <w14:schemeClr w14:val="tx1"/>
                  </w14:solidFill>
                </w14:textFill>
              </w:rPr>
            </w:pPr>
            <w:r>
              <w:rPr>
                <w:rFonts w:hint="eastAsia"/>
                <w:i w:val="0"/>
                <w:color w:val="000000" w:themeColor="text1"/>
                <w:sz w:val="24"/>
                <w:szCs w:val="22"/>
                <w:lang w:val="zh-CN"/>
                <w14:textFill>
                  <w14:solidFill>
                    <w14:schemeClr w14:val="tx1"/>
                  </w14:solidFill>
                </w14:textFill>
              </w:rPr>
              <w:t>综上所述，本项目符合《</w:t>
            </w:r>
            <w:r>
              <w:rPr>
                <w:rFonts w:hint="eastAsia"/>
                <w:i w:val="0"/>
                <w:color w:val="000000" w:themeColor="text1"/>
                <w:sz w:val="24"/>
                <w:szCs w:val="22"/>
                <w14:textFill>
                  <w14:solidFill>
                    <w14:schemeClr w14:val="tx1"/>
                  </w14:solidFill>
                </w14:textFill>
              </w:rPr>
              <w:t>中华人民共和国长江保护法</w:t>
            </w:r>
            <w:r>
              <w:rPr>
                <w:rFonts w:hint="eastAsia"/>
                <w:i w:val="0"/>
                <w:color w:val="000000" w:themeColor="text1"/>
                <w:sz w:val="24"/>
                <w:szCs w:val="22"/>
                <w:lang w:val="zh-CN"/>
                <w14:textFill>
                  <w14:solidFill>
                    <w14:schemeClr w14:val="tx1"/>
                  </w14:solidFill>
                </w14:textFill>
              </w:rPr>
              <w:t>》</w:t>
            </w:r>
            <w:r>
              <w:rPr>
                <w:rFonts w:hint="eastAsia"/>
                <w:i w:val="0"/>
                <w:color w:val="000000" w:themeColor="text1"/>
                <w:sz w:val="24"/>
                <w:szCs w:val="22"/>
                <w14:textFill>
                  <w14:solidFill>
                    <w14:schemeClr w14:val="tx1"/>
                  </w14:solidFill>
                </w14:textFill>
              </w:rPr>
              <w:t>的相关规定</w:t>
            </w:r>
            <w:r>
              <w:rPr>
                <w:rFonts w:hint="eastAsia"/>
                <w:i w:val="0"/>
                <w:color w:val="000000" w:themeColor="text1"/>
                <w:sz w:val="24"/>
                <w:szCs w:val="22"/>
                <w:lang w:val="zh-CN"/>
                <w14:textFill>
                  <w14:solidFill>
                    <w14:schemeClr w14:val="tx1"/>
                  </w14:solidFill>
                </w14:textFill>
              </w:rPr>
              <w:t>。</w:t>
            </w:r>
          </w:p>
          <w:p>
            <w:pPr>
              <w:snapToGrid w:val="0"/>
              <w:jc w:val="left"/>
              <w:rPr>
                <w:b/>
                <w:bCs/>
                <w:color w:val="000000" w:themeColor="text1"/>
                <w14:textFill>
                  <w14:solidFill>
                    <w14:schemeClr w14:val="tx1"/>
                  </w14:solidFill>
                </w14:textFill>
              </w:rPr>
            </w:pPr>
            <w:r>
              <w:rPr>
                <w:rFonts w:hint="eastAsia"/>
                <w:b/>
                <w:bCs/>
                <w:color w:val="000000" w:themeColor="text1"/>
                <w:kern w:val="0"/>
                <w:szCs w:val="22"/>
                <w:lang w:val="zh-CN"/>
                <w14:textFill>
                  <w14:solidFill>
                    <w14:schemeClr w14:val="tx1"/>
                  </w14:solidFill>
                </w14:textFill>
              </w:rPr>
              <w:t>七、</w:t>
            </w:r>
            <w:r>
              <w:rPr>
                <w:rFonts w:hint="eastAsia"/>
                <w:b/>
                <w:bCs/>
                <w:color w:val="000000" w:themeColor="text1"/>
                <w14:textFill>
                  <w14:solidFill>
                    <w14:schemeClr w14:val="tx1"/>
                  </w14:solidFill>
                </w14:textFill>
              </w:rPr>
              <w:t>与《长江经济带生态环境保护规划》的符合性分析</w:t>
            </w:r>
          </w:p>
          <w:p>
            <w:pPr>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表1-10 项目</w:t>
            </w:r>
            <w:r>
              <w:rPr>
                <w:b/>
                <w:bCs/>
                <w:color w:val="000000" w:themeColor="text1"/>
                <w14:textFill>
                  <w14:solidFill>
                    <w14:schemeClr w14:val="tx1"/>
                  </w14:solidFill>
                </w14:textFill>
              </w:rPr>
              <w:t>与</w:t>
            </w:r>
            <w:r>
              <w:rPr>
                <w:b/>
                <w:bCs/>
                <w:color w:val="000000" w:themeColor="text1"/>
                <w:kern w:val="0"/>
                <w:lang w:bidi="ar"/>
                <w14:textFill>
                  <w14:solidFill>
                    <w14:schemeClr w14:val="tx1"/>
                  </w14:solidFill>
                </w14:textFill>
              </w:rPr>
              <w:t>《长江经济带生态环境保护规划》</w:t>
            </w:r>
            <w:r>
              <w:rPr>
                <w:b/>
                <w:bCs/>
                <w:color w:val="000000" w:themeColor="text1"/>
                <w14:textFill>
                  <w14:solidFill>
                    <w14:schemeClr w14:val="tx1"/>
                  </w14:solidFill>
                </w14:textFill>
              </w:rPr>
              <w:t>的相符性</w:t>
            </w:r>
          </w:p>
          <w:tbl>
            <w:tblPr>
              <w:tblStyle w:val="29"/>
              <w:tblW w:w="77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5239"/>
              <w:gridCol w:w="1929"/>
              <w:gridCol w:w="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55" w:hRule="atLeast"/>
              </w:trPr>
              <w:tc>
                <w:tcPr>
                  <w:tcW w:w="5239"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内容</w:t>
                  </w:r>
                </w:p>
              </w:tc>
              <w:tc>
                <w:tcPr>
                  <w:tcW w:w="1929"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本项目情况</w:t>
                  </w:r>
                </w:p>
              </w:tc>
              <w:tc>
                <w:tcPr>
                  <w:tcW w:w="589"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55" w:hRule="atLeast"/>
              </w:trPr>
              <w:tc>
                <w:tcPr>
                  <w:tcW w:w="7757" w:type="dxa"/>
                  <w:gridSpan w:val="3"/>
                  <w:vAlign w:val="center"/>
                </w:tcPr>
                <w:p>
                  <w:pPr>
                    <w:spacing w:line="240" w:lineRule="auto"/>
                    <w:jc w:val="center"/>
                    <w:rPr>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三、确立水资源利用上线，妥善处理江河湖库关系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55" w:hRule="atLeast"/>
              </w:trPr>
              <w:tc>
                <w:tcPr>
                  <w:tcW w:w="5239" w:type="dxa"/>
                  <w:vAlign w:val="center"/>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（一）实行总量强度双控</w:t>
                  </w:r>
                </w:p>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推进重点领域节水。大力推进农业、工业、城镇节水，建设节水型社会。完善电力、钢铁、造纸、石化、化工、印染、化纤、食品发酵等高耗水行业省级用水定额。</w:t>
                  </w:r>
                </w:p>
              </w:tc>
              <w:tc>
                <w:tcPr>
                  <w:tcW w:w="1929"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项目生产过程中</w:t>
                  </w:r>
                  <w:r>
                    <w:rPr>
                      <w:rFonts w:hint="eastAsia"/>
                      <w:color w:val="000000" w:themeColor="text1"/>
                      <w:sz w:val="21"/>
                      <w:szCs w:val="21"/>
                      <w14:textFill>
                        <w14:solidFill>
                          <w14:schemeClr w14:val="tx1"/>
                        </w14:solidFill>
                      </w14:textFill>
                    </w:rPr>
                    <w:t>无生产废水产生。</w:t>
                  </w:r>
                </w:p>
              </w:tc>
              <w:tc>
                <w:tcPr>
                  <w:tcW w:w="589"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55" w:hRule="atLeast"/>
              </w:trPr>
              <w:tc>
                <w:tcPr>
                  <w:tcW w:w="7757" w:type="dxa"/>
                  <w:gridSpan w:val="3"/>
                  <w:vAlign w:val="center"/>
                </w:tcPr>
                <w:p>
                  <w:pPr>
                    <w:spacing w:line="240" w:lineRule="auto"/>
                    <w:jc w:val="center"/>
                    <w:rPr>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六、全面推进环境污染治理，建设宜居城乡环境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55" w:hRule="atLeast"/>
              </w:trPr>
              <w:tc>
                <w:tcPr>
                  <w:tcW w:w="5239"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（一）改善城市空气质量</w:t>
                  </w:r>
                </w:p>
                <w:p>
                  <w:pPr>
                    <w:spacing w:line="240" w:lineRule="auto"/>
                    <w:ind w:firstLine="420" w:firstLineChars="20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实施城市空气质量达标计划。全面推进长江经济带126个地级及以上城市空气质量限期达标工作，已达标城市空气质量进一步巩固，未达标城市要制定并实施分阶段达标计划。完善大气污染物排放总量控制制度，加强二氧化硫、氮氧化物、烟粉尘、挥发性有机物等主要污染物综合防治。地级及以上城市建成区基本淘汰10蒸吨以下燃煤锅炉，完成35蒸吨及以上燃煤锅炉脱硫脱硝除尘改造、钢铁行业烧结机脱硫改造、水泥行业脱硝改造、平板玻璃天然气燃料替代及脱硝改造。实施燃煤电厂超低排放改造工程和清洁柴油机行动计划。实施石化、化工、工业涂装、包装印刷、油品储运销、机动车等重点行业挥发性有机物综合整治工程。</w:t>
                  </w:r>
                </w:p>
              </w:tc>
              <w:tc>
                <w:tcPr>
                  <w:tcW w:w="1929"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本项目不建设锅炉，本项目产生的</w:t>
                  </w:r>
                  <w:r>
                    <w:rPr>
                      <w:rFonts w:hint="eastAsia"/>
                      <w:color w:val="000000" w:themeColor="text1"/>
                      <w:kern w:val="0"/>
                      <w:sz w:val="21"/>
                      <w:szCs w:val="21"/>
                      <w14:textFill>
                        <w14:solidFill>
                          <w14:schemeClr w14:val="tx1"/>
                        </w14:solidFill>
                      </w14:textFill>
                    </w:rPr>
                    <w:t>焊接烟气经移动式焊接烟尘净化器净化后呈无组织排放，喷涂工段产生废气通过设置集气罩，采用过滤棉+活性炭吸附后，通过15米高排气筒排放</w:t>
                  </w:r>
                  <w:r>
                    <w:rPr>
                      <w:color w:val="000000" w:themeColor="text1"/>
                      <w:sz w:val="21"/>
                      <w:szCs w:val="21"/>
                      <w14:textFill>
                        <w14:solidFill>
                          <w14:schemeClr w14:val="tx1"/>
                        </w14:solidFill>
                      </w14:textFill>
                    </w:rPr>
                    <w:t>，排放浓度均可达标排放。</w:t>
                  </w:r>
                </w:p>
              </w:tc>
              <w:tc>
                <w:tcPr>
                  <w:tcW w:w="589"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55" w:hRule="atLeast"/>
              </w:trPr>
              <w:tc>
                <w:tcPr>
                  <w:tcW w:w="5239" w:type="dxa"/>
                  <w:vAlign w:val="center"/>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（二）推进重点区域土壤污染防治</w:t>
                  </w:r>
                </w:p>
                <w:p>
                  <w:pPr>
                    <w:spacing w:line="240" w:lineRule="auto"/>
                    <w:ind w:firstLine="420" w:firstLineChars="20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加强土壤重金属污染源头控制。江苏、浙江、江西、湖北、湖南、云南等省份逐步将涉重金属行业的重金属排放纳入排污许可证管理。实施重要粮食生产区域周边的工矿企业重金属排放总量控制，达不到环保要求的，实施升级改造，或依法关闭、搬迁。加强长江经济带69个重金属污染重点防控区域治理，2017年底前，重点区域制定并组织实施“十三五”重金属污染防治规划。</w:t>
                  </w:r>
                </w:p>
              </w:tc>
              <w:tc>
                <w:tcPr>
                  <w:tcW w:w="1929"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本项目不属于涉重金属</w:t>
                  </w:r>
                  <w:r>
                    <w:rPr>
                      <w:rFonts w:hint="eastAsia"/>
                      <w:color w:val="000000" w:themeColor="text1"/>
                      <w:sz w:val="21"/>
                      <w:szCs w:val="21"/>
                      <w14:textFill>
                        <w14:solidFill>
                          <w14:schemeClr w14:val="tx1"/>
                        </w14:solidFill>
                      </w14:textFill>
                    </w:rPr>
                    <w:t>排放</w:t>
                  </w:r>
                  <w:r>
                    <w:rPr>
                      <w:color w:val="000000" w:themeColor="text1"/>
                      <w:sz w:val="21"/>
                      <w:szCs w:val="21"/>
                      <w14:textFill>
                        <w14:solidFill>
                          <w14:schemeClr w14:val="tx1"/>
                        </w14:solidFill>
                      </w14:textFill>
                    </w:rPr>
                    <w:t>行业</w:t>
                  </w:r>
                  <w:r>
                    <w:rPr>
                      <w:rFonts w:hint="eastAsia"/>
                      <w:color w:val="000000" w:themeColor="text1"/>
                      <w:sz w:val="21"/>
                      <w:szCs w:val="21"/>
                      <w14:textFill>
                        <w14:solidFill>
                          <w14:schemeClr w14:val="tx1"/>
                        </w14:solidFill>
                      </w14:textFill>
                    </w:rPr>
                    <w:t>。</w:t>
                  </w:r>
                </w:p>
              </w:tc>
              <w:tc>
                <w:tcPr>
                  <w:tcW w:w="589"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55" w:hRule="atLeast"/>
              </w:trPr>
              <w:tc>
                <w:tcPr>
                  <w:tcW w:w="7757" w:type="dxa"/>
                  <w:gridSpan w:val="3"/>
                  <w:vAlign w:val="center"/>
                </w:tcPr>
                <w:p>
                  <w:pPr>
                    <w:spacing w:line="240" w:lineRule="auto"/>
                    <w:jc w:val="center"/>
                    <w:rPr>
                      <w:color w:val="000000" w:themeColor="text1"/>
                      <w:sz w:val="21"/>
                      <w:szCs w:val="21"/>
                      <w14:textFill>
                        <w14:solidFill>
                          <w14:schemeClr w14:val="tx1"/>
                        </w14:solidFill>
                      </w14:textFill>
                    </w:rPr>
                  </w:pPr>
                  <w:r>
                    <w:rPr>
                      <w:b/>
                      <w:bCs/>
                      <w:color w:val="000000" w:themeColor="text1"/>
                      <w:sz w:val="21"/>
                      <w:szCs w:val="21"/>
                      <w14:textFill>
                        <w14:solidFill>
                          <w14:schemeClr w14:val="tx1"/>
                        </w14:solidFill>
                      </w14:textFill>
                    </w:rPr>
                    <w:t>七、强化突发环境事件预防应对，严格管控环境风险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55" w:hRule="atLeast"/>
              </w:trPr>
              <w:tc>
                <w:tcPr>
                  <w:tcW w:w="5239" w:type="dxa"/>
                  <w:vAlign w:val="center"/>
                </w:tcPr>
                <w:p>
                  <w:pPr>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（一）严格环境风险源头防控</w:t>
                  </w:r>
                </w:p>
                <w:p>
                  <w:pPr>
                    <w:spacing w:line="240" w:lineRule="auto"/>
                    <w:ind w:firstLine="420" w:firstLineChars="20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加强环境风险评估。强化企业环境风险评估，2018年底前，完成沿江石化、化工、医药、纺织、印染、化纤、危化品和石油类仓储、涉重金属和危险废物等重点企业环境风险评估，为实施环境安全隐患综合整治奠定基础。开展干流、主要支流及湖库等累积性环境风险评估，划定高风险区域，从严实施环境风险防控措施。开展化工园区、饮用水水源、重要生态功能区环境风险评估试点。2017年，在重庆等地开展风险评估综合试点示范。沿江重大环境风险企业应投保环境污染责任保险。</w:t>
                  </w:r>
                </w:p>
              </w:tc>
              <w:tc>
                <w:tcPr>
                  <w:tcW w:w="1929"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本项目不涉及</w:t>
                  </w:r>
                  <w:r>
                    <w:rPr>
                      <w:rFonts w:hint="eastAsia"/>
                      <w:color w:val="000000" w:themeColor="text1"/>
                      <w:sz w:val="21"/>
                      <w:szCs w:val="21"/>
                      <w14:textFill>
                        <w14:solidFill>
                          <w14:schemeClr w14:val="tx1"/>
                        </w14:solidFill>
                      </w14:textFill>
                    </w:rPr>
                    <w:t>金沙江</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滇池</w:t>
                  </w:r>
                  <w:r>
                    <w:rPr>
                      <w:color w:val="000000" w:themeColor="text1"/>
                      <w:sz w:val="21"/>
                      <w:szCs w:val="21"/>
                      <w14:textFill>
                        <w14:solidFill>
                          <w14:schemeClr w14:val="tx1"/>
                        </w14:solidFill>
                      </w14:textFill>
                    </w:rPr>
                    <w:t>等干流、主要支流及湖库，本项目在</w:t>
                  </w:r>
                  <w:r>
                    <w:rPr>
                      <w:rFonts w:hint="eastAsia"/>
                      <w:color w:val="000000" w:themeColor="text1"/>
                      <w:sz w:val="21"/>
                      <w:szCs w:val="21"/>
                      <w14:textFill>
                        <w14:solidFill>
                          <w14:schemeClr w14:val="tx1"/>
                        </w14:solidFill>
                      </w14:textFill>
                    </w:rPr>
                    <w:t>滇池</w:t>
                  </w:r>
                  <w:r>
                    <w:rPr>
                      <w:color w:val="000000" w:themeColor="text1"/>
                      <w:sz w:val="21"/>
                      <w:szCs w:val="21"/>
                      <w14:textFill>
                        <w14:solidFill>
                          <w14:schemeClr w14:val="tx1"/>
                        </w14:solidFill>
                      </w14:textFill>
                    </w:rPr>
                    <w:t>（</w:t>
                  </w:r>
                  <w:r>
                    <w:rPr>
                      <w:rFonts w:hint="eastAsia"/>
                      <w:color w:val="000000" w:themeColor="text1"/>
                      <w:sz w:val="21"/>
                      <w:szCs w:val="21"/>
                      <w14:textFill>
                        <w14:solidFill>
                          <w14:schemeClr w14:val="tx1"/>
                        </w14:solidFill>
                      </w14:textFill>
                    </w:rPr>
                    <w:t>滇池</w:t>
                  </w:r>
                  <w:r>
                    <w:rPr>
                      <w:color w:val="000000" w:themeColor="text1"/>
                      <w:sz w:val="21"/>
                      <w:szCs w:val="21"/>
                      <w14:textFill>
                        <w14:solidFill>
                          <w14:schemeClr w14:val="tx1"/>
                        </w14:solidFill>
                      </w14:textFill>
                    </w:rPr>
                    <w:t>支流）岸线lkm以外，距</w:t>
                  </w:r>
                  <w:r>
                    <w:rPr>
                      <w:rFonts w:hint="eastAsia"/>
                      <w:color w:val="000000" w:themeColor="text1"/>
                      <w:sz w:val="21"/>
                      <w:szCs w:val="21"/>
                      <w14:textFill>
                        <w14:solidFill>
                          <w14:schemeClr w14:val="tx1"/>
                        </w14:solidFill>
                      </w14:textFill>
                    </w:rPr>
                    <w:t>滇池</w:t>
                  </w:r>
                  <w:r>
                    <w:rPr>
                      <w:color w:val="000000" w:themeColor="text1"/>
                      <w:sz w:val="21"/>
                      <w:szCs w:val="21"/>
                      <w14:textFill>
                        <w14:solidFill>
                          <w14:schemeClr w14:val="tx1"/>
                        </w14:solidFill>
                      </w14:textFill>
                    </w:rPr>
                    <w:t>岸线最近直线距离3.</w:t>
                  </w:r>
                  <w:r>
                    <w:rPr>
                      <w:rFonts w:hint="eastAsia"/>
                      <w:color w:val="000000" w:themeColor="text1"/>
                      <w:sz w:val="21"/>
                      <w:szCs w:val="21"/>
                      <w14:textFill>
                        <w14:solidFill>
                          <w14:schemeClr w14:val="tx1"/>
                        </w14:solidFill>
                      </w14:textFill>
                    </w:rPr>
                    <w:t>86</w:t>
                  </w:r>
                  <w:r>
                    <w:rPr>
                      <w:color w:val="000000" w:themeColor="text1"/>
                      <w:sz w:val="21"/>
                      <w:szCs w:val="21"/>
                      <w14:textFill>
                        <w14:solidFill>
                          <w14:schemeClr w14:val="tx1"/>
                        </w14:solidFill>
                      </w14:textFill>
                    </w:rPr>
                    <w:t>km。</w:t>
                  </w:r>
                </w:p>
              </w:tc>
              <w:tc>
                <w:tcPr>
                  <w:tcW w:w="589" w:type="dxa"/>
                  <w:vAlign w:val="center"/>
                </w:tcPr>
                <w:p>
                  <w:pPr>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符合</w:t>
                  </w:r>
                </w:p>
              </w:tc>
            </w:tr>
          </w:tbl>
          <w:p>
            <w:pPr>
              <w:rPr>
                <w:color w:val="000000" w:themeColor="text1"/>
                <w14:textFill>
                  <w14:solidFill>
                    <w14:schemeClr w14:val="tx1"/>
                  </w14:solidFill>
                </w14:textFill>
              </w:rPr>
            </w:pPr>
          </w:p>
          <w:p>
            <w:pPr>
              <w:autoSpaceDE w:val="0"/>
              <w:autoSpaceDN w:val="0"/>
              <w:rPr>
                <w:b/>
                <w:bCs/>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八、</w:t>
            </w:r>
            <w:r>
              <w:rPr>
                <w:b/>
                <w:bCs/>
                <w:color w:val="000000" w:themeColor="text1"/>
                <w:kern w:val="0"/>
                <w14:textFill>
                  <w14:solidFill>
                    <w14:schemeClr w14:val="tx1"/>
                  </w14:solidFill>
                </w14:textFill>
              </w:rPr>
              <w:t>与《“</w:t>
            </w:r>
            <w:r>
              <w:rPr>
                <w:b/>
                <w:bCs/>
                <w:color w:val="000000" w:themeColor="text1"/>
                <w14:textFill>
                  <w14:solidFill>
                    <w14:schemeClr w14:val="tx1"/>
                  </w14:solidFill>
                </w14:textFill>
              </w:rPr>
              <w:t>十三五</w:t>
            </w:r>
            <w:r>
              <w:rPr>
                <w:b/>
                <w:bCs/>
                <w:color w:val="000000" w:themeColor="text1"/>
                <w:kern w:val="0"/>
                <w14:textFill>
                  <w14:solidFill>
                    <w14:schemeClr w14:val="tx1"/>
                  </w14:solidFill>
                </w14:textFill>
              </w:rPr>
              <w:t>”挥发性有机污染物防治工作方案》符合性分析</w:t>
            </w:r>
          </w:p>
          <w:p>
            <w:pPr>
              <w:ind w:firstLine="482"/>
              <w:rPr>
                <w:b/>
                <w:color w:val="000000" w:themeColor="text1"/>
                <w:kern w:val="0"/>
                <w:lang w:val="zh-CN"/>
                <w14:textFill>
                  <w14:solidFill>
                    <w14:schemeClr w14:val="tx1"/>
                  </w14:solidFill>
                </w14:textFill>
              </w:rPr>
            </w:pPr>
            <w:r>
              <w:rPr>
                <w:color w:val="000000" w:themeColor="text1"/>
                <w:kern w:val="0"/>
                <w:szCs w:val="22"/>
                <w14:textFill>
                  <w14:solidFill>
                    <w14:schemeClr w14:val="tx1"/>
                  </w14:solidFill>
                </w14:textFill>
              </w:rPr>
              <w:t>本项目位于</w:t>
            </w:r>
            <w:r>
              <w:rPr>
                <w:color w:val="000000" w:themeColor="text1"/>
                <w:kern w:val="0"/>
                <w14:textFill>
                  <w14:solidFill>
                    <w14:schemeClr w14:val="tx1"/>
                  </w14:solidFill>
                </w14:textFill>
              </w:rPr>
              <w:t>晋宁工业园区青山工业基地</w:t>
            </w:r>
            <w:r>
              <w:rPr>
                <w:color w:val="000000" w:themeColor="text1"/>
                <w:kern w:val="0"/>
                <w:szCs w:val="22"/>
                <w14:textFill>
                  <w14:solidFill>
                    <w14:schemeClr w14:val="tx1"/>
                  </w14:solidFill>
                </w14:textFill>
              </w:rPr>
              <w:t>，属于</w:t>
            </w:r>
            <w:r>
              <w:rPr>
                <w:rFonts w:hint="eastAsia"/>
                <w:color w:val="000000" w:themeColor="text1"/>
                <w:kern w:val="0"/>
                <w:szCs w:val="22"/>
                <w14:textFill>
                  <w14:solidFill>
                    <w14:schemeClr w14:val="tx1"/>
                  </w14:solidFill>
                </w14:textFill>
              </w:rPr>
              <w:t>隧道施工专用机械制造</w:t>
            </w:r>
            <w:r>
              <w:rPr>
                <w:color w:val="000000" w:themeColor="text1"/>
                <w:kern w:val="0"/>
                <w14:textFill>
                  <w14:solidFill>
                    <w14:schemeClr w14:val="tx1"/>
                  </w14:solidFill>
                </w14:textFill>
              </w:rPr>
              <w:t>业</w:t>
            </w:r>
            <w:r>
              <w:rPr>
                <w:color w:val="000000" w:themeColor="text1"/>
                <w:kern w:val="0"/>
                <w:szCs w:val="22"/>
                <w14:textFill>
                  <w14:solidFill>
                    <w14:schemeClr w14:val="tx1"/>
                  </w14:solidFill>
                </w14:textFill>
              </w:rPr>
              <w:t>，特征污染物为</w:t>
            </w:r>
            <w:r>
              <w:rPr>
                <w:color w:val="000000" w:themeColor="text1"/>
                <w:kern w:val="0"/>
                <w14:textFill>
                  <w14:solidFill>
                    <w14:schemeClr w14:val="tx1"/>
                  </w14:solidFill>
                </w14:textFill>
              </w:rPr>
              <w:t>VOCs</w:t>
            </w:r>
            <w:r>
              <w:rPr>
                <w:color w:val="000000" w:themeColor="text1"/>
                <w:kern w:val="0"/>
                <w:szCs w:val="22"/>
                <w14:textFill>
                  <w14:solidFill>
                    <w14:schemeClr w14:val="tx1"/>
                  </w14:solidFill>
                </w14:textFill>
              </w:rPr>
              <w:t>，对照《“十三五”挥发性有机污染物防治工作方案》，项目所处位置不属于VOCs重点治理地区，项目所属行业也不属于VOCs重点治理行业，对照其相关要求，符合性分析如下。</w:t>
            </w:r>
          </w:p>
          <w:p>
            <w:pPr>
              <w:pStyle w:val="60"/>
              <w:spacing w:before="0" w:beforeAutospacing="0" w:after="0" w:afterAutospacing="0" w:line="240" w:lineRule="auto"/>
              <w:jc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表1-</w:t>
            </w:r>
            <w:r>
              <w:rPr>
                <w:rFonts w:hint="eastAsia" w:ascii="Times New Roman" w:hAnsi="Times New Roman" w:cs="Times New Roman"/>
                <w:b/>
                <w:bCs/>
                <w:color w:val="000000" w:themeColor="text1"/>
                <w14:textFill>
                  <w14:solidFill>
                    <w14:schemeClr w14:val="tx1"/>
                  </w14:solidFill>
                </w14:textFill>
              </w:rPr>
              <w:t>11</w:t>
            </w:r>
            <w:r>
              <w:rPr>
                <w:rFonts w:ascii="Times New Roman" w:hAnsi="Times New Roman" w:cs="Times New Roman"/>
                <w:b/>
                <w:bCs/>
                <w:color w:val="000000" w:themeColor="text1"/>
                <w14:textFill>
                  <w14:solidFill>
                    <w14:schemeClr w14:val="tx1"/>
                  </w14:solidFill>
                </w14:textFill>
              </w:rPr>
              <w:t xml:space="preserve">  项目与《“十三五”挥发性有机污染物防治工作方案》相符性分析</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8"/>
              <w:gridCol w:w="3810"/>
              <w:gridCol w:w="2659"/>
              <w:gridCol w:w="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 w:type="pct"/>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序号</w:t>
                  </w:r>
                </w:p>
              </w:tc>
              <w:tc>
                <w:tcPr>
                  <w:tcW w:w="2445" w:type="pct"/>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《“十三五”挥发性有机污染物防治工作方案》要求</w:t>
                  </w:r>
                </w:p>
              </w:tc>
              <w:tc>
                <w:tcPr>
                  <w:tcW w:w="1706" w:type="pct"/>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本项目情况</w:t>
                  </w:r>
                </w:p>
              </w:tc>
              <w:tc>
                <w:tcPr>
                  <w:tcW w:w="507" w:type="pct"/>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w:t>
                  </w:r>
                </w:p>
              </w:tc>
              <w:tc>
                <w:tcPr>
                  <w:tcW w:w="2445" w:type="pct"/>
                  <w:vAlign w:val="center"/>
                </w:tcPr>
                <w:p>
                  <w:pPr>
                    <w:adjustRightInd w:val="0"/>
                    <w:snapToGrid w:val="0"/>
                    <w:spacing w:line="240" w:lineRule="auto"/>
                    <w:ind w:firstLine="422" w:firstLineChars="200"/>
                    <w:rPr>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加快推进“散乱污”企业综合整治。</w:t>
                  </w:r>
                  <w:r>
                    <w:rPr>
                      <w:color w:val="000000" w:themeColor="text1"/>
                      <w:kern w:val="0"/>
                      <w:sz w:val="21"/>
                      <w:szCs w:val="21"/>
                      <w14:textFill>
                        <w14:solidFill>
                          <w14:schemeClr w14:val="tx1"/>
                        </w14:solidFill>
                      </w14:textFill>
                    </w:rPr>
                    <w:t>各地要全面开展涉VOCs排放的“散乱污”企业排查工作，建立管理台账，实施分类处置。列入淘汰类的，依法依规予以取缔，做到“两断三清”，即断水、断电，清除原料、清除产品、清除设备；列入搬迁改造、升级改造类的，按照发展规模化、现代化产业的原则，制定改造提升方案，落实时间表和责任人；对“散乱污”企业集群，要制定总体整改方案，统一标准要求，并向社会公开，同步推进区域环境综合整治和企业升级改造。</w:t>
                  </w:r>
                </w:p>
              </w:tc>
              <w:tc>
                <w:tcPr>
                  <w:tcW w:w="1706" w:type="pct"/>
                  <w:vAlign w:val="center"/>
                </w:tcPr>
                <w:p>
                  <w:pPr>
                    <w:adjustRightInd w:val="0"/>
                    <w:snapToGrid w:val="0"/>
                    <w:spacing w:line="240" w:lineRule="auto"/>
                    <w:ind w:firstLine="420" w:firstLineChars="200"/>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本项目为新建项目，属于</w:t>
                  </w:r>
                  <w:r>
                    <w:rPr>
                      <w:rFonts w:hint="eastAsia"/>
                      <w:color w:val="000000" w:themeColor="text1"/>
                      <w:kern w:val="0"/>
                      <w:sz w:val="21"/>
                      <w:szCs w:val="21"/>
                      <w14:textFill>
                        <w14:solidFill>
                          <w14:schemeClr w14:val="tx1"/>
                        </w14:solidFill>
                      </w14:textFill>
                    </w:rPr>
                    <w:t>专用设备制造</w:t>
                  </w:r>
                  <w:r>
                    <w:rPr>
                      <w:color w:val="000000" w:themeColor="text1"/>
                      <w:kern w:val="0"/>
                      <w:sz w:val="21"/>
                      <w:szCs w:val="21"/>
                      <w14:textFill>
                        <w14:solidFill>
                          <w14:schemeClr w14:val="tx1"/>
                        </w14:solidFill>
                      </w14:textFill>
                    </w:rPr>
                    <w:t>业</w:t>
                  </w:r>
                  <w:r>
                    <w:rPr>
                      <w:rFonts w:hint="eastAsia"/>
                      <w:color w:val="000000" w:themeColor="text1"/>
                      <w:kern w:val="0"/>
                      <w:sz w:val="21"/>
                      <w:szCs w:val="21"/>
                      <w14:textFill>
                        <w14:solidFill>
                          <w14:schemeClr w14:val="tx1"/>
                        </w14:solidFill>
                      </w14:textFill>
                    </w:rPr>
                    <w:t>、专业设备修理业</w:t>
                  </w:r>
                  <w:r>
                    <w:rPr>
                      <w:color w:val="000000" w:themeColor="text1"/>
                      <w:kern w:val="0"/>
                      <w:sz w:val="21"/>
                      <w:szCs w:val="21"/>
                      <w14:textFill>
                        <w14:solidFill>
                          <w14:schemeClr w14:val="tx1"/>
                        </w14:solidFill>
                      </w14:textFill>
                    </w:rPr>
                    <w:t>，选址于晋宁工业园区</w:t>
                  </w:r>
                  <w:r>
                    <w:rPr>
                      <w:rFonts w:hint="eastAsia"/>
                      <w:color w:val="000000" w:themeColor="text1"/>
                      <w:kern w:val="0"/>
                      <w:sz w:val="21"/>
                      <w:szCs w:val="21"/>
                      <w14:textFill>
                        <w14:solidFill>
                          <w14:schemeClr w14:val="tx1"/>
                        </w14:solidFill>
                      </w14:textFill>
                    </w:rPr>
                    <w:t>青山</w:t>
                  </w:r>
                  <w:r>
                    <w:rPr>
                      <w:color w:val="000000" w:themeColor="text1"/>
                      <w:kern w:val="0"/>
                      <w:sz w:val="21"/>
                      <w:szCs w:val="21"/>
                      <w14:textFill>
                        <w14:solidFill>
                          <w14:schemeClr w14:val="tx1"/>
                        </w14:solidFill>
                      </w14:textFill>
                    </w:rPr>
                    <w:t>工业基地，不属于“散乱污”企业。</w:t>
                  </w:r>
                </w:p>
              </w:tc>
              <w:tc>
                <w:tcPr>
                  <w:tcW w:w="507"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2</w:t>
                  </w:r>
                </w:p>
              </w:tc>
              <w:tc>
                <w:tcPr>
                  <w:tcW w:w="2445" w:type="pct"/>
                  <w:vAlign w:val="center"/>
                </w:tcPr>
                <w:p>
                  <w:pPr>
                    <w:adjustRightInd w:val="0"/>
                    <w:snapToGrid w:val="0"/>
                    <w:spacing w:line="240" w:lineRule="auto"/>
                    <w:ind w:firstLine="422" w:firstLineChars="200"/>
                    <w:rPr>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严格建设项目环境准入。</w:t>
                  </w:r>
                  <w:r>
                    <w:rPr>
                      <w:color w:val="000000" w:themeColor="text1"/>
                      <w:kern w:val="0"/>
                      <w:sz w:val="21"/>
                      <w:szCs w:val="21"/>
                      <w14:textFill>
                        <w14:solidFill>
                          <w14:schemeClr w14:val="tx1"/>
                        </w14:solidFill>
                      </w14:textFill>
                    </w:rPr>
                    <w:t>提高VOCs排放重点行业环保准入门槛，严格控制新增污染物排放量。新建涉VOCs排放的工业企业要入园区。未纳入《石化产业规划布局方案》的新建炼化项目一律不得建设。新、改、扩建涉VOCs排放项目，应从源头加强控制，使用低（无）VOCs含量的原辅材料，加强废气收集，安装高效治理设施。</w:t>
                  </w:r>
                </w:p>
              </w:tc>
              <w:tc>
                <w:tcPr>
                  <w:tcW w:w="1706" w:type="pct"/>
                  <w:vAlign w:val="center"/>
                </w:tcPr>
                <w:p>
                  <w:pPr>
                    <w:adjustRightInd w:val="0"/>
                    <w:snapToGrid w:val="0"/>
                    <w:spacing w:line="240" w:lineRule="auto"/>
                    <w:ind w:firstLine="420" w:firstLineChars="200"/>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本项目所属行业为</w:t>
                  </w:r>
                  <w:r>
                    <w:rPr>
                      <w:rFonts w:hint="eastAsia"/>
                      <w:color w:val="000000" w:themeColor="text1"/>
                      <w:kern w:val="0"/>
                      <w:sz w:val="21"/>
                      <w:szCs w:val="21"/>
                      <w14:textFill>
                        <w14:solidFill>
                          <w14:schemeClr w14:val="tx1"/>
                        </w14:solidFill>
                      </w14:textFill>
                    </w:rPr>
                    <w:t>隧道施工专用机械制造、专用设备修理</w:t>
                  </w:r>
                  <w:r>
                    <w:rPr>
                      <w:color w:val="000000" w:themeColor="text1"/>
                      <w:kern w:val="0"/>
                      <w:sz w:val="21"/>
                      <w:szCs w:val="21"/>
                      <w14:textFill>
                        <w14:solidFill>
                          <w14:schemeClr w14:val="tx1"/>
                        </w14:solidFill>
                      </w14:textFill>
                    </w:rPr>
                    <w:t>，不属于重点行业。项目选址于晋宁工业园区</w:t>
                  </w:r>
                  <w:r>
                    <w:rPr>
                      <w:rFonts w:hint="eastAsia"/>
                      <w:color w:val="000000" w:themeColor="text1"/>
                      <w:kern w:val="0"/>
                      <w:sz w:val="21"/>
                      <w:szCs w:val="21"/>
                      <w14:textFill>
                        <w14:solidFill>
                          <w14:schemeClr w14:val="tx1"/>
                        </w14:solidFill>
                      </w14:textFill>
                    </w:rPr>
                    <w:t>青山</w:t>
                  </w:r>
                  <w:r>
                    <w:rPr>
                      <w:color w:val="000000" w:themeColor="text1"/>
                      <w:kern w:val="0"/>
                      <w:sz w:val="21"/>
                      <w:szCs w:val="21"/>
                      <w14:textFill>
                        <w14:solidFill>
                          <w14:schemeClr w14:val="tx1"/>
                        </w14:solidFill>
                      </w14:textFill>
                    </w:rPr>
                    <w:t>工业基地。项目喷涂</w:t>
                  </w:r>
                  <w:r>
                    <w:rPr>
                      <w:rFonts w:hint="eastAsia"/>
                      <w:color w:val="000000" w:themeColor="text1"/>
                      <w:kern w:val="0"/>
                      <w:sz w:val="21"/>
                      <w:szCs w:val="21"/>
                      <w14:textFill>
                        <w14:solidFill>
                          <w14:schemeClr w14:val="tx1"/>
                        </w14:solidFill>
                      </w14:textFill>
                    </w:rPr>
                    <w:t>工段</w:t>
                  </w:r>
                  <w:r>
                    <w:rPr>
                      <w:color w:val="000000" w:themeColor="text1"/>
                      <w:kern w:val="0"/>
                      <w:sz w:val="21"/>
                      <w:szCs w:val="21"/>
                      <w14:textFill>
                        <w14:solidFill>
                          <w14:schemeClr w14:val="tx1"/>
                        </w14:solidFill>
                      </w14:textFill>
                    </w:rPr>
                    <w:t>产生的有机废气</w:t>
                  </w:r>
                  <w:r>
                    <w:rPr>
                      <w:rFonts w:hint="eastAsia"/>
                      <w:color w:val="000000" w:themeColor="text1"/>
                      <w:kern w:val="0"/>
                      <w:sz w:val="21"/>
                      <w:szCs w:val="21"/>
                      <w14:textFill>
                        <w14:solidFill>
                          <w14:schemeClr w14:val="tx1"/>
                        </w14:solidFill>
                      </w14:textFill>
                    </w:rPr>
                    <w:t>通过设置2个移动式集气罩，采用过滤棉+活性炭吸附后，通过15米高排气筒排放</w:t>
                  </w:r>
                  <w:r>
                    <w:rPr>
                      <w:color w:val="000000" w:themeColor="text1"/>
                      <w:kern w:val="0"/>
                      <w:sz w:val="21"/>
                      <w:szCs w:val="21"/>
                      <w14:textFill>
                        <w14:solidFill>
                          <w14:schemeClr w14:val="tx1"/>
                        </w14:solidFill>
                      </w14:textFill>
                    </w:rPr>
                    <w:t>。</w:t>
                  </w:r>
                </w:p>
              </w:tc>
              <w:tc>
                <w:tcPr>
                  <w:tcW w:w="507"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符合</w:t>
                  </w:r>
                </w:p>
              </w:tc>
            </w:tr>
          </w:tbl>
          <w:p>
            <w:pPr>
              <w:adjustRightInd w:val="0"/>
              <w:snapToGrid w:val="0"/>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综上所述，本项目的建设符合《“十三五”挥发性有机污染物防治工作方案》中要求。</w:t>
            </w:r>
          </w:p>
          <w:p>
            <w:pPr>
              <w:numPr>
                <w:ilvl w:val="0"/>
                <w:numId w:val="9"/>
              </w:numPr>
              <w:adjustRightInd w:val="0"/>
              <w:snapToGrid w:val="0"/>
              <w:ind w:left="480" w:leftChars="200"/>
              <w:rPr>
                <w:b/>
                <w:bCs/>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与《挥发性有机污染物（VOCs）污染防治技术政策》符合性分析</w:t>
            </w:r>
          </w:p>
          <w:p>
            <w:pPr>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本项目主要涉及喷涂工艺，与《挥发性有机污染物（VOCs）污染防治技术政策》中“</w:t>
            </w:r>
            <w:r>
              <w:rPr>
                <w:color w:val="000000" w:themeColor="text1"/>
                <w14:textFill>
                  <w14:solidFill>
                    <w14:schemeClr w14:val="tx1"/>
                  </w14:solidFill>
                </w14:textFill>
              </w:rPr>
              <w:t>在涂装、印刷、粘合、工业清洗等含VOCs产品的使用过程中的VOCs污染防治技术措施</w:t>
            </w:r>
            <w:r>
              <w:rPr>
                <w:rFonts w:hint="eastAsia"/>
                <w:color w:val="000000" w:themeColor="text1"/>
                <w14:textFill>
                  <w14:solidFill>
                    <w14:schemeClr w14:val="tx1"/>
                  </w14:solidFill>
                </w14:textFill>
              </w:rPr>
              <w:t>”符合性分析见表1-12。</w:t>
            </w:r>
          </w:p>
          <w:p>
            <w:pPr>
              <w:pStyle w:val="60"/>
              <w:spacing w:before="0" w:beforeAutospacing="0" w:after="0" w:afterAutospacing="0"/>
              <w:jc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表1-</w:t>
            </w:r>
            <w:r>
              <w:rPr>
                <w:rFonts w:hint="eastAsia" w:ascii="Times New Roman" w:hAnsi="Times New Roman" w:cs="Times New Roman"/>
                <w:b/>
                <w:bCs/>
                <w:color w:val="000000" w:themeColor="text1"/>
                <w14:textFill>
                  <w14:solidFill>
                    <w14:schemeClr w14:val="tx1"/>
                  </w14:solidFill>
                </w14:textFill>
              </w:rPr>
              <w:t>12</w:t>
            </w:r>
            <w:r>
              <w:rPr>
                <w:rFonts w:ascii="Times New Roman" w:hAnsi="Times New Roman" w:cs="Times New Roman"/>
                <w:b/>
                <w:bCs/>
                <w:color w:val="000000" w:themeColor="text1"/>
                <w14:textFill>
                  <w14:solidFill>
                    <w14:schemeClr w14:val="tx1"/>
                  </w14:solidFill>
                </w14:textFill>
              </w:rPr>
              <w:t xml:space="preserve">  项目与《挥发性有机污染物（VOCs）污染防治技术政策》相符性分析</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8"/>
              <w:gridCol w:w="3295"/>
              <w:gridCol w:w="3190"/>
              <w:gridCol w:w="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 w:type="pct"/>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序号</w:t>
                  </w:r>
                </w:p>
              </w:tc>
              <w:tc>
                <w:tcPr>
                  <w:tcW w:w="2115" w:type="pct"/>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《挥发性有机污染物（VOCs）污染防治技术政策》要求</w:t>
                  </w:r>
                </w:p>
              </w:tc>
              <w:tc>
                <w:tcPr>
                  <w:tcW w:w="2048" w:type="pct"/>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本项目情况</w:t>
                  </w:r>
                </w:p>
              </w:tc>
              <w:tc>
                <w:tcPr>
                  <w:tcW w:w="496" w:type="pct"/>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w:t>
                  </w:r>
                </w:p>
              </w:tc>
              <w:tc>
                <w:tcPr>
                  <w:tcW w:w="2115" w:type="pct"/>
                  <w:vAlign w:val="center"/>
                </w:tcPr>
                <w:p>
                  <w:pPr>
                    <w:adjustRightInd w:val="0"/>
                    <w:snapToGrid w:val="0"/>
                    <w:spacing w:line="240" w:lineRule="auto"/>
                    <w:ind w:firstLine="420" w:firstLineChars="200"/>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鼓励使用通过环境标志产品认证的环保型涂料、油墨、胶粘剂和清洗剂。</w:t>
                  </w:r>
                </w:p>
              </w:tc>
              <w:tc>
                <w:tcPr>
                  <w:tcW w:w="2048" w:type="pct"/>
                  <w:vAlign w:val="center"/>
                </w:tcPr>
                <w:p>
                  <w:pPr>
                    <w:adjustRightInd w:val="0"/>
                    <w:snapToGrid w:val="0"/>
                    <w:spacing w:line="240" w:lineRule="auto"/>
                    <w:ind w:firstLine="420" w:firstLineChars="200"/>
                    <w:jc w:val="left"/>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本项目使用的为正规厂家生产的水性漆及油漆，为环保型涂料。</w:t>
                  </w:r>
                </w:p>
              </w:tc>
              <w:tc>
                <w:tcPr>
                  <w:tcW w:w="496"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2</w:t>
                  </w:r>
                </w:p>
              </w:tc>
              <w:tc>
                <w:tcPr>
                  <w:tcW w:w="2115" w:type="pct"/>
                  <w:vAlign w:val="center"/>
                </w:tcPr>
                <w:p>
                  <w:pPr>
                    <w:pStyle w:val="24"/>
                    <w:adjustRightInd w:val="0"/>
                    <w:snapToGrid w:val="0"/>
                    <w:spacing w:before="0" w:beforeAutospacing="0" w:after="0" w:afterAutospacing="0" w:line="240" w:lineRule="auto"/>
                    <w:ind w:firstLine="420" w:firstLineChars="200"/>
                    <w:rPr>
                      <w:rFonts w:cs="宋体"/>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根据涂装工艺的不同，鼓励使用水性涂料、高固份涂料、粉末涂料、紫外光固化（UV）涂料等环保型涂料；推广采用静电喷涂、淋涂、辊涂、浸涂等效率较高的涂装工艺；应尽量避免无VOCs净化、回收措施的露天喷涂作业；</w:t>
                  </w:r>
                </w:p>
              </w:tc>
              <w:tc>
                <w:tcPr>
                  <w:tcW w:w="2048" w:type="pct"/>
                  <w:vAlign w:val="center"/>
                </w:tcPr>
                <w:p>
                  <w:pPr>
                    <w:adjustRightInd w:val="0"/>
                    <w:snapToGrid w:val="0"/>
                    <w:spacing w:line="240" w:lineRule="auto"/>
                    <w:ind w:firstLine="420" w:firstLineChars="200"/>
                    <w:jc w:val="left"/>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本项目使用涂料为水性漆及油漆；其中水性漆采用人工刷漆，油漆采用人工喷漆，有机废气及漆雾收集后经过滤棉+活性炭吸附后通过15米高排气筒排放。</w:t>
                  </w:r>
                </w:p>
              </w:tc>
              <w:tc>
                <w:tcPr>
                  <w:tcW w:w="496"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3</w:t>
                  </w:r>
                </w:p>
              </w:tc>
              <w:tc>
                <w:tcPr>
                  <w:tcW w:w="2115" w:type="pct"/>
                  <w:vAlign w:val="center"/>
                </w:tcPr>
                <w:p>
                  <w:pPr>
                    <w:pStyle w:val="24"/>
                    <w:adjustRightInd w:val="0"/>
                    <w:snapToGrid w:val="0"/>
                    <w:spacing w:after="0" w:afterAutospacing="0" w:line="240" w:lineRule="auto"/>
                    <w:ind w:firstLine="420" w:firstLineChars="200"/>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淘汰以三氟三氯乙烷、甲基氯仿和四氯化碳为清洗剂或溶剂的生产工艺。清洗过程中产生的废溶剂宜密闭收集，有回收价值的废溶剂经处理后回用，其他废溶剂应妥善处置；</w:t>
                  </w:r>
                </w:p>
              </w:tc>
              <w:tc>
                <w:tcPr>
                  <w:tcW w:w="2048" w:type="pct"/>
                  <w:vAlign w:val="center"/>
                </w:tcPr>
                <w:p>
                  <w:pPr>
                    <w:adjustRightInd w:val="0"/>
                    <w:snapToGrid w:val="0"/>
                    <w:spacing w:line="240" w:lineRule="auto"/>
                    <w:ind w:firstLine="420" w:firstLineChars="200"/>
                    <w:jc w:val="left"/>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本项目不使用清洗剂和溶剂。</w:t>
                  </w:r>
                </w:p>
              </w:tc>
              <w:tc>
                <w:tcPr>
                  <w:tcW w:w="496"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4</w:t>
                  </w:r>
                </w:p>
              </w:tc>
              <w:tc>
                <w:tcPr>
                  <w:tcW w:w="2115" w:type="pct"/>
                  <w:vAlign w:val="center"/>
                </w:tcPr>
                <w:p>
                  <w:pPr>
                    <w:pStyle w:val="24"/>
                    <w:adjustRightInd w:val="0"/>
                    <w:snapToGrid w:val="0"/>
                    <w:spacing w:before="0" w:beforeAutospacing="0" w:after="0" w:afterAutospacing="0" w:line="240" w:lineRule="auto"/>
                    <w:ind w:firstLine="420" w:firstLineChars="200"/>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含VOCs产品的使用过程中，应采取废气收集措施，提高废气收集效率，减少废气的无组织排放与逸散，并对收集后的废气进行回收或处理后达标排放。</w:t>
                  </w:r>
                </w:p>
              </w:tc>
              <w:tc>
                <w:tcPr>
                  <w:tcW w:w="2048" w:type="pct"/>
                  <w:vAlign w:val="center"/>
                </w:tcPr>
                <w:p>
                  <w:pPr>
                    <w:adjustRightInd w:val="0"/>
                    <w:snapToGrid w:val="0"/>
                    <w:spacing w:line="240" w:lineRule="auto"/>
                    <w:ind w:firstLine="420" w:firstLineChars="200"/>
                    <w:jc w:val="left"/>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本项目喷涂工序，废气通过集气罩收集后设置过滤棉+活性炭吸附装置处理，达标排放。</w:t>
                  </w:r>
                </w:p>
              </w:tc>
              <w:tc>
                <w:tcPr>
                  <w:tcW w:w="496"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符合</w:t>
                  </w:r>
                </w:p>
              </w:tc>
            </w:tr>
          </w:tbl>
          <w:p>
            <w:pPr>
              <w:adjustRightInd w:val="0"/>
              <w:snapToGrid w:val="0"/>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综上所述，本项目的建设符合《</w:t>
            </w:r>
            <w:r>
              <w:rPr>
                <w:rFonts w:hint="eastAsia"/>
                <w:color w:val="000000" w:themeColor="text1"/>
                <w:kern w:val="0"/>
                <w14:textFill>
                  <w14:solidFill>
                    <w14:schemeClr w14:val="tx1"/>
                  </w14:solidFill>
                </w14:textFill>
              </w:rPr>
              <w:t>挥发性有机污染物（VOCs）污染防治技术政策</w:t>
            </w:r>
            <w:r>
              <w:rPr>
                <w:color w:val="000000" w:themeColor="text1"/>
                <w:kern w:val="0"/>
                <w14:textFill>
                  <w14:solidFill>
                    <w14:schemeClr w14:val="tx1"/>
                  </w14:solidFill>
                </w14:textFill>
              </w:rPr>
              <w:t>》中要求。</w:t>
            </w:r>
          </w:p>
          <w:p>
            <w:pPr>
              <w:autoSpaceDE w:val="0"/>
              <w:autoSpaceDN w:val="0"/>
              <w:rPr>
                <w:b/>
                <w:bCs/>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四、</w:t>
            </w:r>
            <w:r>
              <w:rPr>
                <w:b/>
                <w:color w:val="000000" w:themeColor="text1"/>
                <w:kern w:val="0"/>
                <w14:textFill>
                  <w14:solidFill>
                    <w14:schemeClr w14:val="tx1"/>
                  </w14:solidFill>
                </w14:textFill>
              </w:rPr>
              <w:t>与《关于印发&lt;重点行业挥发性有机物综合治理方案&gt;的通知》（环大气〔2019〕53号）</w:t>
            </w:r>
            <w:r>
              <w:rPr>
                <w:rFonts w:hint="eastAsia"/>
                <w:b/>
                <w:color w:val="000000" w:themeColor="text1"/>
                <w:kern w:val="0"/>
                <w14:textFill>
                  <w14:solidFill>
                    <w14:schemeClr w14:val="tx1"/>
                  </w14:solidFill>
                </w14:textFill>
              </w:rPr>
              <w:t>符合性分析</w:t>
            </w:r>
          </w:p>
          <w:p>
            <w:pPr>
              <w:ind w:firstLine="480" w:firstLineChars="200"/>
              <w:rPr>
                <w:bCs/>
                <w:color w:val="000000" w:themeColor="text1"/>
                <w:kern w:val="0"/>
                <w14:textFill>
                  <w14:solidFill>
                    <w14:schemeClr w14:val="tx1"/>
                  </w14:solidFill>
                </w14:textFill>
              </w:rPr>
            </w:pPr>
            <w:r>
              <w:rPr>
                <w:rFonts w:hint="eastAsia"/>
                <w:bCs/>
                <w:color w:val="000000" w:themeColor="text1"/>
                <w:kern w:val="0"/>
                <w14:textFill>
                  <w14:solidFill>
                    <w14:schemeClr w14:val="tx1"/>
                  </w14:solidFill>
                </w14:textFill>
              </w:rPr>
              <w:t>项目涉及喷涂工艺，与</w:t>
            </w:r>
            <w:r>
              <w:rPr>
                <w:bCs/>
                <w:color w:val="000000" w:themeColor="text1"/>
                <w:kern w:val="0"/>
                <w14:textFill>
                  <w14:solidFill>
                    <w14:schemeClr w14:val="tx1"/>
                  </w14:solidFill>
                </w14:textFill>
              </w:rPr>
              <w:t>《关于印发&lt;重点行业挥发性有机物综合治理方案&gt;的通知》（环大气〔2019〕53号）</w:t>
            </w:r>
            <w:r>
              <w:rPr>
                <w:rFonts w:hint="eastAsia"/>
                <w:bCs/>
                <w:color w:val="000000" w:themeColor="text1"/>
                <w:kern w:val="0"/>
                <w14:textFill>
                  <w14:solidFill>
                    <w14:schemeClr w14:val="tx1"/>
                  </w14:solidFill>
                </w14:textFill>
              </w:rPr>
              <w:t>符合性分析见表1-13。</w:t>
            </w:r>
          </w:p>
          <w:p>
            <w:pPr>
              <w:pStyle w:val="60"/>
              <w:spacing w:before="0" w:beforeAutospacing="0" w:after="0" w:afterAutospacing="0"/>
              <w:jc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表1-</w:t>
            </w:r>
            <w:r>
              <w:rPr>
                <w:rFonts w:hint="eastAsia" w:ascii="Times New Roman" w:hAnsi="Times New Roman" w:cs="Times New Roman"/>
                <w:b/>
                <w:bCs/>
                <w:color w:val="000000" w:themeColor="text1"/>
                <w14:textFill>
                  <w14:solidFill>
                    <w14:schemeClr w14:val="tx1"/>
                  </w14:solidFill>
                </w14:textFill>
              </w:rPr>
              <w:t>13</w:t>
            </w:r>
            <w:r>
              <w:rPr>
                <w:rFonts w:ascii="Times New Roman" w:hAnsi="Times New Roman" w:cs="Times New Roman"/>
                <w:b/>
                <w:bCs/>
                <w:color w:val="000000" w:themeColor="text1"/>
                <w14:textFill>
                  <w14:solidFill>
                    <w14:schemeClr w14:val="tx1"/>
                  </w14:solidFill>
                </w14:textFill>
              </w:rPr>
              <w:t xml:space="preserve"> 项目与《</w:t>
            </w:r>
            <w:r>
              <w:rPr>
                <w:b/>
                <w:color w:val="000000" w:themeColor="text1"/>
                <w14:textFill>
                  <w14:solidFill>
                    <w14:schemeClr w14:val="tx1"/>
                  </w14:solidFill>
                </w14:textFill>
              </w:rPr>
              <w:t>重点行业挥发性有机物综合治理方案</w:t>
            </w:r>
            <w:r>
              <w:rPr>
                <w:rFonts w:ascii="Times New Roman" w:hAnsi="Times New Roman" w:cs="Times New Roman"/>
                <w:b/>
                <w:bCs/>
                <w:color w:val="000000" w:themeColor="text1"/>
                <w14:textFill>
                  <w14:solidFill>
                    <w14:schemeClr w14:val="tx1"/>
                  </w14:solidFill>
                </w14:textFill>
              </w:rPr>
              <w:t>》相符性分析</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8"/>
              <w:gridCol w:w="3293"/>
              <w:gridCol w:w="3192"/>
              <w:gridCol w:w="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 w:type="pct"/>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序号</w:t>
                  </w:r>
                </w:p>
              </w:tc>
              <w:tc>
                <w:tcPr>
                  <w:tcW w:w="2114" w:type="pct"/>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w:t>
                  </w:r>
                  <w:r>
                    <w:rPr>
                      <w:b/>
                      <w:bCs/>
                      <w:color w:val="000000" w:themeColor="text1"/>
                      <w:kern w:val="0"/>
                      <w:sz w:val="21"/>
                      <w:szCs w:val="21"/>
                      <w14:textFill>
                        <w14:solidFill>
                          <w14:schemeClr w14:val="tx1"/>
                        </w14:solidFill>
                      </w14:textFill>
                    </w:rPr>
                    <w:t>重点行业挥发性有机物综合治理方案</w:t>
                  </w:r>
                  <w:r>
                    <w:rPr>
                      <w:rFonts w:hint="eastAsia"/>
                      <w:b/>
                      <w:bCs/>
                      <w:color w:val="000000" w:themeColor="text1"/>
                      <w:kern w:val="0"/>
                      <w:sz w:val="21"/>
                      <w:szCs w:val="21"/>
                      <w14:textFill>
                        <w14:solidFill>
                          <w14:schemeClr w14:val="tx1"/>
                        </w14:solidFill>
                      </w14:textFill>
                    </w:rPr>
                    <w:t>》要求</w:t>
                  </w:r>
                </w:p>
              </w:tc>
              <w:tc>
                <w:tcPr>
                  <w:tcW w:w="2049" w:type="pct"/>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本项目情况</w:t>
                  </w:r>
                </w:p>
              </w:tc>
              <w:tc>
                <w:tcPr>
                  <w:tcW w:w="497" w:type="pct"/>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w:t>
                  </w:r>
                </w:p>
              </w:tc>
              <w:tc>
                <w:tcPr>
                  <w:tcW w:w="2114" w:type="pct"/>
                  <w:vAlign w:val="center"/>
                </w:tcPr>
                <w:p>
                  <w:pPr>
                    <w:adjustRightInd w:val="0"/>
                    <w:snapToGrid w:val="0"/>
                    <w:spacing w:line="240" w:lineRule="auto"/>
                    <w:ind w:firstLine="420" w:firstLineChars="200"/>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强化源头控制，加快使用粉末、水性、高固体分、辐射固化等低VOCs含量的涂料替代溶剂型涂料。</w:t>
                  </w:r>
                </w:p>
              </w:tc>
              <w:tc>
                <w:tcPr>
                  <w:tcW w:w="2049" w:type="pct"/>
                  <w:vAlign w:val="center"/>
                </w:tcPr>
                <w:p>
                  <w:pPr>
                    <w:adjustRightInd w:val="0"/>
                    <w:snapToGrid w:val="0"/>
                    <w:spacing w:line="240" w:lineRule="auto"/>
                    <w:ind w:firstLine="420" w:firstLineChars="200"/>
                    <w:jc w:val="left"/>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本项目使用的为正规厂家生产的水性漆及油漆，为环保型涂料。</w:t>
                  </w:r>
                </w:p>
              </w:tc>
              <w:tc>
                <w:tcPr>
                  <w:tcW w:w="497"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2</w:t>
                  </w:r>
                </w:p>
              </w:tc>
              <w:tc>
                <w:tcPr>
                  <w:tcW w:w="2114" w:type="pct"/>
                  <w:vAlign w:val="center"/>
                </w:tcPr>
                <w:p>
                  <w:pPr>
                    <w:pStyle w:val="24"/>
                    <w:adjustRightInd w:val="0"/>
                    <w:snapToGrid w:val="0"/>
                    <w:spacing w:before="0" w:beforeAutospacing="0" w:after="0" w:afterAutospacing="0" w:line="240" w:lineRule="auto"/>
                    <w:ind w:firstLine="420" w:firstLineChars="200"/>
                    <w:rPr>
                      <w:rFonts w:cs="宋体"/>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有效控制无组织排放。涂料、稀释剂、清洗剂等原辅材料应密闭存储，调配、使用、回收等过程应采用密闭设备或在密闭空间内操作，采用密闭管道或密闭容器等输送。除大型工件外，禁止敞开式喷涂、晾（风）干作业。除工艺限制外，原则上实行集中调配。调配、喷涂和干燥等VOCs排放工序应配备有效的废气收集系统。</w:t>
                  </w:r>
                </w:p>
              </w:tc>
              <w:tc>
                <w:tcPr>
                  <w:tcW w:w="2049" w:type="pct"/>
                  <w:vAlign w:val="center"/>
                </w:tcPr>
                <w:p>
                  <w:pPr>
                    <w:adjustRightInd w:val="0"/>
                    <w:snapToGrid w:val="0"/>
                    <w:spacing w:line="240" w:lineRule="auto"/>
                    <w:ind w:firstLine="420" w:firstLineChars="200"/>
                    <w:jc w:val="left"/>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本项目油漆、水性漆均在密闭原料桶（瓶）内储存，项目购买的水性漆、油漆均为已调配好的成品，可直接使用，无调漆工序；喷涂排放VOCs工序有机废气及漆雾经移动式集气罩进行收集后经过滤棉+活性炭吸附装置处理处理后通过15米高排气筒排放。</w:t>
                  </w:r>
                </w:p>
              </w:tc>
              <w:tc>
                <w:tcPr>
                  <w:tcW w:w="497"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3</w:t>
                  </w:r>
                </w:p>
              </w:tc>
              <w:tc>
                <w:tcPr>
                  <w:tcW w:w="2114" w:type="pct"/>
                  <w:vAlign w:val="center"/>
                </w:tcPr>
                <w:p>
                  <w:pPr>
                    <w:pStyle w:val="24"/>
                    <w:adjustRightInd w:val="0"/>
                    <w:snapToGrid w:val="0"/>
                    <w:spacing w:before="0" w:beforeAutospacing="0" w:after="0" w:afterAutospacing="0" w:line="240" w:lineRule="auto"/>
                    <w:ind w:firstLine="420" w:firstLineChars="200"/>
                    <w:jc w:val="both"/>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推进建设适宜高效的治污设施。喷涂废气应设置高效漆雾处理装置。喷涂、晾（风）干废气宜采用吸附浓缩+燃烧处理方式，小风量的可采用一次性活性炭吸附等工艺。调配、流平等废气可与喷涂、晾（风）干废气一并处理。使用溶剂型涂料的生产线，烘干废气宜采用燃烧方式单独处理，具备条件的可采用回收式热力燃烧装置。</w:t>
                  </w:r>
                </w:p>
              </w:tc>
              <w:tc>
                <w:tcPr>
                  <w:tcW w:w="2049" w:type="pct"/>
                  <w:vAlign w:val="center"/>
                </w:tcPr>
                <w:p>
                  <w:pPr>
                    <w:adjustRightInd w:val="0"/>
                    <w:snapToGrid w:val="0"/>
                    <w:spacing w:line="240" w:lineRule="auto"/>
                    <w:ind w:firstLine="420" w:firstLineChars="200"/>
                    <w:jc w:val="left"/>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分别于喷漆刷漆工段各设置一个集气罩，各工段产生的有机废气及漆雾经移动式集气罩分别收集后经过滤棉+活性炭吸附后通过15米高排气筒排放。</w:t>
                  </w:r>
                </w:p>
              </w:tc>
              <w:tc>
                <w:tcPr>
                  <w:tcW w:w="497"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符合</w:t>
                  </w:r>
                </w:p>
              </w:tc>
            </w:tr>
          </w:tbl>
          <w:p>
            <w:pPr>
              <w:autoSpaceDE w:val="0"/>
              <w:autoSpaceDN w:val="0"/>
              <w:adjustRightInd w:val="0"/>
              <w:snapToGrid w:val="0"/>
              <w:ind w:firstLine="480" w:firstLineChars="200"/>
              <w:rPr>
                <w:color w:val="000000" w:themeColor="text1"/>
                <w:kern w:val="0"/>
                <w14:textFill>
                  <w14:solidFill>
                    <w14:schemeClr w14:val="tx1"/>
                  </w14:solidFill>
                </w14:textFill>
              </w:rPr>
            </w:pPr>
            <w:r>
              <w:rPr>
                <w:rFonts w:hint="eastAsia"/>
                <w:bCs/>
                <w:color w:val="000000" w:themeColor="text1"/>
                <w:kern w:val="0"/>
                <w14:textFill>
                  <w14:solidFill>
                    <w14:schemeClr w14:val="tx1"/>
                  </w14:solidFill>
                </w14:textFill>
              </w:rPr>
              <w:t>综上，本项目</w:t>
            </w:r>
            <w:r>
              <w:rPr>
                <w:rFonts w:hint="eastAsia"/>
                <w:color w:val="000000" w:themeColor="text1"/>
                <w:kern w:val="0"/>
                <w:szCs w:val="22"/>
                <w14:textFill>
                  <w14:solidFill>
                    <w14:schemeClr w14:val="tx1"/>
                  </w14:solidFill>
                </w14:textFill>
              </w:rPr>
              <w:t>符合</w:t>
            </w:r>
            <w:r>
              <w:rPr>
                <w:color w:val="000000" w:themeColor="text1"/>
                <w:kern w:val="0"/>
                <w:szCs w:val="22"/>
                <w14:textFill>
                  <w14:solidFill>
                    <w14:schemeClr w14:val="tx1"/>
                  </w14:solidFill>
                </w14:textFill>
              </w:rPr>
              <w:t>《关于印发&lt;重点行业挥发性有机物综合治理方案&gt;的通知》（环大气〔2019〕53号）</w:t>
            </w:r>
            <w:r>
              <w:rPr>
                <w:rFonts w:hint="eastAsia"/>
                <w:color w:val="000000" w:themeColor="text1"/>
                <w:kern w:val="0"/>
                <w:szCs w:val="22"/>
                <w14:textFill>
                  <w14:solidFill>
                    <w14:schemeClr w14:val="tx1"/>
                  </w14:solidFill>
                </w14:textFill>
              </w:rPr>
              <w:t>的相关要求。</w:t>
            </w:r>
          </w:p>
          <w:p>
            <w:pPr>
              <w:rPr>
                <w:b/>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五、</w:t>
            </w:r>
            <w:r>
              <w:rPr>
                <w:rFonts w:hint="eastAsia"/>
                <w:b/>
                <w:color w:val="000000" w:themeColor="text1"/>
                <w:kern w:val="0"/>
                <w14:textFill>
                  <w14:solidFill>
                    <w14:schemeClr w14:val="tx1"/>
                  </w14:solidFill>
                </w14:textFill>
              </w:rPr>
              <w:t>与</w:t>
            </w:r>
            <w:r>
              <w:rPr>
                <w:b/>
                <w:color w:val="000000" w:themeColor="text1"/>
                <w:kern w:val="0"/>
                <w14:textFill>
                  <w14:solidFill>
                    <w14:schemeClr w14:val="tx1"/>
                  </w14:solidFill>
                </w14:textFill>
              </w:rPr>
              <w:t>《云南省生态环境厅关于印发云南省重点行业挥发性有机物综合治理实施方案的通知》（云环通〔2019〕125号）</w:t>
            </w:r>
            <w:r>
              <w:rPr>
                <w:rFonts w:hint="eastAsia"/>
                <w:b/>
                <w:color w:val="000000" w:themeColor="text1"/>
                <w:kern w:val="0"/>
                <w14:textFill>
                  <w14:solidFill>
                    <w14:schemeClr w14:val="tx1"/>
                  </w14:solidFill>
                </w14:textFill>
              </w:rPr>
              <w:t>符合性分析</w:t>
            </w:r>
          </w:p>
          <w:p>
            <w:pPr>
              <w:pStyle w:val="60"/>
              <w:spacing w:before="0" w:beforeAutospacing="0" w:after="0" w:afterAutospacing="0"/>
              <w:ind w:firstLine="480" w:firstLineChars="200"/>
              <w:jc w:val="both"/>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本项目与《云南省生态环境厅关于印发云南省重点行业挥发性有机物综合治理实施方案的通知》（云环通〔2019〕125号）</w:t>
            </w:r>
            <w:r>
              <w:rPr>
                <w:rFonts w:hint="eastAsia" w:ascii="Times New Roman" w:hAnsi="Times New Roman" w:cs="Times New Roman"/>
                <w:color w:val="000000" w:themeColor="text1"/>
                <w14:textFill>
                  <w14:solidFill>
                    <w14:schemeClr w14:val="tx1"/>
                  </w14:solidFill>
                </w14:textFill>
              </w:rPr>
              <w:t>符合性分析见表1-14。</w:t>
            </w:r>
          </w:p>
          <w:p>
            <w:pPr>
              <w:pStyle w:val="60"/>
              <w:spacing w:before="0" w:beforeAutospacing="0" w:after="0" w:afterAutospacing="0"/>
              <w:jc w:val="center"/>
              <w:rPr>
                <w:rFonts w:ascii="Times New Roman" w:hAnsi="Times New Roman" w:cs="Times New Roman"/>
                <w:b/>
                <w:bCs/>
                <w:color w:val="000000" w:themeColor="text1"/>
                <w14:textFill>
                  <w14:solidFill>
                    <w14:schemeClr w14:val="tx1"/>
                  </w14:solidFill>
                </w14:textFill>
              </w:rPr>
            </w:pPr>
            <w:r>
              <w:rPr>
                <w:rFonts w:ascii="Times New Roman" w:hAnsi="Times New Roman" w:cs="Times New Roman"/>
                <w:b/>
                <w:bCs/>
                <w:color w:val="000000" w:themeColor="text1"/>
                <w14:textFill>
                  <w14:solidFill>
                    <w14:schemeClr w14:val="tx1"/>
                  </w14:solidFill>
                </w14:textFill>
              </w:rPr>
              <w:t>表1-</w:t>
            </w:r>
            <w:r>
              <w:rPr>
                <w:rFonts w:hint="eastAsia" w:ascii="Times New Roman" w:hAnsi="Times New Roman" w:cs="Times New Roman"/>
                <w:b/>
                <w:bCs/>
                <w:color w:val="000000" w:themeColor="text1"/>
                <w14:textFill>
                  <w14:solidFill>
                    <w14:schemeClr w14:val="tx1"/>
                  </w14:solidFill>
                </w14:textFill>
              </w:rPr>
              <w:t>14</w:t>
            </w:r>
            <w:r>
              <w:rPr>
                <w:rFonts w:ascii="Times New Roman" w:hAnsi="Times New Roman" w:cs="Times New Roman"/>
                <w:b/>
                <w:bCs/>
                <w:color w:val="000000" w:themeColor="text1"/>
                <w14:textFill>
                  <w14:solidFill>
                    <w14:schemeClr w14:val="tx1"/>
                  </w14:solidFill>
                </w14:textFill>
              </w:rPr>
              <w:t xml:space="preserve">   项目与云环通〔2019〕125号相符性分析</w:t>
            </w:r>
          </w:p>
          <w:tbl>
            <w:tblPr>
              <w:tblStyle w:val="28"/>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8"/>
              <w:gridCol w:w="3293"/>
              <w:gridCol w:w="3192"/>
              <w:gridCol w:w="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 w:type="pct"/>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序号</w:t>
                  </w:r>
                </w:p>
              </w:tc>
              <w:tc>
                <w:tcPr>
                  <w:tcW w:w="2114" w:type="pct"/>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云环通〔2019〕125号</w:t>
                  </w:r>
                  <w:r>
                    <w:rPr>
                      <w:rFonts w:hint="eastAsia"/>
                      <w:b/>
                      <w:bCs/>
                      <w:color w:val="000000" w:themeColor="text1"/>
                      <w:kern w:val="0"/>
                      <w:sz w:val="21"/>
                      <w:szCs w:val="21"/>
                      <w14:textFill>
                        <w14:solidFill>
                          <w14:schemeClr w14:val="tx1"/>
                        </w14:solidFill>
                      </w14:textFill>
                    </w:rPr>
                    <w:t>要求</w:t>
                  </w:r>
                </w:p>
              </w:tc>
              <w:tc>
                <w:tcPr>
                  <w:tcW w:w="2049" w:type="pct"/>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本项目情况</w:t>
                  </w:r>
                </w:p>
              </w:tc>
              <w:tc>
                <w:tcPr>
                  <w:tcW w:w="497" w:type="pct"/>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w:t>
                  </w:r>
                </w:p>
              </w:tc>
              <w:tc>
                <w:tcPr>
                  <w:tcW w:w="2114" w:type="pct"/>
                  <w:vAlign w:val="center"/>
                </w:tcPr>
                <w:p>
                  <w:pPr>
                    <w:adjustRightInd w:val="0"/>
                    <w:snapToGrid w:val="0"/>
                    <w:spacing w:line="240" w:lineRule="auto"/>
                    <w:ind w:firstLine="420" w:firstLineChars="200"/>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w:t>
                  </w:r>
                </w:p>
              </w:tc>
              <w:tc>
                <w:tcPr>
                  <w:tcW w:w="2049" w:type="pct"/>
                  <w:vAlign w:val="center"/>
                </w:tcPr>
                <w:p>
                  <w:pPr>
                    <w:adjustRightInd w:val="0"/>
                    <w:snapToGrid w:val="0"/>
                    <w:spacing w:line="240" w:lineRule="auto"/>
                    <w:ind w:firstLine="420" w:firstLineChars="200"/>
                    <w:jc w:val="left"/>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本项目使用的为正规厂家生产的水性漆及油漆，为环保型涂料。</w:t>
                  </w:r>
                </w:p>
              </w:tc>
              <w:tc>
                <w:tcPr>
                  <w:tcW w:w="497"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9"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2</w:t>
                  </w:r>
                </w:p>
              </w:tc>
              <w:tc>
                <w:tcPr>
                  <w:tcW w:w="2114" w:type="pct"/>
                  <w:vAlign w:val="center"/>
                </w:tcPr>
                <w:p>
                  <w:pPr>
                    <w:adjustRightInd w:val="0"/>
                    <w:snapToGrid w:val="0"/>
                    <w:spacing w:line="240" w:lineRule="auto"/>
                    <w:ind w:firstLine="420" w:firstLineChars="200"/>
                    <w:jc w:val="left"/>
                    <w:rPr>
                      <w:rFonts w:ascii="宋体" w:hAnsi="宋体" w:cs="宋体"/>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tc>
              <w:tc>
                <w:tcPr>
                  <w:tcW w:w="2049" w:type="pct"/>
                  <w:vAlign w:val="center"/>
                </w:tcPr>
                <w:p>
                  <w:pPr>
                    <w:adjustRightInd w:val="0"/>
                    <w:snapToGrid w:val="0"/>
                    <w:spacing w:line="240" w:lineRule="auto"/>
                    <w:ind w:firstLine="420" w:firstLineChars="200"/>
                    <w:jc w:val="left"/>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本项目涂料均在密闭原料桶内储存，项目购买的涂料为已调配好的成品，可直接使用，无调漆工序；喷涂排放VOCs工序有机废气及漆雾经两个移动式集气罩进行收集后经过滤棉+活性炭吸附装置处理处理后通过15米高排气筒排放。</w:t>
                  </w:r>
                </w:p>
              </w:tc>
              <w:tc>
                <w:tcPr>
                  <w:tcW w:w="497"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符合</w:t>
                  </w:r>
                </w:p>
              </w:tc>
            </w:tr>
          </w:tbl>
          <w:p>
            <w:pPr>
              <w:autoSpaceDE w:val="0"/>
              <w:autoSpaceDN w:val="0"/>
              <w:adjustRightInd w:val="0"/>
              <w:snapToGrid w:val="0"/>
              <w:ind w:firstLine="480" w:firstLineChars="200"/>
              <w:rPr>
                <w:color w:val="000000" w:themeColor="text1"/>
                <w:kern w:val="0"/>
                <w14:textFill>
                  <w14:solidFill>
                    <w14:schemeClr w14:val="tx1"/>
                  </w14:solidFill>
                </w14:textFill>
              </w:rPr>
            </w:pPr>
            <w:r>
              <w:rPr>
                <w:rFonts w:hint="eastAsia"/>
                <w:color w:val="000000" w:themeColor="text1"/>
                <w14:textFill>
                  <w14:solidFill>
                    <w14:schemeClr w14:val="tx1"/>
                  </w14:solidFill>
                </w14:textFill>
              </w:rPr>
              <w:t>综上，本项目符合</w:t>
            </w:r>
            <w:r>
              <w:rPr>
                <w:color w:val="000000" w:themeColor="text1"/>
                <w14:textFill>
                  <w14:solidFill>
                    <w14:schemeClr w14:val="tx1"/>
                  </w14:solidFill>
                </w14:textFill>
              </w:rPr>
              <w:t>《云南省生态环境厅关于印发云南省重点行业挥发性有机物综合治理实施方案的通知》（云环通〔2019〕125号）</w:t>
            </w:r>
            <w:r>
              <w:rPr>
                <w:rFonts w:hint="eastAsia"/>
                <w:color w:val="000000" w:themeColor="text1"/>
                <w14:textFill>
                  <w14:solidFill>
                    <w14:schemeClr w14:val="tx1"/>
                  </w14:solidFill>
                </w14:textFill>
              </w:rPr>
              <w:t>的相关要求。</w:t>
            </w:r>
          </w:p>
        </w:tc>
      </w:tr>
    </w:tbl>
    <w:p>
      <w:pPr>
        <w:rPr>
          <w:color w:val="000000" w:themeColor="text1"/>
          <w:kern w:val="0"/>
          <w:sz w:val="30"/>
          <w14:textFill>
            <w14:solidFill>
              <w14:schemeClr w14:val="tx1"/>
            </w14:solidFill>
          </w14:textFill>
        </w:rPr>
        <w:sectPr>
          <w:headerReference r:id="rId6" w:type="default"/>
          <w:footerReference r:id="rId7" w:type="default"/>
          <w:pgSz w:w="11906" w:h="16838"/>
          <w:pgMar w:top="1701" w:right="1531" w:bottom="1701" w:left="1531" w:header="851" w:footer="1077" w:gutter="0"/>
          <w:pgNumType w:start="1"/>
          <w:cols w:space="720" w:num="1"/>
          <w:docGrid w:linePitch="312" w:charSpace="0"/>
        </w:sectPr>
      </w:pPr>
    </w:p>
    <w:p>
      <w:pPr>
        <w:pStyle w:val="24"/>
        <w:spacing w:before="0" w:beforeAutospacing="0" w:after="0" w:afterAutospacing="0"/>
        <w:jc w:val="center"/>
        <w:outlineLvl w:val="0"/>
        <w:rPr>
          <w:rFonts w:ascii="Times New Roman" w:hAnsi="Times New Roman"/>
          <w:snapToGrid w:val="0"/>
          <w:color w:val="000000" w:themeColor="text1"/>
          <w:sz w:val="30"/>
          <w:szCs w:val="30"/>
          <w14:textFill>
            <w14:solidFill>
              <w14:schemeClr w14:val="tx1"/>
            </w14:solidFill>
          </w14:textFill>
        </w:rPr>
      </w:pPr>
      <w:bookmarkStart w:id="3" w:name="_Toc21940"/>
      <w:r>
        <w:rPr>
          <w:rFonts w:ascii="Times New Roman" w:hAnsi="Times New Roman"/>
          <w:snapToGrid w:val="0"/>
          <w:color w:val="000000" w:themeColor="text1"/>
          <w:sz w:val="30"/>
          <w:szCs w:val="30"/>
          <w14:textFill>
            <w14:solidFill>
              <w14:schemeClr w14:val="tx1"/>
            </w14:solidFill>
          </w14:textFill>
        </w:rPr>
        <w:t>二、建设项目工程分析</w:t>
      </w:r>
      <w:bookmarkEnd w:id="3"/>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0"/>
        <w:gridCol w:w="861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55" w:type="dxa"/>
            <w:vAlign w:val="center"/>
          </w:tcPr>
          <w:p>
            <w:pPr>
              <w:pStyle w:val="24"/>
              <w:adjustRightInd w:val="0"/>
              <w:snapToGrid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建设内容</w:t>
            </w:r>
          </w:p>
        </w:tc>
        <w:tc>
          <w:tcPr>
            <w:tcW w:w="8305" w:type="dxa"/>
          </w:tcPr>
          <w:p>
            <w:pPr>
              <w:adjustRightInd w:val="0"/>
              <w:snapToGrid w:val="0"/>
              <w:rPr>
                <w:b/>
                <w:color w:val="000000" w:themeColor="text1"/>
                <w:kern w:val="0"/>
                <w14:textFill>
                  <w14:solidFill>
                    <w14:schemeClr w14:val="tx1"/>
                  </w14:solidFill>
                </w14:textFill>
              </w:rPr>
            </w:pPr>
            <w:r>
              <w:rPr>
                <w:b/>
                <w:color w:val="000000" w:themeColor="text1"/>
                <w:kern w:val="0"/>
                <w14:textFill>
                  <w14:solidFill>
                    <w14:schemeClr w14:val="tx1"/>
                  </w14:solidFill>
                </w14:textFill>
              </w:rPr>
              <w:t>一、建设内容</w:t>
            </w:r>
          </w:p>
          <w:p>
            <w:pPr>
              <w:adjustRightInd w:val="0"/>
              <w:snapToGrid w:val="0"/>
              <w:ind w:firstLine="480" w:firstLineChars="200"/>
              <w:rPr>
                <w:bCs/>
                <w:color w:val="000000" w:themeColor="text1"/>
                <w:kern w:val="0"/>
                <w14:textFill>
                  <w14:solidFill>
                    <w14:schemeClr w14:val="tx1"/>
                  </w14:solidFill>
                </w14:textFill>
              </w:rPr>
            </w:pPr>
            <w:r>
              <w:rPr>
                <w:bCs/>
                <w:color w:val="000000" w:themeColor="text1"/>
                <w:kern w:val="0"/>
                <w14:textFill>
                  <w14:solidFill>
                    <w14:schemeClr w14:val="tx1"/>
                  </w14:solidFill>
                </w14:textFill>
              </w:rPr>
              <w:t>本项目为新建项目，总投资</w:t>
            </w:r>
            <w:r>
              <w:rPr>
                <w:rFonts w:hint="eastAsia"/>
                <w:bCs/>
                <w:color w:val="000000" w:themeColor="text1"/>
                <w:kern w:val="0"/>
                <w14:textFill>
                  <w14:solidFill>
                    <w14:schemeClr w14:val="tx1"/>
                  </w14:solidFill>
                </w14:textFill>
              </w:rPr>
              <w:t>1000</w:t>
            </w:r>
            <w:r>
              <w:rPr>
                <w:bCs/>
                <w:color w:val="000000" w:themeColor="text1"/>
                <w:kern w:val="0"/>
                <w14:textFill>
                  <w14:solidFill>
                    <w14:schemeClr w14:val="tx1"/>
                  </w14:solidFill>
                </w14:textFill>
              </w:rPr>
              <w:t>万元，租用</w:t>
            </w:r>
            <w:r>
              <w:rPr>
                <w:rFonts w:hint="eastAsia"/>
                <w:bCs/>
                <w:color w:val="000000" w:themeColor="text1"/>
                <w:kern w:val="0"/>
                <w14:textFill>
                  <w14:solidFill>
                    <w14:schemeClr w14:val="tx1"/>
                  </w14:solidFill>
                </w14:textFill>
              </w:rPr>
              <w:t>晋宁志诚物流有限责任公司</w:t>
            </w:r>
            <w:r>
              <w:rPr>
                <w:bCs/>
                <w:color w:val="000000" w:themeColor="text1"/>
                <w:kern w:val="0"/>
                <w14:textFill>
                  <w14:solidFill>
                    <w14:schemeClr w14:val="tx1"/>
                  </w14:solidFill>
                </w14:textFill>
              </w:rPr>
              <w:t>闲置</w:t>
            </w:r>
            <w:r>
              <w:rPr>
                <w:rFonts w:hint="eastAsia"/>
                <w:bCs/>
                <w:color w:val="000000" w:themeColor="text1"/>
                <w:kern w:val="0"/>
                <w14:textFill>
                  <w14:solidFill>
                    <w14:schemeClr w14:val="tx1"/>
                  </w14:solidFill>
                </w14:textFill>
              </w:rPr>
              <w:t>厂房、</w:t>
            </w:r>
            <w:r>
              <w:rPr>
                <w:bCs/>
                <w:color w:val="000000" w:themeColor="text1"/>
                <w:kern w:val="0"/>
                <w14:textFill>
                  <w14:solidFill>
                    <w14:schemeClr w14:val="tx1"/>
                  </w14:solidFill>
                </w14:textFill>
              </w:rPr>
              <w:t>办公楼</w:t>
            </w:r>
            <w:r>
              <w:rPr>
                <w:rFonts w:hint="eastAsia"/>
                <w:bCs/>
                <w:color w:val="000000" w:themeColor="text1"/>
                <w:kern w:val="0"/>
                <w14:textFill>
                  <w14:solidFill>
                    <w14:schemeClr w14:val="tx1"/>
                  </w14:solidFill>
                </w14:textFill>
              </w:rPr>
              <w:t>、小件库房以及食堂用于湿喷台车组装及修理，</w:t>
            </w:r>
            <w:r>
              <w:rPr>
                <w:bCs/>
                <w:color w:val="000000" w:themeColor="text1"/>
                <w:kern w:val="0"/>
                <w14:textFill>
                  <w14:solidFill>
                    <w14:schemeClr w14:val="tx1"/>
                  </w14:solidFill>
                </w14:textFill>
              </w:rPr>
              <w:t>建设内容包含主体工程、辅助工程、公用工程和环保工程、依托工程，年产</w:t>
            </w:r>
            <w:r>
              <w:rPr>
                <w:rFonts w:hint="eastAsia"/>
                <w:bCs/>
                <w:color w:val="000000" w:themeColor="text1"/>
                <w:kern w:val="0"/>
                <w14:textFill>
                  <w14:solidFill>
                    <w14:schemeClr w14:val="tx1"/>
                  </w14:solidFill>
                </w14:textFill>
              </w:rPr>
              <w:t>50台湿喷台车及修理旧车12台</w:t>
            </w:r>
            <w:r>
              <w:rPr>
                <w:bCs/>
                <w:color w:val="000000" w:themeColor="text1"/>
                <w:kern w:val="0"/>
                <w14:textFill>
                  <w14:solidFill>
                    <w14:schemeClr w14:val="tx1"/>
                  </w14:solidFill>
                </w14:textFill>
              </w:rPr>
              <w:t>。</w:t>
            </w:r>
            <w:r>
              <w:rPr>
                <w:color w:val="000000" w:themeColor="text1"/>
                <w:kern w:val="0"/>
                <w14:textFill>
                  <w14:solidFill>
                    <w14:schemeClr w14:val="tx1"/>
                  </w14:solidFill>
                </w14:textFill>
              </w:rPr>
              <w:t>具体</w:t>
            </w:r>
            <w:r>
              <w:rPr>
                <w:bCs/>
                <w:color w:val="000000" w:themeColor="text1"/>
                <w:kern w:val="0"/>
                <w14:textFill>
                  <w14:solidFill>
                    <w14:schemeClr w14:val="tx1"/>
                  </w14:solidFill>
                </w14:textFill>
              </w:rPr>
              <w:t>详见下表。</w:t>
            </w:r>
          </w:p>
          <w:p>
            <w:pPr>
              <w:adjustRightInd w:val="0"/>
              <w:snapToGrid w:val="0"/>
              <w:spacing w:line="240" w:lineRule="auto"/>
              <w:jc w:val="center"/>
              <w:rPr>
                <w:b/>
                <w:color w:val="000000" w:themeColor="text1"/>
                <w:kern w:val="0"/>
                <w:szCs w:val="21"/>
                <w14:textFill>
                  <w14:solidFill>
                    <w14:schemeClr w14:val="tx1"/>
                  </w14:solidFill>
                </w14:textFill>
              </w:rPr>
            </w:pPr>
            <w:r>
              <w:rPr>
                <w:b/>
                <w:color w:val="000000" w:themeColor="text1"/>
                <w:kern w:val="0"/>
                <w:szCs w:val="21"/>
                <w14:textFill>
                  <w14:solidFill>
                    <w14:schemeClr w14:val="tx1"/>
                  </w14:solidFill>
                </w14:textFill>
              </w:rPr>
              <w:t>表2-1  工程建设内容表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503"/>
              <w:gridCol w:w="239"/>
              <w:gridCol w:w="1314"/>
              <w:gridCol w:w="4877"/>
              <w:gridCol w:w="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1" w:type="dxa"/>
                  <w:vAlign w:val="center"/>
                </w:tcPr>
                <w:p>
                  <w:pPr>
                    <w:adjustRightInd w:val="0"/>
                    <w:snapToGrid w:val="0"/>
                    <w:spacing w:line="240" w:lineRule="auto"/>
                    <w:jc w:val="center"/>
                    <w:outlineLvl w:val="0"/>
                    <w:rPr>
                      <w:b/>
                      <w:bCs/>
                      <w:color w:val="000000" w:themeColor="text1"/>
                      <w:kern w:val="0"/>
                      <w:sz w:val="21"/>
                      <w:szCs w:val="21"/>
                      <w14:textFill>
                        <w14:solidFill>
                          <w14:schemeClr w14:val="tx1"/>
                        </w14:solidFill>
                      </w14:textFill>
                    </w:rPr>
                  </w:pPr>
                  <w:bookmarkStart w:id="4" w:name="_Toc31508"/>
                  <w:r>
                    <w:rPr>
                      <w:b/>
                      <w:bCs/>
                      <w:color w:val="000000" w:themeColor="text1"/>
                      <w:kern w:val="0"/>
                      <w:sz w:val="21"/>
                      <w:szCs w:val="21"/>
                      <w14:textFill>
                        <w14:solidFill>
                          <w14:schemeClr w14:val="tx1"/>
                        </w14:solidFill>
                      </w14:textFill>
                    </w:rPr>
                    <w:t>工程</w:t>
                  </w:r>
                  <w:bookmarkEnd w:id="4"/>
                </w:p>
                <w:p>
                  <w:pPr>
                    <w:adjustRightInd w:val="0"/>
                    <w:snapToGrid w:val="0"/>
                    <w:spacing w:line="240" w:lineRule="auto"/>
                    <w:jc w:val="center"/>
                    <w:outlineLvl w:val="0"/>
                    <w:rPr>
                      <w:b/>
                      <w:bCs/>
                      <w:color w:val="000000" w:themeColor="text1"/>
                      <w:kern w:val="0"/>
                      <w:sz w:val="21"/>
                      <w:szCs w:val="21"/>
                      <w14:textFill>
                        <w14:solidFill>
                          <w14:schemeClr w14:val="tx1"/>
                        </w14:solidFill>
                      </w14:textFill>
                    </w:rPr>
                  </w:pPr>
                  <w:bookmarkStart w:id="5" w:name="_Toc24910"/>
                  <w:r>
                    <w:rPr>
                      <w:b/>
                      <w:bCs/>
                      <w:color w:val="000000" w:themeColor="text1"/>
                      <w:kern w:val="0"/>
                      <w:sz w:val="21"/>
                      <w:szCs w:val="21"/>
                      <w14:textFill>
                        <w14:solidFill>
                          <w14:schemeClr w14:val="tx1"/>
                        </w14:solidFill>
                      </w14:textFill>
                    </w:rPr>
                    <w:t>类别</w:t>
                  </w:r>
                  <w:bookmarkEnd w:id="5"/>
                </w:p>
              </w:tc>
              <w:tc>
                <w:tcPr>
                  <w:tcW w:w="2047" w:type="dxa"/>
                  <w:gridSpan w:val="3"/>
                  <w:vAlign w:val="center"/>
                </w:tcPr>
                <w:p>
                  <w:pPr>
                    <w:spacing w:line="240" w:lineRule="auto"/>
                    <w:jc w:val="center"/>
                    <w:outlineLvl w:val="0"/>
                    <w:rPr>
                      <w:b/>
                      <w:bCs/>
                      <w:color w:val="000000" w:themeColor="text1"/>
                      <w:kern w:val="0"/>
                      <w:sz w:val="21"/>
                      <w:szCs w:val="21"/>
                      <w14:textFill>
                        <w14:solidFill>
                          <w14:schemeClr w14:val="tx1"/>
                        </w14:solidFill>
                      </w14:textFill>
                    </w:rPr>
                  </w:pPr>
                  <w:bookmarkStart w:id="6" w:name="_Toc13699"/>
                  <w:r>
                    <w:rPr>
                      <w:b/>
                      <w:bCs/>
                      <w:color w:val="000000" w:themeColor="text1"/>
                      <w:kern w:val="0"/>
                      <w:sz w:val="21"/>
                      <w:szCs w:val="21"/>
                      <w14:textFill>
                        <w14:solidFill>
                          <w14:schemeClr w14:val="tx1"/>
                        </w14:solidFill>
                      </w14:textFill>
                    </w:rPr>
                    <w:t>工程名称</w:t>
                  </w:r>
                  <w:bookmarkEnd w:id="6"/>
                </w:p>
              </w:tc>
              <w:tc>
                <w:tcPr>
                  <w:tcW w:w="4854" w:type="dxa"/>
                  <w:vAlign w:val="center"/>
                </w:tcPr>
                <w:p>
                  <w:pPr>
                    <w:spacing w:line="240" w:lineRule="auto"/>
                    <w:jc w:val="center"/>
                    <w:outlineLvl w:val="0"/>
                    <w:rPr>
                      <w:b/>
                      <w:bCs/>
                      <w:color w:val="000000" w:themeColor="text1"/>
                      <w:kern w:val="0"/>
                      <w:sz w:val="21"/>
                      <w:szCs w:val="21"/>
                      <w14:textFill>
                        <w14:solidFill>
                          <w14:schemeClr w14:val="tx1"/>
                        </w14:solidFill>
                      </w14:textFill>
                    </w:rPr>
                  </w:pPr>
                  <w:bookmarkStart w:id="7" w:name="_Toc18027"/>
                  <w:r>
                    <w:rPr>
                      <w:b/>
                      <w:bCs/>
                      <w:color w:val="000000" w:themeColor="text1"/>
                      <w:kern w:val="0"/>
                      <w:sz w:val="21"/>
                      <w:szCs w:val="21"/>
                      <w14:textFill>
                        <w14:solidFill>
                          <w14:schemeClr w14:val="tx1"/>
                        </w14:solidFill>
                      </w14:textFill>
                    </w:rPr>
                    <w:t>工程内容</w:t>
                  </w:r>
                  <w:bookmarkEnd w:id="7"/>
                </w:p>
              </w:tc>
              <w:tc>
                <w:tcPr>
                  <w:tcW w:w="753" w:type="dxa"/>
                  <w:vAlign w:val="center"/>
                </w:tcPr>
                <w:p>
                  <w:pPr>
                    <w:spacing w:line="240" w:lineRule="auto"/>
                    <w:jc w:val="center"/>
                    <w:outlineLvl w:val="0"/>
                    <w:rPr>
                      <w:b/>
                      <w:bCs/>
                      <w:color w:val="000000" w:themeColor="text1"/>
                      <w:kern w:val="0"/>
                      <w:sz w:val="21"/>
                      <w:szCs w:val="21"/>
                      <w14:textFill>
                        <w14:solidFill>
                          <w14:schemeClr w14:val="tx1"/>
                        </w14:solidFill>
                      </w14:textFill>
                    </w:rPr>
                  </w:pPr>
                  <w:bookmarkStart w:id="8" w:name="_Toc17548"/>
                  <w:r>
                    <w:rPr>
                      <w:b/>
                      <w:bCs/>
                      <w:color w:val="000000" w:themeColor="text1"/>
                      <w:kern w:val="0"/>
                      <w:sz w:val="21"/>
                      <w:szCs w:val="21"/>
                      <w14:textFill>
                        <w14:solidFill>
                          <w14:schemeClr w14:val="tx1"/>
                        </w14:solidFill>
                      </w14:textFill>
                    </w:rPr>
                    <w:t>备注</w:t>
                  </w:r>
                  <w:bookmarkEnd w:id="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1" w:type="dxa"/>
                  <w:vMerge w:val="restart"/>
                  <w:vAlign w:val="center"/>
                </w:tcPr>
                <w:p>
                  <w:pPr>
                    <w:pStyle w:val="18"/>
                    <w:adjustRightInd w:val="0"/>
                    <w:snapToGrid w:val="0"/>
                    <w:spacing w:line="240" w:lineRule="auto"/>
                    <w:jc w:val="center"/>
                    <w:rPr>
                      <w:rFonts w:ascii="Times New Roman" w:hAnsi="Times New Roman"/>
                      <w:color w:val="000000" w:themeColor="text1"/>
                      <w:kern w:val="0"/>
                      <w:sz w:val="21"/>
                      <w:szCs w:val="21"/>
                      <w14:textFill>
                        <w14:solidFill>
                          <w14:schemeClr w14:val="tx1"/>
                        </w14:solidFill>
                      </w14:textFill>
                    </w:rPr>
                  </w:pPr>
                  <w:r>
                    <w:rPr>
                      <w:rFonts w:ascii="Times New Roman" w:hAnsi="Times New Roman"/>
                      <w:b/>
                      <w:bCs/>
                      <w:color w:val="000000" w:themeColor="text1"/>
                      <w:kern w:val="0"/>
                      <w:sz w:val="21"/>
                      <w:szCs w:val="21"/>
                      <w14:textFill>
                        <w14:solidFill>
                          <w14:schemeClr w14:val="tx1"/>
                        </w14:solidFill>
                      </w14:textFill>
                    </w:rPr>
                    <w:t>主体工程</w:t>
                  </w:r>
                </w:p>
              </w:tc>
              <w:tc>
                <w:tcPr>
                  <w:tcW w:w="501" w:type="dxa"/>
                  <w:vMerge w:val="restart"/>
                  <w:vAlign w:val="center"/>
                </w:tcPr>
                <w:p>
                  <w:pPr>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生产厂房</w:t>
                  </w:r>
                </w:p>
              </w:tc>
              <w:tc>
                <w:tcPr>
                  <w:tcW w:w="1546" w:type="dxa"/>
                  <w:gridSpan w:val="2"/>
                  <w:vAlign w:val="center"/>
                </w:tcPr>
                <w:p>
                  <w:pPr>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1#厂房、2#厂房靠西部分</w:t>
                  </w:r>
                </w:p>
              </w:tc>
              <w:tc>
                <w:tcPr>
                  <w:tcW w:w="4854" w:type="dxa"/>
                  <w:vAlign w:val="center"/>
                </w:tcPr>
                <w:p>
                  <w:pPr>
                    <w:spacing w:line="240" w:lineRule="auto"/>
                    <w:outlineLvl w:val="0"/>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租用1#、2#厂房靠西部分1344㎡用于湿喷台车修理，由东往西布局分别为旧车维修区，旧车堆放区、轮胎区、气体存放区、调试区、油品存放区、成品车堆放区，中间设有过道。</w:t>
                  </w:r>
                </w:p>
              </w:tc>
              <w:tc>
                <w:tcPr>
                  <w:tcW w:w="753" w:type="dxa"/>
                  <w:vMerge w:val="restart"/>
                  <w:vAlign w:val="center"/>
                </w:tcPr>
                <w:p>
                  <w:pPr>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租用厂房内新建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1" w:type="dxa"/>
                  <w:vMerge w:val="continue"/>
                  <w:vAlign w:val="center"/>
                </w:tcPr>
                <w:p>
                  <w:pPr>
                    <w:pStyle w:val="18"/>
                    <w:adjustRightInd w:val="0"/>
                    <w:snapToGrid w:val="0"/>
                    <w:spacing w:line="240" w:lineRule="auto"/>
                    <w:jc w:val="center"/>
                    <w:rPr>
                      <w:rFonts w:ascii="Times New Roman" w:hAnsi="Times New Roman"/>
                      <w:b/>
                      <w:bCs/>
                      <w:color w:val="000000" w:themeColor="text1"/>
                      <w:kern w:val="0"/>
                      <w:sz w:val="21"/>
                      <w:szCs w:val="21"/>
                      <w14:textFill>
                        <w14:solidFill>
                          <w14:schemeClr w14:val="tx1"/>
                        </w14:solidFill>
                      </w14:textFill>
                    </w:rPr>
                  </w:pPr>
                </w:p>
              </w:tc>
              <w:tc>
                <w:tcPr>
                  <w:tcW w:w="501" w:type="dxa"/>
                  <w:vMerge w:val="continue"/>
                  <w:vAlign w:val="center"/>
                </w:tcPr>
                <w:p>
                  <w:pPr>
                    <w:spacing w:line="240" w:lineRule="auto"/>
                    <w:jc w:val="center"/>
                    <w:rPr>
                      <w:color w:val="000000" w:themeColor="text1"/>
                      <w:kern w:val="0"/>
                      <w:sz w:val="21"/>
                      <w:szCs w:val="21"/>
                      <w14:textFill>
                        <w14:solidFill>
                          <w14:schemeClr w14:val="tx1"/>
                        </w14:solidFill>
                      </w14:textFill>
                    </w:rPr>
                  </w:pPr>
                </w:p>
              </w:tc>
              <w:tc>
                <w:tcPr>
                  <w:tcW w:w="1546" w:type="dxa"/>
                  <w:gridSpan w:val="2"/>
                  <w:vAlign w:val="center"/>
                </w:tcPr>
                <w:p>
                  <w:pPr>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3#厂房</w:t>
                  </w:r>
                </w:p>
              </w:tc>
              <w:tc>
                <w:tcPr>
                  <w:tcW w:w="4854" w:type="dxa"/>
                  <w:vAlign w:val="center"/>
                </w:tcPr>
                <w:p>
                  <w:pPr>
                    <w:spacing w:line="240" w:lineRule="auto"/>
                    <w:outlineLvl w:val="0"/>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租用3#厂房2520㎡用于湿喷台车组装，车间内由东往西布局为液压件工作区，喷涂区、调试区、外购件存放区，预装区、调试区、组装区、外购件存放区、洗管区以及成品车存放区。</w:t>
                  </w:r>
                </w:p>
              </w:tc>
              <w:tc>
                <w:tcPr>
                  <w:tcW w:w="753" w:type="dxa"/>
                  <w:vMerge w:val="continue"/>
                  <w:vAlign w:val="center"/>
                </w:tcPr>
                <w:p>
                  <w:pPr>
                    <w:spacing w:line="240" w:lineRule="auto"/>
                    <w:jc w:val="center"/>
                    <w:rPr>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1" w:type="dxa"/>
                  <w:vMerge w:val="restart"/>
                  <w:vAlign w:val="center"/>
                </w:tcPr>
                <w:p>
                  <w:pPr>
                    <w:adjustRightInd w:val="0"/>
                    <w:snapToGrid w:val="0"/>
                    <w:spacing w:line="240" w:lineRule="auto"/>
                    <w:jc w:val="center"/>
                    <w:outlineLvl w:val="0"/>
                    <w:rPr>
                      <w:b/>
                      <w:bCs/>
                      <w:color w:val="000000" w:themeColor="text1"/>
                      <w:kern w:val="0"/>
                      <w:sz w:val="21"/>
                      <w:szCs w:val="21"/>
                      <w14:textFill>
                        <w14:solidFill>
                          <w14:schemeClr w14:val="tx1"/>
                        </w14:solidFill>
                      </w14:textFill>
                    </w:rPr>
                  </w:pPr>
                  <w:bookmarkStart w:id="9" w:name="_Toc14473"/>
                  <w:r>
                    <w:rPr>
                      <w:b/>
                      <w:bCs/>
                      <w:color w:val="000000" w:themeColor="text1"/>
                      <w:kern w:val="0"/>
                      <w:sz w:val="21"/>
                      <w:szCs w:val="21"/>
                      <w14:textFill>
                        <w14:solidFill>
                          <w14:schemeClr w14:val="tx1"/>
                        </w14:solidFill>
                      </w14:textFill>
                    </w:rPr>
                    <w:t>辅助工程</w:t>
                  </w:r>
                  <w:bookmarkEnd w:id="9"/>
                </w:p>
              </w:tc>
              <w:tc>
                <w:tcPr>
                  <w:tcW w:w="501" w:type="dxa"/>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办公楼</w:t>
                  </w:r>
                </w:p>
              </w:tc>
              <w:tc>
                <w:tcPr>
                  <w:tcW w:w="6400" w:type="dxa"/>
                  <w:gridSpan w:val="3"/>
                  <w:vAlign w:val="center"/>
                </w:tcPr>
                <w:p>
                  <w:pPr>
                    <w:adjustRightInd w:val="0"/>
                    <w:snapToGrid w:val="0"/>
                    <w:spacing w:line="240" w:lineRule="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租用</w:t>
                  </w:r>
                  <w:r>
                    <w:rPr>
                      <w:rFonts w:hint="eastAsia"/>
                      <w:color w:val="000000" w:themeColor="text1"/>
                      <w:kern w:val="0"/>
                      <w:sz w:val="21"/>
                      <w:szCs w:val="21"/>
                      <w14:textFill>
                        <w14:solidFill>
                          <w14:schemeClr w14:val="tx1"/>
                        </w14:solidFill>
                      </w14:textFill>
                    </w:rPr>
                    <w:t>晋宁志诚物流有限责任公司</w:t>
                  </w:r>
                  <w:r>
                    <w:rPr>
                      <w:color w:val="000000" w:themeColor="text1"/>
                      <w:kern w:val="0"/>
                      <w:sz w:val="21"/>
                      <w:szCs w:val="21"/>
                      <w14:textFill>
                        <w14:solidFill>
                          <w14:schemeClr w14:val="tx1"/>
                        </w14:solidFill>
                      </w14:textFill>
                    </w:rPr>
                    <w:t>综合办公楼</w:t>
                  </w:r>
                  <w:r>
                    <w:rPr>
                      <w:rFonts w:hint="eastAsia"/>
                      <w:color w:val="000000" w:themeColor="text1"/>
                      <w:kern w:val="0"/>
                      <w:sz w:val="21"/>
                      <w:szCs w:val="21"/>
                      <w14:textFill>
                        <w14:solidFill>
                          <w14:schemeClr w14:val="tx1"/>
                        </w14:solidFill>
                      </w14:textFill>
                    </w:rPr>
                    <w:t>2楼</w:t>
                  </w:r>
                  <w:r>
                    <w:rPr>
                      <w:color w:val="000000" w:themeColor="text1"/>
                      <w:kern w:val="0"/>
                      <w:sz w:val="21"/>
                      <w:szCs w:val="21"/>
                      <w14:textFill>
                        <w14:solidFill>
                          <w14:schemeClr w14:val="tx1"/>
                        </w14:solidFill>
                      </w14:textFill>
                    </w:rPr>
                    <w:t>，建筑面积</w:t>
                  </w:r>
                  <w:r>
                    <w:rPr>
                      <w:rFonts w:hint="eastAsia"/>
                      <w:color w:val="000000" w:themeColor="text1"/>
                      <w:kern w:val="0"/>
                      <w:sz w:val="21"/>
                      <w:szCs w:val="21"/>
                      <w14:textFill>
                        <w14:solidFill>
                          <w14:schemeClr w14:val="tx1"/>
                        </w14:solidFill>
                      </w14:textFill>
                    </w:rPr>
                    <w:t>680</w:t>
                  </w:r>
                  <w:r>
                    <w:rPr>
                      <w:color w:val="000000" w:themeColor="text1"/>
                      <w:kern w:val="0"/>
                      <w:sz w:val="21"/>
                      <w:szCs w:val="21"/>
                      <w14:textFill>
                        <w14:solidFill>
                          <w14:schemeClr w14:val="tx1"/>
                        </w14:solidFill>
                      </w14:textFill>
                    </w:rPr>
                    <w:t>m</w:t>
                  </w:r>
                  <w:r>
                    <w:rPr>
                      <w:color w:val="000000" w:themeColor="text1"/>
                      <w:kern w:val="0"/>
                      <w:sz w:val="21"/>
                      <w:szCs w:val="21"/>
                      <w:vertAlign w:val="superscript"/>
                      <w14:textFill>
                        <w14:solidFill>
                          <w14:schemeClr w14:val="tx1"/>
                        </w14:solidFill>
                      </w14:textFill>
                    </w:rPr>
                    <w:t>2</w:t>
                  </w:r>
                  <w:r>
                    <w:rPr>
                      <w:rFonts w:hint="eastAsia"/>
                      <w:color w:val="000000" w:themeColor="text1"/>
                      <w:kern w:val="0"/>
                      <w:sz w:val="21"/>
                      <w:szCs w:val="21"/>
                      <w14:textFill>
                        <w14:solidFill>
                          <w14:schemeClr w14:val="tx1"/>
                        </w14:solidFill>
                      </w14:textFill>
                    </w:rPr>
                    <w:t>，用于日常办公</w:t>
                  </w:r>
                  <w:r>
                    <w:rPr>
                      <w:color w:val="000000" w:themeColor="text1"/>
                      <w:kern w:val="0"/>
                      <w:sz w:val="21"/>
                      <w:szCs w:val="21"/>
                      <w14:textFill>
                        <w14:solidFill>
                          <w14:schemeClr w14:val="tx1"/>
                        </w14:solidFill>
                      </w14:textFill>
                    </w:rPr>
                    <w:t>。</w:t>
                  </w:r>
                </w:p>
              </w:tc>
              <w:tc>
                <w:tcPr>
                  <w:tcW w:w="753" w:type="dxa"/>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租用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1" w:type="dxa"/>
                  <w:vMerge w:val="continue"/>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p>
              </w:tc>
              <w:tc>
                <w:tcPr>
                  <w:tcW w:w="2047" w:type="dxa"/>
                  <w:gridSpan w:val="3"/>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食堂</w:t>
                  </w:r>
                </w:p>
              </w:tc>
              <w:tc>
                <w:tcPr>
                  <w:tcW w:w="4854" w:type="dxa"/>
                  <w:vAlign w:val="center"/>
                </w:tcPr>
                <w:p>
                  <w:pPr>
                    <w:adjustRightInd w:val="0"/>
                    <w:snapToGrid w:val="0"/>
                    <w:spacing w:line="240" w:lineRule="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位于办公区设有1个食堂，面积</w:t>
                  </w:r>
                  <w:r>
                    <w:rPr>
                      <w:rFonts w:hint="eastAsia"/>
                      <w:color w:val="000000" w:themeColor="text1"/>
                      <w:kern w:val="0"/>
                      <w:sz w:val="21"/>
                      <w:szCs w:val="21"/>
                      <w14:textFill>
                        <w14:solidFill>
                          <w14:schemeClr w14:val="tx1"/>
                        </w14:solidFill>
                      </w14:textFill>
                    </w:rPr>
                    <w:t>1</w:t>
                  </w:r>
                  <w:r>
                    <w:rPr>
                      <w:color w:val="000000" w:themeColor="text1"/>
                      <w:kern w:val="0"/>
                      <w:sz w:val="21"/>
                      <w:szCs w:val="21"/>
                      <w14:textFill>
                        <w14:solidFill>
                          <w14:schemeClr w14:val="tx1"/>
                        </w14:solidFill>
                      </w14:textFill>
                    </w:rPr>
                    <w:t>00m</w:t>
                  </w:r>
                  <w:r>
                    <w:rPr>
                      <w:color w:val="000000" w:themeColor="text1"/>
                      <w:kern w:val="0"/>
                      <w:sz w:val="21"/>
                      <w:szCs w:val="21"/>
                      <w:vertAlign w:val="superscript"/>
                      <w14:textFill>
                        <w14:solidFill>
                          <w14:schemeClr w14:val="tx1"/>
                        </w14:solidFill>
                      </w14:textFill>
                    </w:rPr>
                    <w:t>2</w:t>
                  </w:r>
                  <w:r>
                    <w:rPr>
                      <w:color w:val="000000" w:themeColor="text1"/>
                      <w:kern w:val="0"/>
                      <w:sz w:val="21"/>
                      <w:szCs w:val="21"/>
                      <w14:textFill>
                        <w14:solidFill>
                          <w14:schemeClr w14:val="tx1"/>
                        </w14:solidFill>
                      </w14:textFill>
                    </w:rPr>
                    <w:t>，1个灶头，使用电、液化气等清洁能源。</w:t>
                  </w:r>
                </w:p>
              </w:tc>
              <w:tc>
                <w:tcPr>
                  <w:tcW w:w="753" w:type="dxa"/>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租用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1" w:type="dxa"/>
                  <w:vMerge w:val="restart"/>
                  <w:vAlign w:val="center"/>
                </w:tcPr>
                <w:p>
                  <w:pPr>
                    <w:adjustRightInd w:val="0"/>
                    <w:snapToGrid w:val="0"/>
                    <w:spacing w:line="240" w:lineRule="auto"/>
                    <w:jc w:val="center"/>
                    <w:outlineLvl w:val="0"/>
                    <w:rPr>
                      <w:b/>
                      <w:bCs/>
                      <w:color w:val="000000" w:themeColor="text1"/>
                      <w:kern w:val="0"/>
                      <w:sz w:val="21"/>
                      <w:szCs w:val="21"/>
                      <w14:textFill>
                        <w14:solidFill>
                          <w14:schemeClr w14:val="tx1"/>
                        </w14:solidFill>
                      </w14:textFill>
                    </w:rPr>
                  </w:pPr>
                  <w:bookmarkStart w:id="10" w:name="_Toc23937"/>
                  <w:r>
                    <w:rPr>
                      <w:b/>
                      <w:bCs/>
                      <w:color w:val="000000" w:themeColor="text1"/>
                      <w:kern w:val="0"/>
                      <w:sz w:val="21"/>
                      <w:szCs w:val="21"/>
                      <w14:textFill>
                        <w14:solidFill>
                          <w14:schemeClr w14:val="tx1"/>
                        </w14:solidFill>
                      </w14:textFill>
                    </w:rPr>
                    <w:t>公用</w:t>
                  </w:r>
                  <w:bookmarkEnd w:id="10"/>
                </w:p>
                <w:p>
                  <w:pPr>
                    <w:adjustRightInd w:val="0"/>
                    <w:snapToGrid w:val="0"/>
                    <w:spacing w:line="240" w:lineRule="auto"/>
                    <w:jc w:val="center"/>
                    <w:outlineLvl w:val="0"/>
                    <w:rPr>
                      <w:b/>
                      <w:bCs/>
                      <w:color w:val="000000" w:themeColor="text1"/>
                      <w:kern w:val="0"/>
                      <w:sz w:val="21"/>
                      <w:szCs w:val="21"/>
                      <w14:textFill>
                        <w14:solidFill>
                          <w14:schemeClr w14:val="tx1"/>
                        </w14:solidFill>
                      </w14:textFill>
                    </w:rPr>
                  </w:pPr>
                  <w:bookmarkStart w:id="11" w:name="_Toc5393"/>
                  <w:r>
                    <w:rPr>
                      <w:b/>
                      <w:bCs/>
                      <w:color w:val="000000" w:themeColor="text1"/>
                      <w:kern w:val="0"/>
                      <w:sz w:val="21"/>
                      <w:szCs w:val="21"/>
                      <w14:textFill>
                        <w14:solidFill>
                          <w14:schemeClr w14:val="tx1"/>
                        </w14:solidFill>
                      </w14:textFill>
                    </w:rPr>
                    <w:t>工程</w:t>
                  </w:r>
                  <w:bookmarkEnd w:id="11"/>
                </w:p>
              </w:tc>
              <w:tc>
                <w:tcPr>
                  <w:tcW w:w="2047" w:type="dxa"/>
                  <w:gridSpan w:val="3"/>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供水</w:t>
                  </w:r>
                </w:p>
              </w:tc>
              <w:tc>
                <w:tcPr>
                  <w:tcW w:w="4854" w:type="dxa"/>
                  <w:vAlign w:val="center"/>
                </w:tcPr>
                <w:p>
                  <w:pPr>
                    <w:adjustRightInd w:val="0"/>
                    <w:snapToGrid w:val="0"/>
                    <w:spacing w:line="240" w:lineRule="auto"/>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园区管网供水。</w:t>
                  </w:r>
                </w:p>
              </w:tc>
              <w:tc>
                <w:tcPr>
                  <w:tcW w:w="753" w:type="dxa"/>
                  <w:vMerge w:val="restar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依托现有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1" w:type="dxa"/>
                  <w:vMerge w:val="continue"/>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p>
              </w:tc>
              <w:tc>
                <w:tcPr>
                  <w:tcW w:w="2047" w:type="dxa"/>
                  <w:gridSpan w:val="3"/>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供电</w:t>
                  </w:r>
                </w:p>
              </w:tc>
              <w:tc>
                <w:tcPr>
                  <w:tcW w:w="4854" w:type="dxa"/>
                  <w:vAlign w:val="center"/>
                </w:tcPr>
                <w:p>
                  <w:pPr>
                    <w:adjustRightInd w:val="0"/>
                    <w:snapToGrid w:val="0"/>
                    <w:spacing w:line="240" w:lineRule="auto"/>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园区电网供电，不设备用发电机。</w:t>
                  </w:r>
                </w:p>
              </w:tc>
              <w:tc>
                <w:tcPr>
                  <w:tcW w:w="753" w:type="dxa"/>
                  <w:vMerge w:val="continue"/>
                  <w:vAlign w:val="center"/>
                </w:tcPr>
                <w:p>
                  <w:pPr>
                    <w:adjustRightInd w:val="0"/>
                    <w:snapToGrid w:val="0"/>
                    <w:spacing w:line="240" w:lineRule="auto"/>
                    <w:jc w:val="center"/>
                    <w:outlineLvl w:val="0"/>
                    <w:rPr>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1" w:type="dxa"/>
                  <w:vMerge w:val="continue"/>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p>
              </w:tc>
              <w:tc>
                <w:tcPr>
                  <w:tcW w:w="2047" w:type="dxa"/>
                  <w:gridSpan w:val="3"/>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排水</w:t>
                  </w:r>
                </w:p>
              </w:tc>
              <w:tc>
                <w:tcPr>
                  <w:tcW w:w="4854" w:type="dxa"/>
                  <w:vAlign w:val="center"/>
                </w:tcPr>
                <w:p>
                  <w:pPr>
                    <w:adjustRightInd w:val="0"/>
                    <w:snapToGrid w:val="0"/>
                    <w:spacing w:line="240" w:lineRule="auto"/>
                    <w:rPr>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排水体制：</w:t>
                  </w:r>
                  <w:r>
                    <w:rPr>
                      <w:color w:val="000000" w:themeColor="text1"/>
                      <w:kern w:val="0"/>
                      <w:sz w:val="21"/>
                      <w:szCs w:val="21"/>
                      <w14:textFill>
                        <w14:solidFill>
                          <w14:schemeClr w14:val="tx1"/>
                        </w14:solidFill>
                      </w14:textFill>
                    </w:rPr>
                    <w:t>雨污分流制。</w:t>
                  </w:r>
                </w:p>
                <w:p>
                  <w:pPr>
                    <w:adjustRightInd w:val="0"/>
                    <w:snapToGrid w:val="0"/>
                    <w:spacing w:line="240" w:lineRule="auto"/>
                    <w:rPr>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雨水排放：</w:t>
                  </w:r>
                  <w:r>
                    <w:rPr>
                      <w:color w:val="000000" w:themeColor="text1"/>
                      <w:kern w:val="0"/>
                      <w:sz w:val="21"/>
                      <w:szCs w:val="21"/>
                      <w14:textFill>
                        <w14:solidFill>
                          <w14:schemeClr w14:val="tx1"/>
                        </w14:solidFill>
                      </w14:textFill>
                    </w:rPr>
                    <w:t>项目占地范围内雨水主要为屋面雨水，通过屋面雨水管网收集后，接入</w:t>
                  </w:r>
                  <w:r>
                    <w:rPr>
                      <w:rFonts w:hint="eastAsia"/>
                      <w:color w:val="000000" w:themeColor="text1"/>
                      <w:kern w:val="0"/>
                      <w:sz w:val="21"/>
                      <w:szCs w:val="21"/>
                      <w14:textFill>
                        <w14:solidFill>
                          <w14:schemeClr w14:val="tx1"/>
                        </w14:solidFill>
                      </w14:textFill>
                    </w:rPr>
                    <w:t>晋宁志诚物流有限责任公司</w:t>
                  </w:r>
                  <w:r>
                    <w:rPr>
                      <w:color w:val="000000" w:themeColor="text1"/>
                      <w:kern w:val="0"/>
                      <w:sz w:val="21"/>
                      <w:szCs w:val="21"/>
                      <w14:textFill>
                        <w14:solidFill>
                          <w14:schemeClr w14:val="tx1"/>
                        </w14:solidFill>
                      </w14:textFill>
                    </w:rPr>
                    <w:t>厂区雨水沟渠，最终汇入园区雨水管网。</w:t>
                  </w:r>
                </w:p>
                <w:p>
                  <w:pPr>
                    <w:adjustRightInd w:val="0"/>
                    <w:snapToGrid w:val="0"/>
                    <w:spacing w:line="240" w:lineRule="auto"/>
                    <w:rPr>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污水排放：</w:t>
                  </w:r>
                  <w:r>
                    <w:rPr>
                      <w:color w:val="000000" w:themeColor="text1"/>
                      <w:kern w:val="0"/>
                      <w:sz w:val="21"/>
                      <w:szCs w:val="21"/>
                      <w14:textFill>
                        <w14:solidFill>
                          <w14:schemeClr w14:val="tx1"/>
                        </w14:solidFill>
                      </w14:textFill>
                    </w:rPr>
                    <w:t>项目无生产废水，主要产生生活废水，其中食堂废水</w:t>
                  </w:r>
                  <w:r>
                    <w:rPr>
                      <w:rFonts w:hint="eastAsia"/>
                      <w:color w:val="000000" w:themeColor="text1"/>
                      <w:kern w:val="0"/>
                      <w:sz w:val="21"/>
                      <w:szCs w:val="21"/>
                      <w14:textFill>
                        <w14:solidFill>
                          <w14:schemeClr w14:val="tx1"/>
                        </w14:solidFill>
                      </w14:textFill>
                    </w:rPr>
                    <w:t>经</w:t>
                  </w:r>
                  <w:r>
                    <w:rPr>
                      <w:color w:val="000000" w:themeColor="text1"/>
                      <w:kern w:val="0"/>
                      <w:sz w:val="21"/>
                      <w:szCs w:val="21"/>
                      <w14:textFill>
                        <w14:solidFill>
                          <w14:schemeClr w14:val="tx1"/>
                        </w14:solidFill>
                      </w14:textFill>
                    </w:rPr>
                    <w:t>自建隔油池预处理，预处理后同其他废水一起依托</w:t>
                  </w:r>
                  <w:r>
                    <w:rPr>
                      <w:rFonts w:hint="eastAsia"/>
                      <w:color w:val="000000" w:themeColor="text1"/>
                      <w:kern w:val="0"/>
                      <w:sz w:val="21"/>
                      <w:szCs w:val="21"/>
                      <w14:textFill>
                        <w14:solidFill>
                          <w14:schemeClr w14:val="tx1"/>
                        </w14:solidFill>
                      </w14:textFill>
                    </w:rPr>
                    <w:t>晋宁志诚物流有限责任公司</w:t>
                  </w:r>
                  <w:r>
                    <w:rPr>
                      <w:color w:val="000000" w:themeColor="text1"/>
                      <w:kern w:val="0"/>
                      <w:sz w:val="21"/>
                      <w:szCs w:val="21"/>
                      <w14:textFill>
                        <w14:solidFill>
                          <w14:schemeClr w14:val="tx1"/>
                        </w14:solidFill>
                      </w14:textFill>
                    </w:rPr>
                    <w:t>已建设化粪池处理，达到《污水排入城镇下水道水质标准》（GB/T31962-2015）</w:t>
                  </w:r>
                  <w:r>
                    <w:rPr>
                      <w:rFonts w:hint="eastAsia"/>
                      <w:color w:val="000000" w:themeColor="text1"/>
                      <w:kern w:val="0"/>
                      <w:sz w:val="21"/>
                      <w:szCs w:val="21"/>
                      <w14:textFill>
                        <w14:solidFill>
                          <w14:schemeClr w14:val="tx1"/>
                        </w14:solidFill>
                      </w14:textFill>
                    </w:rPr>
                    <w:t>表1</w:t>
                  </w:r>
                  <w:r>
                    <w:rPr>
                      <w:color w:val="000000" w:themeColor="text1"/>
                      <w:kern w:val="0"/>
                      <w:sz w:val="21"/>
                      <w:szCs w:val="21"/>
                      <w14:textFill>
                        <w14:solidFill>
                          <w14:schemeClr w14:val="tx1"/>
                        </w14:solidFill>
                      </w14:textFill>
                    </w:rPr>
                    <w:t>A级标准</w:t>
                  </w:r>
                  <w:r>
                    <w:rPr>
                      <w:rFonts w:hint="eastAsia"/>
                      <w:color w:val="000000" w:themeColor="text1"/>
                      <w:kern w:val="0"/>
                      <w:sz w:val="21"/>
                      <w:szCs w:val="21"/>
                      <w14:textFill>
                        <w14:solidFill>
                          <w14:schemeClr w14:val="tx1"/>
                        </w14:solidFill>
                      </w14:textFill>
                    </w:rPr>
                    <w:t>后外排园区污水管网，最终进入环湖西岸污水处理厂处理。</w:t>
                  </w:r>
                </w:p>
              </w:tc>
              <w:tc>
                <w:tcPr>
                  <w:tcW w:w="753" w:type="dxa"/>
                  <w:vMerge w:val="continue"/>
                  <w:vAlign w:val="center"/>
                </w:tcPr>
                <w:p>
                  <w:pPr>
                    <w:pStyle w:val="9"/>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1" w:type="dxa"/>
                  <w:vMerge w:val="restart"/>
                  <w:vAlign w:val="center"/>
                </w:tcPr>
                <w:p>
                  <w:pPr>
                    <w:adjustRightInd w:val="0"/>
                    <w:snapToGrid w:val="0"/>
                    <w:spacing w:line="240" w:lineRule="auto"/>
                    <w:jc w:val="center"/>
                    <w:outlineLvl w:val="0"/>
                    <w:rPr>
                      <w:b/>
                      <w:bCs/>
                      <w:color w:val="000000" w:themeColor="text1"/>
                      <w:kern w:val="0"/>
                      <w:sz w:val="21"/>
                      <w:szCs w:val="21"/>
                      <w14:textFill>
                        <w14:solidFill>
                          <w14:schemeClr w14:val="tx1"/>
                        </w14:solidFill>
                      </w14:textFill>
                    </w:rPr>
                  </w:pPr>
                  <w:bookmarkStart w:id="12" w:name="_Toc3564"/>
                  <w:r>
                    <w:rPr>
                      <w:b/>
                      <w:bCs/>
                      <w:color w:val="000000" w:themeColor="text1"/>
                      <w:kern w:val="0"/>
                      <w:sz w:val="21"/>
                      <w:szCs w:val="21"/>
                      <w14:textFill>
                        <w14:solidFill>
                          <w14:schemeClr w14:val="tx1"/>
                        </w14:solidFill>
                      </w14:textFill>
                    </w:rPr>
                    <w:t>环保</w:t>
                  </w:r>
                  <w:bookmarkEnd w:id="12"/>
                </w:p>
                <w:p>
                  <w:pPr>
                    <w:adjustRightInd w:val="0"/>
                    <w:snapToGrid w:val="0"/>
                    <w:spacing w:line="240" w:lineRule="auto"/>
                    <w:jc w:val="center"/>
                    <w:outlineLvl w:val="0"/>
                    <w:rPr>
                      <w:b/>
                      <w:bCs/>
                      <w:color w:val="000000" w:themeColor="text1"/>
                      <w:kern w:val="0"/>
                      <w:sz w:val="21"/>
                      <w:szCs w:val="21"/>
                      <w14:textFill>
                        <w14:solidFill>
                          <w14:schemeClr w14:val="tx1"/>
                        </w14:solidFill>
                      </w14:textFill>
                    </w:rPr>
                  </w:pPr>
                  <w:bookmarkStart w:id="13" w:name="_Toc10030"/>
                  <w:r>
                    <w:rPr>
                      <w:b/>
                      <w:bCs/>
                      <w:color w:val="000000" w:themeColor="text1"/>
                      <w:kern w:val="0"/>
                      <w:sz w:val="21"/>
                      <w:szCs w:val="21"/>
                      <w14:textFill>
                        <w14:solidFill>
                          <w14:schemeClr w14:val="tx1"/>
                        </w14:solidFill>
                      </w14:textFill>
                    </w:rPr>
                    <w:t>工程</w:t>
                  </w:r>
                  <w:bookmarkEnd w:id="13"/>
                </w:p>
              </w:tc>
              <w:tc>
                <w:tcPr>
                  <w:tcW w:w="739" w:type="dxa"/>
                  <w:gridSpan w:val="2"/>
                  <w:vMerge w:val="restar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废水处理</w:t>
                  </w:r>
                </w:p>
              </w:tc>
              <w:tc>
                <w:tcPr>
                  <w:tcW w:w="1308" w:type="dxa"/>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隔油池</w:t>
                  </w:r>
                </w:p>
              </w:tc>
              <w:tc>
                <w:tcPr>
                  <w:tcW w:w="4854" w:type="dxa"/>
                  <w:vAlign w:val="center"/>
                </w:tcPr>
                <w:p>
                  <w:pPr>
                    <w:adjustRightInd w:val="0"/>
                    <w:snapToGrid w:val="0"/>
                    <w:spacing w:line="240" w:lineRule="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1个，容积为1.0m</w:t>
                  </w:r>
                  <w:r>
                    <w:rPr>
                      <w:color w:val="000000" w:themeColor="text1"/>
                      <w:kern w:val="0"/>
                      <w:sz w:val="21"/>
                      <w:szCs w:val="21"/>
                      <w:vertAlign w:val="superscript"/>
                      <w14:textFill>
                        <w14:solidFill>
                          <w14:schemeClr w14:val="tx1"/>
                        </w14:solidFill>
                      </w14:textFill>
                    </w:rPr>
                    <w:t>3</w:t>
                  </w:r>
                  <w:r>
                    <w:rPr>
                      <w:color w:val="000000" w:themeColor="text1"/>
                      <w:kern w:val="0"/>
                      <w:sz w:val="21"/>
                      <w:szCs w:val="21"/>
                      <w14:textFill>
                        <w14:solidFill>
                          <w14:schemeClr w14:val="tx1"/>
                        </w14:solidFill>
                      </w14:textFill>
                    </w:rPr>
                    <w:t>，用于处理食堂含油废水。</w:t>
                  </w:r>
                </w:p>
              </w:tc>
              <w:tc>
                <w:tcPr>
                  <w:tcW w:w="753" w:type="dxa"/>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1" w:type="dxa"/>
                  <w:vMerge w:val="continue"/>
                  <w:vAlign w:val="center"/>
                </w:tcPr>
                <w:p>
                  <w:pPr>
                    <w:adjustRightInd w:val="0"/>
                    <w:snapToGrid w:val="0"/>
                    <w:spacing w:line="240" w:lineRule="auto"/>
                    <w:jc w:val="center"/>
                    <w:outlineLvl w:val="0"/>
                    <w:rPr>
                      <w:b/>
                      <w:bCs/>
                      <w:color w:val="000000" w:themeColor="text1"/>
                      <w:kern w:val="0"/>
                      <w:sz w:val="21"/>
                      <w:szCs w:val="21"/>
                      <w14:textFill>
                        <w14:solidFill>
                          <w14:schemeClr w14:val="tx1"/>
                        </w14:solidFill>
                      </w14:textFill>
                    </w:rPr>
                  </w:pPr>
                </w:p>
              </w:tc>
              <w:tc>
                <w:tcPr>
                  <w:tcW w:w="739" w:type="dxa"/>
                  <w:gridSpan w:val="2"/>
                  <w:vMerge w:val="continue"/>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p>
              </w:tc>
              <w:tc>
                <w:tcPr>
                  <w:tcW w:w="1308" w:type="dxa"/>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化粪池</w:t>
                  </w:r>
                </w:p>
              </w:tc>
              <w:tc>
                <w:tcPr>
                  <w:tcW w:w="4854" w:type="dxa"/>
                  <w:vAlign w:val="center"/>
                </w:tcPr>
                <w:p>
                  <w:pPr>
                    <w:adjustRightInd w:val="0"/>
                    <w:snapToGrid w:val="0"/>
                    <w:spacing w:line="240" w:lineRule="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1个，容积为</w:t>
                  </w:r>
                  <w:r>
                    <w:rPr>
                      <w:rFonts w:hint="eastAsia"/>
                      <w:color w:val="000000" w:themeColor="text1"/>
                      <w:kern w:val="0"/>
                      <w:sz w:val="21"/>
                      <w:szCs w:val="21"/>
                      <w14:textFill>
                        <w14:solidFill>
                          <w14:schemeClr w14:val="tx1"/>
                        </w14:solidFill>
                      </w14:textFill>
                    </w:rPr>
                    <w:t>5</w:t>
                  </w:r>
                  <w:r>
                    <w:rPr>
                      <w:color w:val="000000" w:themeColor="text1"/>
                      <w:kern w:val="0"/>
                      <w:sz w:val="21"/>
                      <w:szCs w:val="21"/>
                      <w14:textFill>
                        <w14:solidFill>
                          <w14:schemeClr w14:val="tx1"/>
                        </w14:solidFill>
                      </w14:textFill>
                    </w:rPr>
                    <w:t>m</w:t>
                  </w:r>
                  <w:r>
                    <w:rPr>
                      <w:color w:val="000000" w:themeColor="text1"/>
                      <w:kern w:val="0"/>
                      <w:sz w:val="21"/>
                      <w:szCs w:val="21"/>
                      <w:vertAlign w:val="superscript"/>
                      <w14:textFill>
                        <w14:solidFill>
                          <w14:schemeClr w14:val="tx1"/>
                        </w14:solidFill>
                      </w14:textFill>
                    </w:rPr>
                    <w:t>3</w:t>
                  </w:r>
                  <w:r>
                    <w:rPr>
                      <w:color w:val="000000" w:themeColor="text1"/>
                      <w:kern w:val="0"/>
                      <w:sz w:val="21"/>
                      <w:szCs w:val="21"/>
                      <w14:textFill>
                        <w14:solidFill>
                          <w14:schemeClr w14:val="tx1"/>
                        </w14:solidFill>
                      </w14:textFill>
                    </w:rPr>
                    <w:t>，用于处理生活污水。</w:t>
                  </w:r>
                </w:p>
              </w:tc>
              <w:tc>
                <w:tcPr>
                  <w:tcW w:w="753" w:type="dxa"/>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jc w:val="center"/>
              </w:trPr>
              <w:tc>
                <w:tcPr>
                  <w:tcW w:w="691" w:type="dxa"/>
                  <w:vMerge w:val="continue"/>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p>
              </w:tc>
              <w:tc>
                <w:tcPr>
                  <w:tcW w:w="739" w:type="dxa"/>
                  <w:gridSpan w:val="2"/>
                  <w:vMerge w:val="restar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废气处理设施</w:t>
                  </w:r>
                </w:p>
              </w:tc>
              <w:tc>
                <w:tcPr>
                  <w:tcW w:w="1308" w:type="dxa"/>
                  <w:vAlign w:val="center"/>
                </w:tcPr>
                <w:p>
                  <w:pPr>
                    <w:adjustRightInd w:val="0"/>
                    <w:snapToGrid w:val="0"/>
                    <w:spacing w:line="240" w:lineRule="auto"/>
                    <w:jc w:val="center"/>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油烟净化设施</w:t>
                  </w:r>
                </w:p>
              </w:tc>
              <w:tc>
                <w:tcPr>
                  <w:tcW w:w="4854" w:type="dxa"/>
                  <w:vAlign w:val="center"/>
                </w:tcPr>
                <w:p>
                  <w:pPr>
                    <w:adjustRightInd w:val="0"/>
                    <w:snapToGrid w:val="0"/>
                    <w:spacing w:line="240" w:lineRule="auto"/>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灶头顶部设集气罩，风量4000m</w:t>
                  </w:r>
                  <w:r>
                    <w:rPr>
                      <w:bCs/>
                      <w:color w:val="000000" w:themeColor="text1"/>
                      <w:kern w:val="0"/>
                      <w:sz w:val="21"/>
                      <w:szCs w:val="21"/>
                      <w:vertAlign w:val="superscript"/>
                      <w14:textFill>
                        <w14:solidFill>
                          <w14:schemeClr w14:val="tx1"/>
                        </w14:solidFill>
                      </w14:textFill>
                    </w:rPr>
                    <w:t>3</w:t>
                  </w:r>
                  <w:r>
                    <w:rPr>
                      <w:bCs/>
                      <w:color w:val="000000" w:themeColor="text1"/>
                      <w:kern w:val="0"/>
                      <w:sz w:val="21"/>
                      <w:szCs w:val="21"/>
                      <w14:textFill>
                        <w14:solidFill>
                          <w14:schemeClr w14:val="tx1"/>
                        </w14:solidFill>
                      </w14:textFill>
                    </w:rPr>
                    <w:t>/h，然后设1套油烟净化器处理，去除效率≥60%，最终引至楼顶排放。</w:t>
                  </w:r>
                </w:p>
              </w:tc>
              <w:tc>
                <w:tcPr>
                  <w:tcW w:w="753" w:type="dxa"/>
                  <w:vAlign w:val="center"/>
                </w:tcPr>
                <w:p>
                  <w:pPr>
                    <w:pStyle w:val="71"/>
                    <w:adjustRightInd w:val="0"/>
                    <w:snapToGrid w:val="0"/>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91" w:type="dxa"/>
                  <w:vMerge w:val="continue"/>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p>
              </w:tc>
              <w:tc>
                <w:tcPr>
                  <w:tcW w:w="739" w:type="dxa"/>
                  <w:gridSpan w:val="2"/>
                  <w:vMerge w:val="continue"/>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p>
              </w:tc>
              <w:tc>
                <w:tcPr>
                  <w:tcW w:w="1308" w:type="dxa"/>
                  <w:vAlign w:val="center"/>
                </w:tcPr>
                <w:p>
                  <w:pPr>
                    <w:adjustRightInd w:val="0"/>
                    <w:snapToGrid w:val="0"/>
                    <w:spacing w:line="240" w:lineRule="auto"/>
                    <w:jc w:val="center"/>
                    <w:rPr>
                      <w:bCs/>
                      <w:color w:val="000000" w:themeColor="text1"/>
                      <w:kern w:val="0"/>
                      <w:sz w:val="21"/>
                      <w:szCs w:val="21"/>
                      <w14:textFill>
                        <w14:solidFill>
                          <w14:schemeClr w14:val="tx1"/>
                        </w14:solidFill>
                      </w14:textFill>
                    </w:rPr>
                  </w:pPr>
                  <w:r>
                    <w:rPr>
                      <w:rFonts w:hint="eastAsia"/>
                      <w:bCs/>
                      <w:color w:val="000000" w:themeColor="text1"/>
                      <w:kern w:val="0"/>
                      <w:sz w:val="21"/>
                      <w:szCs w:val="21"/>
                      <w14:textFill>
                        <w14:solidFill>
                          <w14:schemeClr w14:val="tx1"/>
                        </w14:solidFill>
                      </w14:textFill>
                    </w:rPr>
                    <w:t>焊接区</w:t>
                  </w:r>
                </w:p>
              </w:tc>
              <w:tc>
                <w:tcPr>
                  <w:tcW w:w="4854" w:type="dxa"/>
                  <w:vAlign w:val="center"/>
                </w:tcPr>
                <w:p>
                  <w:pPr>
                    <w:adjustRightInd w:val="0"/>
                    <w:snapToGrid w:val="0"/>
                    <w:spacing w:line="240" w:lineRule="auto"/>
                    <w:rPr>
                      <w:bCs/>
                      <w:color w:val="000000" w:themeColor="text1"/>
                      <w:kern w:val="0"/>
                      <w:sz w:val="21"/>
                      <w:szCs w:val="21"/>
                      <w14:textFill>
                        <w14:solidFill>
                          <w14:schemeClr w14:val="tx1"/>
                        </w14:solidFill>
                      </w14:textFill>
                    </w:rPr>
                  </w:pPr>
                  <w:r>
                    <w:rPr>
                      <w:rFonts w:hint="eastAsia"/>
                      <w:bCs/>
                      <w:color w:val="000000" w:themeColor="text1"/>
                      <w:kern w:val="0"/>
                      <w:sz w:val="21"/>
                      <w:szCs w:val="21"/>
                      <w14:textFill>
                        <w14:solidFill>
                          <w14:schemeClr w14:val="tx1"/>
                        </w14:solidFill>
                      </w14:textFill>
                    </w:rPr>
                    <w:t>设置移动式焊烟净化器1台，捕集效率约80%，净化效率约85%，废气经处理后在车间无组织排放。</w:t>
                  </w:r>
                </w:p>
              </w:tc>
              <w:tc>
                <w:tcPr>
                  <w:tcW w:w="753" w:type="dxa"/>
                  <w:vAlign w:val="center"/>
                </w:tcPr>
                <w:p>
                  <w:pPr>
                    <w:pStyle w:val="71"/>
                    <w:adjustRightInd w:val="0"/>
                    <w:snapToGrid w:val="0"/>
                    <w:spacing w:line="240" w:lineRule="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691" w:type="dxa"/>
                  <w:vMerge w:val="continue"/>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p>
              </w:tc>
              <w:tc>
                <w:tcPr>
                  <w:tcW w:w="739" w:type="dxa"/>
                  <w:gridSpan w:val="2"/>
                  <w:vMerge w:val="continue"/>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p>
              </w:tc>
              <w:tc>
                <w:tcPr>
                  <w:tcW w:w="1308" w:type="dxa"/>
                  <w:vAlign w:val="center"/>
                </w:tcPr>
                <w:p>
                  <w:pPr>
                    <w:adjustRightInd w:val="0"/>
                    <w:snapToGrid w:val="0"/>
                    <w:spacing w:line="240" w:lineRule="auto"/>
                    <w:jc w:val="center"/>
                    <w:rPr>
                      <w:bCs/>
                      <w:color w:val="000000" w:themeColor="text1"/>
                      <w:kern w:val="0"/>
                      <w:sz w:val="21"/>
                      <w:szCs w:val="21"/>
                      <w14:textFill>
                        <w14:solidFill>
                          <w14:schemeClr w14:val="tx1"/>
                        </w14:solidFill>
                      </w14:textFill>
                    </w:rPr>
                  </w:pPr>
                  <w:r>
                    <w:rPr>
                      <w:rFonts w:hint="eastAsia"/>
                      <w:bCs/>
                      <w:color w:val="000000" w:themeColor="text1"/>
                      <w:kern w:val="0"/>
                      <w:sz w:val="21"/>
                      <w:szCs w:val="21"/>
                      <w14:textFill>
                        <w14:solidFill>
                          <w14:schemeClr w14:val="tx1"/>
                        </w14:solidFill>
                      </w14:textFill>
                    </w:rPr>
                    <w:t>移动式集气罩+集气管道+过滤棉+活性炭吸附装置</w:t>
                  </w:r>
                </w:p>
              </w:tc>
              <w:tc>
                <w:tcPr>
                  <w:tcW w:w="4854" w:type="dxa"/>
                  <w:vAlign w:val="center"/>
                </w:tcPr>
                <w:p>
                  <w:pPr>
                    <w:adjustRightInd w:val="0"/>
                    <w:snapToGrid w:val="0"/>
                    <w:spacing w:line="240" w:lineRule="auto"/>
                    <w:rPr>
                      <w:bCs/>
                      <w:color w:val="000000" w:themeColor="text1"/>
                      <w:kern w:val="0"/>
                      <w:sz w:val="21"/>
                      <w:szCs w:val="21"/>
                      <w14:textFill>
                        <w14:solidFill>
                          <w14:schemeClr w14:val="tx1"/>
                        </w14:solidFill>
                      </w14:textFill>
                    </w:rPr>
                  </w:pPr>
                  <w:r>
                    <w:rPr>
                      <w:rFonts w:hint="eastAsia"/>
                      <w:bCs/>
                      <w:color w:val="000000" w:themeColor="text1"/>
                      <w:kern w:val="0"/>
                      <w:sz w:val="21"/>
                      <w:szCs w:val="21"/>
                      <w14:textFill>
                        <w14:solidFill>
                          <w14:schemeClr w14:val="tx1"/>
                        </w14:solidFill>
                      </w14:textFill>
                    </w:rPr>
                    <w:t>设置2个移动式集气罩，将刷漆、喷漆废气分别收集后，经过滤棉+活性炭吸附后，通过15m高排气筒外排。</w:t>
                  </w:r>
                </w:p>
              </w:tc>
              <w:tc>
                <w:tcPr>
                  <w:tcW w:w="753" w:type="dxa"/>
                  <w:vAlign w:val="center"/>
                </w:tcPr>
                <w:p>
                  <w:pPr>
                    <w:pStyle w:val="71"/>
                    <w:adjustRightInd w:val="0"/>
                    <w:snapToGrid w:val="0"/>
                    <w:spacing w:line="240" w:lineRule="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1" w:type="dxa"/>
                  <w:vMerge w:val="continue"/>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p>
              </w:tc>
              <w:tc>
                <w:tcPr>
                  <w:tcW w:w="2047" w:type="dxa"/>
                  <w:gridSpan w:val="3"/>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噪声治理</w:t>
                  </w:r>
                </w:p>
              </w:tc>
              <w:tc>
                <w:tcPr>
                  <w:tcW w:w="4854" w:type="dxa"/>
                  <w:vAlign w:val="center"/>
                </w:tcPr>
                <w:p>
                  <w:pPr>
                    <w:adjustRightInd w:val="0"/>
                    <w:snapToGrid w:val="0"/>
                    <w:spacing w:line="240" w:lineRule="auto"/>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项目设备均设置在厂房内，并进行基础减震。</w:t>
                  </w:r>
                </w:p>
              </w:tc>
              <w:tc>
                <w:tcPr>
                  <w:tcW w:w="753" w:type="dxa"/>
                  <w:vAlign w:val="center"/>
                </w:tcPr>
                <w:p>
                  <w:pPr>
                    <w:pStyle w:val="71"/>
                    <w:adjustRightInd w:val="0"/>
                    <w:snapToGrid w:val="0"/>
                    <w:spacing w:line="240" w:lineRule="auto"/>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1" w:type="dxa"/>
                  <w:vMerge w:val="continue"/>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p>
              </w:tc>
              <w:tc>
                <w:tcPr>
                  <w:tcW w:w="739" w:type="dxa"/>
                  <w:gridSpan w:val="2"/>
                  <w:vMerge w:val="restar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固废收集暂存设施</w:t>
                  </w:r>
                </w:p>
              </w:tc>
              <w:tc>
                <w:tcPr>
                  <w:tcW w:w="1308" w:type="dxa"/>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垃圾收集桶</w:t>
                  </w:r>
                </w:p>
              </w:tc>
              <w:tc>
                <w:tcPr>
                  <w:tcW w:w="4854" w:type="dxa"/>
                  <w:vAlign w:val="center"/>
                </w:tcPr>
                <w:p>
                  <w:pPr>
                    <w:adjustRightInd w:val="0"/>
                    <w:snapToGrid w:val="0"/>
                    <w:spacing w:line="240" w:lineRule="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项目内设置若干垃圾收集桶，用于生活垃圾的收集。</w:t>
                  </w:r>
                </w:p>
              </w:tc>
              <w:tc>
                <w:tcPr>
                  <w:tcW w:w="753" w:type="dxa"/>
                  <w:vAlign w:val="center"/>
                </w:tcPr>
                <w:p>
                  <w:pPr>
                    <w:tabs>
                      <w:tab w:val="left" w:pos="3255"/>
                    </w:tabs>
                    <w:adjustRightInd w:val="0"/>
                    <w:snapToGrid w:val="0"/>
                    <w:spacing w:line="240" w:lineRule="auto"/>
                    <w:jc w:val="center"/>
                    <w:outlineLvl w:val="0"/>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1" w:type="dxa"/>
                  <w:vMerge w:val="continue"/>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p>
              </w:tc>
              <w:tc>
                <w:tcPr>
                  <w:tcW w:w="739" w:type="dxa"/>
                  <w:gridSpan w:val="2"/>
                  <w:vMerge w:val="continue"/>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p>
              </w:tc>
              <w:tc>
                <w:tcPr>
                  <w:tcW w:w="1308" w:type="dxa"/>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危废暂存间</w:t>
                  </w:r>
                </w:p>
              </w:tc>
              <w:tc>
                <w:tcPr>
                  <w:tcW w:w="4854" w:type="dxa"/>
                  <w:vAlign w:val="center"/>
                </w:tcPr>
                <w:p>
                  <w:pPr>
                    <w:adjustRightInd w:val="0"/>
                    <w:snapToGrid w:val="0"/>
                    <w:spacing w:line="240" w:lineRule="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1间，拟设置在厂区内</w:t>
                  </w:r>
                  <w:r>
                    <w:rPr>
                      <w:rFonts w:hint="eastAsia"/>
                      <w:color w:val="000000" w:themeColor="text1"/>
                      <w:kern w:val="0"/>
                      <w:sz w:val="21"/>
                      <w:szCs w:val="21"/>
                      <w14:textFill>
                        <w14:solidFill>
                          <w14:schemeClr w14:val="tx1"/>
                        </w14:solidFill>
                      </w14:textFill>
                    </w:rPr>
                    <w:t>西北</w:t>
                  </w:r>
                  <w:r>
                    <w:rPr>
                      <w:color w:val="000000" w:themeColor="text1"/>
                      <w:kern w:val="0"/>
                      <w:sz w:val="21"/>
                      <w:szCs w:val="21"/>
                      <w14:textFill>
                        <w14:solidFill>
                          <w14:schemeClr w14:val="tx1"/>
                        </w14:solidFill>
                      </w14:textFill>
                    </w:rPr>
                    <w:t>角，</w:t>
                  </w:r>
                  <w:r>
                    <w:rPr>
                      <w:rFonts w:hint="eastAsia"/>
                      <w:color w:val="000000" w:themeColor="text1"/>
                      <w:kern w:val="0"/>
                      <w:sz w:val="21"/>
                      <w:szCs w:val="21"/>
                      <w14:textFill>
                        <w14:solidFill>
                          <w14:schemeClr w14:val="tx1"/>
                        </w14:solidFill>
                      </w14:textFill>
                    </w:rPr>
                    <w:t>钢制结构，</w:t>
                  </w:r>
                  <w:r>
                    <w:rPr>
                      <w:color w:val="000000" w:themeColor="text1"/>
                      <w:kern w:val="0"/>
                      <w:sz w:val="21"/>
                      <w:szCs w:val="21"/>
                      <w14:textFill>
                        <w14:solidFill>
                          <w14:schemeClr w14:val="tx1"/>
                        </w14:solidFill>
                      </w14:textFill>
                    </w:rPr>
                    <w:t>占地面积</w:t>
                  </w:r>
                  <w:r>
                    <w:rPr>
                      <w:rFonts w:hint="eastAsia"/>
                      <w:color w:val="000000" w:themeColor="text1"/>
                      <w:kern w:val="0"/>
                      <w:sz w:val="21"/>
                      <w:szCs w:val="21"/>
                      <w14:textFill>
                        <w14:solidFill>
                          <w14:schemeClr w14:val="tx1"/>
                        </w14:solidFill>
                      </w14:textFill>
                    </w:rPr>
                    <w:t>10</w:t>
                  </w:r>
                  <w:r>
                    <w:rPr>
                      <w:color w:val="000000" w:themeColor="text1"/>
                      <w:kern w:val="0"/>
                      <w:sz w:val="21"/>
                      <w:szCs w:val="21"/>
                      <w14:textFill>
                        <w14:solidFill>
                          <w14:schemeClr w14:val="tx1"/>
                        </w14:solidFill>
                      </w14:textFill>
                    </w:rPr>
                    <w:t>m</w:t>
                  </w:r>
                  <w:r>
                    <w:rPr>
                      <w:color w:val="000000" w:themeColor="text1"/>
                      <w:kern w:val="0"/>
                      <w:sz w:val="21"/>
                      <w:szCs w:val="21"/>
                      <w:vertAlign w:val="superscript"/>
                      <w14:textFill>
                        <w14:solidFill>
                          <w14:schemeClr w14:val="tx1"/>
                        </w14:solidFill>
                      </w14:textFill>
                    </w:rPr>
                    <w:t>2</w:t>
                  </w:r>
                  <w:r>
                    <w:rPr>
                      <w:color w:val="000000" w:themeColor="text1"/>
                      <w:kern w:val="0"/>
                      <w:sz w:val="21"/>
                      <w:szCs w:val="21"/>
                      <w14:textFill>
                        <w14:solidFill>
                          <w14:schemeClr w14:val="tx1"/>
                        </w14:solidFill>
                      </w14:textFill>
                    </w:rPr>
                    <w:t>。</w:t>
                  </w:r>
                  <w:r>
                    <w:rPr>
                      <w:rFonts w:hint="eastAsia" w:ascii="宋体" w:hAnsi="宋体"/>
                      <w:color w:val="000000" w:themeColor="text1"/>
                      <w:kern w:val="0"/>
                      <w:sz w:val="21"/>
                      <w:szCs w:val="21"/>
                      <w14:textFill>
                        <w14:solidFill>
                          <w14:schemeClr w14:val="tx1"/>
                        </w14:solidFill>
                      </w14:textFill>
                    </w:rPr>
                    <w:t>危废暂存间按照《危险废物贮存污染控制标准》（GB18597-2001）进行设置。</w:t>
                  </w:r>
                </w:p>
              </w:tc>
              <w:tc>
                <w:tcPr>
                  <w:tcW w:w="753" w:type="dxa"/>
                  <w:vAlign w:val="center"/>
                </w:tcPr>
                <w:p>
                  <w:pPr>
                    <w:tabs>
                      <w:tab w:val="left" w:pos="3255"/>
                    </w:tabs>
                    <w:adjustRightInd w:val="0"/>
                    <w:snapToGrid w:val="0"/>
                    <w:spacing w:line="240" w:lineRule="auto"/>
                    <w:jc w:val="center"/>
                    <w:outlineLvl w:val="0"/>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1" w:type="dxa"/>
                  <w:vMerge w:val="continue"/>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p>
              </w:tc>
              <w:tc>
                <w:tcPr>
                  <w:tcW w:w="739" w:type="dxa"/>
                  <w:gridSpan w:val="2"/>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环境风险防范</w:t>
                  </w:r>
                </w:p>
              </w:tc>
              <w:tc>
                <w:tcPr>
                  <w:tcW w:w="6162" w:type="dxa"/>
                  <w:gridSpan w:val="2"/>
                  <w:vAlign w:val="center"/>
                </w:tcPr>
                <w:p>
                  <w:pPr>
                    <w:adjustRightInd w:val="0"/>
                    <w:snapToGrid w:val="0"/>
                    <w:spacing w:line="240" w:lineRule="auto"/>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制定突发环境事件应急预案，危废暂存间严格按照《危险废物贮存污染控制标准》（GB18597-2001）进行设置。</w:t>
                  </w:r>
                </w:p>
              </w:tc>
              <w:tc>
                <w:tcPr>
                  <w:tcW w:w="753" w:type="dxa"/>
                  <w:vAlign w:val="center"/>
                </w:tcPr>
                <w:p>
                  <w:pPr>
                    <w:tabs>
                      <w:tab w:val="left" w:pos="3255"/>
                    </w:tabs>
                    <w:adjustRightInd w:val="0"/>
                    <w:snapToGrid w:val="0"/>
                    <w:spacing w:line="240" w:lineRule="auto"/>
                    <w:jc w:val="center"/>
                    <w:outlineLvl w:val="0"/>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1" w:type="dxa"/>
                  <w:vMerge w:val="restart"/>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依托工程</w:t>
                  </w:r>
                </w:p>
              </w:tc>
              <w:tc>
                <w:tcPr>
                  <w:tcW w:w="2047" w:type="dxa"/>
                  <w:gridSpan w:val="3"/>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供水、供电、排水等公用工程</w:t>
                  </w:r>
                </w:p>
              </w:tc>
              <w:tc>
                <w:tcPr>
                  <w:tcW w:w="4854" w:type="dxa"/>
                  <w:vAlign w:val="center"/>
                </w:tcPr>
                <w:p>
                  <w:pPr>
                    <w:adjustRightInd w:val="0"/>
                    <w:snapToGrid w:val="0"/>
                    <w:spacing w:line="240" w:lineRule="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项目供水、供电、排水等均依托</w:t>
                  </w:r>
                  <w:r>
                    <w:rPr>
                      <w:rFonts w:hint="eastAsia"/>
                      <w:color w:val="000000" w:themeColor="text1"/>
                      <w:kern w:val="0"/>
                      <w:sz w:val="21"/>
                      <w:szCs w:val="21"/>
                      <w14:textFill>
                        <w14:solidFill>
                          <w14:schemeClr w14:val="tx1"/>
                        </w14:solidFill>
                      </w14:textFill>
                    </w:rPr>
                    <w:t>晋宁志诚物流有限责任公司</w:t>
                  </w:r>
                  <w:r>
                    <w:rPr>
                      <w:color w:val="000000" w:themeColor="text1"/>
                      <w:kern w:val="0"/>
                      <w:sz w:val="21"/>
                      <w:szCs w:val="21"/>
                      <w14:textFill>
                        <w14:solidFill>
                          <w14:schemeClr w14:val="tx1"/>
                        </w14:solidFill>
                      </w14:textFill>
                    </w:rPr>
                    <w:t>现有设施，不单独设置雨、污水排放口。</w:t>
                  </w:r>
                </w:p>
              </w:tc>
              <w:tc>
                <w:tcPr>
                  <w:tcW w:w="753" w:type="dxa"/>
                  <w:vAlign w:val="center"/>
                </w:tcPr>
                <w:p>
                  <w:pPr>
                    <w:tabs>
                      <w:tab w:val="left" w:pos="3255"/>
                    </w:tabs>
                    <w:adjustRightInd w:val="0"/>
                    <w:snapToGrid w:val="0"/>
                    <w:spacing w:line="240" w:lineRule="auto"/>
                    <w:jc w:val="center"/>
                    <w:outlineLvl w:val="0"/>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1" w:type="dxa"/>
                  <w:vMerge w:val="continue"/>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p>
              </w:tc>
              <w:tc>
                <w:tcPr>
                  <w:tcW w:w="2047" w:type="dxa"/>
                  <w:gridSpan w:val="3"/>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化粪池</w:t>
                  </w:r>
                </w:p>
              </w:tc>
              <w:tc>
                <w:tcPr>
                  <w:tcW w:w="4854" w:type="dxa"/>
                  <w:vAlign w:val="center"/>
                </w:tcPr>
                <w:p>
                  <w:pPr>
                    <w:adjustRightInd w:val="0"/>
                    <w:snapToGrid w:val="0"/>
                    <w:spacing w:line="240" w:lineRule="auto"/>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项目生活废水依托</w:t>
                  </w:r>
                  <w:r>
                    <w:rPr>
                      <w:rFonts w:hint="eastAsia"/>
                      <w:color w:val="000000" w:themeColor="text1"/>
                      <w:kern w:val="0"/>
                      <w:sz w:val="21"/>
                      <w:szCs w:val="21"/>
                      <w14:textFill>
                        <w14:solidFill>
                          <w14:schemeClr w14:val="tx1"/>
                        </w14:solidFill>
                      </w14:textFill>
                    </w:rPr>
                    <w:t>晋宁志诚物流有限责任公司</w:t>
                  </w:r>
                  <w:r>
                    <w:rPr>
                      <w:color w:val="000000" w:themeColor="text1"/>
                      <w:kern w:val="0"/>
                      <w:sz w:val="21"/>
                      <w:szCs w:val="21"/>
                      <w14:textFill>
                        <w14:solidFill>
                          <w14:schemeClr w14:val="tx1"/>
                        </w14:solidFill>
                      </w14:textFill>
                    </w:rPr>
                    <w:t>设置于办公楼旁的化粪池进行处理，该化粪池容积为</w:t>
                  </w:r>
                  <w:r>
                    <w:rPr>
                      <w:rFonts w:hint="eastAsia"/>
                      <w:color w:val="000000" w:themeColor="text1"/>
                      <w:kern w:val="0"/>
                      <w:sz w:val="21"/>
                      <w:szCs w:val="21"/>
                      <w14:textFill>
                        <w14:solidFill>
                          <w14:schemeClr w14:val="tx1"/>
                        </w14:solidFill>
                      </w14:textFill>
                    </w:rPr>
                    <w:t>5</w:t>
                  </w:r>
                  <w:r>
                    <w:rPr>
                      <w:color w:val="000000" w:themeColor="text1"/>
                      <w:kern w:val="0"/>
                      <w:sz w:val="21"/>
                      <w:szCs w:val="21"/>
                      <w14:textFill>
                        <w14:solidFill>
                          <w14:schemeClr w14:val="tx1"/>
                        </w14:solidFill>
                      </w14:textFill>
                    </w:rPr>
                    <w:t>m</w:t>
                  </w:r>
                  <w:r>
                    <w:rPr>
                      <w:color w:val="000000" w:themeColor="text1"/>
                      <w:kern w:val="0"/>
                      <w:sz w:val="21"/>
                      <w:szCs w:val="21"/>
                      <w:vertAlign w:val="superscript"/>
                      <w14:textFill>
                        <w14:solidFill>
                          <w14:schemeClr w14:val="tx1"/>
                        </w14:solidFill>
                      </w14:textFill>
                    </w:rPr>
                    <w:t>3</w:t>
                  </w:r>
                  <w:r>
                    <w:rPr>
                      <w:color w:val="000000" w:themeColor="text1"/>
                      <w:kern w:val="0"/>
                      <w:sz w:val="21"/>
                      <w:szCs w:val="21"/>
                      <w14:textFill>
                        <w14:solidFill>
                          <w14:schemeClr w14:val="tx1"/>
                        </w14:solidFill>
                      </w14:textFill>
                    </w:rPr>
                    <w:t>，满足本项目使用。</w:t>
                  </w:r>
                </w:p>
              </w:tc>
              <w:tc>
                <w:tcPr>
                  <w:tcW w:w="753" w:type="dxa"/>
                  <w:vAlign w:val="center"/>
                </w:tcPr>
                <w:p>
                  <w:pPr>
                    <w:tabs>
                      <w:tab w:val="left" w:pos="3255"/>
                    </w:tabs>
                    <w:adjustRightInd w:val="0"/>
                    <w:snapToGrid w:val="0"/>
                    <w:spacing w:line="240" w:lineRule="auto"/>
                    <w:jc w:val="center"/>
                    <w:outlineLvl w:val="0"/>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w:t>
                  </w:r>
                </w:p>
              </w:tc>
            </w:tr>
          </w:tbl>
          <w:p>
            <w:pPr>
              <w:spacing w:before="120" w:beforeLines="50"/>
              <w:rPr>
                <w:b/>
                <w:color w:val="000000" w:themeColor="text1"/>
                <w:kern w:val="0"/>
                <w14:textFill>
                  <w14:solidFill>
                    <w14:schemeClr w14:val="tx1"/>
                  </w14:solidFill>
                </w14:textFill>
              </w:rPr>
            </w:pPr>
            <w:r>
              <w:rPr>
                <w:b/>
                <w:color w:val="000000" w:themeColor="text1"/>
                <w:kern w:val="0"/>
                <w14:textFill>
                  <w14:solidFill>
                    <w14:schemeClr w14:val="tx1"/>
                  </w14:solidFill>
                </w14:textFill>
              </w:rPr>
              <w:t>二、主要产品及产能</w:t>
            </w:r>
          </w:p>
          <w:p>
            <w:pPr>
              <w:adjustRightInd w:val="0"/>
              <w:snapToGrid w:val="0"/>
              <w:ind w:firstLine="480" w:firstLineChars="200"/>
              <w:rPr>
                <w:color w:val="000000" w:themeColor="text1"/>
                <w:kern w:val="0"/>
                <w:szCs w:val="22"/>
                <w14:textFill>
                  <w14:solidFill>
                    <w14:schemeClr w14:val="tx1"/>
                  </w14:solidFill>
                </w14:textFill>
              </w:rPr>
            </w:pPr>
            <w:r>
              <w:rPr>
                <w:bCs/>
                <w:color w:val="000000" w:themeColor="text1"/>
                <w:kern w:val="0"/>
                <w14:textFill>
                  <w14:solidFill>
                    <w14:schemeClr w14:val="tx1"/>
                  </w14:solidFill>
                </w14:textFill>
              </w:rPr>
              <w:t>本项目</w:t>
            </w:r>
            <w:r>
              <w:rPr>
                <w:rFonts w:hint="eastAsia"/>
                <w:bCs/>
                <w:color w:val="000000" w:themeColor="text1"/>
                <w:kern w:val="0"/>
                <w14:textFill>
                  <w14:solidFill>
                    <w14:schemeClr w14:val="tx1"/>
                  </w14:solidFill>
                </w14:textFill>
              </w:rPr>
              <w:t>年生产组装湿喷台车50台，修理旧车12台</w:t>
            </w:r>
            <w:r>
              <w:rPr>
                <w:bCs/>
                <w:color w:val="000000" w:themeColor="text1"/>
                <w:kern w:val="0"/>
                <w14:textFill>
                  <w14:solidFill>
                    <w14:schemeClr w14:val="tx1"/>
                  </w14:solidFill>
                </w14:textFill>
              </w:rPr>
              <w:t>，产品方案见表2-2。</w:t>
            </w:r>
          </w:p>
          <w:p>
            <w:pPr>
              <w:pStyle w:val="61"/>
              <w:adjustRightInd/>
              <w:snapToGrid/>
              <w:rPr>
                <w:rFonts w:eastAsia="宋体"/>
                <w:color w:val="000000" w:themeColor="text1"/>
                <w:sz w:val="24"/>
                <w:szCs w:val="22"/>
                <w14:textFill>
                  <w14:solidFill>
                    <w14:schemeClr w14:val="tx1"/>
                  </w14:solidFill>
                </w14:textFill>
              </w:rPr>
            </w:pPr>
            <w:r>
              <w:rPr>
                <w:rFonts w:eastAsia="宋体"/>
                <w:color w:val="000000" w:themeColor="text1"/>
                <w:sz w:val="24"/>
                <w:szCs w:val="22"/>
                <w14:textFill>
                  <w14:solidFill>
                    <w14:schemeClr w14:val="tx1"/>
                  </w14:solidFill>
                </w14:textFill>
              </w:rPr>
              <w:t>表2-2   产品方案表</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1"/>
              <w:gridCol w:w="2801"/>
              <w:gridCol w:w="2192"/>
              <w:gridCol w:w="2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 w:type="pct"/>
                  <w:vAlign w:val="center"/>
                </w:tcPr>
                <w:p>
                  <w:pPr>
                    <w:pStyle w:val="48"/>
                    <w:spacing w:beforeLines="0" w:afterLines="0" w:line="240" w:lineRule="auto"/>
                    <w:ind w:firstLine="0" w:firstLineChars="0"/>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序号</w:t>
                  </w:r>
                </w:p>
              </w:tc>
              <w:tc>
                <w:tcPr>
                  <w:tcW w:w="1671" w:type="pct"/>
                  <w:vAlign w:val="center"/>
                </w:tcPr>
                <w:p>
                  <w:pPr>
                    <w:pStyle w:val="48"/>
                    <w:spacing w:beforeLines="0" w:afterLines="0" w:line="240" w:lineRule="auto"/>
                    <w:ind w:firstLine="0" w:firstLineChars="0"/>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产品名称</w:t>
                  </w:r>
                </w:p>
              </w:tc>
              <w:tc>
                <w:tcPr>
                  <w:tcW w:w="1308" w:type="pct"/>
                  <w:vAlign w:val="center"/>
                </w:tcPr>
                <w:p>
                  <w:pPr>
                    <w:pStyle w:val="48"/>
                    <w:spacing w:beforeLines="0" w:afterLines="0" w:line="240" w:lineRule="auto"/>
                    <w:ind w:firstLine="0" w:firstLineChars="0"/>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年产量（</w:t>
                  </w:r>
                  <w:r>
                    <w:rPr>
                      <w:rFonts w:hint="eastAsia" w:ascii="Times New Roman"/>
                      <w:color w:val="000000" w:themeColor="text1"/>
                      <w:szCs w:val="21"/>
                      <w14:textFill>
                        <w14:solidFill>
                          <w14:schemeClr w14:val="tx1"/>
                        </w14:solidFill>
                      </w14:textFill>
                    </w:rPr>
                    <w:t>台</w:t>
                  </w:r>
                  <w:r>
                    <w:rPr>
                      <w:rFonts w:ascii="Times New Roman"/>
                      <w:color w:val="000000" w:themeColor="text1"/>
                      <w:szCs w:val="21"/>
                      <w14:textFill>
                        <w14:solidFill>
                          <w14:schemeClr w14:val="tx1"/>
                        </w14:solidFill>
                      </w14:textFill>
                    </w:rPr>
                    <w:t>）</w:t>
                  </w:r>
                </w:p>
              </w:tc>
              <w:tc>
                <w:tcPr>
                  <w:tcW w:w="1571" w:type="pct"/>
                  <w:vAlign w:val="center"/>
                </w:tcPr>
                <w:p>
                  <w:pPr>
                    <w:pStyle w:val="48"/>
                    <w:spacing w:beforeLines="0" w:afterLines="0" w:line="240" w:lineRule="auto"/>
                    <w:ind w:firstLine="0" w:firstLineChars="0"/>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 w:type="pct"/>
                  <w:vAlign w:val="center"/>
                </w:tcPr>
                <w:p>
                  <w:pPr>
                    <w:pStyle w:val="48"/>
                    <w:spacing w:beforeLines="0" w:afterLines="0" w:line="240" w:lineRule="auto"/>
                    <w:ind w:firstLine="0" w:firstLineChars="0"/>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1</w:t>
                  </w:r>
                </w:p>
              </w:tc>
              <w:tc>
                <w:tcPr>
                  <w:tcW w:w="1671" w:type="pct"/>
                  <w:vAlign w:val="center"/>
                </w:tcPr>
                <w:p>
                  <w:pPr>
                    <w:pStyle w:val="48"/>
                    <w:spacing w:beforeLines="0" w:afterLines="0" w:line="240" w:lineRule="auto"/>
                    <w:ind w:firstLine="0" w:firstLineChars="0"/>
                    <w:rPr>
                      <w:rFonts w:ascii="Times New Roman"/>
                      <w:color w:val="000000" w:themeColor="text1"/>
                      <w:szCs w:val="21"/>
                      <w14:textFill>
                        <w14:solidFill>
                          <w14:schemeClr w14:val="tx1"/>
                        </w14:solidFill>
                      </w14:textFill>
                    </w:rPr>
                  </w:pPr>
                  <w:r>
                    <w:rPr>
                      <w:rFonts w:hint="eastAsia" w:ascii="Times New Roman"/>
                      <w:bCs/>
                      <w:color w:val="000000" w:themeColor="text1"/>
                      <w14:textFill>
                        <w14:solidFill>
                          <w14:schemeClr w14:val="tx1"/>
                        </w14:solidFill>
                      </w14:textFill>
                    </w:rPr>
                    <w:t>湿喷台车</w:t>
                  </w:r>
                </w:p>
              </w:tc>
              <w:tc>
                <w:tcPr>
                  <w:tcW w:w="1308" w:type="pct"/>
                  <w:vAlign w:val="center"/>
                </w:tcPr>
                <w:p>
                  <w:pPr>
                    <w:pStyle w:val="48"/>
                    <w:spacing w:beforeLines="0" w:afterLines="0" w:line="240" w:lineRule="auto"/>
                    <w:ind w:firstLine="0" w:firstLineChars="0"/>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50</w:t>
                  </w:r>
                </w:p>
              </w:tc>
              <w:tc>
                <w:tcPr>
                  <w:tcW w:w="1571" w:type="pct"/>
                  <w:vMerge w:val="restart"/>
                  <w:vAlign w:val="center"/>
                </w:tcPr>
                <w:p>
                  <w:pPr>
                    <w:pStyle w:val="48"/>
                    <w:spacing w:beforeLines="0" w:afterLines="0" w:line="240" w:lineRule="auto"/>
                    <w:ind w:firstLine="0" w:firstLineChars="0"/>
                    <w:rPr>
                      <w:rFonts w:ascii="Times New Roman"/>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项目产品根据订单而定。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 w:type="pct"/>
                  <w:vAlign w:val="center"/>
                </w:tcPr>
                <w:p>
                  <w:pPr>
                    <w:pStyle w:val="48"/>
                    <w:spacing w:beforeLines="0" w:afterLines="0" w:line="240" w:lineRule="auto"/>
                    <w:ind w:firstLine="0" w:firstLineChars="0"/>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2</w:t>
                  </w:r>
                </w:p>
              </w:tc>
              <w:tc>
                <w:tcPr>
                  <w:tcW w:w="1671" w:type="pct"/>
                  <w:vAlign w:val="center"/>
                </w:tcPr>
                <w:p>
                  <w:pPr>
                    <w:pStyle w:val="48"/>
                    <w:spacing w:beforeLines="0" w:afterLines="0" w:line="240" w:lineRule="auto"/>
                    <w:ind w:firstLine="0" w:firstLineChars="0"/>
                    <w:rPr>
                      <w:rFonts w:ascii="Times New Roman"/>
                      <w:bCs/>
                      <w:color w:val="000000" w:themeColor="text1"/>
                      <w14:textFill>
                        <w14:solidFill>
                          <w14:schemeClr w14:val="tx1"/>
                        </w14:solidFill>
                      </w14:textFill>
                    </w:rPr>
                  </w:pPr>
                  <w:r>
                    <w:rPr>
                      <w:rFonts w:hint="eastAsia" w:ascii="Times New Roman"/>
                      <w:bCs/>
                      <w:color w:val="000000" w:themeColor="text1"/>
                      <w14:textFill>
                        <w14:solidFill>
                          <w14:schemeClr w14:val="tx1"/>
                        </w14:solidFill>
                      </w14:textFill>
                    </w:rPr>
                    <w:t>修理旧车</w:t>
                  </w:r>
                </w:p>
              </w:tc>
              <w:tc>
                <w:tcPr>
                  <w:tcW w:w="1308" w:type="pct"/>
                  <w:vAlign w:val="center"/>
                </w:tcPr>
                <w:p>
                  <w:pPr>
                    <w:pStyle w:val="48"/>
                    <w:spacing w:beforeLines="0" w:afterLines="0" w:line="240" w:lineRule="auto"/>
                    <w:ind w:firstLine="0" w:firstLineChars="0"/>
                    <w:rPr>
                      <w:rFonts w:ascii="Times New Roman"/>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12台</w:t>
                  </w:r>
                </w:p>
              </w:tc>
              <w:tc>
                <w:tcPr>
                  <w:tcW w:w="1571" w:type="pct"/>
                  <w:vMerge w:val="continue"/>
                  <w:vAlign w:val="center"/>
                </w:tcPr>
                <w:p>
                  <w:pPr>
                    <w:pStyle w:val="48"/>
                    <w:spacing w:beforeLines="0" w:afterLines="0" w:line="240" w:lineRule="auto"/>
                    <w:ind w:firstLine="0" w:firstLineChars="0"/>
                    <w:rPr>
                      <w:rFonts w:ascii="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pPr>
                    <w:pStyle w:val="48"/>
                    <w:spacing w:beforeLines="0" w:afterLines="0" w:line="240" w:lineRule="auto"/>
                    <w:ind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注：台车外形尺寸8790</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2700</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3500mm（长</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宽</w:t>
                  </w:r>
                  <w:r>
                    <w:rPr>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高）</w:t>
                  </w:r>
                </w:p>
                <w:p>
                  <w:pPr>
                    <w:adjustRightInd w:val="0"/>
                    <w:snapToGrid w:val="0"/>
                    <w:spacing w:line="240" w:lineRule="auto"/>
                    <w:jc w:val="center"/>
                    <w:rPr>
                      <w:color w:val="000000" w:themeColor="text1"/>
                      <w14:textFill>
                        <w14:solidFill>
                          <w14:schemeClr w14:val="tx1"/>
                        </w14:solidFill>
                      </w14:textFill>
                    </w:rPr>
                  </w:pPr>
                  <w:r>
                    <w:rPr>
                      <w:rFonts w:hint="eastAsia"/>
                      <w:color w:val="000000" w:themeColor="text1"/>
                      <w:sz w:val="21"/>
                      <w:szCs w:val="21"/>
                      <w14:textFill>
                        <w14:solidFill>
                          <w14:schemeClr w14:val="tx1"/>
                        </w14:solidFill>
                      </w14:textFill>
                    </w:rPr>
                    <w:t>泵送能力：4-30m³/h，最大输送压力：8MPa，骨料最大粒径：16mm。</w:t>
                  </w:r>
                </w:p>
              </w:tc>
            </w:tr>
          </w:tbl>
          <w:p>
            <w:pPr>
              <w:adjustRightInd w:val="0"/>
              <w:snapToGrid w:val="0"/>
              <w:rPr>
                <w:b/>
                <w:color w:val="000000" w:themeColor="text1"/>
                <w:kern w:val="0"/>
                <w14:textFill>
                  <w14:solidFill>
                    <w14:schemeClr w14:val="tx1"/>
                  </w14:solidFill>
                </w14:textFill>
              </w:rPr>
            </w:pPr>
            <w:r>
              <w:rPr>
                <w:b/>
                <w:color w:val="000000" w:themeColor="text1"/>
                <w:kern w:val="0"/>
                <w14:textFill>
                  <w14:solidFill>
                    <w14:schemeClr w14:val="tx1"/>
                  </w14:solidFill>
                </w14:textFill>
              </w:rPr>
              <w:t>三、主要生产单元及工艺</w:t>
            </w:r>
          </w:p>
          <w:p>
            <w:pPr>
              <w:adjustRightInd w:val="0"/>
              <w:snapToGrid w:val="0"/>
              <w:ind w:firstLine="480" w:firstLineChars="200"/>
              <w:rPr>
                <w:bCs/>
                <w:color w:val="000000" w:themeColor="text1"/>
                <w:kern w:val="0"/>
                <w14:textFill>
                  <w14:solidFill>
                    <w14:schemeClr w14:val="tx1"/>
                  </w14:solidFill>
                </w14:textFill>
              </w:rPr>
            </w:pPr>
            <w:r>
              <w:rPr>
                <w:bCs/>
                <w:color w:val="000000" w:themeColor="text1"/>
                <w:kern w:val="0"/>
                <w14:textFill>
                  <w14:solidFill>
                    <w14:schemeClr w14:val="tx1"/>
                  </w14:solidFill>
                </w14:textFill>
              </w:rPr>
              <w:t>本项目主要生产</w:t>
            </w:r>
            <w:r>
              <w:rPr>
                <w:rFonts w:hint="eastAsia"/>
                <w:bCs/>
                <w:color w:val="000000" w:themeColor="text1"/>
                <w:kern w:val="0"/>
                <w14:textFill>
                  <w14:solidFill>
                    <w14:schemeClr w14:val="tx1"/>
                  </w14:solidFill>
                </w14:textFill>
              </w:rPr>
              <w:t>工艺是对各个成品件进行组装，局部进行补漆、补接，检验合格喷上公司logo后出厂以及对出故障的旧车进行修理</w:t>
            </w:r>
            <w:r>
              <w:rPr>
                <w:bCs/>
                <w:color w:val="000000" w:themeColor="text1"/>
                <w:kern w:val="0"/>
                <w14:textFill>
                  <w14:solidFill>
                    <w14:schemeClr w14:val="tx1"/>
                  </w14:solidFill>
                </w14:textFill>
              </w:rPr>
              <w:t>。</w:t>
            </w:r>
          </w:p>
          <w:p>
            <w:pPr>
              <w:adjustRightInd w:val="0"/>
              <w:snapToGrid w:val="0"/>
              <w:rPr>
                <w:b/>
                <w:color w:val="000000" w:themeColor="text1"/>
                <w:kern w:val="0"/>
                <w14:textFill>
                  <w14:solidFill>
                    <w14:schemeClr w14:val="tx1"/>
                  </w14:solidFill>
                </w14:textFill>
              </w:rPr>
            </w:pPr>
            <w:r>
              <w:rPr>
                <w:b/>
                <w:color w:val="000000" w:themeColor="text1"/>
                <w:kern w:val="0"/>
                <w14:textFill>
                  <w14:solidFill>
                    <w14:schemeClr w14:val="tx1"/>
                  </w14:solidFill>
                </w14:textFill>
              </w:rPr>
              <w:t>五、主要生产设施及设施参数</w:t>
            </w:r>
          </w:p>
          <w:p>
            <w:pPr>
              <w:adjustRightInd w:val="0"/>
              <w:snapToGrid w:val="0"/>
              <w:ind w:firstLine="480" w:firstLineChars="200"/>
              <w:rPr>
                <w:bCs/>
                <w:color w:val="000000" w:themeColor="text1"/>
                <w:kern w:val="0"/>
                <w14:textFill>
                  <w14:solidFill>
                    <w14:schemeClr w14:val="tx1"/>
                  </w14:solidFill>
                </w14:textFill>
              </w:rPr>
            </w:pPr>
            <w:r>
              <w:rPr>
                <w:bCs/>
                <w:color w:val="000000" w:themeColor="text1"/>
                <w:kern w:val="0"/>
                <w14:textFill>
                  <w14:solidFill>
                    <w14:schemeClr w14:val="tx1"/>
                  </w14:solidFill>
                </w14:textFill>
              </w:rPr>
              <w:t>项目的主要生产设施设备及变化情况详见下表。</w:t>
            </w:r>
          </w:p>
          <w:p>
            <w:pPr>
              <w:pStyle w:val="61"/>
              <w:adjustRightInd/>
              <w:snapToGrid/>
              <w:rPr>
                <w:rFonts w:eastAsia="宋体"/>
                <w:color w:val="000000" w:themeColor="text1"/>
                <w:sz w:val="24"/>
                <w:szCs w:val="22"/>
                <w14:textFill>
                  <w14:solidFill>
                    <w14:schemeClr w14:val="tx1"/>
                  </w14:solidFill>
                </w14:textFill>
              </w:rPr>
            </w:pPr>
            <w:bookmarkStart w:id="14" w:name="_Toc3433_WPSOffice_Level2"/>
            <w:bookmarkStart w:id="15" w:name="_Toc23094_WPSOffice_Level2"/>
            <w:bookmarkStart w:id="16" w:name="_Toc11658_WPSOffice_Level2"/>
            <w:r>
              <w:rPr>
                <w:rFonts w:eastAsia="宋体"/>
                <w:color w:val="000000" w:themeColor="text1"/>
                <w:sz w:val="24"/>
                <w:szCs w:val="22"/>
                <w14:textFill>
                  <w14:solidFill>
                    <w14:schemeClr w14:val="tx1"/>
                  </w14:solidFill>
                </w14:textFill>
              </w:rPr>
              <w:t>表2-3   主要生产设施及参数一览表</w:t>
            </w:r>
            <w:bookmarkEnd w:id="14"/>
            <w:bookmarkEnd w:id="15"/>
            <w:bookmarkEnd w:id="16"/>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8"/>
              <w:gridCol w:w="3146"/>
              <w:gridCol w:w="1263"/>
              <w:gridCol w:w="1487"/>
              <w:gridCol w:w="1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vAlign w:val="center"/>
                </w:tcPr>
                <w:p>
                  <w:pPr>
                    <w:pStyle w:val="62"/>
                    <w:snapToGrid w:val="0"/>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序号</w:t>
                  </w:r>
                </w:p>
              </w:tc>
              <w:tc>
                <w:tcPr>
                  <w:tcW w:w="1876" w:type="pct"/>
                  <w:vAlign w:val="center"/>
                </w:tcPr>
                <w:p>
                  <w:pPr>
                    <w:pStyle w:val="62"/>
                    <w:snapToGrid w:val="0"/>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设备名称</w:t>
                  </w:r>
                </w:p>
              </w:tc>
              <w:tc>
                <w:tcPr>
                  <w:tcW w:w="753" w:type="pct"/>
                  <w:vAlign w:val="center"/>
                </w:tcPr>
                <w:p>
                  <w:pPr>
                    <w:pStyle w:val="62"/>
                    <w:snapToGrid w:val="0"/>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数量</w:t>
                  </w:r>
                </w:p>
              </w:tc>
              <w:tc>
                <w:tcPr>
                  <w:tcW w:w="887" w:type="pct"/>
                  <w:vAlign w:val="center"/>
                </w:tcPr>
                <w:p>
                  <w:pPr>
                    <w:pStyle w:val="62"/>
                    <w:snapToGrid w:val="0"/>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单位</w:t>
                  </w:r>
                </w:p>
              </w:tc>
              <w:tc>
                <w:tcPr>
                  <w:tcW w:w="887" w:type="pct"/>
                  <w:vAlign w:val="center"/>
                </w:tcPr>
                <w:p>
                  <w:pPr>
                    <w:pStyle w:val="62"/>
                    <w:snapToGrid w:val="0"/>
                    <w:rPr>
                      <w:b/>
                      <w:bCs/>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使用工段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vAlign w:val="center"/>
                </w:tcPr>
                <w:p>
                  <w:pPr>
                    <w:pStyle w:val="62"/>
                    <w:snapToGrid w:val="0"/>
                    <w:rPr>
                      <w:color w:val="000000" w:themeColor="text1"/>
                      <w:kern w:val="0"/>
                      <w14:textFill>
                        <w14:solidFill>
                          <w14:schemeClr w14:val="tx1"/>
                        </w14:solidFill>
                      </w14:textFill>
                    </w:rPr>
                  </w:pPr>
                  <w:r>
                    <w:rPr>
                      <w:color w:val="000000" w:themeColor="text1"/>
                      <w:kern w:val="0"/>
                      <w14:textFill>
                        <w14:solidFill>
                          <w14:schemeClr w14:val="tx1"/>
                        </w14:solidFill>
                      </w14:textFill>
                    </w:rPr>
                    <w:t>1</w:t>
                  </w:r>
                </w:p>
              </w:tc>
              <w:tc>
                <w:tcPr>
                  <w:tcW w:w="1876" w:type="pct"/>
                  <w:vAlign w:val="bottom"/>
                </w:tcPr>
                <w:p>
                  <w:pPr>
                    <w:pStyle w:val="24"/>
                    <w:shd w:val="clear" w:color="000000" w:fill="FFFFFF"/>
                    <w:adjustRightInd w:val="0"/>
                    <w:snapToGrid w:val="0"/>
                    <w:spacing w:before="0" w:beforeAutospacing="0" w:after="0" w:afterAutospacing="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空压机</w:t>
                  </w:r>
                </w:p>
              </w:tc>
              <w:tc>
                <w:tcPr>
                  <w:tcW w:w="753" w:type="pct"/>
                  <w:vAlign w:val="center"/>
                </w:tcPr>
                <w:p>
                  <w:pPr>
                    <w:pStyle w:val="62"/>
                    <w:snapToGrid w:val="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1</w:t>
                  </w:r>
                </w:p>
              </w:tc>
              <w:tc>
                <w:tcPr>
                  <w:tcW w:w="887" w:type="pct"/>
                  <w:vAlign w:val="center"/>
                </w:tcPr>
                <w:p>
                  <w:pPr>
                    <w:pStyle w:val="24"/>
                    <w:shd w:val="clear" w:color="000000" w:fill="FFFFFF"/>
                    <w:adjustRightInd w:val="0"/>
                    <w:snapToGrid w:val="0"/>
                    <w:spacing w:before="0" w:beforeAutospacing="0" w:after="0" w:afterAutospacing="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台</w:t>
                  </w:r>
                </w:p>
              </w:tc>
              <w:tc>
                <w:tcPr>
                  <w:tcW w:w="887" w:type="pct"/>
                  <w:vAlign w:val="center"/>
                </w:tcPr>
                <w:p>
                  <w:pPr>
                    <w:pStyle w:val="24"/>
                    <w:shd w:val="clear" w:color="000000" w:fill="FFFFFF"/>
                    <w:adjustRightInd w:val="0"/>
                    <w:snapToGrid w:val="0"/>
                    <w:spacing w:before="0" w:beforeAutospacing="0" w:after="0" w:afterAutospacing="0" w:line="240" w:lineRule="auto"/>
                    <w:jc w:val="center"/>
                    <w:rPr>
                      <w:rFonts w:ascii="Times New Roman" w:hAnsi="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vAlign w:val="center"/>
                </w:tcPr>
                <w:p>
                  <w:pPr>
                    <w:pStyle w:val="62"/>
                    <w:snapToGrid w:val="0"/>
                    <w:rPr>
                      <w:color w:val="000000" w:themeColor="text1"/>
                      <w:kern w:val="0"/>
                      <w14:textFill>
                        <w14:solidFill>
                          <w14:schemeClr w14:val="tx1"/>
                        </w14:solidFill>
                      </w14:textFill>
                    </w:rPr>
                  </w:pPr>
                  <w:r>
                    <w:rPr>
                      <w:color w:val="000000" w:themeColor="text1"/>
                      <w:kern w:val="0"/>
                      <w14:textFill>
                        <w14:solidFill>
                          <w14:schemeClr w14:val="tx1"/>
                        </w14:solidFill>
                      </w14:textFill>
                    </w:rPr>
                    <w:t>2</w:t>
                  </w:r>
                </w:p>
              </w:tc>
              <w:tc>
                <w:tcPr>
                  <w:tcW w:w="1876" w:type="pct"/>
                  <w:vAlign w:val="bottom"/>
                </w:tcPr>
                <w:p>
                  <w:pPr>
                    <w:pStyle w:val="24"/>
                    <w:shd w:val="clear" w:color="000000" w:fill="FFFFFF"/>
                    <w:adjustRightInd w:val="0"/>
                    <w:snapToGrid w:val="0"/>
                    <w:spacing w:before="0" w:beforeAutospacing="0" w:after="0" w:afterAutospacing="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手推车</w:t>
                  </w:r>
                </w:p>
              </w:tc>
              <w:tc>
                <w:tcPr>
                  <w:tcW w:w="753" w:type="pct"/>
                  <w:vAlign w:val="center"/>
                </w:tcPr>
                <w:p>
                  <w:pPr>
                    <w:pStyle w:val="62"/>
                    <w:snapToGrid w:val="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2</w:t>
                  </w:r>
                </w:p>
              </w:tc>
              <w:tc>
                <w:tcPr>
                  <w:tcW w:w="887" w:type="pct"/>
                  <w:vAlign w:val="center"/>
                </w:tcPr>
                <w:p>
                  <w:pPr>
                    <w:pStyle w:val="24"/>
                    <w:shd w:val="clear" w:color="000000" w:fill="FFFFFF"/>
                    <w:adjustRightInd w:val="0"/>
                    <w:snapToGrid w:val="0"/>
                    <w:spacing w:before="0" w:beforeAutospacing="0" w:after="0" w:afterAutospacing="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台</w:t>
                  </w:r>
                </w:p>
              </w:tc>
              <w:tc>
                <w:tcPr>
                  <w:tcW w:w="887" w:type="pct"/>
                  <w:vAlign w:val="center"/>
                </w:tcPr>
                <w:p>
                  <w:pPr>
                    <w:pStyle w:val="24"/>
                    <w:shd w:val="clear" w:color="000000" w:fill="FFFFFF"/>
                    <w:adjustRightInd w:val="0"/>
                    <w:snapToGrid w:val="0"/>
                    <w:spacing w:before="0" w:beforeAutospacing="0" w:after="0" w:afterAutospacing="0" w:line="240" w:lineRule="auto"/>
                    <w:jc w:val="center"/>
                    <w:rPr>
                      <w:rFonts w:ascii="Times New Roman" w:hAnsi="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vAlign w:val="center"/>
                </w:tcPr>
                <w:p>
                  <w:pPr>
                    <w:pStyle w:val="62"/>
                    <w:snapToGrid w:val="0"/>
                    <w:rPr>
                      <w:color w:val="000000" w:themeColor="text1"/>
                      <w:kern w:val="0"/>
                      <w14:textFill>
                        <w14:solidFill>
                          <w14:schemeClr w14:val="tx1"/>
                        </w14:solidFill>
                      </w14:textFill>
                    </w:rPr>
                  </w:pPr>
                  <w:r>
                    <w:rPr>
                      <w:color w:val="000000" w:themeColor="text1"/>
                      <w:kern w:val="0"/>
                      <w14:textFill>
                        <w14:solidFill>
                          <w14:schemeClr w14:val="tx1"/>
                        </w14:solidFill>
                      </w14:textFill>
                    </w:rPr>
                    <w:t>3</w:t>
                  </w:r>
                </w:p>
              </w:tc>
              <w:tc>
                <w:tcPr>
                  <w:tcW w:w="1876" w:type="pct"/>
                  <w:vAlign w:val="bottom"/>
                </w:tcPr>
                <w:p>
                  <w:pPr>
                    <w:pStyle w:val="24"/>
                    <w:shd w:val="clear" w:color="000000" w:fill="FFFFFF"/>
                    <w:adjustRightInd w:val="0"/>
                    <w:snapToGrid w:val="0"/>
                    <w:spacing w:before="0" w:beforeAutospacing="0" w:after="0" w:afterAutospacing="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液压泵站</w:t>
                  </w:r>
                </w:p>
              </w:tc>
              <w:tc>
                <w:tcPr>
                  <w:tcW w:w="753" w:type="pct"/>
                  <w:vAlign w:val="center"/>
                </w:tcPr>
                <w:p>
                  <w:pPr>
                    <w:pStyle w:val="62"/>
                    <w:snapToGrid w:val="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1</w:t>
                  </w:r>
                </w:p>
              </w:tc>
              <w:tc>
                <w:tcPr>
                  <w:tcW w:w="887" w:type="pct"/>
                  <w:vAlign w:val="center"/>
                </w:tcPr>
                <w:p>
                  <w:pPr>
                    <w:pStyle w:val="24"/>
                    <w:shd w:val="clear" w:color="000000" w:fill="FFFFFF"/>
                    <w:adjustRightInd w:val="0"/>
                    <w:snapToGrid w:val="0"/>
                    <w:spacing w:before="0" w:beforeAutospacing="0" w:after="0" w:afterAutospacing="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台</w:t>
                  </w:r>
                </w:p>
              </w:tc>
              <w:tc>
                <w:tcPr>
                  <w:tcW w:w="887" w:type="pct"/>
                  <w:vAlign w:val="center"/>
                </w:tcPr>
                <w:p>
                  <w:pPr>
                    <w:pStyle w:val="24"/>
                    <w:shd w:val="clear" w:color="000000" w:fill="FFFFFF"/>
                    <w:adjustRightInd w:val="0"/>
                    <w:snapToGrid w:val="0"/>
                    <w:spacing w:before="0" w:beforeAutospacing="0" w:after="0" w:afterAutospacing="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装油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vAlign w:val="center"/>
                </w:tcPr>
                <w:p>
                  <w:pPr>
                    <w:pStyle w:val="62"/>
                    <w:snapToGrid w:val="0"/>
                    <w:rPr>
                      <w:color w:val="000000" w:themeColor="text1"/>
                      <w:kern w:val="0"/>
                      <w14:textFill>
                        <w14:solidFill>
                          <w14:schemeClr w14:val="tx1"/>
                        </w14:solidFill>
                      </w14:textFill>
                    </w:rPr>
                  </w:pPr>
                  <w:r>
                    <w:rPr>
                      <w:color w:val="000000" w:themeColor="text1"/>
                      <w:kern w:val="0"/>
                      <w14:textFill>
                        <w14:solidFill>
                          <w14:schemeClr w14:val="tx1"/>
                        </w14:solidFill>
                      </w14:textFill>
                    </w:rPr>
                    <w:t>4</w:t>
                  </w:r>
                </w:p>
              </w:tc>
              <w:tc>
                <w:tcPr>
                  <w:tcW w:w="1876" w:type="pct"/>
                  <w:vAlign w:val="bottom"/>
                </w:tcPr>
                <w:p>
                  <w:pPr>
                    <w:pStyle w:val="24"/>
                    <w:shd w:val="clear" w:color="000000" w:fill="FFFFFF"/>
                    <w:adjustRightInd w:val="0"/>
                    <w:snapToGrid w:val="0"/>
                    <w:spacing w:before="0" w:beforeAutospacing="0" w:after="0" w:afterAutospacing="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手动扳手</w:t>
                  </w:r>
                </w:p>
              </w:tc>
              <w:tc>
                <w:tcPr>
                  <w:tcW w:w="753" w:type="pct"/>
                  <w:vAlign w:val="center"/>
                </w:tcPr>
                <w:p>
                  <w:pPr>
                    <w:pStyle w:val="62"/>
                    <w:snapToGrid w:val="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9</w:t>
                  </w:r>
                </w:p>
              </w:tc>
              <w:tc>
                <w:tcPr>
                  <w:tcW w:w="887" w:type="pct"/>
                  <w:vAlign w:val="center"/>
                </w:tcPr>
                <w:p>
                  <w:pPr>
                    <w:pStyle w:val="24"/>
                    <w:shd w:val="clear" w:color="000000" w:fill="FFFFFF"/>
                    <w:adjustRightInd w:val="0"/>
                    <w:snapToGrid w:val="0"/>
                    <w:spacing w:before="0" w:beforeAutospacing="0" w:after="0" w:afterAutospacing="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台</w:t>
                  </w:r>
                </w:p>
              </w:tc>
              <w:tc>
                <w:tcPr>
                  <w:tcW w:w="887" w:type="pct"/>
                  <w:vAlign w:val="center"/>
                </w:tcPr>
                <w:p>
                  <w:pPr>
                    <w:pStyle w:val="24"/>
                    <w:shd w:val="clear" w:color="000000" w:fill="FFFFFF"/>
                    <w:adjustRightInd w:val="0"/>
                    <w:snapToGrid w:val="0"/>
                    <w:spacing w:before="0" w:beforeAutospacing="0" w:after="0" w:afterAutospacing="0" w:line="240" w:lineRule="auto"/>
                    <w:jc w:val="center"/>
                    <w:rPr>
                      <w:rFonts w:ascii="Times New Roman" w:hAnsi="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vAlign w:val="center"/>
                </w:tcPr>
                <w:p>
                  <w:pPr>
                    <w:pStyle w:val="62"/>
                    <w:snapToGrid w:val="0"/>
                    <w:rPr>
                      <w:color w:val="000000" w:themeColor="text1"/>
                      <w:kern w:val="0"/>
                      <w14:textFill>
                        <w14:solidFill>
                          <w14:schemeClr w14:val="tx1"/>
                        </w14:solidFill>
                      </w14:textFill>
                    </w:rPr>
                  </w:pPr>
                  <w:r>
                    <w:rPr>
                      <w:color w:val="000000" w:themeColor="text1"/>
                      <w:kern w:val="0"/>
                      <w14:textFill>
                        <w14:solidFill>
                          <w14:schemeClr w14:val="tx1"/>
                        </w14:solidFill>
                      </w14:textFill>
                    </w:rPr>
                    <w:t>5</w:t>
                  </w:r>
                </w:p>
              </w:tc>
              <w:tc>
                <w:tcPr>
                  <w:tcW w:w="1876" w:type="pct"/>
                  <w:vAlign w:val="center"/>
                </w:tcPr>
                <w:p>
                  <w:pPr>
                    <w:pStyle w:val="24"/>
                    <w:shd w:val="clear" w:color="000000" w:fill="FFFFFF"/>
                    <w:adjustRightInd w:val="0"/>
                    <w:snapToGrid w:val="0"/>
                    <w:spacing w:before="0" w:beforeAutospacing="0" w:after="0" w:afterAutospacing="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直流电焊机</w:t>
                  </w:r>
                </w:p>
              </w:tc>
              <w:tc>
                <w:tcPr>
                  <w:tcW w:w="753" w:type="pct"/>
                  <w:vAlign w:val="center"/>
                </w:tcPr>
                <w:p>
                  <w:pPr>
                    <w:pStyle w:val="62"/>
                    <w:snapToGrid w:val="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1</w:t>
                  </w:r>
                </w:p>
              </w:tc>
              <w:tc>
                <w:tcPr>
                  <w:tcW w:w="887" w:type="pct"/>
                  <w:vAlign w:val="center"/>
                </w:tcPr>
                <w:p>
                  <w:pPr>
                    <w:pStyle w:val="24"/>
                    <w:shd w:val="clear" w:color="000000" w:fill="FFFFFF"/>
                    <w:adjustRightInd w:val="0"/>
                    <w:snapToGrid w:val="0"/>
                    <w:spacing w:before="0" w:beforeAutospacing="0" w:after="0" w:afterAutospacing="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台</w:t>
                  </w:r>
                </w:p>
              </w:tc>
              <w:tc>
                <w:tcPr>
                  <w:tcW w:w="887" w:type="pct"/>
                  <w:vAlign w:val="center"/>
                </w:tcPr>
                <w:p>
                  <w:pPr>
                    <w:pStyle w:val="24"/>
                    <w:shd w:val="clear" w:color="000000" w:fill="FFFFFF"/>
                    <w:adjustRightInd w:val="0"/>
                    <w:snapToGrid w:val="0"/>
                    <w:spacing w:before="0" w:beforeAutospacing="0" w:after="0" w:afterAutospacing="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焊接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vAlign w:val="center"/>
                </w:tcPr>
                <w:p>
                  <w:pPr>
                    <w:pStyle w:val="62"/>
                    <w:snapToGrid w:val="0"/>
                    <w:rPr>
                      <w:color w:val="000000" w:themeColor="text1"/>
                      <w:kern w:val="0"/>
                      <w14:textFill>
                        <w14:solidFill>
                          <w14:schemeClr w14:val="tx1"/>
                        </w14:solidFill>
                      </w14:textFill>
                    </w:rPr>
                  </w:pPr>
                  <w:r>
                    <w:rPr>
                      <w:color w:val="000000" w:themeColor="text1"/>
                      <w:kern w:val="0"/>
                      <w14:textFill>
                        <w14:solidFill>
                          <w14:schemeClr w14:val="tx1"/>
                        </w14:solidFill>
                      </w14:textFill>
                    </w:rPr>
                    <w:t>6</w:t>
                  </w:r>
                </w:p>
              </w:tc>
              <w:tc>
                <w:tcPr>
                  <w:tcW w:w="1876" w:type="pct"/>
                  <w:vAlign w:val="center"/>
                </w:tcPr>
                <w:p>
                  <w:pPr>
                    <w:pStyle w:val="24"/>
                    <w:shd w:val="clear" w:color="000000" w:fill="FFFFFF"/>
                    <w:adjustRightInd w:val="0"/>
                    <w:snapToGrid w:val="0"/>
                    <w:spacing w:before="0" w:beforeAutospacing="0" w:after="0" w:afterAutospacing="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氩弧焊机</w:t>
                  </w:r>
                </w:p>
              </w:tc>
              <w:tc>
                <w:tcPr>
                  <w:tcW w:w="753" w:type="pct"/>
                  <w:vAlign w:val="center"/>
                </w:tcPr>
                <w:p>
                  <w:pPr>
                    <w:pStyle w:val="62"/>
                    <w:snapToGrid w:val="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1</w:t>
                  </w:r>
                </w:p>
              </w:tc>
              <w:tc>
                <w:tcPr>
                  <w:tcW w:w="887" w:type="pct"/>
                  <w:vAlign w:val="center"/>
                </w:tcPr>
                <w:p>
                  <w:pPr>
                    <w:pStyle w:val="24"/>
                    <w:shd w:val="clear" w:color="000000" w:fill="FFFFFF"/>
                    <w:adjustRightInd w:val="0"/>
                    <w:snapToGrid w:val="0"/>
                    <w:spacing w:before="0" w:beforeAutospacing="0" w:after="0" w:afterAutospacing="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台</w:t>
                  </w:r>
                </w:p>
              </w:tc>
              <w:tc>
                <w:tcPr>
                  <w:tcW w:w="887" w:type="pct"/>
                  <w:vAlign w:val="center"/>
                </w:tcPr>
                <w:p>
                  <w:pPr>
                    <w:pStyle w:val="24"/>
                    <w:shd w:val="clear" w:color="000000" w:fill="FFFFFF"/>
                    <w:adjustRightInd w:val="0"/>
                    <w:snapToGrid w:val="0"/>
                    <w:spacing w:before="0" w:beforeAutospacing="0" w:after="0" w:afterAutospacing="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焊接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vAlign w:val="center"/>
                </w:tcPr>
                <w:p>
                  <w:pPr>
                    <w:pStyle w:val="62"/>
                    <w:snapToGrid w:val="0"/>
                    <w:rPr>
                      <w:color w:val="000000" w:themeColor="text1"/>
                      <w:kern w:val="0"/>
                      <w14:textFill>
                        <w14:solidFill>
                          <w14:schemeClr w14:val="tx1"/>
                        </w14:solidFill>
                      </w14:textFill>
                    </w:rPr>
                  </w:pPr>
                  <w:r>
                    <w:rPr>
                      <w:color w:val="000000" w:themeColor="text1"/>
                      <w:kern w:val="0"/>
                      <w14:textFill>
                        <w14:solidFill>
                          <w14:schemeClr w14:val="tx1"/>
                        </w14:solidFill>
                      </w14:textFill>
                    </w:rPr>
                    <w:t>7</w:t>
                  </w:r>
                </w:p>
              </w:tc>
              <w:tc>
                <w:tcPr>
                  <w:tcW w:w="1876" w:type="pct"/>
                  <w:vAlign w:val="center"/>
                </w:tcPr>
                <w:p>
                  <w:pPr>
                    <w:pStyle w:val="24"/>
                    <w:shd w:val="clear" w:color="000000" w:fill="FFFFFF"/>
                    <w:adjustRightInd w:val="0"/>
                    <w:snapToGrid w:val="0"/>
                    <w:spacing w:before="0" w:beforeAutospacing="0" w:after="0" w:afterAutospacing="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二氧化碳保护焊机</w:t>
                  </w:r>
                </w:p>
              </w:tc>
              <w:tc>
                <w:tcPr>
                  <w:tcW w:w="753" w:type="pct"/>
                  <w:vAlign w:val="center"/>
                </w:tcPr>
                <w:p>
                  <w:pPr>
                    <w:pStyle w:val="62"/>
                    <w:snapToGrid w:val="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1</w:t>
                  </w:r>
                </w:p>
              </w:tc>
              <w:tc>
                <w:tcPr>
                  <w:tcW w:w="887" w:type="pct"/>
                  <w:vAlign w:val="center"/>
                </w:tcPr>
                <w:p>
                  <w:pPr>
                    <w:pStyle w:val="24"/>
                    <w:shd w:val="clear" w:color="000000" w:fill="FFFFFF"/>
                    <w:adjustRightInd w:val="0"/>
                    <w:snapToGrid w:val="0"/>
                    <w:spacing w:before="0" w:beforeAutospacing="0" w:after="0" w:afterAutospacing="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台</w:t>
                  </w:r>
                </w:p>
              </w:tc>
              <w:tc>
                <w:tcPr>
                  <w:tcW w:w="887" w:type="pct"/>
                  <w:vAlign w:val="center"/>
                </w:tcPr>
                <w:p>
                  <w:pPr>
                    <w:pStyle w:val="24"/>
                    <w:shd w:val="clear" w:color="000000" w:fill="FFFFFF"/>
                    <w:adjustRightInd w:val="0"/>
                    <w:snapToGrid w:val="0"/>
                    <w:spacing w:before="0" w:beforeAutospacing="0" w:after="0" w:afterAutospacing="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焊接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vAlign w:val="center"/>
                </w:tcPr>
                <w:p>
                  <w:pPr>
                    <w:pStyle w:val="62"/>
                    <w:snapToGrid w:val="0"/>
                    <w:rPr>
                      <w:color w:val="000000" w:themeColor="text1"/>
                      <w:kern w:val="0"/>
                      <w14:textFill>
                        <w14:solidFill>
                          <w14:schemeClr w14:val="tx1"/>
                        </w14:solidFill>
                      </w14:textFill>
                    </w:rPr>
                  </w:pPr>
                  <w:r>
                    <w:rPr>
                      <w:color w:val="000000" w:themeColor="text1"/>
                      <w:kern w:val="0"/>
                      <w14:textFill>
                        <w14:solidFill>
                          <w14:schemeClr w14:val="tx1"/>
                        </w14:solidFill>
                      </w14:textFill>
                    </w:rPr>
                    <w:t>8</w:t>
                  </w:r>
                </w:p>
              </w:tc>
              <w:tc>
                <w:tcPr>
                  <w:tcW w:w="1876" w:type="pct"/>
                  <w:vAlign w:val="center"/>
                </w:tcPr>
                <w:p>
                  <w:pPr>
                    <w:pStyle w:val="24"/>
                    <w:shd w:val="clear" w:color="000000" w:fill="FFFFFF"/>
                    <w:adjustRightInd w:val="0"/>
                    <w:snapToGrid w:val="0"/>
                    <w:spacing w:before="0" w:beforeAutospacing="0" w:after="0" w:afterAutospacing="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磁力钻</w:t>
                  </w:r>
                </w:p>
              </w:tc>
              <w:tc>
                <w:tcPr>
                  <w:tcW w:w="753" w:type="pct"/>
                  <w:vAlign w:val="center"/>
                </w:tcPr>
                <w:p>
                  <w:pPr>
                    <w:pStyle w:val="62"/>
                    <w:snapToGrid w:val="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1</w:t>
                  </w:r>
                </w:p>
              </w:tc>
              <w:tc>
                <w:tcPr>
                  <w:tcW w:w="887" w:type="pct"/>
                  <w:vAlign w:val="center"/>
                </w:tcPr>
                <w:p>
                  <w:pPr>
                    <w:pStyle w:val="24"/>
                    <w:shd w:val="clear" w:color="000000" w:fill="FFFFFF"/>
                    <w:adjustRightInd w:val="0"/>
                    <w:snapToGrid w:val="0"/>
                    <w:spacing w:before="0" w:beforeAutospacing="0" w:after="0" w:afterAutospacing="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台</w:t>
                  </w:r>
                </w:p>
              </w:tc>
              <w:tc>
                <w:tcPr>
                  <w:tcW w:w="887" w:type="pct"/>
                  <w:vAlign w:val="center"/>
                </w:tcPr>
                <w:p>
                  <w:pPr>
                    <w:pStyle w:val="24"/>
                    <w:shd w:val="clear" w:color="000000" w:fill="FFFFFF"/>
                    <w:adjustRightInd w:val="0"/>
                    <w:snapToGrid w:val="0"/>
                    <w:spacing w:before="0" w:beforeAutospacing="0" w:after="0" w:afterAutospacing="0" w:line="240" w:lineRule="auto"/>
                    <w:jc w:val="center"/>
                    <w:rPr>
                      <w:rFonts w:ascii="Times New Roman" w:hAnsi="Times New Roman"/>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vAlign w:val="center"/>
                </w:tcPr>
                <w:p>
                  <w:pPr>
                    <w:pStyle w:val="62"/>
                    <w:snapToGrid w:val="0"/>
                    <w:rPr>
                      <w:color w:val="000000" w:themeColor="text1"/>
                      <w:kern w:val="0"/>
                      <w14:textFill>
                        <w14:solidFill>
                          <w14:schemeClr w14:val="tx1"/>
                        </w14:solidFill>
                      </w14:textFill>
                    </w:rPr>
                  </w:pPr>
                  <w:r>
                    <w:rPr>
                      <w:color w:val="000000" w:themeColor="text1"/>
                      <w:kern w:val="0"/>
                      <w14:textFill>
                        <w14:solidFill>
                          <w14:schemeClr w14:val="tx1"/>
                        </w14:solidFill>
                      </w14:textFill>
                    </w:rPr>
                    <w:t>9</w:t>
                  </w:r>
                </w:p>
              </w:tc>
              <w:tc>
                <w:tcPr>
                  <w:tcW w:w="1876" w:type="pct"/>
                  <w:vAlign w:val="center"/>
                </w:tcPr>
                <w:p>
                  <w:pPr>
                    <w:pStyle w:val="24"/>
                    <w:shd w:val="clear" w:color="000000" w:fill="FFFFFF"/>
                    <w:adjustRightInd w:val="0"/>
                    <w:snapToGrid w:val="0"/>
                    <w:spacing w:before="0" w:beforeAutospacing="0" w:after="0" w:afterAutospacing="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滤油机</w:t>
                  </w:r>
                </w:p>
              </w:tc>
              <w:tc>
                <w:tcPr>
                  <w:tcW w:w="753" w:type="pct"/>
                  <w:vAlign w:val="center"/>
                </w:tcPr>
                <w:p>
                  <w:pPr>
                    <w:pStyle w:val="62"/>
                    <w:snapToGrid w:val="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4</w:t>
                  </w:r>
                </w:p>
              </w:tc>
              <w:tc>
                <w:tcPr>
                  <w:tcW w:w="887" w:type="pct"/>
                  <w:vAlign w:val="center"/>
                </w:tcPr>
                <w:p>
                  <w:pPr>
                    <w:pStyle w:val="24"/>
                    <w:shd w:val="clear" w:color="000000" w:fill="FFFFFF"/>
                    <w:adjustRightInd w:val="0"/>
                    <w:snapToGrid w:val="0"/>
                    <w:spacing w:before="0" w:beforeAutospacing="0" w:after="0" w:afterAutospacing="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台</w:t>
                  </w:r>
                </w:p>
              </w:tc>
              <w:tc>
                <w:tcPr>
                  <w:tcW w:w="887" w:type="pct"/>
                  <w:vAlign w:val="center"/>
                </w:tcPr>
                <w:p>
                  <w:pPr>
                    <w:pStyle w:val="24"/>
                    <w:shd w:val="clear" w:color="000000" w:fill="FFFFFF"/>
                    <w:adjustRightInd w:val="0"/>
                    <w:snapToGrid w:val="0"/>
                    <w:spacing w:before="0" w:beforeAutospacing="0" w:after="0" w:afterAutospacing="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修理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5" w:type="pct"/>
                  <w:vAlign w:val="center"/>
                </w:tcPr>
                <w:p>
                  <w:pPr>
                    <w:pStyle w:val="62"/>
                    <w:snapToGrid w:val="0"/>
                    <w:rPr>
                      <w:color w:val="000000" w:themeColor="text1"/>
                      <w:kern w:val="0"/>
                      <w14:textFill>
                        <w14:solidFill>
                          <w14:schemeClr w14:val="tx1"/>
                        </w14:solidFill>
                      </w14:textFill>
                    </w:rPr>
                  </w:pPr>
                  <w:r>
                    <w:rPr>
                      <w:color w:val="000000" w:themeColor="text1"/>
                      <w:kern w:val="0"/>
                      <w14:textFill>
                        <w14:solidFill>
                          <w14:schemeClr w14:val="tx1"/>
                        </w14:solidFill>
                      </w14:textFill>
                    </w:rPr>
                    <w:t>10</w:t>
                  </w:r>
                </w:p>
              </w:tc>
              <w:tc>
                <w:tcPr>
                  <w:tcW w:w="1876" w:type="pct"/>
                  <w:vAlign w:val="center"/>
                </w:tcPr>
                <w:p>
                  <w:pPr>
                    <w:pStyle w:val="24"/>
                    <w:shd w:val="clear" w:color="000000" w:fill="FFFFFF"/>
                    <w:adjustRightInd w:val="0"/>
                    <w:snapToGrid w:val="0"/>
                    <w:spacing w:before="0" w:beforeAutospacing="0" w:after="0" w:afterAutospacing="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电线打号机</w:t>
                  </w:r>
                </w:p>
              </w:tc>
              <w:tc>
                <w:tcPr>
                  <w:tcW w:w="753" w:type="pct"/>
                  <w:vAlign w:val="center"/>
                </w:tcPr>
                <w:p>
                  <w:pPr>
                    <w:pStyle w:val="62"/>
                    <w:snapToGrid w:val="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1</w:t>
                  </w:r>
                </w:p>
              </w:tc>
              <w:tc>
                <w:tcPr>
                  <w:tcW w:w="887" w:type="pct"/>
                  <w:vAlign w:val="center"/>
                </w:tcPr>
                <w:p>
                  <w:pPr>
                    <w:pStyle w:val="24"/>
                    <w:shd w:val="clear" w:color="000000" w:fill="FFFFFF"/>
                    <w:adjustRightInd w:val="0"/>
                    <w:snapToGrid w:val="0"/>
                    <w:spacing w:before="0" w:beforeAutospacing="0" w:after="0" w:afterAutospacing="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台</w:t>
                  </w:r>
                </w:p>
              </w:tc>
              <w:tc>
                <w:tcPr>
                  <w:tcW w:w="887" w:type="pct"/>
                  <w:vAlign w:val="center"/>
                </w:tcPr>
                <w:p>
                  <w:pPr>
                    <w:pStyle w:val="24"/>
                    <w:shd w:val="clear" w:color="000000" w:fill="FFFFFF"/>
                    <w:adjustRightInd w:val="0"/>
                    <w:snapToGrid w:val="0"/>
                    <w:spacing w:before="0" w:beforeAutospacing="0" w:after="0" w:afterAutospacing="0" w:line="240" w:lineRule="auto"/>
                    <w:jc w:val="center"/>
                    <w:rPr>
                      <w:rFonts w:ascii="Times New Roman" w:hAnsi="Times New Roman"/>
                      <w:color w:val="000000" w:themeColor="text1"/>
                      <w:sz w:val="21"/>
                      <w:szCs w:val="21"/>
                      <w14:textFill>
                        <w14:solidFill>
                          <w14:schemeClr w14:val="tx1"/>
                        </w14:solidFill>
                      </w14:textFill>
                    </w:rPr>
                  </w:pPr>
                </w:p>
              </w:tc>
            </w:tr>
          </w:tbl>
          <w:p>
            <w:pPr>
              <w:adjustRightInd w:val="0"/>
              <w:snapToGrid w:val="0"/>
              <w:spacing w:before="120" w:beforeLines="50"/>
              <w:rPr>
                <w:b/>
                <w:color w:val="000000" w:themeColor="text1"/>
                <w:kern w:val="0"/>
                <w14:textFill>
                  <w14:solidFill>
                    <w14:schemeClr w14:val="tx1"/>
                  </w14:solidFill>
                </w14:textFill>
              </w:rPr>
            </w:pPr>
            <w:r>
              <w:rPr>
                <w:b/>
                <w:color w:val="000000" w:themeColor="text1"/>
                <w:kern w:val="0"/>
                <w14:textFill>
                  <w14:solidFill>
                    <w14:schemeClr w14:val="tx1"/>
                  </w14:solidFill>
                </w14:textFill>
              </w:rPr>
              <w:t>六、主要原辅材料及燃料的种类和用量</w:t>
            </w:r>
          </w:p>
          <w:p>
            <w:pPr>
              <w:adjustRightInd w:val="0"/>
              <w:snapToGrid w:val="0"/>
              <w:ind w:firstLine="480" w:firstLineChars="200"/>
              <w:rPr>
                <w:bCs/>
                <w:color w:val="000000" w:themeColor="text1"/>
                <w:kern w:val="0"/>
                <w14:textFill>
                  <w14:solidFill>
                    <w14:schemeClr w14:val="tx1"/>
                  </w14:solidFill>
                </w14:textFill>
              </w:rPr>
            </w:pPr>
            <w:r>
              <w:rPr>
                <w:bCs/>
                <w:color w:val="000000" w:themeColor="text1"/>
                <w:kern w:val="0"/>
                <w14:textFill>
                  <w14:solidFill>
                    <w14:schemeClr w14:val="tx1"/>
                  </w14:solidFill>
                </w14:textFill>
              </w:rPr>
              <w:t>本项目不涉及燃料的使用，主要原辅料种类及用量见表2-4。</w:t>
            </w:r>
          </w:p>
          <w:p>
            <w:pPr>
              <w:pStyle w:val="61"/>
              <w:adjustRightInd/>
              <w:snapToGrid/>
              <w:rPr>
                <w:rFonts w:eastAsia="宋体"/>
                <w:color w:val="000000" w:themeColor="text1"/>
                <w:sz w:val="24"/>
                <w:szCs w:val="22"/>
                <w14:textFill>
                  <w14:solidFill>
                    <w14:schemeClr w14:val="tx1"/>
                  </w14:solidFill>
                </w14:textFill>
              </w:rPr>
            </w:pPr>
            <w:r>
              <w:rPr>
                <w:rFonts w:eastAsia="宋体"/>
                <w:color w:val="000000" w:themeColor="text1"/>
                <w:sz w:val="24"/>
                <w:szCs w:val="22"/>
                <w14:textFill>
                  <w14:solidFill>
                    <w14:schemeClr w14:val="tx1"/>
                  </w14:solidFill>
                </w14:textFill>
              </w:rPr>
              <w:t>表2-4   原辅材料种类及用量</w:t>
            </w:r>
          </w:p>
          <w:tbl>
            <w:tblPr>
              <w:tblStyle w:val="28"/>
              <w:tblW w:w="83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1992"/>
              <w:gridCol w:w="773"/>
              <w:gridCol w:w="969"/>
              <w:gridCol w:w="1327"/>
              <w:gridCol w:w="1327"/>
              <w:gridCol w:w="1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序号</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名称</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单位</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年耗量</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最大储存量</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单位</w:t>
                  </w:r>
                </w:p>
              </w:tc>
              <w:tc>
                <w:tcPr>
                  <w:tcW w:w="129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使用工段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发动机</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台</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台</w:t>
                  </w:r>
                </w:p>
              </w:tc>
              <w:tc>
                <w:tcPr>
                  <w:tcW w:w="1297" w:type="dxa"/>
                  <w:vMerge w:val="restart"/>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组装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变速箱</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台</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台</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混凝土泵</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台</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台</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车桥</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套</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套</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液压串泵</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套</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套</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液压阀组</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套</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套</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车架</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台</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台</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臂架</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套</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套</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齿轮泵</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台</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台</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液压马达</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台</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台</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11</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液压油缸</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套</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套</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12</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液压螺杆泵</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台</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台</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13</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压力表</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块</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块</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14</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回转齿圈</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摆动油缸</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16</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发动机水箱</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17</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照明灯</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18</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导轨</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米</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米</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19</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焊丝、焊条</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kg</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kg</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电缆</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米</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1000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米</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21</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电线</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米</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7500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米</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22</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液压油过滤器</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套</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套</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23</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保险丝</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24</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轮胎</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条</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条</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25</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电机</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台</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台</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26</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转向器</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27</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储气筒</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28</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方向盘</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29</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座椅</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30</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油门踏板</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31</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换挡机构</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32</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润滑脂泵</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台</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台</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33</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排气管+消音器</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套</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套</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34</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空滤总成</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套</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套</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35</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液压油散热器</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台</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台</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36</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蓄电池</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块</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100（每台2块）</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块</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37</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变压器</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38</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制动阀</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套</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套</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39</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电控柜</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套</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套</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40</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显示屏</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套</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套</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41</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可编程控制器</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套</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套</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42</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仪表</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套</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套</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43</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遥控器</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套</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套</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44</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液压胶管</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套</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套</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45</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软管</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根</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300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根</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widowControl/>
                    <w:adjustRightInd w:val="0"/>
                    <w:snapToGrid w:val="0"/>
                    <w:spacing w:line="240" w:lineRule="auto"/>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46</w:t>
                  </w:r>
                </w:p>
              </w:tc>
              <w:tc>
                <w:tcPr>
                  <w:tcW w:w="1992" w:type="dxa"/>
                  <w:tcBorders>
                    <w:tl2br w:val="nil"/>
                    <w:tr2bl w:val="nil"/>
                  </w:tcBorders>
                  <w:vAlign w:val="center"/>
                </w:tcPr>
                <w:p>
                  <w:pPr>
                    <w:widowControl/>
                    <w:adjustRightInd w:val="0"/>
                    <w:snapToGrid w:val="0"/>
                    <w:spacing w:line="240" w:lineRule="auto"/>
                    <w:jc w:val="center"/>
                    <w:textAlignment w:val="center"/>
                    <w:rPr>
                      <w:color w:val="000000" w:themeColor="text1"/>
                      <w:sz w:val="21"/>
                      <w:szCs w:val="21"/>
                      <w14:textFill>
                        <w14:solidFill>
                          <w14:schemeClr w14:val="tx1"/>
                        </w14:solidFill>
                      </w14:textFill>
                    </w:rPr>
                  </w:pPr>
                  <w:r>
                    <w:rPr>
                      <w:rFonts w:hint="eastAsia"/>
                      <w:color w:val="000000" w:themeColor="text1"/>
                      <w:kern w:val="0"/>
                      <w:sz w:val="21"/>
                      <w:szCs w:val="21"/>
                      <w:lang w:bidi="ar"/>
                      <w14:textFill>
                        <w14:solidFill>
                          <w14:schemeClr w14:val="tx1"/>
                        </w14:solidFill>
                      </w14:textFill>
                    </w:rPr>
                    <w:t>滑块</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套</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套</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widowControl/>
                    <w:adjustRightInd w:val="0"/>
                    <w:snapToGrid w:val="0"/>
                    <w:spacing w:line="240" w:lineRule="auto"/>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47</w:t>
                  </w:r>
                </w:p>
              </w:tc>
              <w:tc>
                <w:tcPr>
                  <w:tcW w:w="1992" w:type="dxa"/>
                  <w:tcBorders>
                    <w:tl2br w:val="nil"/>
                    <w:tr2bl w:val="nil"/>
                  </w:tcBorders>
                  <w:vAlign w:val="center"/>
                </w:tcPr>
                <w:p>
                  <w:pPr>
                    <w:widowControl/>
                    <w:adjustRightInd w:val="0"/>
                    <w:snapToGrid w:val="0"/>
                    <w:spacing w:line="240" w:lineRule="auto"/>
                    <w:jc w:val="center"/>
                    <w:textAlignment w:val="center"/>
                    <w:rPr>
                      <w:color w:val="000000" w:themeColor="text1"/>
                      <w:sz w:val="21"/>
                      <w:szCs w:val="21"/>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双叠垫片（防松垫）</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套</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400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套</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widowControl/>
                    <w:adjustRightInd w:val="0"/>
                    <w:snapToGrid w:val="0"/>
                    <w:spacing w:line="240" w:lineRule="auto"/>
                    <w:jc w:val="center"/>
                    <w:textAlignment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48</w:t>
                  </w:r>
                </w:p>
              </w:tc>
              <w:tc>
                <w:tcPr>
                  <w:tcW w:w="1992" w:type="dxa"/>
                  <w:tcBorders>
                    <w:tl2br w:val="nil"/>
                    <w:tr2bl w:val="nil"/>
                  </w:tcBorders>
                  <w:vAlign w:val="center"/>
                </w:tcPr>
                <w:p>
                  <w:pPr>
                    <w:widowControl/>
                    <w:adjustRightInd w:val="0"/>
                    <w:snapToGrid w:val="0"/>
                    <w:spacing w:line="240" w:lineRule="auto"/>
                    <w:jc w:val="center"/>
                    <w:textAlignment w:val="center"/>
                    <w:rPr>
                      <w:color w:val="000000" w:themeColor="text1"/>
                      <w:sz w:val="21"/>
                      <w:szCs w:val="21"/>
                      <w14:textFill>
                        <w14:solidFill>
                          <w14:schemeClr w14:val="tx1"/>
                        </w14:solidFill>
                      </w14:textFill>
                    </w:rPr>
                  </w:pPr>
                  <w:r>
                    <w:rPr>
                      <w:rFonts w:hint="eastAsia"/>
                      <w:color w:val="000000" w:themeColor="text1"/>
                      <w:kern w:val="0"/>
                      <w:sz w:val="21"/>
                      <w:szCs w:val="21"/>
                      <w:lang w:bidi="ar"/>
                      <w14:textFill>
                        <w14:solidFill>
                          <w14:schemeClr w14:val="tx1"/>
                        </w14:solidFill>
                      </w14:textFill>
                    </w:rPr>
                    <w:t>法兰</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套</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套</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49</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液压接头</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套</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套</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波纹管</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卷</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卷</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51</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塑料变径接头</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52</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不锈钢钢丝卡箍</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53</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三通球阀</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54</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PVC钢丝软管</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米</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米</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55</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铜鼻子</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800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56</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传动轴</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套</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套</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57</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转向柱</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58</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电缆卷筒</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台</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台</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59</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润滑脂管</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米</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400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米</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60</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燃油箱</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61</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空滤管</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根</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根</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62</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水箱水管</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根</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根</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63</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喉箍</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64</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橡胶垫</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65</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遥控器挂钩</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66</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门把手</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67</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灯罩</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68</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U型卡</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69</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燃油滤清器</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70</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压力开关</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71</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尼龙管</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米</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米</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72</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耐油管</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米</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225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米</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73</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电机联轴器</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74</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管卡</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75</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骨架、覆盖件</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套</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套</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76</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电瓶卡子</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77</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密封圈</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1100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110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78</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振动电机</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台</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台</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79</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空气干燥器</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80</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组合垫</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81</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针型端子</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包</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包</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82</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喇叭</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83</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驾驶室面板</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块</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块</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84</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支腿按钮盒</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个</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85</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线槽</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米</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米</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86</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液压油</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桶</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桶50kg/桶）</w:t>
                  </w:r>
                </w:p>
              </w:tc>
              <w:tc>
                <w:tcPr>
                  <w:tcW w:w="1297" w:type="dxa"/>
                  <w:vMerge w:val="restart"/>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装油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87</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机油</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kg</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桶（50kg/桶）</w:t>
                  </w:r>
                </w:p>
              </w:tc>
              <w:tc>
                <w:tcPr>
                  <w:tcW w:w="1297" w:type="dxa"/>
                  <w:vMerge w:val="continue"/>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88</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丙烯酸树脂漆</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kg</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桶（50kg/桶）</w:t>
                  </w:r>
                </w:p>
              </w:tc>
              <w:tc>
                <w:tcPr>
                  <w:tcW w:w="129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刷漆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89</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油漆</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kg</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300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0.5</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Kg/瓶</w:t>
                  </w:r>
                </w:p>
              </w:tc>
              <w:tc>
                <w:tcPr>
                  <w:tcW w:w="129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喷漆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90</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柴油</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kg</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3400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桶（50kg/桶）</w:t>
                  </w:r>
                </w:p>
              </w:tc>
              <w:tc>
                <w:tcPr>
                  <w:tcW w:w="129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装油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91</w:t>
                  </w:r>
                </w:p>
              </w:tc>
              <w:tc>
                <w:tcPr>
                  <w:tcW w:w="1992"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乙炔</w:t>
                  </w:r>
                </w:p>
              </w:tc>
              <w:tc>
                <w:tcPr>
                  <w:tcW w:w="773"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kg</w:t>
                  </w:r>
                </w:p>
              </w:tc>
              <w:tc>
                <w:tcPr>
                  <w:tcW w:w="969" w:type="dxa"/>
                  <w:tcBorders>
                    <w:tl2br w:val="nil"/>
                    <w:tr2bl w:val="nil"/>
                  </w:tcBorders>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200</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p>
              </w:tc>
              <w:tc>
                <w:tcPr>
                  <w:tcW w:w="132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罐（20kg/罐）</w:t>
                  </w:r>
                </w:p>
              </w:tc>
              <w:tc>
                <w:tcPr>
                  <w:tcW w:w="1297" w:type="dxa"/>
                  <w:tcBorders>
                    <w:tl2br w:val="nil"/>
                    <w:tr2bl w:val="nil"/>
                  </w:tcBorders>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切割</w:t>
                  </w:r>
                </w:p>
              </w:tc>
            </w:tr>
          </w:tbl>
          <w:p>
            <w:pPr>
              <w:adjustRightInd w:val="0"/>
              <w:snapToGrid w:val="0"/>
              <w:spacing w:before="120" w:beforeLines="50"/>
              <w:rPr>
                <w:b/>
                <w:color w:val="000000" w:themeColor="text1"/>
                <w:kern w:val="0"/>
                <w14:textFill>
                  <w14:solidFill>
                    <w14:schemeClr w14:val="tx1"/>
                  </w14:solidFill>
                </w14:textFill>
              </w:rPr>
            </w:pPr>
            <w:r>
              <w:rPr>
                <w:b/>
                <w:color w:val="000000" w:themeColor="text1"/>
                <w:kern w:val="0"/>
                <w14:textFill>
                  <w14:solidFill>
                    <w14:schemeClr w14:val="tx1"/>
                  </w14:solidFill>
                </w14:textFill>
              </w:rPr>
              <w:t>七、原辅料中与污染排放有关的物质分析</w:t>
            </w:r>
          </w:p>
          <w:p>
            <w:pPr>
              <w:adjustRightInd w:val="0"/>
              <w:snapToGrid w:val="0"/>
              <w:ind w:firstLine="480" w:firstLineChars="200"/>
              <w:rPr>
                <w:color w:val="000000" w:themeColor="text1"/>
                <w:kern w:val="0"/>
                <w:szCs w:val="22"/>
                <w14:textFill>
                  <w14:solidFill>
                    <w14:schemeClr w14:val="tx1"/>
                  </w14:solidFill>
                </w14:textFill>
              </w:rPr>
            </w:pPr>
            <w:r>
              <w:rPr>
                <w:bCs/>
                <w:color w:val="000000" w:themeColor="text1"/>
                <w:kern w:val="0"/>
                <w14:textFill>
                  <w14:solidFill>
                    <w14:schemeClr w14:val="tx1"/>
                  </w14:solidFill>
                </w14:textFill>
              </w:rPr>
              <w:t>本项目原辅料中与污染物排放有关的物质分析见下表。</w:t>
            </w:r>
          </w:p>
          <w:p>
            <w:pPr>
              <w:pStyle w:val="61"/>
              <w:adjustRightInd/>
              <w:snapToGrid/>
              <w:rPr>
                <w:rFonts w:eastAsia="宋体"/>
                <w:color w:val="000000" w:themeColor="text1"/>
                <w:sz w:val="24"/>
                <w:szCs w:val="22"/>
                <w14:textFill>
                  <w14:solidFill>
                    <w14:schemeClr w14:val="tx1"/>
                  </w14:solidFill>
                </w14:textFill>
              </w:rPr>
            </w:pPr>
            <w:r>
              <w:rPr>
                <w:rFonts w:eastAsia="宋体"/>
                <w:color w:val="000000" w:themeColor="text1"/>
                <w:sz w:val="24"/>
                <w:szCs w:val="22"/>
                <w14:textFill>
                  <w14:solidFill>
                    <w14:schemeClr w14:val="tx1"/>
                  </w14:solidFill>
                </w14:textFill>
              </w:rPr>
              <w:t>表2-</w:t>
            </w:r>
            <w:r>
              <w:rPr>
                <w:rFonts w:hint="eastAsia" w:eastAsia="宋体"/>
                <w:color w:val="000000" w:themeColor="text1"/>
                <w:sz w:val="24"/>
                <w:szCs w:val="22"/>
                <w14:textFill>
                  <w14:solidFill>
                    <w14:schemeClr w14:val="tx1"/>
                  </w14:solidFill>
                </w14:textFill>
              </w:rPr>
              <w:t>5</w:t>
            </w:r>
            <w:r>
              <w:rPr>
                <w:rFonts w:eastAsia="宋体"/>
                <w:color w:val="000000" w:themeColor="text1"/>
                <w:sz w:val="24"/>
                <w:szCs w:val="22"/>
                <w14:textFill>
                  <w14:solidFill>
                    <w14:schemeClr w14:val="tx1"/>
                  </w14:solidFill>
                </w14:textFill>
              </w:rPr>
              <w:t xml:space="preserve">   原辅材料中与污染物排放有关的物质分析一览表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2012"/>
              <w:gridCol w:w="4122"/>
              <w:gridCol w:w="1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37" w:type="pct"/>
                  <w:vAlign w:val="center"/>
                </w:tcPr>
                <w:p>
                  <w:pPr>
                    <w:pStyle w:val="48"/>
                    <w:tabs>
                      <w:tab w:val="left" w:pos="5530"/>
                    </w:tabs>
                    <w:spacing w:beforeLines="0" w:afterLines="0" w:line="240" w:lineRule="auto"/>
                    <w:ind w:firstLine="0" w:firstLineChars="0"/>
                    <w:rPr>
                      <w:rFonts w:ascii="Times New Roman"/>
                      <w:b/>
                      <w:bCs/>
                      <w:color w:val="000000" w:themeColor="text1"/>
                      <w14:textFill>
                        <w14:solidFill>
                          <w14:schemeClr w14:val="tx1"/>
                        </w14:solidFill>
                      </w14:textFill>
                    </w:rPr>
                  </w:pPr>
                  <w:r>
                    <w:rPr>
                      <w:rFonts w:ascii="Times New Roman"/>
                      <w:b/>
                      <w:bCs/>
                      <w:color w:val="000000" w:themeColor="text1"/>
                      <w14:textFill>
                        <w14:solidFill>
                          <w14:schemeClr w14:val="tx1"/>
                        </w14:solidFill>
                      </w14:textFill>
                    </w:rPr>
                    <w:t>序号</w:t>
                  </w:r>
                </w:p>
              </w:tc>
              <w:tc>
                <w:tcPr>
                  <w:tcW w:w="1200" w:type="pct"/>
                  <w:vAlign w:val="center"/>
                </w:tcPr>
                <w:p>
                  <w:pPr>
                    <w:pStyle w:val="48"/>
                    <w:tabs>
                      <w:tab w:val="left" w:pos="5530"/>
                    </w:tabs>
                    <w:spacing w:beforeLines="0" w:afterLines="0" w:line="240" w:lineRule="auto"/>
                    <w:ind w:firstLine="0" w:firstLineChars="0"/>
                    <w:rPr>
                      <w:rFonts w:ascii="Times New Roman"/>
                      <w:b/>
                      <w:bCs/>
                      <w:color w:val="000000" w:themeColor="text1"/>
                      <w14:textFill>
                        <w14:solidFill>
                          <w14:schemeClr w14:val="tx1"/>
                        </w14:solidFill>
                      </w14:textFill>
                    </w:rPr>
                  </w:pPr>
                  <w:r>
                    <w:rPr>
                      <w:rFonts w:ascii="Times New Roman"/>
                      <w:b/>
                      <w:bCs/>
                      <w:color w:val="000000" w:themeColor="text1"/>
                      <w14:textFill>
                        <w14:solidFill>
                          <w14:schemeClr w14:val="tx1"/>
                        </w14:solidFill>
                      </w14:textFill>
                    </w:rPr>
                    <w:t>主要原辅材料名称</w:t>
                  </w:r>
                </w:p>
              </w:tc>
              <w:tc>
                <w:tcPr>
                  <w:tcW w:w="2458" w:type="pct"/>
                  <w:vAlign w:val="center"/>
                </w:tcPr>
                <w:p>
                  <w:pPr>
                    <w:pStyle w:val="48"/>
                    <w:tabs>
                      <w:tab w:val="left" w:pos="5530"/>
                    </w:tabs>
                    <w:spacing w:beforeLines="0" w:afterLines="0" w:line="240" w:lineRule="auto"/>
                    <w:ind w:firstLine="0" w:firstLineChars="0"/>
                    <w:rPr>
                      <w:rFonts w:ascii="Times New Roman"/>
                      <w:b/>
                      <w:bCs/>
                      <w:color w:val="000000" w:themeColor="text1"/>
                      <w14:textFill>
                        <w14:solidFill>
                          <w14:schemeClr w14:val="tx1"/>
                        </w14:solidFill>
                      </w14:textFill>
                    </w:rPr>
                  </w:pPr>
                  <w:r>
                    <w:rPr>
                      <w:rFonts w:ascii="Times New Roman"/>
                      <w:b/>
                      <w:bCs/>
                      <w:color w:val="000000" w:themeColor="text1"/>
                      <w14:textFill>
                        <w14:solidFill>
                          <w14:schemeClr w14:val="tx1"/>
                        </w14:solidFill>
                      </w14:textFill>
                    </w:rPr>
                    <w:t>产污分析</w:t>
                  </w:r>
                </w:p>
              </w:tc>
              <w:tc>
                <w:tcPr>
                  <w:tcW w:w="903" w:type="pct"/>
                  <w:vAlign w:val="center"/>
                </w:tcPr>
                <w:p>
                  <w:pPr>
                    <w:pStyle w:val="48"/>
                    <w:tabs>
                      <w:tab w:val="left" w:pos="5530"/>
                    </w:tabs>
                    <w:spacing w:beforeLines="0" w:afterLines="0" w:line="240" w:lineRule="auto"/>
                    <w:ind w:firstLine="0" w:firstLineChars="0"/>
                    <w:rPr>
                      <w:rFonts w:ascii="Times New Roman"/>
                      <w:b/>
                      <w:bCs/>
                      <w:color w:val="000000" w:themeColor="text1"/>
                      <w14:textFill>
                        <w14:solidFill>
                          <w14:schemeClr w14:val="tx1"/>
                        </w14:solidFill>
                      </w14:textFill>
                    </w:rPr>
                  </w:pPr>
                  <w:r>
                    <w:rPr>
                      <w:rFonts w:ascii="Times New Roman"/>
                      <w:b/>
                      <w:bCs/>
                      <w:color w:val="000000" w:themeColor="text1"/>
                      <w14:textFill>
                        <w14:solidFill>
                          <w14:schemeClr w14:val="tx1"/>
                        </w14:solidFill>
                      </w14:textFill>
                    </w:rPr>
                    <w:t>污染因子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vAlign w:val="center"/>
                </w:tcPr>
                <w:p>
                  <w:pPr>
                    <w:pStyle w:val="48"/>
                    <w:tabs>
                      <w:tab w:val="left" w:pos="5530"/>
                    </w:tabs>
                    <w:spacing w:beforeLines="0" w:afterLines="0" w:line="240" w:lineRule="auto"/>
                    <w:ind w:firstLine="0" w:firstLineChars="0"/>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1</w:t>
                  </w:r>
                </w:p>
              </w:tc>
              <w:tc>
                <w:tcPr>
                  <w:tcW w:w="1200" w:type="pct"/>
                  <w:vAlign w:val="center"/>
                </w:tcPr>
                <w:p>
                  <w:pPr>
                    <w:pStyle w:val="48"/>
                    <w:spacing w:beforeLines="0" w:afterLines="0" w:line="240" w:lineRule="auto"/>
                    <w:ind w:firstLine="0" w:firstLineChars="0"/>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发动机、车桥、车架、臂架等</w:t>
                  </w:r>
                </w:p>
              </w:tc>
              <w:tc>
                <w:tcPr>
                  <w:tcW w:w="2458" w:type="pct"/>
                  <w:vAlign w:val="center"/>
                </w:tcPr>
                <w:p>
                  <w:pPr>
                    <w:pStyle w:val="48"/>
                    <w:spacing w:beforeLines="0" w:afterLines="0" w:line="240" w:lineRule="auto"/>
                    <w:ind w:firstLine="0" w:firstLineChars="0"/>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这些</w:t>
                  </w:r>
                  <w:r>
                    <w:rPr>
                      <w:rFonts w:hint="eastAsia" w:ascii="Times New Roman"/>
                      <w:color w:val="000000" w:themeColor="text1"/>
                      <w14:textFill>
                        <w14:solidFill>
                          <w14:schemeClr w14:val="tx1"/>
                        </w14:solidFill>
                      </w14:textFill>
                    </w:rPr>
                    <w:t>成品件</w:t>
                  </w:r>
                  <w:r>
                    <w:rPr>
                      <w:rFonts w:ascii="Times New Roman"/>
                      <w:color w:val="000000" w:themeColor="text1"/>
                      <w14:textFill>
                        <w14:solidFill>
                          <w14:schemeClr w14:val="tx1"/>
                        </w14:solidFill>
                      </w14:textFill>
                    </w:rPr>
                    <w:t>本身均不产生污染物，主要是焊接</w:t>
                  </w:r>
                  <w:r>
                    <w:rPr>
                      <w:rFonts w:hint="eastAsia" w:ascii="Times New Roman"/>
                      <w:color w:val="000000" w:themeColor="text1"/>
                      <w14:textFill>
                        <w14:solidFill>
                          <w14:schemeClr w14:val="tx1"/>
                        </w14:solidFill>
                      </w14:textFill>
                    </w:rPr>
                    <w:t>、喷（涂）漆、维修</w:t>
                  </w:r>
                  <w:r>
                    <w:rPr>
                      <w:rFonts w:ascii="Times New Roman"/>
                      <w:color w:val="000000" w:themeColor="text1"/>
                      <w14:textFill>
                        <w14:solidFill>
                          <w14:schemeClr w14:val="tx1"/>
                        </w14:solidFill>
                      </w14:textFill>
                    </w:rPr>
                    <w:t>等工序</w:t>
                  </w:r>
                  <w:r>
                    <w:rPr>
                      <w:rFonts w:hint="eastAsia" w:ascii="Times New Roman"/>
                      <w:color w:val="000000" w:themeColor="text1"/>
                      <w14:textFill>
                        <w14:solidFill>
                          <w14:schemeClr w14:val="tx1"/>
                        </w14:solidFill>
                      </w14:textFill>
                    </w:rPr>
                    <w:t>进行</w:t>
                  </w:r>
                  <w:r>
                    <w:rPr>
                      <w:rFonts w:ascii="Times New Roman"/>
                      <w:color w:val="000000" w:themeColor="text1"/>
                      <w14:textFill>
                        <w14:solidFill>
                          <w14:schemeClr w14:val="tx1"/>
                        </w14:solidFill>
                      </w14:textFill>
                    </w:rPr>
                    <w:t>时，产生金属烟（粉）尘、焊渣（金属氧化物）</w:t>
                  </w:r>
                  <w:r>
                    <w:rPr>
                      <w:rFonts w:hint="eastAsia" w:ascii="Times New Roman"/>
                      <w:color w:val="000000" w:themeColor="text1"/>
                      <w14:textFill>
                        <w14:solidFill>
                          <w14:schemeClr w14:val="tx1"/>
                        </w14:solidFill>
                      </w14:textFill>
                    </w:rPr>
                    <w:t>、有机废气等</w:t>
                  </w:r>
                  <w:r>
                    <w:rPr>
                      <w:rFonts w:ascii="Times New Roman"/>
                      <w:color w:val="000000" w:themeColor="text1"/>
                      <w14:textFill>
                        <w14:solidFill>
                          <w14:schemeClr w14:val="tx1"/>
                        </w14:solidFill>
                      </w14:textFill>
                    </w:rPr>
                    <w:t>。</w:t>
                  </w:r>
                </w:p>
              </w:tc>
              <w:tc>
                <w:tcPr>
                  <w:tcW w:w="903" w:type="pct"/>
                  <w:vAlign w:val="center"/>
                </w:tcPr>
                <w:p>
                  <w:pPr>
                    <w:pStyle w:val="48"/>
                    <w:spacing w:beforeLines="0" w:afterLines="0" w:line="240" w:lineRule="auto"/>
                    <w:ind w:firstLine="0" w:firstLineChars="0"/>
                    <w:rPr>
                      <w:rFonts w:ascii="Times New Roman"/>
                      <w:color w:val="000000" w:themeColor="text1"/>
                      <w:highlight w:val="yellow"/>
                      <w14:textFill>
                        <w14:solidFill>
                          <w14:schemeClr w14:val="tx1"/>
                        </w14:solidFill>
                      </w14:textFill>
                    </w:rPr>
                  </w:pPr>
                  <w:r>
                    <w:rPr>
                      <w:rFonts w:ascii="Times New Roman"/>
                      <w:color w:val="000000" w:themeColor="text1"/>
                      <w14:textFill>
                        <w14:solidFill>
                          <w14:schemeClr w14:val="tx1"/>
                        </w14:solidFill>
                      </w14:textFill>
                    </w:rPr>
                    <w:t>颗粒物、焊渣</w:t>
                  </w:r>
                  <w:r>
                    <w:rPr>
                      <w:rFonts w:hint="eastAsia" w:ascii="Times New Roman"/>
                      <w:color w:val="000000" w:themeColor="text1"/>
                      <w14:textFill>
                        <w14:solidFill>
                          <w14:schemeClr w14:val="tx1"/>
                        </w14:solidFill>
                      </w14:textFill>
                    </w:rPr>
                    <w:t>、有机废气、废混凝土等。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7" w:type="pct"/>
                  <w:vAlign w:val="center"/>
                </w:tcPr>
                <w:p>
                  <w:pPr>
                    <w:pStyle w:val="48"/>
                    <w:tabs>
                      <w:tab w:val="left" w:pos="5530"/>
                    </w:tabs>
                    <w:spacing w:beforeLines="0" w:afterLines="0" w:line="240" w:lineRule="auto"/>
                    <w:ind w:firstLine="0" w:firstLineChars="0"/>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2</w:t>
                  </w:r>
                </w:p>
              </w:tc>
              <w:tc>
                <w:tcPr>
                  <w:tcW w:w="1200" w:type="pct"/>
                  <w:vAlign w:val="center"/>
                </w:tcPr>
                <w:p>
                  <w:pPr>
                    <w:pStyle w:val="48"/>
                    <w:spacing w:beforeLines="0" w:afterLines="0" w:line="240" w:lineRule="auto"/>
                    <w:ind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涂料</w:t>
                  </w:r>
                </w:p>
              </w:tc>
              <w:tc>
                <w:tcPr>
                  <w:tcW w:w="2458" w:type="pct"/>
                  <w:vAlign w:val="center"/>
                </w:tcPr>
                <w:p>
                  <w:pPr>
                    <w:pStyle w:val="48"/>
                    <w:spacing w:beforeLines="0" w:afterLines="0" w:line="240" w:lineRule="auto"/>
                    <w:ind w:firstLine="0" w:firstLineChars="0"/>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本身含有挥发性有机化合物，喷漆、晾干过程中挥发出来，伴随异味。</w:t>
                  </w:r>
                </w:p>
              </w:tc>
              <w:tc>
                <w:tcPr>
                  <w:tcW w:w="903" w:type="pct"/>
                  <w:vAlign w:val="center"/>
                </w:tcPr>
                <w:p>
                  <w:pPr>
                    <w:pStyle w:val="48"/>
                    <w:spacing w:beforeLines="0" w:afterLines="0" w:line="240" w:lineRule="auto"/>
                    <w:ind w:firstLine="0" w:firstLineChars="0"/>
                    <w:rPr>
                      <w:rFonts w:ascii="Times New Roman"/>
                      <w:color w:val="000000" w:themeColor="text1"/>
                      <w14:textFill>
                        <w14:solidFill>
                          <w14:schemeClr w14:val="tx1"/>
                        </w14:solidFill>
                      </w14:textFill>
                    </w:rPr>
                  </w:pPr>
                  <w:r>
                    <w:rPr>
                      <w:rFonts w:hint="eastAsia" w:ascii="Times New Roman"/>
                      <w:color w:val="000000" w:themeColor="text1"/>
                      <w:szCs w:val="22"/>
                      <w14:textFill>
                        <w14:solidFill>
                          <w14:schemeClr w14:val="tx1"/>
                        </w14:solidFill>
                      </w14:textFill>
                    </w:rPr>
                    <w:t>挥发性有机物、颗粒物</w:t>
                  </w:r>
                </w:p>
              </w:tc>
            </w:tr>
          </w:tbl>
          <w:p>
            <w:pPr>
              <w:adjustRightInd w:val="0"/>
              <w:snapToGrid w:val="0"/>
              <w:spacing w:before="120" w:beforeLines="50"/>
              <w:rPr>
                <w:b/>
                <w:color w:val="000000" w:themeColor="text1"/>
                <w:kern w:val="0"/>
                <w14:textFill>
                  <w14:solidFill>
                    <w14:schemeClr w14:val="tx1"/>
                  </w14:solidFill>
                </w14:textFill>
              </w:rPr>
            </w:pPr>
            <w:r>
              <w:rPr>
                <w:b/>
                <w:color w:val="000000" w:themeColor="text1"/>
                <w:kern w:val="0"/>
                <w14:textFill>
                  <w14:solidFill>
                    <w14:schemeClr w14:val="tx1"/>
                  </w14:solidFill>
                </w14:textFill>
              </w:rPr>
              <w:t>八、水平衡分析</w:t>
            </w:r>
          </w:p>
          <w:p>
            <w:pPr>
              <w:pStyle w:val="18"/>
              <w:ind w:firstLine="480" w:firstLineChars="200"/>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本项目无生产废水产生。</w:t>
            </w:r>
          </w:p>
          <w:p>
            <w:pPr>
              <w:pStyle w:val="18"/>
              <w:ind w:firstLine="480" w:firstLineChars="200"/>
              <w:rPr>
                <w:rFonts w:ascii="Times New Roman" w:hAnsi="Times New Roman"/>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本项目用水主要为生活用水，包含食堂用水、冲厕用水</w:t>
            </w:r>
            <w:r>
              <w:rPr>
                <w:rFonts w:hint="eastAsia" w:ascii="Times New Roman" w:hAnsi="Times New Roman"/>
                <w:color w:val="000000" w:themeColor="text1"/>
                <w:kern w:val="0"/>
                <w14:textFill>
                  <w14:solidFill>
                    <w14:schemeClr w14:val="tx1"/>
                  </w14:solidFill>
                </w14:textFill>
              </w:rPr>
              <w:t>，</w:t>
            </w:r>
            <w:r>
              <w:rPr>
                <w:rFonts w:ascii="Times New Roman" w:hAnsi="Times New Roman"/>
                <w:color w:val="000000" w:themeColor="text1"/>
                <w:kern w:val="0"/>
                <w14:textFill>
                  <w14:solidFill>
                    <w14:schemeClr w14:val="tx1"/>
                  </w14:solidFill>
                </w14:textFill>
              </w:rPr>
              <w:t>产生的食堂废水自建隔油池预处理，预处理后同其他生活废水一起依托</w:t>
            </w:r>
            <w:r>
              <w:rPr>
                <w:rFonts w:hint="eastAsia" w:ascii="Times New Roman" w:hAnsi="Times New Roman"/>
                <w:color w:val="000000" w:themeColor="text1"/>
                <w:kern w:val="0"/>
                <w14:textFill>
                  <w14:solidFill>
                    <w14:schemeClr w14:val="tx1"/>
                  </w14:solidFill>
                </w14:textFill>
              </w:rPr>
              <w:t>晋宁志诚物流有限责任公司</w:t>
            </w:r>
            <w:r>
              <w:rPr>
                <w:rFonts w:ascii="Times New Roman" w:hAnsi="Times New Roman"/>
                <w:color w:val="000000" w:themeColor="text1"/>
                <w:kern w:val="0"/>
                <w14:textFill>
                  <w14:solidFill>
                    <w14:schemeClr w14:val="tx1"/>
                  </w14:solidFill>
                </w14:textFill>
              </w:rPr>
              <w:t>化粪池处理，达到《污水排入城镇下水道水质标准》（GB/T31962-2015）</w:t>
            </w:r>
            <w:r>
              <w:rPr>
                <w:rFonts w:hint="eastAsia" w:ascii="Times New Roman" w:hAnsi="Times New Roman"/>
                <w:color w:val="000000" w:themeColor="text1"/>
                <w:kern w:val="0"/>
                <w14:textFill>
                  <w14:solidFill>
                    <w14:schemeClr w14:val="tx1"/>
                  </w14:solidFill>
                </w14:textFill>
              </w:rPr>
              <w:t>表1</w:t>
            </w:r>
            <w:r>
              <w:rPr>
                <w:rFonts w:ascii="Times New Roman" w:hAnsi="Times New Roman"/>
                <w:color w:val="000000" w:themeColor="text1"/>
                <w:kern w:val="0"/>
                <w14:textFill>
                  <w14:solidFill>
                    <w14:schemeClr w14:val="tx1"/>
                  </w14:solidFill>
                </w14:textFill>
              </w:rPr>
              <w:t>A级标准后排</w:t>
            </w:r>
            <w:r>
              <w:rPr>
                <w:rFonts w:hint="eastAsia" w:ascii="Times New Roman" w:hAnsi="Times New Roman"/>
                <w:color w:val="000000" w:themeColor="text1"/>
                <w:kern w:val="0"/>
                <w14:textFill>
                  <w14:solidFill>
                    <w14:schemeClr w14:val="tx1"/>
                  </w14:solidFill>
                </w14:textFill>
              </w:rPr>
              <w:t>入</w:t>
            </w:r>
            <w:r>
              <w:rPr>
                <w:rFonts w:ascii="Times New Roman" w:hAnsi="Times New Roman"/>
                <w:color w:val="000000" w:themeColor="text1"/>
                <w:kern w:val="0"/>
                <w14:textFill>
                  <w14:solidFill>
                    <w14:schemeClr w14:val="tx1"/>
                  </w14:solidFill>
                </w14:textFill>
              </w:rPr>
              <w:t>园区污水管网，最终进入</w:t>
            </w:r>
            <w:r>
              <w:rPr>
                <w:rFonts w:hint="eastAsia" w:ascii="Times New Roman" w:hAnsi="Times New Roman"/>
                <w:color w:val="000000" w:themeColor="text1"/>
                <w:kern w:val="0"/>
                <w14:textFill>
                  <w14:solidFill>
                    <w14:schemeClr w14:val="tx1"/>
                  </w14:solidFill>
                </w14:textFill>
              </w:rPr>
              <w:t>环湖西岸污水处理厂处理</w:t>
            </w:r>
            <w:r>
              <w:rPr>
                <w:rFonts w:ascii="Times New Roman" w:hAnsi="Times New Roman"/>
                <w:color w:val="000000" w:themeColor="text1"/>
                <w:kern w:val="0"/>
                <w14:textFill>
                  <w14:solidFill>
                    <w14:schemeClr w14:val="tx1"/>
                  </w14:solidFill>
                </w14:textFill>
              </w:rPr>
              <w:t>。</w:t>
            </w:r>
          </w:p>
          <w:p>
            <w:pPr>
              <w:adjustRightInd w:val="0"/>
              <w:snapToGrid w:val="0"/>
              <w:spacing w:before="120" w:beforeLines="50"/>
              <w:rPr>
                <w:b/>
                <w:color w:val="000000" w:themeColor="text1"/>
                <w:kern w:val="0"/>
                <w14:textFill>
                  <w14:solidFill>
                    <w14:schemeClr w14:val="tx1"/>
                  </w14:solidFill>
                </w14:textFill>
              </w:rPr>
            </w:pPr>
            <w:r>
              <w:rPr>
                <w:b/>
                <w:color w:val="000000" w:themeColor="text1"/>
                <w:kern w:val="0"/>
                <w14:textFill>
                  <w14:solidFill>
                    <w14:schemeClr w14:val="tx1"/>
                  </w14:solidFill>
                </w14:textFill>
              </w:rPr>
              <w:t>九、劳动定员及工作制度</w:t>
            </w:r>
            <w:r>
              <w:rPr>
                <w:rFonts w:hint="eastAsia"/>
                <w:b/>
                <w:color w:val="000000" w:themeColor="text1"/>
                <w:kern w:val="0"/>
                <w14:textFill>
                  <w14:solidFill>
                    <w14:schemeClr w14:val="tx1"/>
                  </w14:solidFill>
                </w14:textFill>
              </w:rPr>
              <w:t>、建设进度</w:t>
            </w:r>
          </w:p>
          <w:p>
            <w:pPr>
              <w:pStyle w:val="18"/>
              <w:ind w:firstLine="480" w:firstLineChars="200"/>
              <w:rPr>
                <w:rFonts w:ascii="Times New Roman" w:hAnsi="Times New Roman"/>
                <w:b/>
                <w:bCs/>
                <w:color w:val="000000" w:themeColor="text1"/>
                <w:kern w:val="0"/>
                <w14:textFill>
                  <w14:solidFill>
                    <w14:schemeClr w14:val="tx1"/>
                  </w14:solidFill>
                </w14:textFill>
              </w:rPr>
            </w:pPr>
            <w:r>
              <w:rPr>
                <w:rFonts w:ascii="Times New Roman" w:hAnsi="Times New Roman"/>
                <w:color w:val="000000" w:themeColor="text1"/>
                <w:kern w:val="0"/>
                <w14:textFill>
                  <w14:solidFill>
                    <w14:schemeClr w14:val="tx1"/>
                  </w14:solidFill>
                </w14:textFill>
              </w:rPr>
              <w:t>劳动定员：</w:t>
            </w:r>
            <w:r>
              <w:rPr>
                <w:rFonts w:hint="eastAsia" w:ascii="Times New Roman" w:hAnsi="Times New Roman"/>
                <w:color w:val="000000" w:themeColor="text1"/>
                <w:kern w:val="0"/>
                <w14:textFill>
                  <w14:solidFill>
                    <w14:schemeClr w14:val="tx1"/>
                  </w14:solidFill>
                </w14:textFill>
              </w:rPr>
              <w:t>40</w:t>
            </w:r>
            <w:r>
              <w:rPr>
                <w:rFonts w:ascii="Times New Roman" w:hAnsi="Times New Roman"/>
                <w:color w:val="000000" w:themeColor="text1"/>
                <w:kern w:val="0"/>
                <w14:textFill>
                  <w14:solidFill>
                    <w14:schemeClr w14:val="tx1"/>
                  </w14:solidFill>
                </w14:textFill>
              </w:rPr>
              <w:t>人，均在项目内用餐，</w:t>
            </w:r>
            <w:r>
              <w:rPr>
                <w:rFonts w:hint="eastAsia" w:ascii="Times New Roman" w:hAnsi="Times New Roman"/>
                <w:color w:val="000000" w:themeColor="text1"/>
                <w:kern w:val="0"/>
                <w14:textFill>
                  <w14:solidFill>
                    <w14:schemeClr w14:val="tx1"/>
                  </w14:solidFill>
                </w14:textFill>
              </w:rPr>
              <w:t>员工仅在厂区内用餐，不住宿</w:t>
            </w:r>
            <w:r>
              <w:rPr>
                <w:rFonts w:ascii="Times New Roman" w:hAnsi="Times New Roman"/>
                <w:color w:val="000000" w:themeColor="text1"/>
                <w:kern w:val="0"/>
                <w14:textFill>
                  <w14:solidFill>
                    <w14:schemeClr w14:val="tx1"/>
                  </w14:solidFill>
                </w14:textFill>
              </w:rPr>
              <w:t>。</w:t>
            </w:r>
          </w:p>
          <w:p>
            <w:pPr>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工作制度：1班制，每班工作8h，</w:t>
            </w:r>
            <w:r>
              <w:rPr>
                <w:rFonts w:hint="eastAsia"/>
                <w:color w:val="000000" w:themeColor="text1"/>
                <w:kern w:val="0"/>
                <w14:textFill>
                  <w14:solidFill>
                    <w14:schemeClr w14:val="tx1"/>
                  </w14:solidFill>
                </w14:textFill>
              </w:rPr>
              <w:t>夜间不生产，</w:t>
            </w:r>
            <w:r>
              <w:rPr>
                <w:color w:val="000000" w:themeColor="text1"/>
                <w:kern w:val="0"/>
                <w14:textFill>
                  <w14:solidFill>
                    <w14:schemeClr w14:val="tx1"/>
                  </w14:solidFill>
                </w14:textFill>
              </w:rPr>
              <w:t>年工作300d。</w:t>
            </w:r>
          </w:p>
          <w:p>
            <w:pPr>
              <w:ind w:firstLine="470" w:firstLineChars="196"/>
              <w:rPr>
                <w:color w:val="000000" w:themeColor="text1"/>
                <w:highlight w:val="yellow"/>
                <w14:textFill>
                  <w14:solidFill>
                    <w14:schemeClr w14:val="tx1"/>
                  </w14:solidFill>
                </w14:textFill>
              </w:rPr>
            </w:pPr>
            <w:r>
              <w:rPr>
                <w:rFonts w:hint="eastAsia"/>
                <w:color w:val="000000" w:themeColor="text1"/>
                <w14:textFill>
                  <w14:solidFill>
                    <w14:schemeClr w14:val="tx1"/>
                  </w14:solidFill>
                </w14:textFill>
              </w:rPr>
              <w:t>建设进度：项目预计</w:t>
            </w:r>
            <w:r>
              <w:rPr>
                <w:color w:val="000000" w:themeColor="text1"/>
                <w14:textFill>
                  <w14:solidFill>
                    <w14:schemeClr w14:val="tx1"/>
                  </w14:solidFill>
                </w14:textFill>
              </w:rPr>
              <w:t>2021年</w:t>
            </w:r>
            <w:r>
              <w:rPr>
                <w:rFonts w:hint="eastAsia"/>
                <w:color w:val="000000" w:themeColor="text1"/>
                <w14:textFill>
                  <w14:solidFill>
                    <w14:schemeClr w14:val="tx1"/>
                  </w14:solidFill>
                </w14:textFill>
              </w:rPr>
              <w:t>12</w:t>
            </w:r>
            <w:r>
              <w:rPr>
                <w:color w:val="000000" w:themeColor="text1"/>
                <w14:textFill>
                  <w14:solidFill>
                    <w14:schemeClr w14:val="tx1"/>
                  </w14:solidFill>
                </w14:textFill>
              </w:rPr>
              <w:t>月</w:t>
            </w:r>
            <w:r>
              <w:rPr>
                <w:rFonts w:hint="eastAsia"/>
                <w:color w:val="000000" w:themeColor="text1"/>
                <w14:textFill>
                  <w14:solidFill>
                    <w14:schemeClr w14:val="tx1"/>
                  </w14:solidFill>
                </w14:textFill>
              </w:rPr>
              <w:t>开工</w:t>
            </w:r>
            <w:r>
              <w:rPr>
                <w:color w:val="000000" w:themeColor="text1"/>
                <w14:textFill>
                  <w14:solidFill>
                    <w14:schemeClr w14:val="tx1"/>
                  </w14:solidFill>
                </w14:textFill>
              </w:rPr>
              <w:t>，202</w:t>
            </w:r>
            <w:r>
              <w:rPr>
                <w:rFonts w:hint="eastAsia"/>
                <w:color w:val="000000" w:themeColor="text1"/>
                <w14:textFill>
                  <w14:solidFill>
                    <w14:schemeClr w14:val="tx1"/>
                  </w14:solidFill>
                </w14:textFill>
              </w:rPr>
              <w:t>2</w:t>
            </w:r>
            <w:r>
              <w:rPr>
                <w:color w:val="000000" w:themeColor="text1"/>
                <w14:textFill>
                  <w14:solidFill>
                    <w14:schemeClr w14:val="tx1"/>
                  </w14:solidFill>
                </w14:textFill>
              </w:rPr>
              <w:t>年2月竣工，目前</w:t>
            </w:r>
            <w:r>
              <w:rPr>
                <w:rFonts w:hint="eastAsia"/>
                <w:color w:val="000000" w:themeColor="text1"/>
                <w14:textFill>
                  <w14:solidFill>
                    <w14:schemeClr w14:val="tx1"/>
                  </w14:solidFill>
                </w14:textFill>
              </w:rPr>
              <w:t>尚</w:t>
            </w:r>
            <w:r>
              <w:rPr>
                <w:color w:val="000000" w:themeColor="text1"/>
                <w14:textFill>
                  <w14:solidFill>
                    <w14:schemeClr w14:val="tx1"/>
                  </w14:solidFill>
                </w14:textFill>
              </w:rPr>
              <w:t>未开工建设。</w:t>
            </w:r>
          </w:p>
          <w:p>
            <w:pPr>
              <w:adjustRightInd w:val="0"/>
              <w:snapToGrid w:val="0"/>
              <w:spacing w:before="120" w:beforeLines="50"/>
              <w:rPr>
                <w:b/>
                <w:color w:val="000000" w:themeColor="text1"/>
                <w:kern w:val="0"/>
                <w14:textFill>
                  <w14:solidFill>
                    <w14:schemeClr w14:val="tx1"/>
                  </w14:solidFill>
                </w14:textFill>
              </w:rPr>
            </w:pPr>
            <w:r>
              <w:rPr>
                <w:b/>
                <w:color w:val="000000" w:themeColor="text1"/>
                <w:kern w:val="0"/>
                <w14:textFill>
                  <w14:solidFill>
                    <w14:schemeClr w14:val="tx1"/>
                  </w14:solidFill>
                </w14:textFill>
              </w:rPr>
              <w:t>十、平面布置</w:t>
            </w:r>
          </w:p>
          <w:p>
            <w:pPr>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本项目租用</w:t>
            </w:r>
            <w:r>
              <w:rPr>
                <w:rFonts w:hint="eastAsia"/>
                <w:color w:val="000000" w:themeColor="text1"/>
                <w:kern w:val="0"/>
                <w14:textFill>
                  <w14:solidFill>
                    <w14:schemeClr w14:val="tx1"/>
                  </w14:solidFill>
                </w14:textFill>
              </w:rPr>
              <w:t>晋宁志诚物流有限责任公司</w:t>
            </w:r>
            <w:r>
              <w:rPr>
                <w:color w:val="000000" w:themeColor="text1"/>
                <w:kern w:val="0"/>
                <w14:textFill>
                  <w14:solidFill>
                    <w14:schemeClr w14:val="tx1"/>
                  </w14:solidFill>
                </w14:textFill>
              </w:rPr>
              <w:t>闲置厂房进行建设。项目</w:t>
            </w:r>
            <w:r>
              <w:rPr>
                <w:rFonts w:hint="eastAsia"/>
                <w:color w:val="000000" w:themeColor="text1"/>
                <w:kern w:val="0"/>
                <w14:textFill>
                  <w14:solidFill>
                    <w14:schemeClr w14:val="tx1"/>
                  </w14:solidFill>
                </w14:textFill>
              </w:rPr>
              <w:t>租用3#</w:t>
            </w:r>
            <w:r>
              <w:rPr>
                <w:color w:val="000000" w:themeColor="text1"/>
                <w:kern w:val="0"/>
                <w14:textFill>
                  <w14:solidFill>
                    <w14:schemeClr w14:val="tx1"/>
                  </w14:solidFill>
                </w14:textFill>
              </w:rPr>
              <w:t>厂房</w:t>
            </w:r>
            <w:r>
              <w:rPr>
                <w:rFonts w:hint="eastAsia"/>
                <w:color w:val="000000" w:themeColor="text1"/>
                <w:kern w:val="0"/>
                <w14:textFill>
                  <w14:solidFill>
                    <w14:schemeClr w14:val="tx1"/>
                  </w14:solidFill>
                </w14:textFill>
              </w:rPr>
              <w:t>及1#、2#厂房西部</w:t>
            </w:r>
            <w:r>
              <w:rPr>
                <w:color w:val="000000" w:themeColor="text1"/>
                <w:kern w:val="0"/>
                <w14:textFill>
                  <w14:solidFill>
                    <w14:schemeClr w14:val="tx1"/>
                  </w14:solidFill>
                </w14:textFill>
              </w:rPr>
              <w:t>。厂房中部为走道，</w:t>
            </w:r>
            <w:r>
              <w:rPr>
                <w:rFonts w:hint="eastAsia"/>
                <w:color w:val="000000" w:themeColor="text1"/>
                <w:kern w:val="0"/>
                <w14:textFill>
                  <w14:solidFill>
                    <w14:schemeClr w14:val="tx1"/>
                  </w14:solidFill>
                </w14:textFill>
              </w:rPr>
              <w:t>车间内由东往西布局为液压件工作区，喷漆区、调试区、外购件存放区，预装区、调试区、组装区、外购件存放区、洗管区以及成品车存放区，1#、2#厂房</w:t>
            </w:r>
            <w:r>
              <w:rPr>
                <w:color w:val="000000" w:themeColor="text1"/>
                <w:kern w:val="0"/>
                <w14:textFill>
                  <w14:solidFill>
                    <w14:schemeClr w14:val="tx1"/>
                  </w14:solidFill>
                </w14:textFill>
              </w:rPr>
              <w:t>走道两侧</w:t>
            </w:r>
            <w:r>
              <w:rPr>
                <w:rFonts w:hint="eastAsia"/>
                <w:color w:val="000000" w:themeColor="text1"/>
                <w:kern w:val="0"/>
                <w14:textFill>
                  <w14:solidFill>
                    <w14:schemeClr w14:val="tx1"/>
                  </w14:solidFill>
                </w14:textFill>
              </w:rPr>
              <w:t>自东往西布局分别为旧车维修区，旧车堆放区、轮胎区、气体存放区、调试区、油品存放区、成品车堆放区，中间设有过道</w:t>
            </w:r>
            <w:r>
              <w:rPr>
                <w:color w:val="000000" w:themeColor="text1"/>
                <w:kern w:val="0"/>
                <w14:textFill>
                  <w14:solidFill>
                    <w14:schemeClr w14:val="tx1"/>
                  </w14:solidFill>
                </w14:textFill>
              </w:rPr>
              <w:t>。</w:t>
            </w:r>
          </w:p>
          <w:p>
            <w:pPr>
              <w:ind w:firstLine="480" w:firstLineChars="200"/>
              <w:rPr>
                <w:bCs/>
                <w:color w:val="000000" w:themeColor="text1"/>
                <w:kern w:val="0"/>
                <w:szCs w:val="21"/>
                <w14:textFill>
                  <w14:solidFill>
                    <w14:schemeClr w14:val="tx1"/>
                  </w14:solidFill>
                </w14:textFill>
              </w:rPr>
            </w:pPr>
            <w:r>
              <w:rPr>
                <w:color w:val="000000" w:themeColor="text1"/>
                <w:kern w:val="0"/>
                <w14:textFill>
                  <w14:solidFill>
                    <w14:schemeClr w14:val="tx1"/>
                  </w14:solidFill>
                </w14:textFill>
              </w:rPr>
              <w:t>项目厂房总平面布置根据工艺流程、生产性质、生产管理和车间划分来考虑布局，其功能分区明确、运输及管理方便，生产协调配合，人流、物流明确分流。具体详见附图2。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755" w:type="dxa"/>
            <w:vAlign w:val="center"/>
          </w:tcPr>
          <w:p>
            <w:pPr>
              <w:pStyle w:val="24"/>
              <w:adjustRightInd w:val="0"/>
              <w:snapToGrid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Cs w:val="24"/>
                <w14:textFill>
                  <w14:solidFill>
                    <w14:schemeClr w14:val="tx1"/>
                  </w14:solidFill>
                </w14:textFill>
              </w:rPr>
              <w:t>工艺流程和产排污环节</w:t>
            </w:r>
          </w:p>
        </w:tc>
        <w:tc>
          <w:tcPr>
            <w:tcW w:w="8305" w:type="dxa"/>
          </w:tcPr>
          <w:p>
            <w:pPr>
              <w:numPr>
                <w:ilvl w:val="0"/>
                <w:numId w:val="10"/>
              </w:numPr>
              <w:adjustRightInd w:val="0"/>
              <w:snapToGrid w:val="0"/>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施工期工艺流程</w:t>
            </w:r>
          </w:p>
          <w:p>
            <w:pPr>
              <w:pStyle w:val="22"/>
              <w:adjustRightInd w:val="0"/>
              <w:ind w:firstLine="480" w:firstLineChars="200"/>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本项目租用</w:t>
            </w:r>
            <w:r>
              <w:rPr>
                <w:rFonts w:hint="eastAsia"/>
                <w:color w:val="000000" w:themeColor="text1"/>
                <w:sz w:val="24"/>
                <w:szCs w:val="24"/>
                <w14:textFill>
                  <w14:solidFill>
                    <w14:schemeClr w14:val="tx1"/>
                  </w14:solidFill>
                </w14:textFill>
              </w:rPr>
              <w:t>晋宁志诚物流有限责任公司</w:t>
            </w:r>
            <w:r>
              <w:rPr>
                <w:color w:val="000000" w:themeColor="text1"/>
                <w:sz w:val="24"/>
                <w:szCs w:val="24"/>
                <w14:textFill>
                  <w14:solidFill>
                    <w14:schemeClr w14:val="tx1"/>
                  </w14:solidFill>
                </w14:textFill>
              </w:rPr>
              <w:t>厂房进行建设，施工期主要为设备安装、调试，无土建、装修等工程，具体工艺流程如下。</w:t>
            </w:r>
          </w:p>
          <w:p>
            <w:pPr>
              <w:pStyle w:val="22"/>
              <w:adjustRightIn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object>
                <v:shape id="_x0000_i1025" o:spt="75" type="#_x0000_t75" style="height:210.15pt;width:415.35pt;" o:ole="t" filled="f" o:preferrelative="t" stroked="f" coordsize="21600,21600">
                  <v:path/>
                  <v:fill on="f" focussize="0,0"/>
                  <v:stroke on="f" joinstyle="miter"/>
                  <v:imagedata r:id="rId21" o:title=""/>
                  <o:lock v:ext="edit" aspectratio="t"/>
                  <w10:wrap type="none"/>
                  <w10:anchorlock/>
                </v:shape>
                <o:OLEObject Type="Embed" ProgID="Visio.Drawing.15" ShapeID="_x0000_i1025" DrawAspect="Content" ObjectID="_1468075725" r:id="rId20">
                  <o:LockedField>false</o:LockedField>
                </o:OLEObject>
              </w:object>
            </w:r>
          </w:p>
          <w:p>
            <w:pPr>
              <w:pStyle w:val="22"/>
              <w:adjustRightInd w:val="0"/>
              <w:jc w:val="center"/>
              <w:rPr>
                <w:color w:val="000000" w:themeColor="text1"/>
                <w:sz w:val="24"/>
                <w:szCs w:val="24"/>
                <w14:textFill>
                  <w14:solidFill>
                    <w14:schemeClr w14:val="tx1"/>
                  </w14:solidFill>
                </w14:textFill>
              </w:rPr>
            </w:pPr>
            <w:r>
              <w:rPr>
                <w:b/>
                <w:bCs/>
                <w:snapToGrid w:val="0"/>
                <w:color w:val="000000" w:themeColor="text1"/>
                <w:sz w:val="24"/>
                <w:szCs w:val="21"/>
                <w14:textFill>
                  <w14:solidFill>
                    <w14:schemeClr w14:val="tx1"/>
                  </w14:solidFill>
                </w14:textFill>
              </w:rPr>
              <w:t>图2-1  施工期工艺流程及产污节点图</w:t>
            </w:r>
          </w:p>
          <w:p>
            <w:pPr>
              <w:numPr>
                <w:ilvl w:val="0"/>
                <w:numId w:val="10"/>
              </w:numPr>
              <w:adjustRightInd w:val="0"/>
              <w:snapToGrid w:val="0"/>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运行期工艺流程</w:t>
            </w:r>
          </w:p>
          <w:p>
            <w:pPr>
              <w:pStyle w:val="22"/>
              <w:adjustRightInd w:val="0"/>
              <w:ind w:firstLine="480" w:firstLineChars="200"/>
              <w:jc w:val="both"/>
              <w:rPr>
                <w:bCs/>
                <w:color w:val="000000" w:themeColor="text1"/>
                <w14:textFill>
                  <w14:solidFill>
                    <w14:schemeClr w14:val="tx1"/>
                  </w14:solidFill>
                </w14:textFill>
              </w:rPr>
            </w:pPr>
            <w:r>
              <w:rPr>
                <w:color w:val="000000" w:themeColor="text1"/>
                <w:sz w:val="24"/>
                <w:szCs w:val="24"/>
                <w14:textFill>
                  <w14:solidFill>
                    <w14:schemeClr w14:val="tx1"/>
                  </w14:solidFill>
                </w14:textFill>
              </w:rPr>
              <w:t>本项目</w:t>
            </w:r>
            <w:r>
              <w:rPr>
                <w:rFonts w:hint="eastAsia"/>
                <w:color w:val="000000" w:themeColor="text1"/>
                <w:sz w:val="24"/>
                <w:szCs w:val="24"/>
                <w14:textFill>
                  <w14:solidFill>
                    <w14:schemeClr w14:val="tx1"/>
                  </w14:solidFill>
                </w14:textFill>
              </w:rPr>
              <w:t>仅</w:t>
            </w:r>
            <w:r>
              <w:rPr>
                <w:color w:val="000000" w:themeColor="text1"/>
                <w:sz w:val="24"/>
                <w:szCs w:val="24"/>
                <w14:textFill>
                  <w14:solidFill>
                    <w14:schemeClr w14:val="tx1"/>
                  </w14:solidFill>
                </w14:textFill>
              </w:rPr>
              <w:t>设置</w:t>
            </w:r>
            <w:r>
              <w:rPr>
                <w:rFonts w:hint="eastAsia"/>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条生产线，</w:t>
            </w:r>
            <w:r>
              <w:rPr>
                <w:rFonts w:hint="eastAsia"/>
                <w:color w:val="000000" w:themeColor="text1"/>
                <w:sz w:val="24"/>
                <w:szCs w:val="24"/>
                <w14:textFill>
                  <w14:solidFill>
                    <w14:schemeClr w14:val="tx1"/>
                  </w14:solidFill>
                </w14:textFill>
              </w:rPr>
              <w:t>1条生产线</w:t>
            </w:r>
            <w:r>
              <w:rPr>
                <w:color w:val="000000" w:themeColor="text1"/>
                <w:sz w:val="24"/>
                <w:szCs w:val="24"/>
                <w14:textFill>
                  <w14:solidFill>
                    <w14:schemeClr w14:val="tx1"/>
                  </w14:solidFill>
                </w14:textFill>
              </w:rPr>
              <w:t>主要进行</w:t>
            </w:r>
            <w:r>
              <w:rPr>
                <w:rFonts w:hint="eastAsia"/>
                <w:color w:val="000000" w:themeColor="text1"/>
                <w:sz w:val="24"/>
                <w:szCs w:val="24"/>
                <w14:textFill>
                  <w14:solidFill>
                    <w14:schemeClr w14:val="tx1"/>
                  </w14:solidFill>
                </w14:textFill>
              </w:rPr>
              <w:t>湿喷台车组装生产，另外1条生产线主要对旧车进行修理。</w:t>
            </w:r>
          </w:p>
          <w:p>
            <w:pPr>
              <w:pStyle w:val="22"/>
              <w:adjustRightInd w:val="0"/>
              <w:ind w:firstLine="480" w:firstLineChars="200"/>
              <w:jc w:val="both"/>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具体工艺流程如下。</w:t>
            </w:r>
          </w:p>
          <w:p>
            <w:pPr>
              <w:pStyle w:val="22"/>
              <w:adjustRightInd w:val="0"/>
              <w:ind w:firstLine="482" w:firstLineChars="200"/>
              <w:jc w:val="both"/>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1、湿喷台车组装生产工艺流程</w:t>
            </w:r>
          </w:p>
          <w:p>
            <w:pPr>
              <w:pStyle w:val="22"/>
              <w:adjustRightInd w:val="0"/>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object>
                <v:shape id="_x0000_i1026" o:spt="75" type="#_x0000_t75" style="height:275.85pt;width:401.4pt;" o:ole="t" filled="f" o:preferrelative="t" stroked="f" coordsize="21600,21600">
                  <v:path/>
                  <v:fill on="f" focussize="0,0"/>
                  <v:stroke on="f" joinstyle="miter"/>
                  <v:imagedata r:id="rId23" o:title=""/>
                  <o:lock v:ext="edit" aspectratio="t"/>
                  <w10:wrap type="none"/>
                  <w10:anchorlock/>
                </v:shape>
                <o:OLEObject Type="Embed" ProgID="Visio.Drawing.15" ShapeID="_x0000_i1026" DrawAspect="Content" ObjectID="_1468075726" r:id="rId22">
                  <o:LockedField>false</o:LockedField>
                </o:OLEObject>
              </w:object>
            </w:r>
          </w:p>
          <w:p>
            <w:pPr>
              <w:pStyle w:val="22"/>
              <w:adjustRightInd w:val="0"/>
              <w:spacing w:line="240" w:lineRule="auto"/>
              <w:jc w:val="center"/>
              <w:rPr>
                <w:color w:val="000000" w:themeColor="text1"/>
                <w14:textFill>
                  <w14:solidFill>
                    <w14:schemeClr w14:val="tx1"/>
                  </w14:solidFill>
                </w14:textFill>
              </w:rPr>
            </w:pPr>
            <w:r>
              <w:rPr>
                <w:b/>
                <w:bCs/>
                <w:snapToGrid w:val="0"/>
                <w:color w:val="000000" w:themeColor="text1"/>
                <w:sz w:val="24"/>
                <w:szCs w:val="21"/>
                <w14:textFill>
                  <w14:solidFill>
                    <w14:schemeClr w14:val="tx1"/>
                  </w14:solidFill>
                </w14:textFill>
              </w:rPr>
              <w:t>图2-</w:t>
            </w:r>
            <w:r>
              <w:rPr>
                <w:rFonts w:hint="eastAsia"/>
                <w:b/>
                <w:bCs/>
                <w:snapToGrid w:val="0"/>
                <w:color w:val="000000" w:themeColor="text1"/>
                <w:sz w:val="24"/>
                <w:szCs w:val="21"/>
                <w14:textFill>
                  <w14:solidFill>
                    <w14:schemeClr w14:val="tx1"/>
                  </w14:solidFill>
                </w14:textFill>
              </w:rPr>
              <w:t>2</w:t>
            </w:r>
            <w:r>
              <w:rPr>
                <w:b/>
                <w:bCs/>
                <w:snapToGrid w:val="0"/>
                <w:color w:val="000000" w:themeColor="text1"/>
                <w:sz w:val="24"/>
                <w:szCs w:val="21"/>
                <w14:textFill>
                  <w14:solidFill>
                    <w14:schemeClr w14:val="tx1"/>
                  </w14:solidFill>
                </w14:textFill>
              </w:rPr>
              <w:t xml:space="preserve">   </w:t>
            </w:r>
            <w:r>
              <w:rPr>
                <w:rFonts w:hint="eastAsia"/>
                <w:b/>
                <w:bCs/>
                <w:color w:val="000000" w:themeColor="text1"/>
                <w:sz w:val="24"/>
                <w:szCs w:val="24"/>
                <w14:textFill>
                  <w14:solidFill>
                    <w14:schemeClr w14:val="tx1"/>
                  </w14:solidFill>
                </w14:textFill>
              </w:rPr>
              <w:t>湿喷台车组装生产工艺流程</w:t>
            </w:r>
            <w:r>
              <w:rPr>
                <w:b/>
                <w:bCs/>
                <w:snapToGrid w:val="0"/>
                <w:color w:val="000000" w:themeColor="text1"/>
                <w:sz w:val="24"/>
                <w:szCs w:val="21"/>
                <w14:textFill>
                  <w14:solidFill>
                    <w14:schemeClr w14:val="tx1"/>
                  </w14:solidFill>
                </w14:textFill>
              </w:rPr>
              <w:t>及产污节点图</w:t>
            </w:r>
          </w:p>
          <w:p>
            <w:pPr>
              <w:pStyle w:val="22"/>
              <w:adjustRightInd w:val="0"/>
              <w:ind w:firstLine="482" w:firstLineChars="200"/>
              <w:jc w:val="both"/>
              <w:rPr>
                <w:rStyle w:val="35"/>
                <w:color w:val="000000" w:themeColor="text1"/>
                <w14:textFill>
                  <w14:solidFill>
                    <w14:schemeClr w14:val="tx1"/>
                  </w14:solidFill>
                </w14:textFill>
              </w:rPr>
            </w:pPr>
            <w:r>
              <w:rPr>
                <w:b/>
                <w:bCs/>
                <w:color w:val="000000" w:themeColor="text1"/>
                <w:sz w:val="24"/>
                <w:szCs w:val="24"/>
                <w14:textFill>
                  <w14:solidFill>
                    <w14:schemeClr w14:val="tx1"/>
                  </w14:solidFill>
                </w14:textFill>
              </w:rPr>
              <w:t>生产工序简述：</w:t>
            </w:r>
          </w:p>
          <w:p>
            <w:pPr>
              <w:pStyle w:val="22"/>
              <w:numPr>
                <w:ilvl w:val="0"/>
                <w:numId w:val="11"/>
              </w:numPr>
              <w:adjustRightInd w:val="0"/>
              <w:ind w:firstLine="482" w:firstLineChars="200"/>
              <w:jc w:val="both"/>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部件装配</w:t>
            </w:r>
          </w:p>
          <w:p>
            <w:pPr>
              <w:pStyle w:val="22"/>
              <w:adjustRightInd w:val="0"/>
              <w:ind w:firstLine="480" w:firstLineChars="200"/>
              <w:jc w:val="both"/>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将整机零部件、液压系统、控制系统进行装配，整机零部件均采用外购及外协加工的模式进行，零部件进场均为成品状态。</w:t>
            </w:r>
          </w:p>
          <w:p>
            <w:pPr>
              <w:pStyle w:val="22"/>
              <w:adjustRightInd w:val="0"/>
              <w:ind w:firstLine="482" w:firstLineChars="200"/>
              <w:jc w:val="both"/>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污染物：</w:t>
            </w:r>
            <w:r>
              <w:rPr>
                <w:color w:val="000000" w:themeColor="text1"/>
                <w:sz w:val="24"/>
                <w:szCs w:val="24"/>
                <w14:textFill>
                  <w14:solidFill>
                    <w14:schemeClr w14:val="tx1"/>
                  </w14:solidFill>
                </w14:textFill>
              </w:rPr>
              <w:t>该工序产生的污染物主要为噪声。</w:t>
            </w:r>
          </w:p>
          <w:p>
            <w:pPr>
              <w:pStyle w:val="22"/>
              <w:numPr>
                <w:ilvl w:val="0"/>
                <w:numId w:val="11"/>
              </w:numPr>
              <w:adjustRightInd w:val="0"/>
              <w:ind w:firstLine="482" w:firstLineChars="200"/>
              <w:jc w:val="both"/>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焊接</w:t>
            </w:r>
          </w:p>
          <w:p>
            <w:pPr>
              <w:pStyle w:val="22"/>
              <w:adjustRightInd w:val="0"/>
              <w:ind w:firstLine="480" w:firstLineChars="200"/>
              <w:jc w:val="both"/>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零部件外购进来均预留好组装位置，只有少部分与预留口位置不符或部分需要改动，此环节主要</w:t>
            </w:r>
            <w:r>
              <w:rPr>
                <w:color w:val="000000" w:themeColor="text1"/>
                <w:sz w:val="24"/>
                <w:szCs w:val="24"/>
                <w14:textFill>
                  <w14:solidFill>
                    <w14:schemeClr w14:val="tx1"/>
                  </w14:solidFill>
                </w14:textFill>
              </w:rPr>
              <w:t>将组装</w:t>
            </w:r>
            <w:r>
              <w:rPr>
                <w:rFonts w:hint="eastAsia"/>
                <w:color w:val="000000" w:themeColor="text1"/>
                <w:sz w:val="24"/>
                <w:szCs w:val="24"/>
                <w14:textFill>
                  <w14:solidFill>
                    <w14:schemeClr w14:val="tx1"/>
                  </w14:solidFill>
                </w14:textFill>
              </w:rPr>
              <w:t>好的机械</w:t>
            </w:r>
            <w:r>
              <w:rPr>
                <w:color w:val="000000" w:themeColor="text1"/>
                <w:sz w:val="24"/>
                <w:szCs w:val="24"/>
                <w14:textFill>
                  <w14:solidFill>
                    <w14:schemeClr w14:val="tx1"/>
                  </w14:solidFill>
                </w14:textFill>
              </w:rPr>
              <w:t>使用二氧化碳</w:t>
            </w:r>
            <w:r>
              <w:rPr>
                <w:rFonts w:hint="eastAsia"/>
                <w:color w:val="000000" w:themeColor="text1"/>
                <w:sz w:val="24"/>
                <w:szCs w:val="24"/>
                <w14:textFill>
                  <w14:solidFill>
                    <w14:schemeClr w14:val="tx1"/>
                  </w14:solidFill>
                </w14:textFill>
              </w:rPr>
              <w:t>焊机、氩弧焊机等进行局部焊接固定</w:t>
            </w:r>
            <w:r>
              <w:rPr>
                <w:color w:val="000000" w:themeColor="text1"/>
                <w:sz w:val="24"/>
                <w:szCs w:val="24"/>
                <w14:textFill>
                  <w14:solidFill>
                    <w14:schemeClr w14:val="tx1"/>
                  </w14:solidFill>
                </w14:textFill>
              </w:rPr>
              <w:t>。</w:t>
            </w:r>
          </w:p>
          <w:p>
            <w:pPr>
              <w:pStyle w:val="22"/>
              <w:adjustRightInd w:val="0"/>
              <w:ind w:firstLine="482" w:firstLineChars="200"/>
              <w:jc w:val="both"/>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污染物：</w:t>
            </w:r>
            <w:r>
              <w:rPr>
                <w:color w:val="000000" w:themeColor="text1"/>
                <w:sz w:val="24"/>
                <w:szCs w:val="24"/>
                <w14:textFill>
                  <w14:solidFill>
                    <w14:schemeClr w14:val="tx1"/>
                  </w14:solidFill>
                </w14:textFill>
              </w:rPr>
              <w:t>该工序产生的污染物主要为焊接烟尘、噪声、焊渣。</w:t>
            </w:r>
            <w:r>
              <w:rPr>
                <w:rFonts w:hint="eastAsia"/>
                <w:color w:val="000000" w:themeColor="text1"/>
                <w:sz w:val="24"/>
                <w:szCs w:val="24"/>
                <w14:textFill>
                  <w14:solidFill>
                    <w14:schemeClr w14:val="tx1"/>
                  </w14:solidFill>
                </w14:textFill>
              </w:rPr>
              <w:t>焊接烟尘量较小，经移动式焊接烟尘净化器净化后呈无组织排放。</w:t>
            </w:r>
          </w:p>
          <w:p>
            <w:pPr>
              <w:pStyle w:val="22"/>
              <w:adjustRightInd w:val="0"/>
              <w:ind w:firstLine="482" w:firstLineChars="200"/>
              <w:jc w:val="both"/>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（3）装油</w:t>
            </w:r>
          </w:p>
          <w:p>
            <w:pPr>
              <w:pStyle w:val="22"/>
              <w:adjustRightInd w:val="0"/>
              <w:ind w:firstLine="480" w:firstLineChars="200"/>
              <w:jc w:val="both"/>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产品焊接后按顺序加上液压油、柴油，此部分加油由液压泵将桶装液压油、柴油抽到台车中。</w:t>
            </w:r>
          </w:p>
          <w:p>
            <w:pPr>
              <w:pStyle w:val="22"/>
              <w:adjustRightInd w:val="0"/>
              <w:ind w:firstLine="482" w:firstLineChars="200"/>
              <w:jc w:val="both"/>
              <w:rPr>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污染物：</w:t>
            </w:r>
            <w:r>
              <w:rPr>
                <w:rFonts w:hint="eastAsia"/>
                <w:color w:val="000000" w:themeColor="text1"/>
                <w:sz w:val="24"/>
                <w:szCs w:val="24"/>
                <w14:textFill>
                  <w14:solidFill>
                    <w14:schemeClr w14:val="tx1"/>
                  </w14:solidFill>
                </w14:textFill>
              </w:rPr>
              <w:t>该工段产生的污染物主要为有机废气，呈无组织排放。</w:t>
            </w:r>
          </w:p>
          <w:p>
            <w:pPr>
              <w:pStyle w:val="22"/>
              <w:adjustRightInd w:val="0"/>
              <w:ind w:left="480" w:leftChars="200"/>
              <w:jc w:val="both"/>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（4）调试</w:t>
            </w:r>
          </w:p>
          <w:p>
            <w:pPr>
              <w:pStyle w:val="22"/>
              <w:adjustRightInd w:val="0"/>
              <w:ind w:firstLine="480" w:firstLineChars="200"/>
              <w:jc w:val="both"/>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台车装好油后基本可以运行，由专业工作人员在厂区内进行调试，此部分调试主要是对液压系统、控制系统进行调试，无污染物产生。</w:t>
            </w:r>
          </w:p>
          <w:p>
            <w:pPr>
              <w:pStyle w:val="22"/>
              <w:adjustRightInd w:val="0"/>
              <w:ind w:firstLine="482" w:firstLineChars="200"/>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（5）刷漆</w:t>
            </w:r>
          </w:p>
          <w:p>
            <w:pPr>
              <w:pStyle w:val="22"/>
              <w:adjustRightInd w:val="0"/>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零部件在运输、组装过程中会发生局部破损，对局部破损，掉漆的地方进行补漆，需补漆的地方较少。刷漆之前无需进行打磨。</w:t>
            </w:r>
          </w:p>
          <w:p>
            <w:pPr>
              <w:pStyle w:val="22"/>
              <w:adjustRightInd w:val="0"/>
              <w:ind w:firstLine="482" w:firstLineChars="200"/>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污染物：</w:t>
            </w:r>
            <w:r>
              <w:rPr>
                <w:color w:val="000000" w:themeColor="text1"/>
                <w:sz w:val="24"/>
                <w:szCs w:val="24"/>
                <w14:textFill>
                  <w14:solidFill>
                    <w14:schemeClr w14:val="tx1"/>
                  </w14:solidFill>
                </w14:textFill>
              </w:rPr>
              <w:t>该工序产生的污染物主要为有机废气，以及废漆桶等。</w:t>
            </w:r>
            <w:r>
              <w:rPr>
                <w:rFonts w:hint="eastAsia"/>
                <w:color w:val="000000" w:themeColor="text1"/>
                <w:sz w:val="24"/>
                <w:szCs w:val="24"/>
                <w14:textFill>
                  <w14:solidFill>
                    <w14:schemeClr w14:val="tx1"/>
                  </w14:solidFill>
                </w14:textFill>
              </w:rPr>
              <w:t>刷漆工段产生有机废气通过设置移动式集气罩，采用过滤棉+活性炭吸附后，通过15米高排气筒排放。</w:t>
            </w:r>
          </w:p>
          <w:p>
            <w:pPr>
              <w:pStyle w:val="22"/>
              <w:adjustRightInd w:val="0"/>
              <w:ind w:firstLine="482" w:firstLineChars="200"/>
              <w:jc w:val="both"/>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（6）喷logo</w:t>
            </w:r>
          </w:p>
          <w:p>
            <w:pPr>
              <w:pStyle w:val="22"/>
              <w:adjustRightInd w:val="0"/>
              <w:ind w:firstLine="480" w:firstLineChars="200"/>
              <w:jc w:val="both"/>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此工段为出厂前最后一个工段，在产品适当位置，喷上公司logo后出厂。</w:t>
            </w:r>
          </w:p>
          <w:p>
            <w:pPr>
              <w:pStyle w:val="22"/>
              <w:adjustRightInd w:val="0"/>
              <w:ind w:firstLine="482" w:firstLineChars="200"/>
              <w:rPr>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污染物：</w:t>
            </w:r>
            <w:r>
              <w:rPr>
                <w:rFonts w:hint="eastAsia"/>
                <w:color w:val="000000" w:themeColor="text1"/>
                <w:sz w:val="24"/>
                <w:szCs w:val="24"/>
                <w14:textFill>
                  <w14:solidFill>
                    <w14:schemeClr w14:val="tx1"/>
                  </w14:solidFill>
                </w14:textFill>
              </w:rPr>
              <w:t>该工段产生的污染物主要为有机废气、颗粒物以及废漆瓶，产生有机废气、漆雾通过设置移动式集气罩，采用过滤棉+活性炭吸附后，通过15米高排气筒排放。</w:t>
            </w:r>
          </w:p>
          <w:p>
            <w:pPr>
              <w:pStyle w:val="22"/>
              <w:adjustRightInd w:val="0"/>
              <w:ind w:firstLine="482" w:firstLineChars="200"/>
              <w:jc w:val="both"/>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（7）</w:t>
            </w:r>
            <w:r>
              <w:rPr>
                <w:b/>
                <w:bCs/>
                <w:color w:val="000000" w:themeColor="text1"/>
                <w:sz w:val="24"/>
                <w:szCs w:val="24"/>
                <w14:textFill>
                  <w14:solidFill>
                    <w14:schemeClr w14:val="tx1"/>
                  </w14:solidFill>
                </w14:textFill>
              </w:rPr>
              <w:t>检验</w:t>
            </w:r>
          </w:p>
          <w:p>
            <w:pPr>
              <w:pStyle w:val="22"/>
              <w:adjustRightInd w:val="0"/>
              <w:ind w:firstLine="480" w:firstLineChars="200"/>
              <w:jc w:val="both"/>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对组装成形的机械</w:t>
            </w:r>
            <w:r>
              <w:rPr>
                <w:color w:val="000000" w:themeColor="text1"/>
                <w:sz w:val="24"/>
                <w:szCs w:val="24"/>
                <w14:textFill>
                  <w14:solidFill>
                    <w14:schemeClr w14:val="tx1"/>
                  </w14:solidFill>
                </w14:textFill>
              </w:rPr>
              <w:t>进行检验，检验主要为探伤、外形、焊缝、漆膜厚度、均匀度等检验，均为物理检验。检验有问题的产</w:t>
            </w:r>
            <w:r>
              <w:rPr>
                <w:rFonts w:hint="eastAsia"/>
                <w:color w:val="000000" w:themeColor="text1"/>
                <w:sz w:val="24"/>
                <w:szCs w:val="24"/>
                <w14:textFill>
                  <w14:solidFill>
                    <w14:schemeClr w14:val="tx1"/>
                  </w14:solidFill>
                </w14:textFill>
              </w:rPr>
              <w:t>品</w:t>
            </w:r>
            <w:r>
              <w:rPr>
                <w:color w:val="000000" w:themeColor="text1"/>
                <w:sz w:val="24"/>
                <w:szCs w:val="24"/>
                <w14:textFill>
                  <w14:solidFill>
                    <w14:schemeClr w14:val="tx1"/>
                  </w14:solidFill>
                </w14:textFill>
              </w:rPr>
              <w:t>重新进行矫正、补焊、喷漆等，合格的即为产品。</w:t>
            </w:r>
          </w:p>
          <w:p>
            <w:pPr>
              <w:pStyle w:val="22"/>
              <w:adjustRightInd w:val="0"/>
              <w:ind w:firstLine="482" w:firstLineChars="200"/>
              <w:jc w:val="both"/>
              <w:rPr>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污染物：</w:t>
            </w:r>
            <w:r>
              <w:rPr>
                <w:color w:val="000000" w:themeColor="text1"/>
                <w:sz w:val="24"/>
                <w:szCs w:val="24"/>
                <w14:textFill>
                  <w14:solidFill>
                    <w14:schemeClr w14:val="tx1"/>
                  </w14:solidFill>
                </w14:textFill>
              </w:rPr>
              <w:t>该工序不产生污染物。</w:t>
            </w:r>
          </w:p>
          <w:p>
            <w:pPr>
              <w:pStyle w:val="22"/>
              <w:numPr>
                <w:ilvl w:val="0"/>
                <w:numId w:val="4"/>
              </w:numPr>
              <w:adjustRightInd w:val="0"/>
              <w:ind w:firstLine="482" w:firstLineChars="200"/>
              <w:jc w:val="both"/>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旧车修理工艺流程</w:t>
            </w:r>
          </w:p>
          <w:p>
            <w:pPr>
              <w:pStyle w:val="22"/>
              <w:adjustRightInd w:val="0"/>
              <w:jc w:val="both"/>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object>
                <v:shape id="_x0000_i1027" o:spt="75" type="#_x0000_t75" style="height:501.3pt;width:429.75pt;" o:ole="t" filled="f" o:preferrelative="t" stroked="f" coordsize="21600,21600">
                  <v:path/>
                  <v:fill on="f" focussize="0,0"/>
                  <v:stroke on="f" joinstyle="miter"/>
                  <v:imagedata r:id="rId25" o:title=""/>
                  <o:lock v:ext="edit" aspectratio="t"/>
                  <w10:wrap type="none"/>
                  <w10:anchorlock/>
                </v:shape>
                <o:OLEObject Type="Embed" ProgID="Visio.Drawing.15" ShapeID="_x0000_i1027" DrawAspect="Content" ObjectID="_1468075727" r:id="rId24">
                  <o:LockedField>false</o:LockedField>
                </o:OLEObject>
              </w:object>
            </w:r>
          </w:p>
          <w:p>
            <w:pPr>
              <w:pStyle w:val="22"/>
              <w:adjustRightInd w:val="0"/>
              <w:ind w:left="480" w:leftChars="200"/>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图2-3 旧车修理工艺流程及产污节点图</w:t>
            </w:r>
          </w:p>
          <w:p>
            <w:pPr>
              <w:pStyle w:val="22"/>
              <w:adjustRightInd w:val="0"/>
              <w:ind w:left="480" w:leftChars="200"/>
              <w:jc w:val="both"/>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生产工序简述：</w:t>
            </w:r>
          </w:p>
          <w:p>
            <w:pPr>
              <w:pStyle w:val="22"/>
              <w:adjustRightInd w:val="0"/>
              <w:ind w:firstLine="480" w:firstLineChars="200"/>
              <w:jc w:val="both"/>
              <w:rPr>
                <w:color w:val="000000" w:themeColor="text1"/>
                <w:sz w:val="24"/>
                <w:szCs w:val="24"/>
                <w:highlight w:val="yellow"/>
                <w14:textFill>
                  <w14:solidFill>
                    <w14:schemeClr w14:val="tx1"/>
                  </w14:solidFill>
                </w14:textFill>
              </w:rPr>
            </w:pPr>
            <w:r>
              <w:rPr>
                <w:rFonts w:hint="eastAsia"/>
                <w:color w:val="000000" w:themeColor="text1"/>
                <w:sz w:val="24"/>
                <w:szCs w:val="24"/>
                <w14:textFill>
                  <w14:solidFill>
                    <w14:schemeClr w14:val="tx1"/>
                  </w14:solidFill>
                </w14:textFill>
              </w:rPr>
              <w:t>本项目旧车进厂后需将旧车进行检查、修理后组装，旧车修理过程中不涉及洗车，只涉及更换部分小零件，轮胎、电池等均为外购成品件厂家进行售后服务，不在厂区内进行维修、更换、暂存。</w:t>
            </w:r>
          </w:p>
          <w:p>
            <w:pPr>
              <w:pStyle w:val="22"/>
              <w:numPr>
                <w:ilvl w:val="0"/>
                <w:numId w:val="12"/>
              </w:numPr>
              <w:adjustRightInd w:val="0"/>
              <w:ind w:firstLine="482" w:firstLineChars="200"/>
              <w:jc w:val="both"/>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旧车拆分</w:t>
            </w:r>
          </w:p>
          <w:p>
            <w:pPr>
              <w:pStyle w:val="22"/>
              <w:adjustRightInd w:val="0"/>
              <w:ind w:firstLine="480" w:firstLineChars="200"/>
              <w:jc w:val="both"/>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旧车在使用过程中会发生故障，通常由专业技术人员进行现场维修，维修不了的返回至厂中，回到厂中的旧车需要拆卸后进行检查，如果是发动机、变速箱、铅蓄电池、废机油格、</w:t>
            </w:r>
            <w:r>
              <w:rPr>
                <w:color w:val="000000" w:themeColor="text1"/>
                <w:sz w:val="24"/>
                <w:szCs w:val="24"/>
                <w14:textFill>
                  <w14:solidFill>
                    <w14:schemeClr w14:val="tx1"/>
                  </w14:solidFill>
                </w14:textFill>
              </w:rPr>
              <w:t>废</w:t>
            </w:r>
            <w:r>
              <w:rPr>
                <w:rFonts w:hint="eastAsia"/>
                <w:color w:val="000000" w:themeColor="text1"/>
                <w:sz w:val="24"/>
                <w:szCs w:val="24"/>
                <w14:textFill>
                  <w14:solidFill>
                    <w14:schemeClr w14:val="tx1"/>
                  </w14:solidFill>
                </w14:textFill>
              </w:rPr>
              <w:t>电子元件等构件发生故障，则返回供应商厂家进行维修或是更换。</w:t>
            </w:r>
          </w:p>
          <w:p>
            <w:pPr>
              <w:pStyle w:val="22"/>
              <w:adjustRightInd w:val="0"/>
              <w:ind w:left="480" w:leftChars="200"/>
              <w:jc w:val="both"/>
              <w:rPr>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污染物：</w:t>
            </w:r>
            <w:r>
              <w:rPr>
                <w:rFonts w:hint="eastAsia"/>
                <w:color w:val="000000" w:themeColor="text1"/>
                <w:sz w:val="24"/>
                <w:szCs w:val="24"/>
                <w14:textFill>
                  <w14:solidFill>
                    <w14:schemeClr w14:val="tx1"/>
                  </w14:solidFill>
                </w14:textFill>
              </w:rPr>
              <w:t>此工段产生的污染物主要为旧车携带的废混凝土、噪声。</w:t>
            </w:r>
          </w:p>
          <w:p>
            <w:pPr>
              <w:pStyle w:val="22"/>
              <w:numPr>
                <w:ilvl w:val="0"/>
                <w:numId w:val="12"/>
              </w:numPr>
              <w:adjustRightInd w:val="0"/>
              <w:ind w:firstLine="482" w:firstLineChars="200"/>
              <w:jc w:val="both"/>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洗管</w:t>
            </w:r>
          </w:p>
          <w:p>
            <w:pPr>
              <w:pStyle w:val="22"/>
              <w:adjustRightInd w:val="0"/>
              <w:ind w:firstLine="480" w:firstLineChars="200"/>
              <w:jc w:val="both"/>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台车在使用过程中由于操作不当、环境因素等各个因素，将导致管道局部堵塞，以至于台车发生故障，此工段为用洁净的柴油清洗、疏通堵塞的管道，使用后的柴油经滤油机过滤后可再次用于洗管，滤油机不用水清洗。</w:t>
            </w:r>
          </w:p>
          <w:p>
            <w:pPr>
              <w:pStyle w:val="22"/>
              <w:adjustRightInd w:val="0"/>
              <w:ind w:left="480" w:leftChars="200"/>
              <w:jc w:val="both"/>
              <w:rPr>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污染物：</w:t>
            </w:r>
            <w:r>
              <w:rPr>
                <w:rFonts w:hint="eastAsia"/>
                <w:color w:val="000000" w:themeColor="text1"/>
                <w:sz w:val="24"/>
                <w:szCs w:val="24"/>
                <w14:textFill>
                  <w14:solidFill>
                    <w14:schemeClr w14:val="tx1"/>
                  </w14:solidFill>
                </w14:textFill>
              </w:rPr>
              <w:t>废柴油。</w:t>
            </w:r>
          </w:p>
          <w:p>
            <w:pPr>
              <w:pStyle w:val="22"/>
              <w:numPr>
                <w:ilvl w:val="0"/>
                <w:numId w:val="12"/>
              </w:numPr>
              <w:adjustRightInd w:val="0"/>
              <w:ind w:firstLine="482" w:firstLineChars="200"/>
              <w:jc w:val="both"/>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零件拆解</w:t>
            </w:r>
          </w:p>
          <w:p>
            <w:pPr>
              <w:pStyle w:val="22"/>
              <w:adjustRightInd w:val="0"/>
              <w:ind w:firstLine="480" w:firstLineChars="200"/>
              <w:jc w:val="both"/>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洗管后的旧车若依旧不能正常运行，将进行进一步的拆解，此工段为对旧车上零件、配件进行拆解，拆解后对零配件、电路进行检查。</w:t>
            </w:r>
          </w:p>
          <w:p>
            <w:pPr>
              <w:pStyle w:val="22"/>
              <w:adjustRightInd w:val="0"/>
              <w:ind w:firstLine="482" w:firstLineChars="200"/>
              <w:jc w:val="both"/>
              <w:rPr>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污染物：</w:t>
            </w:r>
            <w:r>
              <w:rPr>
                <w:rFonts w:hint="eastAsia"/>
                <w:color w:val="000000" w:themeColor="text1"/>
                <w:sz w:val="24"/>
                <w:szCs w:val="24"/>
                <w14:textFill>
                  <w14:solidFill>
                    <w14:schemeClr w14:val="tx1"/>
                  </w14:solidFill>
                </w14:textFill>
              </w:rPr>
              <w:t>此工段产生的污染物主要为零件拆解过程中携带的废矿机油、废液压油以及噪声。</w:t>
            </w:r>
          </w:p>
          <w:p>
            <w:pPr>
              <w:pStyle w:val="22"/>
              <w:numPr>
                <w:ilvl w:val="0"/>
                <w:numId w:val="12"/>
              </w:numPr>
              <w:adjustRightInd w:val="0"/>
              <w:ind w:firstLine="482" w:firstLineChars="200"/>
              <w:jc w:val="both"/>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零件检修</w:t>
            </w:r>
          </w:p>
          <w:p>
            <w:pPr>
              <w:pStyle w:val="22"/>
              <w:adjustRightInd w:val="0"/>
              <w:ind w:firstLine="480" w:firstLineChars="200"/>
              <w:jc w:val="both"/>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1）对旧车拆解下来的小件零件进行检修、此工段包括焊接、切割等，如出现较大故障则返回厂家进行检修或者更换，零件检修过程中不进行更换电池、轮胎等。</w:t>
            </w:r>
          </w:p>
          <w:p>
            <w:pPr>
              <w:pStyle w:val="22"/>
              <w:adjustRightInd w:val="0"/>
              <w:ind w:left="480" w:leftChars="200"/>
              <w:jc w:val="both"/>
              <w:rPr>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污染物：</w:t>
            </w:r>
            <w:r>
              <w:rPr>
                <w:rFonts w:hint="eastAsia"/>
                <w:color w:val="000000" w:themeColor="text1"/>
                <w:sz w:val="24"/>
                <w:szCs w:val="24"/>
                <w14:textFill>
                  <w14:solidFill>
                    <w14:schemeClr w14:val="tx1"/>
                  </w14:solidFill>
                </w14:textFill>
              </w:rPr>
              <w:t>此工段产生的污染物主要为废旧小件零件、颗粒物以及噪声。</w:t>
            </w:r>
          </w:p>
          <w:p>
            <w:pPr>
              <w:ind w:firstLine="480" w:firstLineChars="20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）零部件更换</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对拆卸后的部件进行检查，如需要更换的换用新的零部件，旧的部件由客户带走或交由厂家回收利用。</w:t>
            </w:r>
          </w:p>
          <w:p>
            <w:pPr>
              <w:pStyle w:val="22"/>
              <w:numPr>
                <w:ilvl w:val="0"/>
                <w:numId w:val="12"/>
              </w:numPr>
              <w:adjustRightInd w:val="0"/>
              <w:ind w:firstLine="482" w:firstLineChars="200"/>
              <w:jc w:val="both"/>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总成装配试验</w:t>
            </w:r>
          </w:p>
          <w:p>
            <w:pPr>
              <w:pStyle w:val="22"/>
              <w:adjustRightInd w:val="0"/>
              <w:ind w:left="480" w:leftChars="200"/>
              <w:jc w:val="both"/>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对检修好的零配件进行组装。</w:t>
            </w:r>
          </w:p>
          <w:p>
            <w:pPr>
              <w:pStyle w:val="22"/>
              <w:adjustRightInd w:val="0"/>
              <w:ind w:firstLine="482" w:firstLineChars="200"/>
              <w:jc w:val="both"/>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（6）外观翻新</w:t>
            </w:r>
          </w:p>
          <w:p>
            <w:pPr>
              <w:pStyle w:val="22"/>
              <w:adjustRightInd w:val="0"/>
              <w:ind w:firstLine="480" w:firstLineChars="200"/>
              <w:jc w:val="both"/>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主要对返回厂家的台车表面携带的大块、较为明显的混凝土进行去除，此工段主要用铁锤进行敲击。</w:t>
            </w:r>
          </w:p>
          <w:p>
            <w:pPr>
              <w:pStyle w:val="22"/>
              <w:adjustRightInd w:val="0"/>
              <w:ind w:left="480" w:leftChars="200"/>
              <w:jc w:val="both"/>
              <w:rPr>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污染物：</w:t>
            </w:r>
            <w:r>
              <w:rPr>
                <w:rFonts w:hint="eastAsia"/>
                <w:color w:val="000000" w:themeColor="text1"/>
                <w:sz w:val="24"/>
                <w:szCs w:val="24"/>
                <w14:textFill>
                  <w14:solidFill>
                    <w14:schemeClr w14:val="tx1"/>
                  </w14:solidFill>
                </w14:textFill>
              </w:rPr>
              <w:t>此工段产生的污染物主要为废混凝土块、粉尘。</w:t>
            </w:r>
          </w:p>
          <w:p>
            <w:pPr>
              <w:pStyle w:val="22"/>
              <w:adjustRightInd w:val="0"/>
              <w:ind w:firstLine="482" w:firstLineChars="200"/>
              <w:jc w:val="both"/>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（7）装油</w:t>
            </w:r>
          </w:p>
          <w:p>
            <w:pPr>
              <w:pStyle w:val="22"/>
              <w:adjustRightInd w:val="0"/>
              <w:ind w:firstLine="480" w:firstLineChars="200"/>
              <w:jc w:val="both"/>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检验合格的产品装上液压油、柴油。</w:t>
            </w:r>
          </w:p>
          <w:p>
            <w:pPr>
              <w:pStyle w:val="22"/>
              <w:adjustRightInd w:val="0"/>
              <w:ind w:left="480" w:leftChars="200"/>
              <w:jc w:val="both"/>
              <w:rPr>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污染物：</w:t>
            </w:r>
            <w:r>
              <w:rPr>
                <w:rFonts w:hint="eastAsia"/>
                <w:color w:val="000000" w:themeColor="text1"/>
                <w:sz w:val="24"/>
                <w:szCs w:val="24"/>
                <w14:textFill>
                  <w14:solidFill>
                    <w14:schemeClr w14:val="tx1"/>
                  </w14:solidFill>
                </w14:textFill>
              </w:rPr>
              <w:t>该工段产生的污染物主要为有机废气，呈无组织排放。</w:t>
            </w:r>
          </w:p>
          <w:p>
            <w:pPr>
              <w:pStyle w:val="22"/>
              <w:adjustRightInd w:val="0"/>
              <w:ind w:left="480" w:leftChars="200"/>
              <w:jc w:val="both"/>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（8）总车试验</w:t>
            </w:r>
          </w:p>
          <w:p>
            <w:pPr>
              <w:pStyle w:val="22"/>
              <w:adjustRightInd w:val="0"/>
              <w:ind w:left="480" w:leftChars="200"/>
              <w:jc w:val="both"/>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对总车进行检查，该检查主要为电路检查。检查正常后旧车出厂。</w:t>
            </w:r>
          </w:p>
          <w:p>
            <w:pPr>
              <w:pStyle w:val="22"/>
              <w:adjustRightInd w:val="0"/>
              <w:ind w:firstLine="482" w:firstLineChars="200"/>
              <w:jc w:val="both"/>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三、产排污环节分析</w:t>
            </w:r>
          </w:p>
          <w:p>
            <w:pPr>
              <w:pStyle w:val="61"/>
              <w:adjustRightInd/>
              <w:snapToGrid/>
              <w:spacing w:line="360" w:lineRule="auto"/>
              <w:ind w:firstLine="480" w:firstLineChars="200"/>
              <w:jc w:val="both"/>
              <w:rPr>
                <w:rFonts w:eastAsia="宋体"/>
                <w:color w:val="000000" w:themeColor="text1"/>
                <w:sz w:val="24"/>
                <w:szCs w:val="22"/>
                <w14:textFill>
                  <w14:solidFill>
                    <w14:schemeClr w14:val="tx1"/>
                  </w14:solidFill>
                </w14:textFill>
              </w:rPr>
            </w:pPr>
            <w:r>
              <w:rPr>
                <w:rFonts w:eastAsia="宋体"/>
                <w:b w:val="0"/>
                <w:bCs/>
                <w:color w:val="000000" w:themeColor="text1"/>
                <w:sz w:val="24"/>
                <w:szCs w:val="22"/>
                <w14:textFill>
                  <w14:solidFill>
                    <w14:schemeClr w14:val="tx1"/>
                  </w14:solidFill>
                </w14:textFill>
              </w:rPr>
              <w:t>本项目产污环节见下表。</w:t>
            </w:r>
          </w:p>
          <w:p>
            <w:pPr>
              <w:pStyle w:val="61"/>
              <w:adjustRightInd/>
              <w:snapToGrid/>
              <w:rPr>
                <w:rFonts w:eastAsia="宋体"/>
                <w:color w:val="000000" w:themeColor="text1"/>
                <w:sz w:val="24"/>
                <w:szCs w:val="22"/>
                <w14:textFill>
                  <w14:solidFill>
                    <w14:schemeClr w14:val="tx1"/>
                  </w14:solidFill>
                </w14:textFill>
              </w:rPr>
            </w:pPr>
            <w:r>
              <w:rPr>
                <w:rFonts w:eastAsia="宋体"/>
                <w:color w:val="000000" w:themeColor="text1"/>
                <w:sz w:val="24"/>
                <w:szCs w:val="22"/>
                <w14:textFill>
                  <w14:solidFill>
                    <w14:schemeClr w14:val="tx1"/>
                  </w14:solidFill>
                </w14:textFill>
              </w:rPr>
              <w:t>表2-</w:t>
            </w:r>
            <w:r>
              <w:rPr>
                <w:rFonts w:hint="eastAsia" w:eastAsia="宋体"/>
                <w:color w:val="000000" w:themeColor="text1"/>
                <w:sz w:val="24"/>
                <w:szCs w:val="22"/>
                <w14:textFill>
                  <w14:solidFill>
                    <w14:schemeClr w14:val="tx1"/>
                  </w14:solidFill>
                </w14:textFill>
              </w:rPr>
              <w:t>6</w:t>
            </w:r>
            <w:r>
              <w:rPr>
                <w:rFonts w:eastAsia="宋体"/>
                <w:color w:val="000000" w:themeColor="text1"/>
                <w:sz w:val="24"/>
                <w:szCs w:val="22"/>
                <w14:textFill>
                  <w14:solidFill>
                    <w14:schemeClr w14:val="tx1"/>
                  </w14:solidFill>
                </w14:textFill>
              </w:rPr>
              <w:t xml:space="preserve">   运营期主要污染工序一览表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714"/>
              <w:gridCol w:w="1482"/>
              <w:gridCol w:w="2748"/>
              <w:gridCol w:w="27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pct"/>
                  <w:vAlign w:val="center"/>
                </w:tcPr>
                <w:p>
                  <w:pPr>
                    <w:pStyle w:val="48"/>
                    <w:tabs>
                      <w:tab w:val="left" w:pos="5530"/>
                    </w:tabs>
                    <w:spacing w:beforeLines="0" w:afterLines="0" w:line="240" w:lineRule="auto"/>
                    <w:ind w:firstLine="0" w:firstLineChars="0"/>
                    <w:rPr>
                      <w:rFonts w:ascii="Times New Roman"/>
                      <w:b/>
                      <w:bCs/>
                      <w:color w:val="000000" w:themeColor="text1"/>
                      <w14:textFill>
                        <w14:solidFill>
                          <w14:schemeClr w14:val="tx1"/>
                        </w14:solidFill>
                      </w14:textFill>
                    </w:rPr>
                  </w:pPr>
                  <w:r>
                    <w:rPr>
                      <w:rFonts w:ascii="Times New Roman"/>
                      <w:b/>
                      <w:bCs/>
                      <w:color w:val="000000" w:themeColor="text1"/>
                      <w14:textFill>
                        <w14:solidFill>
                          <w14:schemeClr w14:val="tx1"/>
                        </w14:solidFill>
                      </w14:textFill>
                    </w:rPr>
                    <w:t>序号</w:t>
                  </w:r>
                </w:p>
              </w:tc>
              <w:tc>
                <w:tcPr>
                  <w:tcW w:w="426" w:type="pct"/>
                  <w:vAlign w:val="center"/>
                </w:tcPr>
                <w:p>
                  <w:pPr>
                    <w:pStyle w:val="48"/>
                    <w:tabs>
                      <w:tab w:val="left" w:pos="5530"/>
                    </w:tabs>
                    <w:spacing w:beforeLines="0" w:afterLines="0" w:line="240" w:lineRule="auto"/>
                    <w:ind w:firstLine="0" w:firstLineChars="0"/>
                    <w:rPr>
                      <w:rFonts w:ascii="Times New Roman"/>
                      <w:b/>
                      <w:bCs/>
                      <w:color w:val="000000" w:themeColor="text1"/>
                      <w14:textFill>
                        <w14:solidFill>
                          <w14:schemeClr w14:val="tx1"/>
                        </w14:solidFill>
                      </w14:textFill>
                    </w:rPr>
                  </w:pPr>
                  <w:r>
                    <w:rPr>
                      <w:rFonts w:ascii="Times New Roman"/>
                      <w:b/>
                      <w:bCs/>
                      <w:color w:val="000000" w:themeColor="text1"/>
                      <w14:textFill>
                        <w14:solidFill>
                          <w14:schemeClr w14:val="tx1"/>
                        </w14:solidFill>
                      </w14:textFill>
                    </w:rPr>
                    <w:t>类别</w:t>
                  </w:r>
                </w:p>
              </w:tc>
              <w:tc>
                <w:tcPr>
                  <w:tcW w:w="884" w:type="pct"/>
                  <w:vAlign w:val="center"/>
                </w:tcPr>
                <w:p>
                  <w:pPr>
                    <w:pStyle w:val="48"/>
                    <w:tabs>
                      <w:tab w:val="left" w:pos="5530"/>
                    </w:tabs>
                    <w:spacing w:beforeLines="0" w:afterLines="0" w:line="240" w:lineRule="auto"/>
                    <w:ind w:firstLine="0" w:firstLineChars="0"/>
                    <w:rPr>
                      <w:rFonts w:ascii="Times New Roman"/>
                      <w:b/>
                      <w:bCs/>
                      <w:color w:val="000000" w:themeColor="text1"/>
                      <w14:textFill>
                        <w14:solidFill>
                          <w14:schemeClr w14:val="tx1"/>
                        </w14:solidFill>
                      </w14:textFill>
                    </w:rPr>
                  </w:pPr>
                  <w:r>
                    <w:rPr>
                      <w:rFonts w:ascii="Times New Roman"/>
                      <w:b/>
                      <w:bCs/>
                      <w:color w:val="000000" w:themeColor="text1"/>
                      <w14:textFill>
                        <w14:solidFill>
                          <w14:schemeClr w14:val="tx1"/>
                        </w14:solidFill>
                      </w14:textFill>
                    </w:rPr>
                    <w:t>污染源</w:t>
                  </w:r>
                </w:p>
              </w:tc>
              <w:tc>
                <w:tcPr>
                  <w:tcW w:w="1639" w:type="pct"/>
                  <w:vAlign w:val="center"/>
                </w:tcPr>
                <w:p>
                  <w:pPr>
                    <w:pStyle w:val="48"/>
                    <w:tabs>
                      <w:tab w:val="left" w:pos="5530"/>
                    </w:tabs>
                    <w:spacing w:beforeLines="0" w:afterLines="0" w:line="240" w:lineRule="auto"/>
                    <w:ind w:firstLine="0" w:firstLineChars="0"/>
                    <w:rPr>
                      <w:rFonts w:ascii="Times New Roman"/>
                      <w:b/>
                      <w:bCs/>
                      <w:color w:val="000000" w:themeColor="text1"/>
                      <w14:textFill>
                        <w14:solidFill>
                          <w14:schemeClr w14:val="tx1"/>
                        </w14:solidFill>
                      </w14:textFill>
                    </w:rPr>
                  </w:pPr>
                  <w:r>
                    <w:rPr>
                      <w:rFonts w:ascii="Times New Roman"/>
                      <w:b/>
                      <w:bCs/>
                      <w:color w:val="000000" w:themeColor="text1"/>
                      <w14:textFill>
                        <w14:solidFill>
                          <w14:schemeClr w14:val="tx1"/>
                        </w14:solidFill>
                      </w14:textFill>
                    </w:rPr>
                    <w:t>污染物</w:t>
                  </w:r>
                </w:p>
              </w:tc>
              <w:tc>
                <w:tcPr>
                  <w:tcW w:w="1620" w:type="pct"/>
                  <w:vAlign w:val="center"/>
                </w:tcPr>
                <w:p>
                  <w:pPr>
                    <w:pStyle w:val="48"/>
                    <w:tabs>
                      <w:tab w:val="left" w:pos="5530"/>
                    </w:tabs>
                    <w:spacing w:beforeLines="0" w:afterLines="0" w:line="240" w:lineRule="auto"/>
                    <w:ind w:firstLine="0" w:firstLineChars="0"/>
                    <w:rPr>
                      <w:rFonts w:ascii="Times New Roman"/>
                      <w:b/>
                      <w:bCs/>
                      <w:color w:val="000000" w:themeColor="text1"/>
                      <w14:textFill>
                        <w14:solidFill>
                          <w14:schemeClr w14:val="tx1"/>
                        </w14:solidFill>
                      </w14:textFill>
                    </w:rPr>
                  </w:pPr>
                  <w:r>
                    <w:rPr>
                      <w:rFonts w:ascii="Times New Roman"/>
                      <w:b/>
                      <w:bCs/>
                      <w:color w:val="000000" w:themeColor="text1"/>
                      <w14:textFill>
                        <w14:solidFill>
                          <w14:schemeClr w14:val="tx1"/>
                        </w14:solidFill>
                      </w14:textFill>
                    </w:rPr>
                    <w:t>污染因子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430" w:type="pct"/>
                  <w:vMerge w:val="restart"/>
                  <w:vAlign w:val="center"/>
                </w:tcPr>
                <w:p>
                  <w:pPr>
                    <w:pStyle w:val="48"/>
                    <w:tabs>
                      <w:tab w:val="left" w:pos="5530"/>
                    </w:tabs>
                    <w:spacing w:beforeLines="0" w:afterLines="0" w:line="240" w:lineRule="auto"/>
                    <w:ind w:firstLine="0" w:firstLineChars="0"/>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1</w:t>
                  </w:r>
                </w:p>
              </w:tc>
              <w:tc>
                <w:tcPr>
                  <w:tcW w:w="426" w:type="pct"/>
                  <w:vMerge w:val="restart"/>
                  <w:vAlign w:val="center"/>
                </w:tcPr>
                <w:p>
                  <w:pPr>
                    <w:pStyle w:val="48"/>
                    <w:spacing w:beforeLines="0" w:afterLines="0" w:line="240" w:lineRule="auto"/>
                    <w:ind w:firstLine="0" w:firstLineChars="0"/>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废气</w:t>
                  </w:r>
                </w:p>
              </w:tc>
              <w:tc>
                <w:tcPr>
                  <w:tcW w:w="884" w:type="pct"/>
                  <w:vAlign w:val="center"/>
                </w:tcPr>
                <w:p>
                  <w:pPr>
                    <w:pStyle w:val="48"/>
                    <w:spacing w:beforeLines="0" w:afterLines="0" w:line="240" w:lineRule="auto"/>
                    <w:ind w:firstLine="0" w:firstLineChars="0"/>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焊接</w:t>
                  </w:r>
                </w:p>
              </w:tc>
              <w:tc>
                <w:tcPr>
                  <w:tcW w:w="1639" w:type="pct"/>
                  <w:vAlign w:val="center"/>
                </w:tcPr>
                <w:p>
                  <w:pPr>
                    <w:pStyle w:val="48"/>
                    <w:spacing w:beforeLines="0" w:afterLines="0" w:line="240" w:lineRule="auto"/>
                    <w:ind w:firstLine="0" w:firstLineChars="0"/>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烟尘</w:t>
                  </w:r>
                </w:p>
              </w:tc>
              <w:tc>
                <w:tcPr>
                  <w:tcW w:w="1620" w:type="pct"/>
                  <w:vAlign w:val="center"/>
                </w:tcPr>
                <w:p>
                  <w:pPr>
                    <w:pStyle w:val="48"/>
                    <w:spacing w:beforeLines="0" w:afterLines="0" w:line="240" w:lineRule="auto"/>
                    <w:ind w:firstLine="0" w:firstLineChars="0"/>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pct"/>
                  <w:vMerge w:val="continue"/>
                  <w:vAlign w:val="center"/>
                </w:tcPr>
                <w:p>
                  <w:pPr>
                    <w:pStyle w:val="48"/>
                    <w:tabs>
                      <w:tab w:val="left" w:pos="5530"/>
                    </w:tabs>
                    <w:spacing w:beforeLines="0" w:afterLines="0" w:line="240" w:lineRule="auto"/>
                    <w:ind w:firstLine="0" w:firstLineChars="0"/>
                    <w:rPr>
                      <w:rFonts w:ascii="Times New Roman"/>
                      <w:color w:val="000000" w:themeColor="text1"/>
                      <w14:textFill>
                        <w14:solidFill>
                          <w14:schemeClr w14:val="tx1"/>
                        </w14:solidFill>
                      </w14:textFill>
                    </w:rPr>
                  </w:pPr>
                </w:p>
              </w:tc>
              <w:tc>
                <w:tcPr>
                  <w:tcW w:w="426" w:type="pct"/>
                  <w:vMerge w:val="continue"/>
                  <w:vAlign w:val="center"/>
                </w:tcPr>
                <w:p>
                  <w:pPr>
                    <w:pStyle w:val="48"/>
                    <w:spacing w:beforeLines="0" w:afterLines="0" w:line="240" w:lineRule="auto"/>
                    <w:ind w:firstLine="0" w:firstLineChars="0"/>
                    <w:rPr>
                      <w:rFonts w:ascii="Times New Roman"/>
                      <w:color w:val="000000" w:themeColor="text1"/>
                      <w14:textFill>
                        <w14:solidFill>
                          <w14:schemeClr w14:val="tx1"/>
                        </w14:solidFill>
                      </w14:textFill>
                    </w:rPr>
                  </w:pPr>
                </w:p>
              </w:tc>
              <w:tc>
                <w:tcPr>
                  <w:tcW w:w="884" w:type="pct"/>
                  <w:vAlign w:val="center"/>
                </w:tcPr>
                <w:p>
                  <w:pPr>
                    <w:pStyle w:val="48"/>
                    <w:spacing w:beforeLines="0" w:afterLines="0" w:line="240" w:lineRule="auto"/>
                    <w:ind w:firstLine="0" w:firstLineChars="0"/>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喷漆</w:t>
                  </w:r>
                </w:p>
              </w:tc>
              <w:tc>
                <w:tcPr>
                  <w:tcW w:w="1639" w:type="pct"/>
                  <w:vAlign w:val="center"/>
                </w:tcPr>
                <w:p>
                  <w:pPr>
                    <w:pStyle w:val="48"/>
                    <w:spacing w:beforeLines="0" w:afterLines="0" w:line="240" w:lineRule="auto"/>
                    <w:ind w:firstLine="0" w:firstLineChars="0"/>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漆雾、挥发性有机物</w:t>
                  </w:r>
                </w:p>
              </w:tc>
              <w:tc>
                <w:tcPr>
                  <w:tcW w:w="1620" w:type="pct"/>
                  <w:vAlign w:val="center"/>
                </w:tcPr>
                <w:p>
                  <w:pPr>
                    <w:pStyle w:val="48"/>
                    <w:spacing w:beforeLines="0" w:afterLines="0" w:line="240" w:lineRule="auto"/>
                    <w:ind w:firstLine="0" w:firstLineChars="0"/>
                    <w:rPr>
                      <w:rFonts w:ascii="Times New Roman"/>
                      <w:color w:val="000000" w:themeColor="text1"/>
                      <w14:textFill>
                        <w14:solidFill>
                          <w14:schemeClr w14:val="tx1"/>
                        </w14:solidFill>
                      </w14:textFill>
                    </w:rPr>
                  </w:pPr>
                  <w:r>
                    <w:rPr>
                      <w:rFonts w:hint="eastAsia" w:ascii="Times New Roman"/>
                      <w:color w:val="000000" w:themeColor="text1"/>
                      <w:szCs w:val="22"/>
                      <w14:textFill>
                        <w14:solidFill>
                          <w14:schemeClr w14:val="tx1"/>
                        </w14:solidFill>
                      </w14:textFill>
                    </w:rPr>
                    <w:t>颗粒物、挥发性有机物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pct"/>
                  <w:vMerge w:val="continue"/>
                  <w:vAlign w:val="center"/>
                </w:tcPr>
                <w:p>
                  <w:pPr>
                    <w:pStyle w:val="48"/>
                    <w:tabs>
                      <w:tab w:val="left" w:pos="5530"/>
                    </w:tabs>
                    <w:spacing w:beforeLines="0" w:afterLines="0" w:line="240" w:lineRule="auto"/>
                    <w:ind w:firstLine="0" w:firstLineChars="0"/>
                    <w:rPr>
                      <w:rFonts w:ascii="Times New Roman"/>
                      <w:color w:val="000000" w:themeColor="text1"/>
                      <w14:textFill>
                        <w14:solidFill>
                          <w14:schemeClr w14:val="tx1"/>
                        </w14:solidFill>
                      </w14:textFill>
                    </w:rPr>
                  </w:pPr>
                </w:p>
              </w:tc>
              <w:tc>
                <w:tcPr>
                  <w:tcW w:w="426" w:type="pct"/>
                  <w:vMerge w:val="continue"/>
                  <w:vAlign w:val="center"/>
                </w:tcPr>
                <w:p>
                  <w:pPr>
                    <w:pStyle w:val="48"/>
                    <w:spacing w:beforeLines="0" w:afterLines="0" w:line="240" w:lineRule="auto"/>
                    <w:ind w:firstLine="0" w:firstLineChars="0"/>
                    <w:rPr>
                      <w:rFonts w:ascii="Times New Roman"/>
                      <w:color w:val="000000" w:themeColor="text1"/>
                      <w14:textFill>
                        <w14:solidFill>
                          <w14:schemeClr w14:val="tx1"/>
                        </w14:solidFill>
                      </w14:textFill>
                    </w:rPr>
                  </w:pPr>
                </w:p>
              </w:tc>
              <w:tc>
                <w:tcPr>
                  <w:tcW w:w="884" w:type="pct"/>
                  <w:vAlign w:val="center"/>
                </w:tcPr>
                <w:p>
                  <w:pPr>
                    <w:pStyle w:val="48"/>
                    <w:spacing w:beforeLines="0" w:afterLines="0" w:line="240" w:lineRule="auto"/>
                    <w:ind w:firstLine="0" w:firstLineChars="0"/>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装油</w:t>
                  </w:r>
                </w:p>
              </w:tc>
              <w:tc>
                <w:tcPr>
                  <w:tcW w:w="1639" w:type="pct"/>
                  <w:vAlign w:val="center"/>
                </w:tcPr>
                <w:p>
                  <w:pPr>
                    <w:pStyle w:val="48"/>
                    <w:spacing w:beforeLines="0" w:afterLines="0" w:line="240" w:lineRule="auto"/>
                    <w:ind w:firstLine="0" w:firstLineChars="0"/>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挥发性有机污染物</w:t>
                  </w:r>
                </w:p>
              </w:tc>
              <w:tc>
                <w:tcPr>
                  <w:tcW w:w="1620" w:type="pct"/>
                  <w:vAlign w:val="center"/>
                </w:tcPr>
                <w:p>
                  <w:pPr>
                    <w:pStyle w:val="48"/>
                    <w:spacing w:beforeLines="0" w:afterLines="0" w:line="240" w:lineRule="auto"/>
                    <w:ind w:firstLine="0" w:firstLineChars="0"/>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挥发性有机污染物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pct"/>
                  <w:vMerge w:val="continue"/>
                  <w:vAlign w:val="center"/>
                </w:tcPr>
                <w:p>
                  <w:pPr>
                    <w:pStyle w:val="48"/>
                    <w:tabs>
                      <w:tab w:val="left" w:pos="5530"/>
                    </w:tabs>
                    <w:spacing w:beforeLines="0" w:afterLines="0" w:line="240" w:lineRule="auto"/>
                    <w:ind w:firstLine="0" w:firstLineChars="0"/>
                    <w:rPr>
                      <w:rFonts w:ascii="Times New Roman"/>
                      <w:color w:val="000000" w:themeColor="text1"/>
                      <w14:textFill>
                        <w14:solidFill>
                          <w14:schemeClr w14:val="tx1"/>
                        </w14:solidFill>
                      </w14:textFill>
                    </w:rPr>
                  </w:pPr>
                </w:p>
              </w:tc>
              <w:tc>
                <w:tcPr>
                  <w:tcW w:w="426" w:type="pct"/>
                  <w:vMerge w:val="continue"/>
                  <w:vAlign w:val="center"/>
                </w:tcPr>
                <w:p>
                  <w:pPr>
                    <w:pStyle w:val="48"/>
                    <w:spacing w:beforeLines="0" w:afterLines="0" w:line="240" w:lineRule="auto"/>
                    <w:ind w:firstLine="0" w:firstLineChars="0"/>
                    <w:rPr>
                      <w:rFonts w:ascii="Times New Roman"/>
                      <w:color w:val="000000" w:themeColor="text1"/>
                      <w14:textFill>
                        <w14:solidFill>
                          <w14:schemeClr w14:val="tx1"/>
                        </w14:solidFill>
                      </w14:textFill>
                    </w:rPr>
                  </w:pPr>
                </w:p>
              </w:tc>
              <w:tc>
                <w:tcPr>
                  <w:tcW w:w="884" w:type="pct"/>
                  <w:vAlign w:val="center"/>
                </w:tcPr>
                <w:p>
                  <w:pPr>
                    <w:pStyle w:val="48"/>
                    <w:spacing w:beforeLines="0" w:afterLines="0" w:line="240" w:lineRule="auto"/>
                    <w:ind w:firstLine="0" w:firstLineChars="0"/>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打磨粉尘</w:t>
                  </w:r>
                </w:p>
              </w:tc>
              <w:tc>
                <w:tcPr>
                  <w:tcW w:w="1639" w:type="pct"/>
                  <w:vAlign w:val="center"/>
                </w:tcPr>
                <w:p>
                  <w:pPr>
                    <w:pStyle w:val="48"/>
                    <w:spacing w:beforeLines="0" w:afterLines="0" w:line="240" w:lineRule="auto"/>
                    <w:ind w:firstLine="0" w:firstLineChars="0"/>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粉尘</w:t>
                  </w:r>
                </w:p>
              </w:tc>
              <w:tc>
                <w:tcPr>
                  <w:tcW w:w="1620" w:type="pct"/>
                  <w:vAlign w:val="center"/>
                </w:tcPr>
                <w:p>
                  <w:pPr>
                    <w:pStyle w:val="48"/>
                    <w:spacing w:beforeLines="0" w:afterLines="0" w:line="240" w:lineRule="auto"/>
                    <w:ind w:firstLine="0" w:firstLineChars="0"/>
                    <w:rPr>
                      <w:rFonts w:ascii="Times New Roman"/>
                      <w:color w:val="000000" w:themeColor="text1"/>
                      <w:szCs w:val="22"/>
                      <w14:textFill>
                        <w14:solidFill>
                          <w14:schemeClr w14:val="tx1"/>
                        </w14:solidFill>
                      </w14:textFill>
                    </w:rPr>
                  </w:pPr>
                  <w:r>
                    <w:rPr>
                      <w:rFonts w:hint="eastAsia" w:ascii="Times New Roman"/>
                      <w:color w:val="000000" w:themeColor="text1"/>
                      <w:szCs w:val="22"/>
                      <w14:textFill>
                        <w14:solidFill>
                          <w14:schemeClr w14:val="tx1"/>
                        </w14:solidFill>
                      </w14:textFill>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pct"/>
                  <w:vAlign w:val="center"/>
                </w:tcPr>
                <w:p>
                  <w:pPr>
                    <w:pStyle w:val="48"/>
                    <w:tabs>
                      <w:tab w:val="left" w:pos="5530"/>
                    </w:tabs>
                    <w:spacing w:beforeLines="0" w:afterLines="0" w:line="240" w:lineRule="auto"/>
                    <w:ind w:firstLine="0" w:firstLineChars="0"/>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2</w:t>
                  </w:r>
                </w:p>
              </w:tc>
              <w:tc>
                <w:tcPr>
                  <w:tcW w:w="426" w:type="pct"/>
                  <w:vAlign w:val="center"/>
                </w:tcPr>
                <w:p>
                  <w:pPr>
                    <w:pStyle w:val="48"/>
                    <w:spacing w:beforeLines="0" w:afterLines="0" w:line="240" w:lineRule="auto"/>
                    <w:ind w:firstLine="0" w:firstLineChars="0"/>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噪声</w:t>
                  </w:r>
                </w:p>
              </w:tc>
              <w:tc>
                <w:tcPr>
                  <w:tcW w:w="884" w:type="pct"/>
                  <w:vAlign w:val="center"/>
                </w:tcPr>
                <w:p>
                  <w:pPr>
                    <w:pStyle w:val="48"/>
                    <w:spacing w:beforeLines="0" w:afterLines="0" w:line="240" w:lineRule="auto"/>
                    <w:ind w:firstLine="0" w:firstLineChars="0"/>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设备、加工</w:t>
                  </w:r>
                </w:p>
              </w:tc>
              <w:tc>
                <w:tcPr>
                  <w:tcW w:w="1639" w:type="pct"/>
                  <w:vAlign w:val="center"/>
                </w:tcPr>
                <w:p>
                  <w:pPr>
                    <w:pStyle w:val="48"/>
                    <w:spacing w:beforeLines="0" w:afterLines="0" w:line="240" w:lineRule="auto"/>
                    <w:ind w:firstLine="0" w:firstLineChars="0"/>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机械噪声、加工噪声</w:t>
                  </w:r>
                </w:p>
              </w:tc>
              <w:tc>
                <w:tcPr>
                  <w:tcW w:w="1620" w:type="pct"/>
                  <w:vAlign w:val="center"/>
                </w:tcPr>
                <w:p>
                  <w:pPr>
                    <w:pStyle w:val="48"/>
                    <w:spacing w:beforeLines="0" w:afterLines="0" w:line="240" w:lineRule="auto"/>
                    <w:ind w:firstLine="0" w:firstLineChars="0"/>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pct"/>
                  <w:vMerge w:val="restart"/>
                  <w:vAlign w:val="center"/>
                </w:tcPr>
                <w:p>
                  <w:pPr>
                    <w:pStyle w:val="48"/>
                    <w:tabs>
                      <w:tab w:val="left" w:pos="5530"/>
                    </w:tabs>
                    <w:spacing w:beforeLines="0" w:afterLines="0" w:line="240" w:lineRule="auto"/>
                    <w:ind w:firstLine="0" w:firstLineChars="0"/>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3</w:t>
                  </w:r>
                </w:p>
              </w:tc>
              <w:tc>
                <w:tcPr>
                  <w:tcW w:w="426" w:type="pct"/>
                  <w:vMerge w:val="restart"/>
                  <w:vAlign w:val="center"/>
                </w:tcPr>
                <w:p>
                  <w:pPr>
                    <w:pStyle w:val="48"/>
                    <w:spacing w:beforeLines="0" w:afterLines="0" w:line="240" w:lineRule="auto"/>
                    <w:ind w:firstLine="0" w:firstLineChars="0"/>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固废</w:t>
                  </w:r>
                </w:p>
              </w:tc>
              <w:tc>
                <w:tcPr>
                  <w:tcW w:w="884" w:type="pct"/>
                  <w:vAlign w:val="center"/>
                </w:tcPr>
                <w:p>
                  <w:pPr>
                    <w:pStyle w:val="48"/>
                    <w:spacing w:beforeLines="0" w:afterLines="0" w:line="240" w:lineRule="auto"/>
                    <w:ind w:firstLine="0" w:firstLineChars="0"/>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焊接</w:t>
                  </w:r>
                </w:p>
              </w:tc>
              <w:tc>
                <w:tcPr>
                  <w:tcW w:w="1639" w:type="pct"/>
                  <w:vAlign w:val="center"/>
                </w:tcPr>
                <w:p>
                  <w:pPr>
                    <w:pStyle w:val="48"/>
                    <w:spacing w:beforeLines="0" w:afterLines="0" w:line="240" w:lineRule="auto"/>
                    <w:ind w:firstLine="0" w:firstLineChars="0"/>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焊渣</w:t>
                  </w:r>
                </w:p>
              </w:tc>
              <w:tc>
                <w:tcPr>
                  <w:tcW w:w="1620" w:type="pct"/>
                  <w:vAlign w:val="center"/>
                </w:tcPr>
                <w:p>
                  <w:pPr>
                    <w:pStyle w:val="48"/>
                    <w:spacing w:beforeLines="0" w:afterLines="0" w:line="240" w:lineRule="auto"/>
                    <w:ind w:firstLine="0" w:firstLineChars="0"/>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焊渣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pct"/>
                  <w:vMerge w:val="continue"/>
                  <w:vAlign w:val="center"/>
                </w:tcPr>
                <w:p>
                  <w:pPr>
                    <w:pStyle w:val="48"/>
                    <w:tabs>
                      <w:tab w:val="left" w:pos="5530"/>
                    </w:tabs>
                    <w:spacing w:beforeLines="0" w:afterLines="0" w:line="240" w:lineRule="auto"/>
                    <w:ind w:firstLine="0" w:firstLineChars="0"/>
                    <w:rPr>
                      <w:rFonts w:ascii="Times New Roman"/>
                      <w:color w:val="000000" w:themeColor="text1"/>
                      <w14:textFill>
                        <w14:solidFill>
                          <w14:schemeClr w14:val="tx1"/>
                        </w14:solidFill>
                      </w14:textFill>
                    </w:rPr>
                  </w:pPr>
                </w:p>
              </w:tc>
              <w:tc>
                <w:tcPr>
                  <w:tcW w:w="426" w:type="pct"/>
                  <w:vMerge w:val="continue"/>
                  <w:vAlign w:val="center"/>
                </w:tcPr>
                <w:p>
                  <w:pPr>
                    <w:pStyle w:val="48"/>
                    <w:spacing w:beforeLines="0" w:afterLines="0" w:line="240" w:lineRule="auto"/>
                    <w:ind w:firstLine="0" w:firstLineChars="0"/>
                    <w:rPr>
                      <w:rFonts w:ascii="Times New Roman"/>
                      <w:color w:val="000000" w:themeColor="text1"/>
                      <w14:textFill>
                        <w14:solidFill>
                          <w14:schemeClr w14:val="tx1"/>
                        </w14:solidFill>
                      </w14:textFill>
                    </w:rPr>
                  </w:pPr>
                </w:p>
              </w:tc>
              <w:tc>
                <w:tcPr>
                  <w:tcW w:w="884" w:type="pct"/>
                  <w:vAlign w:val="center"/>
                </w:tcPr>
                <w:p>
                  <w:pPr>
                    <w:pStyle w:val="48"/>
                    <w:spacing w:beforeLines="0" w:afterLines="0" w:line="240" w:lineRule="auto"/>
                    <w:ind w:firstLine="0" w:firstLineChars="0"/>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喷漆</w:t>
                  </w:r>
                  <w:r>
                    <w:rPr>
                      <w:rFonts w:hint="eastAsia" w:ascii="Times New Roman"/>
                      <w:color w:val="000000" w:themeColor="text1"/>
                      <w14:textFill>
                        <w14:solidFill>
                          <w14:schemeClr w14:val="tx1"/>
                        </w14:solidFill>
                      </w14:textFill>
                    </w:rPr>
                    <w:t>、刷漆</w:t>
                  </w:r>
                </w:p>
              </w:tc>
              <w:tc>
                <w:tcPr>
                  <w:tcW w:w="1639" w:type="pct"/>
                  <w:vAlign w:val="center"/>
                </w:tcPr>
                <w:p>
                  <w:pPr>
                    <w:pStyle w:val="48"/>
                    <w:spacing w:beforeLines="0" w:afterLines="0" w:line="240" w:lineRule="auto"/>
                    <w:ind w:firstLine="0" w:firstLineChars="0"/>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废漆桶</w:t>
                  </w:r>
                  <w:r>
                    <w:rPr>
                      <w:rFonts w:hint="eastAsia" w:ascii="Times New Roman"/>
                      <w:color w:val="000000" w:themeColor="text1"/>
                      <w14:textFill>
                        <w14:solidFill>
                          <w14:schemeClr w14:val="tx1"/>
                        </w14:solidFill>
                      </w14:textFill>
                    </w:rPr>
                    <w:t>、废漆瓶</w:t>
                  </w:r>
                </w:p>
              </w:tc>
              <w:tc>
                <w:tcPr>
                  <w:tcW w:w="1620" w:type="pct"/>
                  <w:vAlign w:val="center"/>
                </w:tcPr>
                <w:p>
                  <w:pPr>
                    <w:pStyle w:val="48"/>
                    <w:spacing w:beforeLines="0" w:afterLines="0" w:line="240" w:lineRule="auto"/>
                    <w:ind w:firstLine="0" w:firstLineChars="0"/>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废漆桶</w:t>
                  </w:r>
                  <w:r>
                    <w:rPr>
                      <w:rFonts w:hint="eastAsia" w:ascii="Times New Roman"/>
                      <w:color w:val="000000" w:themeColor="text1"/>
                      <w14:textFill>
                        <w14:solidFill>
                          <w14:schemeClr w14:val="tx1"/>
                        </w14:solidFill>
                      </w14:textFill>
                    </w:rPr>
                    <w:t>、废漆瓶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pct"/>
                  <w:vMerge w:val="continue"/>
                  <w:vAlign w:val="center"/>
                </w:tcPr>
                <w:p>
                  <w:pPr>
                    <w:pStyle w:val="48"/>
                    <w:tabs>
                      <w:tab w:val="left" w:pos="5530"/>
                    </w:tabs>
                    <w:spacing w:beforeLines="0" w:afterLines="0" w:line="240" w:lineRule="auto"/>
                    <w:ind w:firstLine="0" w:firstLineChars="0"/>
                    <w:rPr>
                      <w:rFonts w:ascii="Times New Roman"/>
                      <w:color w:val="000000" w:themeColor="text1"/>
                      <w14:textFill>
                        <w14:solidFill>
                          <w14:schemeClr w14:val="tx1"/>
                        </w14:solidFill>
                      </w14:textFill>
                    </w:rPr>
                  </w:pPr>
                </w:p>
              </w:tc>
              <w:tc>
                <w:tcPr>
                  <w:tcW w:w="426" w:type="pct"/>
                  <w:vMerge w:val="continue"/>
                  <w:vAlign w:val="center"/>
                </w:tcPr>
                <w:p>
                  <w:pPr>
                    <w:pStyle w:val="48"/>
                    <w:spacing w:beforeLines="0" w:afterLines="0" w:line="240" w:lineRule="auto"/>
                    <w:ind w:firstLine="0" w:firstLineChars="0"/>
                    <w:rPr>
                      <w:rFonts w:ascii="Times New Roman"/>
                      <w:color w:val="000000" w:themeColor="text1"/>
                      <w14:textFill>
                        <w14:solidFill>
                          <w14:schemeClr w14:val="tx1"/>
                        </w14:solidFill>
                      </w14:textFill>
                    </w:rPr>
                  </w:pPr>
                </w:p>
              </w:tc>
              <w:tc>
                <w:tcPr>
                  <w:tcW w:w="884" w:type="pct"/>
                  <w:vAlign w:val="center"/>
                </w:tcPr>
                <w:p>
                  <w:pPr>
                    <w:pStyle w:val="48"/>
                    <w:spacing w:beforeLines="0" w:afterLines="0" w:line="240" w:lineRule="auto"/>
                    <w:ind w:firstLine="0" w:firstLineChars="0"/>
                    <w:rPr>
                      <w:rFonts w:ascii="Times New Roman"/>
                      <w:color w:val="000000" w:themeColor="text1"/>
                      <w14:textFill>
                        <w14:solidFill>
                          <w14:schemeClr w14:val="tx1"/>
                        </w14:solidFill>
                      </w14:textFill>
                    </w:rPr>
                  </w:pPr>
                  <w:r>
                    <w:rPr>
                      <w:rFonts w:ascii="Times New Roman"/>
                      <w:color w:val="000000" w:themeColor="text1"/>
                      <w14:textFill>
                        <w14:solidFill>
                          <w14:schemeClr w14:val="tx1"/>
                        </w14:solidFill>
                      </w14:textFill>
                    </w:rPr>
                    <w:t>机械维修</w:t>
                  </w:r>
                </w:p>
              </w:tc>
              <w:tc>
                <w:tcPr>
                  <w:tcW w:w="1639" w:type="pct"/>
                  <w:vAlign w:val="center"/>
                </w:tcPr>
                <w:p>
                  <w:pPr>
                    <w:pStyle w:val="48"/>
                    <w:spacing w:beforeLines="0" w:afterLines="0" w:line="240" w:lineRule="auto"/>
                    <w:ind w:firstLine="0" w:firstLineChars="0"/>
                    <w:rPr>
                      <w:rFonts w:ascii="Times New Roman"/>
                      <w:color w:val="000000" w:themeColor="text1"/>
                      <w:highlight w:val="yellow"/>
                      <w14:textFill>
                        <w14:solidFill>
                          <w14:schemeClr w14:val="tx1"/>
                        </w14:solidFill>
                      </w14:textFill>
                    </w:rPr>
                  </w:pPr>
                  <w:r>
                    <w:rPr>
                      <w:rFonts w:hint="eastAsia" w:ascii="Times New Roman"/>
                      <w:color w:val="000000" w:themeColor="text1"/>
                      <w14:textFill>
                        <w14:solidFill>
                          <w14:schemeClr w14:val="tx1"/>
                        </w14:solidFill>
                      </w14:textFill>
                    </w:rPr>
                    <w:t>废混凝土、废旧零部件、废发动机油、制动器油、自动变速器油、齿轮油、废制动器衬片、含油及有机溶剂的废棉纱、废劳保用品、废油漆桶、漆渣、废过滤棉、废活性炭、隔油池污泥、滤油机过滤杂质、滤油机滤纸。</w:t>
                  </w:r>
                </w:p>
              </w:tc>
              <w:tc>
                <w:tcPr>
                  <w:tcW w:w="1620" w:type="pct"/>
                  <w:vAlign w:val="center"/>
                </w:tcPr>
                <w:p>
                  <w:pPr>
                    <w:pStyle w:val="48"/>
                    <w:spacing w:beforeLines="0" w:afterLines="0" w:line="240" w:lineRule="auto"/>
                    <w:ind w:firstLine="0" w:firstLineChars="0"/>
                    <w:rPr>
                      <w:rFonts w:ascii="Times New Roman"/>
                      <w:color w:val="000000" w:themeColor="text1"/>
                      <w:highlight w:val="yellow"/>
                      <w14:textFill>
                        <w14:solidFill>
                          <w14:schemeClr w14:val="tx1"/>
                        </w14:solidFill>
                      </w14:textFill>
                    </w:rPr>
                  </w:pPr>
                  <w:r>
                    <w:rPr>
                      <w:rFonts w:hint="eastAsia" w:ascii="Times New Roman"/>
                      <w:color w:val="000000" w:themeColor="text1"/>
                      <w14:textFill>
                        <w14:solidFill>
                          <w14:schemeClr w14:val="tx1"/>
                        </w14:solidFill>
                      </w14:textFill>
                    </w:rPr>
                    <w:t>废混凝土、废旧零部件、废发动机油、制动器油、自动变速器油、齿轮油、废制动器衬片、含油及有机溶剂的废棉纱、废劳保用品、废油漆桶、漆渣、废过滤棉、废活性炭、隔油池污泥、滤油机过滤杂质、滤油机滤纸。</w:t>
                  </w:r>
                </w:p>
              </w:tc>
            </w:tr>
          </w:tbl>
          <w:p>
            <w:pPr>
              <w:pStyle w:val="22"/>
              <w:adjustRightInd w:val="0"/>
              <w:rPr>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755" w:type="dxa"/>
            <w:vAlign w:val="center"/>
          </w:tcPr>
          <w:p>
            <w:pPr>
              <w:pStyle w:val="24"/>
              <w:adjustRightInd w:val="0"/>
              <w:snapToGrid w:val="0"/>
              <w:spacing w:before="0" w:beforeAutospacing="0" w:after="0" w:afterAutospacing="0"/>
              <w:jc w:val="center"/>
              <w:rPr>
                <w:rFonts w:ascii="Times New Roman" w:hAnsi="Times New Roman"/>
                <w:color w:val="000000" w:themeColor="text1"/>
                <w:sz w:val="21"/>
                <w:szCs w:val="21"/>
                <w14:textFill>
                  <w14:solidFill>
                    <w14:schemeClr w14:val="tx1"/>
                  </w14:solidFill>
                </w14:textFill>
              </w:rPr>
            </w:pPr>
            <w:r>
              <w:rPr>
                <w:rFonts w:ascii="Times New Roman" w:hAnsi="Times New Roman"/>
                <w:bCs/>
                <w:color w:val="000000" w:themeColor="text1"/>
                <w:szCs w:val="24"/>
                <w14:textFill>
                  <w14:solidFill>
                    <w14:schemeClr w14:val="tx1"/>
                  </w14:solidFill>
                </w14:textFill>
              </w:rPr>
              <w:t>与项目有关的原有环境污染问题</w:t>
            </w:r>
          </w:p>
        </w:tc>
        <w:tc>
          <w:tcPr>
            <w:tcW w:w="8305" w:type="dxa"/>
          </w:tcPr>
          <w:p>
            <w:pPr>
              <w:adjustRightInd w:val="0"/>
              <w:snapToGrid w:val="0"/>
              <w:spacing w:before="120" w:beforeLines="50"/>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本项目为新建项目，租用</w:t>
            </w:r>
            <w:r>
              <w:rPr>
                <w:rFonts w:hint="eastAsia"/>
                <w:color w:val="000000" w:themeColor="text1"/>
                <w:kern w:val="0"/>
                <w14:textFill>
                  <w14:solidFill>
                    <w14:schemeClr w14:val="tx1"/>
                  </w14:solidFill>
                </w14:textFill>
              </w:rPr>
              <w:t>晋宁志诚物流有限责任公司</w:t>
            </w:r>
            <w:r>
              <w:rPr>
                <w:color w:val="000000" w:themeColor="text1"/>
                <w:kern w:val="0"/>
                <w14:textFill>
                  <w14:solidFill>
                    <w14:schemeClr w14:val="tx1"/>
                  </w14:solidFill>
                </w14:textFill>
              </w:rPr>
              <w:t>的闲置厂房进行建设，</w:t>
            </w:r>
            <w:r>
              <w:rPr>
                <w:rFonts w:hint="eastAsia"/>
                <w:color w:val="000000" w:themeColor="text1"/>
                <w:kern w:val="0"/>
                <w14:textFill>
                  <w14:solidFill>
                    <w14:schemeClr w14:val="tx1"/>
                  </w14:solidFill>
                </w14:textFill>
              </w:rPr>
              <w:t>该公司于2019年9月14日取得了《有色、黑色金属仓储、货运物流项目》环境影响登记表（备案号为2019530122000000933），</w:t>
            </w:r>
            <w:r>
              <w:rPr>
                <w:color w:val="000000" w:themeColor="text1"/>
                <w:kern w:val="0"/>
                <w14:textFill>
                  <w14:solidFill>
                    <w14:schemeClr w14:val="tx1"/>
                  </w14:solidFill>
                </w14:textFill>
              </w:rPr>
              <w:t>厂房现为闲置状态，不存在与项目有关的原有环境污染问题。</w:t>
            </w:r>
          </w:p>
        </w:tc>
      </w:tr>
    </w:tbl>
    <w:p>
      <w:pPr>
        <w:pStyle w:val="24"/>
        <w:jc w:val="center"/>
        <w:rPr>
          <w:rFonts w:ascii="Times New Roman" w:hAnsi="Times New Roman"/>
          <w:snapToGrid w:val="0"/>
          <w:color w:val="000000" w:themeColor="text1"/>
          <w:sz w:val="36"/>
          <w:szCs w:val="36"/>
          <w14:textFill>
            <w14:solidFill>
              <w14:schemeClr w14:val="tx1"/>
            </w14:solidFill>
          </w14:textFill>
        </w:rPr>
        <w:sectPr>
          <w:pgSz w:w="11906" w:h="16838"/>
          <w:pgMar w:top="1701" w:right="1531" w:bottom="1701" w:left="1531" w:header="851" w:footer="851" w:gutter="0"/>
          <w:cols w:space="720" w:num="1"/>
          <w:docGrid w:linePitch="312" w:charSpace="0"/>
        </w:sectPr>
      </w:pPr>
    </w:p>
    <w:p>
      <w:pPr>
        <w:pStyle w:val="24"/>
        <w:adjustRightInd w:val="0"/>
        <w:snapToGrid w:val="0"/>
        <w:spacing w:before="0" w:beforeAutospacing="0" w:after="0" w:afterAutospacing="0" w:line="14" w:lineRule="auto"/>
        <w:jc w:val="center"/>
        <w:rPr>
          <w:rFonts w:ascii="Times New Roman" w:hAnsi="Times New Roman"/>
          <w:snapToGrid w:val="0"/>
          <w:color w:val="000000" w:themeColor="text1"/>
          <w:sz w:val="30"/>
          <w:szCs w:val="30"/>
          <w14:textFill>
            <w14:solidFill>
              <w14:schemeClr w14:val="tx1"/>
            </w14:solidFill>
          </w14:textFill>
        </w:rPr>
      </w:pPr>
    </w:p>
    <w:p>
      <w:pPr>
        <w:pStyle w:val="24"/>
        <w:spacing w:before="0" w:beforeAutospacing="0" w:after="0" w:afterAutospacing="0"/>
        <w:jc w:val="center"/>
        <w:outlineLvl w:val="0"/>
        <w:rPr>
          <w:rFonts w:ascii="Times New Roman" w:hAnsi="Times New Roman"/>
          <w:snapToGrid w:val="0"/>
          <w:color w:val="000000" w:themeColor="text1"/>
          <w:sz w:val="30"/>
          <w:szCs w:val="30"/>
          <w14:textFill>
            <w14:solidFill>
              <w14:schemeClr w14:val="tx1"/>
            </w14:solidFill>
          </w14:textFill>
        </w:rPr>
      </w:pPr>
      <w:bookmarkStart w:id="17" w:name="_Toc24964"/>
      <w:r>
        <w:rPr>
          <w:rFonts w:ascii="Times New Roman" w:hAnsi="Times New Roman"/>
          <w:snapToGrid w:val="0"/>
          <w:color w:val="000000" w:themeColor="text1"/>
          <w:sz w:val="30"/>
          <w:szCs w:val="30"/>
          <w14:textFill>
            <w14:solidFill>
              <w14:schemeClr w14:val="tx1"/>
            </w14:solidFill>
          </w14:textFill>
        </w:rPr>
        <w:t>三、区域环境质量现状、环境保护目标及评价标准</w:t>
      </w:r>
      <w:bookmarkEnd w:id="17"/>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48"/>
        <w:gridCol w:w="861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00" w:type="dxa"/>
            <w:vAlign w:val="center"/>
          </w:tcPr>
          <w:p>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区域</w:t>
            </w:r>
          </w:p>
          <w:p>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环境</w:t>
            </w:r>
          </w:p>
          <w:p>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质量</w:t>
            </w:r>
          </w:p>
          <w:p>
            <w:pPr>
              <w:adjustRightInd w:val="0"/>
              <w:snapToGrid w:val="0"/>
              <w:jc w:val="center"/>
              <w:rPr>
                <w:color w:val="000000" w:themeColor="text1"/>
                <w:kern w:val="0"/>
                <w:szCs w:val="21"/>
                <w14:textFill>
                  <w14:solidFill>
                    <w14:schemeClr w14:val="tx1"/>
                  </w14:solidFill>
                </w14:textFill>
              </w:rPr>
            </w:pPr>
            <w:r>
              <w:rPr>
                <w:color w:val="000000" w:themeColor="text1"/>
                <w:kern w:val="0"/>
                <w14:textFill>
                  <w14:solidFill>
                    <w14:schemeClr w14:val="tx1"/>
                  </w14:solidFill>
                </w14:textFill>
              </w:rPr>
              <w:t>现状</w:t>
            </w:r>
          </w:p>
        </w:tc>
        <w:tc>
          <w:tcPr>
            <w:tcW w:w="8190" w:type="dxa"/>
            <w:vAlign w:val="center"/>
          </w:tcPr>
          <w:p>
            <w:pPr>
              <w:numPr>
                <w:ilvl w:val="0"/>
                <w:numId w:val="13"/>
              </w:numPr>
              <w:adjustRightInd w:val="0"/>
              <w:snapToGrid w:val="0"/>
              <w:jc w:val="left"/>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大气环境</w:t>
            </w:r>
          </w:p>
          <w:p>
            <w:pPr>
              <w:adjustRightInd w:val="0"/>
              <w:snapToGrid w:val="0"/>
              <w:ind w:firstLine="482" w:firstLineChars="200"/>
              <w:rPr>
                <w:color w:val="000000" w:themeColor="text1"/>
                <w:kern w:val="0"/>
                <w14:textFill>
                  <w14:solidFill>
                    <w14:schemeClr w14:val="tx1"/>
                  </w14:solidFill>
                </w14:textFill>
              </w:rPr>
            </w:pPr>
            <w:r>
              <w:rPr>
                <w:b/>
                <w:bCs/>
                <w:color w:val="000000" w:themeColor="text1"/>
                <w:kern w:val="0"/>
                <w14:textFill>
                  <w14:solidFill>
                    <w14:schemeClr w14:val="tx1"/>
                  </w14:solidFill>
                </w14:textFill>
              </w:rPr>
              <w:t>（1）达标区判定</w:t>
            </w:r>
          </w:p>
          <w:p>
            <w:pPr>
              <w:adjustRightInd w:val="0"/>
              <w:snapToGrid w:val="0"/>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项目位于晋宁工业园区，所在区域属于</w:t>
            </w:r>
            <w:r>
              <w:rPr>
                <w:color w:val="000000" w:themeColor="text1"/>
                <w:kern w:val="0"/>
                <w:lang w:val="zh-CN"/>
                <w14:textFill>
                  <w14:solidFill>
                    <w14:schemeClr w14:val="tx1"/>
                  </w14:solidFill>
                </w14:textFill>
              </w:rPr>
              <w:t>《环境空气质量标准》（</w:t>
            </w:r>
            <w:r>
              <w:rPr>
                <w:color w:val="000000" w:themeColor="text1"/>
                <w:kern w:val="0"/>
                <w14:textFill>
                  <w14:solidFill>
                    <w14:schemeClr w14:val="tx1"/>
                  </w14:solidFill>
                </w14:textFill>
              </w:rPr>
              <w:t>GB3095-2012）二类环境空气功能区，执行</w:t>
            </w:r>
            <w:r>
              <w:rPr>
                <w:color w:val="000000" w:themeColor="text1"/>
                <w:kern w:val="0"/>
                <w:lang w:val="zh-CN"/>
                <w14:textFill>
                  <w14:solidFill>
                    <w14:schemeClr w14:val="tx1"/>
                  </w14:solidFill>
                </w14:textFill>
              </w:rPr>
              <w:t>《环境空气质量标准》（</w:t>
            </w:r>
            <w:r>
              <w:rPr>
                <w:color w:val="000000" w:themeColor="text1"/>
                <w:kern w:val="0"/>
                <w14:textFill>
                  <w14:solidFill>
                    <w14:schemeClr w14:val="tx1"/>
                  </w14:solidFill>
                </w14:textFill>
              </w:rPr>
              <w:t>GB3095-2012）二级标准。</w:t>
            </w:r>
          </w:p>
          <w:p>
            <w:pPr>
              <w:adjustRightInd w:val="0"/>
              <w:snapToGrid w:val="0"/>
              <w:ind w:firstLine="480" w:firstLineChars="200"/>
              <w:rPr>
                <w:color w:val="000000" w:themeColor="text1"/>
                <w14:textFill>
                  <w14:solidFill>
                    <w14:schemeClr w14:val="tx1"/>
                  </w14:solidFill>
                </w14:textFill>
              </w:rPr>
            </w:pPr>
            <w:r>
              <w:rPr>
                <w:bCs/>
                <w:color w:val="000000" w:themeColor="text1"/>
                <w:kern w:val="0"/>
                <w14:textFill>
                  <w14:solidFill>
                    <w14:schemeClr w14:val="tx1"/>
                  </w14:solidFill>
                </w14:textFill>
              </w:rPr>
              <w:t>根据昆明市生态环境局发布的</w:t>
            </w:r>
            <w:r>
              <w:rPr>
                <w:color w:val="000000" w:themeColor="text1"/>
                <w14:textFill>
                  <w14:solidFill>
                    <w14:schemeClr w14:val="tx1"/>
                  </w14:solidFill>
                </w14:textFill>
              </w:rPr>
              <w:t>《2020年度昆明市生态环境状况公报》，</w:t>
            </w:r>
            <w:r>
              <w:rPr>
                <w:rFonts w:hint="eastAsia"/>
                <w:color w:val="000000" w:themeColor="text1"/>
                <w14:textFill>
                  <w14:solidFill>
                    <w14:schemeClr w14:val="tx1"/>
                  </w14:solidFill>
                </w14:textFill>
              </w:rPr>
              <w:t>2020年各县（市）区环境空气质量总体保持良好，全年环境空气质量均达到二级标准，与2019年相比，石林县、富民县、寻甸县、嵩明县、安宁市、宜良县和禄劝县环境空气质量均有不同程度改善；晋宁区、东川区环境空气质量有所上升；阳宗海风景名胜区环境空气质量持平。</w:t>
            </w:r>
          </w:p>
          <w:p>
            <w:pPr>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项目所在区域属环境空气质量达标区</w:t>
            </w:r>
            <w:r>
              <w:rPr>
                <w:color w:val="000000" w:themeColor="text1"/>
                <w14:textFill>
                  <w14:solidFill>
                    <w14:schemeClr w14:val="tx1"/>
                  </w14:solidFill>
                </w14:textFill>
              </w:rPr>
              <w:t>。</w:t>
            </w:r>
          </w:p>
          <w:p>
            <w:pPr>
              <w:adjustRightInd w:val="0"/>
              <w:snapToGrid w:val="0"/>
              <w:ind w:firstLine="482" w:firstLineChars="200"/>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（2）特征因子环境质量现状</w:t>
            </w:r>
          </w:p>
          <w:p>
            <w:pPr>
              <w:adjustRightInd w:val="0"/>
              <w:snapToGrid w:val="0"/>
              <w:ind w:firstLine="480" w:firstLineChars="20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本项目涉及特征污染因子为TVOC、TSP，TSP执行</w:t>
            </w:r>
            <w:r>
              <w:rPr>
                <w:color w:val="000000" w:themeColor="text1"/>
                <w:kern w:val="0"/>
                <w:lang w:val="zh-CN"/>
                <w14:textFill>
                  <w14:solidFill>
                    <w14:schemeClr w14:val="tx1"/>
                  </w14:solidFill>
                </w14:textFill>
              </w:rPr>
              <w:t>《环境空气质量标准》（</w:t>
            </w:r>
            <w:r>
              <w:rPr>
                <w:color w:val="000000" w:themeColor="text1"/>
                <w:kern w:val="0"/>
                <w14:textFill>
                  <w14:solidFill>
                    <w14:schemeClr w14:val="tx1"/>
                  </w14:solidFill>
                </w14:textFill>
              </w:rPr>
              <w:t>GB3095-2012）</w:t>
            </w:r>
            <w:r>
              <w:rPr>
                <w:rFonts w:hint="eastAsia"/>
                <w:color w:val="000000" w:themeColor="text1"/>
                <w:kern w:val="0"/>
                <w14:textFill>
                  <w14:solidFill>
                    <w14:schemeClr w14:val="tx1"/>
                  </w14:solidFill>
                </w14:textFill>
              </w:rPr>
              <w:t>二级标准限值，TVOC执行《环境影响评价技术导则   大气环境》（HJ2.2-2018）附录D标准限值。</w:t>
            </w:r>
          </w:p>
          <w:p>
            <w:pPr>
              <w:adjustRightInd w:val="0"/>
              <w:snapToGrid w:val="0"/>
              <w:ind w:firstLine="480" w:firstLineChars="20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环境质量现状评价引用《昆明铁王钢结构工程有限公司环境质量现状检测报告》，检测点位于梅树村西部，与本项目相距约327m，检测时间为2020年11月21日~2020年11月27日，检测时间在3年以内，引用数据具有代表性。具体检测结果见表3-2。</w:t>
            </w:r>
          </w:p>
          <w:p>
            <w:pPr>
              <w:pStyle w:val="68"/>
              <w:adjustRightInd w:val="0"/>
              <w:snapToGrid w:val="0"/>
              <w:rPr>
                <w:color w:val="000000" w:themeColor="text1"/>
                <w:kern w:val="0"/>
                <w:sz w:val="24"/>
                <w14:textFill>
                  <w14:solidFill>
                    <w14:schemeClr w14:val="tx1"/>
                  </w14:solidFill>
                </w14:textFill>
              </w:rPr>
            </w:pPr>
            <w:r>
              <w:rPr>
                <w:color w:val="000000" w:themeColor="text1"/>
                <w:kern w:val="0"/>
                <w:sz w:val="24"/>
                <w14:textFill>
                  <w14:solidFill>
                    <w14:schemeClr w14:val="tx1"/>
                  </w14:solidFill>
                </w14:textFill>
              </w:rPr>
              <w:t>表</w:t>
            </w:r>
            <w:r>
              <w:rPr>
                <w:rFonts w:hint="eastAsia"/>
                <w:color w:val="000000" w:themeColor="text1"/>
                <w:kern w:val="0"/>
                <w:sz w:val="24"/>
                <w14:textFill>
                  <w14:solidFill>
                    <w14:schemeClr w14:val="tx1"/>
                  </w14:solidFill>
                </w14:textFill>
              </w:rPr>
              <w:t>3</w:t>
            </w:r>
            <w:r>
              <w:rPr>
                <w:color w:val="000000" w:themeColor="text1"/>
                <w:kern w:val="0"/>
                <w:sz w:val="24"/>
                <w14:textFill>
                  <w14:solidFill>
                    <w14:schemeClr w14:val="tx1"/>
                  </w14:solidFill>
                </w14:textFill>
              </w:rPr>
              <w:t>-</w:t>
            </w:r>
            <w:r>
              <w:rPr>
                <w:rFonts w:hint="eastAsia"/>
                <w:color w:val="000000" w:themeColor="text1"/>
                <w:kern w:val="0"/>
                <w:sz w:val="24"/>
                <w14:textFill>
                  <w14:solidFill>
                    <w14:schemeClr w14:val="tx1"/>
                  </w14:solidFill>
                </w14:textFill>
              </w:rPr>
              <w:t>2</w:t>
            </w:r>
            <w:r>
              <w:rPr>
                <w:color w:val="000000" w:themeColor="text1"/>
                <w:kern w:val="0"/>
                <w:sz w:val="24"/>
                <w14:textFill>
                  <w14:solidFill>
                    <w14:schemeClr w14:val="tx1"/>
                  </w14:solidFill>
                </w14:textFill>
              </w:rPr>
              <w:t xml:space="preserve">  </w:t>
            </w:r>
            <w:r>
              <w:rPr>
                <w:bCs/>
                <w:color w:val="000000" w:themeColor="text1"/>
                <w:kern w:val="0"/>
                <w:sz w:val="24"/>
                <w14:textFill>
                  <w14:solidFill>
                    <w14:schemeClr w14:val="tx1"/>
                  </w14:solidFill>
                </w14:textFill>
              </w:rPr>
              <w:t xml:space="preserve"> </w:t>
            </w:r>
            <w:r>
              <w:rPr>
                <w:rFonts w:hint="eastAsia"/>
                <w:bCs/>
                <w:color w:val="000000" w:themeColor="text1"/>
                <w:kern w:val="0"/>
                <w:sz w:val="24"/>
                <w14:textFill>
                  <w14:solidFill>
                    <w14:schemeClr w14:val="tx1"/>
                  </w14:solidFill>
                </w14:textFill>
              </w:rPr>
              <w:t>特征因子环境质量现状检测结果一览表</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1038"/>
              <w:gridCol w:w="1259"/>
              <w:gridCol w:w="1392"/>
              <w:gridCol w:w="1337"/>
              <w:gridCol w:w="1077"/>
              <w:gridCol w:w="733"/>
              <w:gridCol w:w="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90" w:type="pct"/>
                  <w:vMerge w:val="restart"/>
                  <w:vAlign w:val="center"/>
                </w:tcPr>
                <w:p>
                  <w:pPr>
                    <w:pStyle w:val="60"/>
                    <w:adjustRightInd w:val="0"/>
                    <w:snapToGrid w:val="0"/>
                    <w:spacing w:before="0" w:beforeAutospacing="0" w:after="0" w:afterAutospacing="0" w:line="240" w:lineRule="auto"/>
                    <w:jc w:val="center"/>
                    <w:rPr>
                      <w:rFonts w:ascii="Times New Roman" w:hAnsi="Times New Roman" w:cs="Times New Roman"/>
                      <w:b/>
                      <w:bCs/>
                      <w:color w:val="000000" w:themeColor="text1"/>
                      <w:sz w:val="18"/>
                      <w:szCs w:val="18"/>
                      <w14:textFill>
                        <w14:solidFill>
                          <w14:schemeClr w14:val="tx1"/>
                        </w14:solidFill>
                      </w14:textFill>
                    </w:rPr>
                  </w:pPr>
                  <w:r>
                    <w:rPr>
                      <w:rFonts w:ascii="Times New Roman" w:hAnsi="Times New Roman" w:cs="Times New Roman"/>
                      <w:b/>
                      <w:bCs/>
                      <w:color w:val="000000" w:themeColor="text1"/>
                      <w:sz w:val="18"/>
                      <w:szCs w:val="18"/>
                      <w14:textFill>
                        <w14:solidFill>
                          <w14:schemeClr w14:val="tx1"/>
                        </w14:solidFill>
                      </w14:textFill>
                    </w:rPr>
                    <w:t>监测点位</w:t>
                  </w:r>
                </w:p>
              </w:tc>
              <w:tc>
                <w:tcPr>
                  <w:tcW w:w="619" w:type="pct"/>
                  <w:vMerge w:val="restart"/>
                  <w:vAlign w:val="center"/>
                </w:tcPr>
                <w:p>
                  <w:pPr>
                    <w:pStyle w:val="60"/>
                    <w:adjustRightInd w:val="0"/>
                    <w:snapToGrid w:val="0"/>
                    <w:spacing w:before="0" w:beforeAutospacing="0" w:after="0" w:afterAutospacing="0" w:line="240" w:lineRule="auto"/>
                    <w:jc w:val="center"/>
                    <w:rPr>
                      <w:rFonts w:ascii="Times New Roman" w:hAnsi="Times New Roman" w:cs="Times New Roman"/>
                      <w:b/>
                      <w:bCs/>
                      <w:color w:val="000000" w:themeColor="text1"/>
                      <w:sz w:val="18"/>
                      <w:szCs w:val="18"/>
                      <w14:textFill>
                        <w14:solidFill>
                          <w14:schemeClr w14:val="tx1"/>
                        </w14:solidFill>
                      </w14:textFill>
                    </w:rPr>
                  </w:pPr>
                  <w:r>
                    <w:rPr>
                      <w:rFonts w:ascii="Times New Roman" w:hAnsi="Times New Roman" w:cs="Times New Roman"/>
                      <w:b/>
                      <w:bCs/>
                      <w:color w:val="000000" w:themeColor="text1"/>
                      <w:sz w:val="18"/>
                      <w:szCs w:val="18"/>
                      <w14:textFill>
                        <w14:solidFill>
                          <w14:schemeClr w14:val="tx1"/>
                        </w14:solidFill>
                      </w14:textFill>
                    </w:rPr>
                    <w:t>污染物</w:t>
                  </w:r>
                </w:p>
              </w:tc>
              <w:tc>
                <w:tcPr>
                  <w:tcW w:w="751" w:type="pct"/>
                  <w:vMerge w:val="restart"/>
                  <w:vAlign w:val="center"/>
                </w:tcPr>
                <w:p>
                  <w:pPr>
                    <w:pStyle w:val="60"/>
                    <w:adjustRightInd w:val="0"/>
                    <w:snapToGrid w:val="0"/>
                    <w:spacing w:before="0" w:beforeAutospacing="0" w:after="0" w:afterAutospacing="0" w:line="240" w:lineRule="auto"/>
                    <w:jc w:val="center"/>
                    <w:rPr>
                      <w:rFonts w:ascii="Times New Roman" w:hAnsi="Times New Roman" w:cs="Times New Roman"/>
                      <w:b/>
                      <w:bCs/>
                      <w:color w:val="000000" w:themeColor="text1"/>
                      <w:sz w:val="18"/>
                      <w:szCs w:val="18"/>
                      <w14:textFill>
                        <w14:solidFill>
                          <w14:schemeClr w14:val="tx1"/>
                        </w14:solidFill>
                      </w14:textFill>
                    </w:rPr>
                  </w:pPr>
                  <w:r>
                    <w:rPr>
                      <w:rFonts w:ascii="Times New Roman" w:hAnsi="Times New Roman" w:cs="Times New Roman"/>
                      <w:b/>
                      <w:bCs/>
                      <w:color w:val="000000" w:themeColor="text1"/>
                      <w:sz w:val="18"/>
                      <w:szCs w:val="18"/>
                      <w14:textFill>
                        <w14:solidFill>
                          <w14:schemeClr w14:val="tx1"/>
                        </w14:solidFill>
                      </w14:textFill>
                    </w:rPr>
                    <w:t>平均时间</w:t>
                  </w:r>
                </w:p>
              </w:tc>
              <w:tc>
                <w:tcPr>
                  <w:tcW w:w="830" w:type="pct"/>
                  <w:vMerge w:val="restart"/>
                  <w:vAlign w:val="center"/>
                </w:tcPr>
                <w:p>
                  <w:pPr>
                    <w:pStyle w:val="60"/>
                    <w:adjustRightInd w:val="0"/>
                    <w:snapToGrid w:val="0"/>
                    <w:spacing w:before="0" w:beforeAutospacing="0" w:after="0" w:afterAutospacing="0" w:line="240" w:lineRule="auto"/>
                    <w:jc w:val="center"/>
                    <w:rPr>
                      <w:rFonts w:ascii="Times New Roman" w:hAnsi="Times New Roman" w:cs="Times New Roman"/>
                      <w:b/>
                      <w:bCs/>
                      <w:color w:val="000000" w:themeColor="text1"/>
                      <w:sz w:val="18"/>
                      <w:szCs w:val="18"/>
                      <w14:textFill>
                        <w14:solidFill>
                          <w14:schemeClr w14:val="tx1"/>
                        </w14:solidFill>
                      </w14:textFill>
                    </w:rPr>
                  </w:pPr>
                  <w:r>
                    <w:rPr>
                      <w:rFonts w:ascii="Times New Roman" w:hAnsi="Times New Roman" w:cs="Times New Roman"/>
                      <w:b/>
                      <w:bCs/>
                      <w:color w:val="000000" w:themeColor="text1"/>
                      <w:sz w:val="18"/>
                      <w:szCs w:val="18"/>
                      <w14:textFill>
                        <w14:solidFill>
                          <w14:schemeClr w14:val="tx1"/>
                        </w14:solidFill>
                      </w14:textFill>
                    </w:rPr>
                    <w:t>评价标准/（ug/m</w:t>
                  </w:r>
                  <w:r>
                    <w:rPr>
                      <w:rFonts w:ascii="Times New Roman" w:hAnsi="Times New Roman" w:cs="Times New Roman"/>
                      <w:b/>
                      <w:bCs/>
                      <w:color w:val="000000" w:themeColor="text1"/>
                      <w:sz w:val="18"/>
                      <w:szCs w:val="18"/>
                      <w:vertAlign w:val="superscript"/>
                      <w14:textFill>
                        <w14:solidFill>
                          <w14:schemeClr w14:val="tx1"/>
                        </w14:solidFill>
                      </w14:textFill>
                    </w:rPr>
                    <w:t>3</w:t>
                  </w:r>
                  <w:r>
                    <w:rPr>
                      <w:rFonts w:ascii="Times New Roman" w:hAnsi="Times New Roman" w:cs="Times New Roman"/>
                      <w:b/>
                      <w:bCs/>
                      <w:color w:val="000000" w:themeColor="text1"/>
                      <w:sz w:val="18"/>
                      <w:szCs w:val="18"/>
                      <w14:textFill>
                        <w14:solidFill>
                          <w14:schemeClr w14:val="tx1"/>
                        </w14:solidFill>
                      </w14:textFill>
                    </w:rPr>
                    <w:t>）</w:t>
                  </w:r>
                </w:p>
              </w:tc>
              <w:tc>
                <w:tcPr>
                  <w:tcW w:w="797" w:type="pct"/>
                  <w:vMerge w:val="restart"/>
                  <w:vAlign w:val="center"/>
                </w:tcPr>
                <w:p>
                  <w:pPr>
                    <w:pStyle w:val="60"/>
                    <w:adjustRightInd w:val="0"/>
                    <w:snapToGrid w:val="0"/>
                    <w:spacing w:before="0" w:beforeAutospacing="0" w:after="0" w:afterAutospacing="0" w:line="240" w:lineRule="auto"/>
                    <w:jc w:val="center"/>
                    <w:rPr>
                      <w:rFonts w:ascii="Times New Roman" w:hAnsi="Times New Roman" w:cs="Times New Roman"/>
                      <w:b/>
                      <w:bCs/>
                      <w:color w:val="000000" w:themeColor="text1"/>
                      <w:sz w:val="18"/>
                      <w:szCs w:val="18"/>
                      <w14:textFill>
                        <w14:solidFill>
                          <w14:schemeClr w14:val="tx1"/>
                        </w14:solidFill>
                      </w14:textFill>
                    </w:rPr>
                  </w:pPr>
                  <w:r>
                    <w:rPr>
                      <w:rFonts w:ascii="Times New Roman" w:hAnsi="Times New Roman" w:cs="Times New Roman"/>
                      <w:b/>
                      <w:bCs/>
                      <w:color w:val="000000" w:themeColor="text1"/>
                      <w:sz w:val="18"/>
                      <w:szCs w:val="18"/>
                      <w14:textFill>
                        <w14:solidFill>
                          <w14:schemeClr w14:val="tx1"/>
                        </w14:solidFill>
                      </w14:textFill>
                    </w:rPr>
                    <w:t>监测浓度范围/（ug/m</w:t>
                  </w:r>
                  <w:r>
                    <w:rPr>
                      <w:rFonts w:ascii="Times New Roman" w:hAnsi="Times New Roman" w:cs="Times New Roman"/>
                      <w:b/>
                      <w:bCs/>
                      <w:color w:val="000000" w:themeColor="text1"/>
                      <w:sz w:val="18"/>
                      <w:szCs w:val="18"/>
                      <w:vertAlign w:val="superscript"/>
                      <w14:textFill>
                        <w14:solidFill>
                          <w14:schemeClr w14:val="tx1"/>
                        </w14:solidFill>
                      </w14:textFill>
                    </w:rPr>
                    <w:t>3</w:t>
                  </w:r>
                  <w:r>
                    <w:rPr>
                      <w:rFonts w:ascii="Times New Roman" w:hAnsi="Times New Roman" w:cs="Times New Roman"/>
                      <w:b/>
                      <w:bCs/>
                      <w:color w:val="000000" w:themeColor="text1"/>
                      <w:sz w:val="18"/>
                      <w:szCs w:val="18"/>
                      <w14:textFill>
                        <w14:solidFill>
                          <w14:schemeClr w14:val="tx1"/>
                        </w14:solidFill>
                      </w14:textFill>
                    </w:rPr>
                    <w:t>）</w:t>
                  </w:r>
                </w:p>
              </w:tc>
              <w:tc>
                <w:tcPr>
                  <w:tcW w:w="642" w:type="pct"/>
                  <w:vMerge w:val="restart"/>
                  <w:vAlign w:val="center"/>
                </w:tcPr>
                <w:p>
                  <w:pPr>
                    <w:pStyle w:val="60"/>
                    <w:adjustRightInd w:val="0"/>
                    <w:snapToGrid w:val="0"/>
                    <w:spacing w:before="0" w:beforeAutospacing="0" w:after="0" w:afterAutospacing="0" w:line="240" w:lineRule="auto"/>
                    <w:jc w:val="center"/>
                    <w:rPr>
                      <w:rFonts w:ascii="Times New Roman" w:hAnsi="Times New Roman" w:cs="Times New Roman"/>
                      <w:b/>
                      <w:bCs/>
                      <w:color w:val="000000" w:themeColor="text1"/>
                      <w:sz w:val="18"/>
                      <w:szCs w:val="18"/>
                      <w14:textFill>
                        <w14:solidFill>
                          <w14:schemeClr w14:val="tx1"/>
                        </w14:solidFill>
                      </w14:textFill>
                    </w:rPr>
                  </w:pPr>
                  <w:r>
                    <w:rPr>
                      <w:rFonts w:ascii="Times New Roman" w:hAnsi="Times New Roman" w:cs="Times New Roman"/>
                      <w:b/>
                      <w:bCs/>
                      <w:color w:val="000000" w:themeColor="text1"/>
                      <w:sz w:val="18"/>
                      <w:szCs w:val="18"/>
                      <w14:textFill>
                        <w14:solidFill>
                          <w14:schemeClr w14:val="tx1"/>
                        </w14:solidFill>
                      </w14:textFill>
                    </w:rPr>
                    <w:t>最大浓度占标率/%</w:t>
                  </w:r>
                </w:p>
              </w:tc>
              <w:tc>
                <w:tcPr>
                  <w:tcW w:w="437" w:type="pct"/>
                  <w:vMerge w:val="restart"/>
                  <w:vAlign w:val="center"/>
                </w:tcPr>
                <w:p>
                  <w:pPr>
                    <w:pStyle w:val="60"/>
                    <w:adjustRightInd w:val="0"/>
                    <w:snapToGrid w:val="0"/>
                    <w:spacing w:before="0" w:beforeAutospacing="0" w:after="0" w:afterAutospacing="0" w:line="240" w:lineRule="auto"/>
                    <w:jc w:val="center"/>
                    <w:rPr>
                      <w:rFonts w:ascii="Times New Roman" w:hAnsi="Times New Roman" w:cs="Times New Roman"/>
                      <w:b/>
                      <w:bCs/>
                      <w:color w:val="000000" w:themeColor="text1"/>
                      <w:sz w:val="18"/>
                      <w:szCs w:val="18"/>
                      <w14:textFill>
                        <w14:solidFill>
                          <w14:schemeClr w14:val="tx1"/>
                        </w14:solidFill>
                      </w14:textFill>
                    </w:rPr>
                  </w:pPr>
                  <w:r>
                    <w:rPr>
                      <w:rFonts w:ascii="Times New Roman" w:hAnsi="Times New Roman" w:cs="Times New Roman"/>
                      <w:b/>
                      <w:bCs/>
                      <w:color w:val="000000" w:themeColor="text1"/>
                      <w:sz w:val="18"/>
                      <w:szCs w:val="18"/>
                      <w14:textFill>
                        <w14:solidFill>
                          <w14:schemeClr w14:val="tx1"/>
                        </w14:solidFill>
                      </w14:textFill>
                    </w:rPr>
                    <w:t>超标率/%</w:t>
                  </w:r>
                </w:p>
              </w:tc>
              <w:tc>
                <w:tcPr>
                  <w:tcW w:w="431" w:type="pct"/>
                  <w:vMerge w:val="restart"/>
                  <w:vAlign w:val="center"/>
                </w:tcPr>
                <w:p>
                  <w:pPr>
                    <w:pStyle w:val="60"/>
                    <w:adjustRightInd w:val="0"/>
                    <w:snapToGrid w:val="0"/>
                    <w:spacing w:before="0" w:beforeAutospacing="0" w:after="0" w:afterAutospacing="0" w:line="240" w:lineRule="auto"/>
                    <w:jc w:val="center"/>
                    <w:rPr>
                      <w:rFonts w:ascii="Times New Roman" w:hAnsi="Times New Roman" w:cs="Times New Roman"/>
                      <w:b/>
                      <w:bCs/>
                      <w:color w:val="000000" w:themeColor="text1"/>
                      <w:sz w:val="18"/>
                      <w:szCs w:val="18"/>
                      <w14:textFill>
                        <w14:solidFill>
                          <w14:schemeClr w14:val="tx1"/>
                        </w14:solidFill>
                      </w14:textFill>
                    </w:rPr>
                  </w:pPr>
                  <w:r>
                    <w:rPr>
                      <w:rFonts w:ascii="Times New Roman" w:hAnsi="Times New Roman" w:cs="Times New Roman"/>
                      <w:b/>
                      <w:bCs/>
                      <w:color w:val="000000" w:themeColor="text1"/>
                      <w:sz w:val="18"/>
                      <w:szCs w:val="18"/>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490" w:type="pct"/>
                  <w:vMerge w:val="continue"/>
                  <w:vAlign w:val="center"/>
                </w:tcPr>
                <w:p>
                  <w:pPr>
                    <w:pStyle w:val="60"/>
                    <w:adjustRightInd w:val="0"/>
                    <w:snapToGrid w:val="0"/>
                    <w:spacing w:before="0" w:beforeAutospacing="0" w:after="0" w:afterAutospacing="0" w:line="240" w:lineRule="auto"/>
                    <w:jc w:val="center"/>
                    <w:rPr>
                      <w:rFonts w:ascii="Times New Roman" w:hAnsi="Times New Roman" w:cs="Times New Roman"/>
                      <w:b/>
                      <w:bCs/>
                      <w:color w:val="000000" w:themeColor="text1"/>
                      <w:sz w:val="18"/>
                      <w:szCs w:val="18"/>
                      <w14:textFill>
                        <w14:solidFill>
                          <w14:schemeClr w14:val="tx1"/>
                        </w14:solidFill>
                      </w14:textFill>
                    </w:rPr>
                  </w:pPr>
                </w:p>
              </w:tc>
              <w:tc>
                <w:tcPr>
                  <w:tcW w:w="619" w:type="pct"/>
                  <w:vMerge w:val="continue"/>
                  <w:vAlign w:val="center"/>
                </w:tcPr>
                <w:p>
                  <w:pPr>
                    <w:pStyle w:val="60"/>
                    <w:adjustRightInd w:val="0"/>
                    <w:snapToGrid w:val="0"/>
                    <w:spacing w:before="0" w:beforeAutospacing="0" w:after="0" w:afterAutospacing="0" w:line="240" w:lineRule="auto"/>
                    <w:jc w:val="center"/>
                    <w:rPr>
                      <w:rFonts w:ascii="Times New Roman" w:hAnsi="Times New Roman" w:cs="Times New Roman"/>
                      <w:b/>
                      <w:bCs/>
                      <w:color w:val="000000" w:themeColor="text1"/>
                      <w:sz w:val="18"/>
                      <w:szCs w:val="18"/>
                      <w14:textFill>
                        <w14:solidFill>
                          <w14:schemeClr w14:val="tx1"/>
                        </w14:solidFill>
                      </w14:textFill>
                    </w:rPr>
                  </w:pPr>
                </w:p>
              </w:tc>
              <w:tc>
                <w:tcPr>
                  <w:tcW w:w="751" w:type="pct"/>
                  <w:vMerge w:val="continue"/>
                  <w:vAlign w:val="center"/>
                </w:tcPr>
                <w:p>
                  <w:pPr>
                    <w:pStyle w:val="60"/>
                    <w:adjustRightInd w:val="0"/>
                    <w:snapToGrid w:val="0"/>
                    <w:spacing w:before="0" w:beforeAutospacing="0" w:after="0" w:afterAutospacing="0" w:line="240" w:lineRule="auto"/>
                    <w:jc w:val="center"/>
                    <w:rPr>
                      <w:rFonts w:ascii="Times New Roman" w:hAnsi="Times New Roman" w:cs="Times New Roman"/>
                      <w:b/>
                      <w:bCs/>
                      <w:color w:val="000000" w:themeColor="text1"/>
                      <w:sz w:val="18"/>
                      <w:szCs w:val="18"/>
                      <w14:textFill>
                        <w14:solidFill>
                          <w14:schemeClr w14:val="tx1"/>
                        </w14:solidFill>
                      </w14:textFill>
                    </w:rPr>
                  </w:pPr>
                </w:p>
              </w:tc>
              <w:tc>
                <w:tcPr>
                  <w:tcW w:w="830" w:type="pct"/>
                  <w:vMerge w:val="continue"/>
                  <w:vAlign w:val="center"/>
                </w:tcPr>
                <w:p>
                  <w:pPr>
                    <w:pStyle w:val="60"/>
                    <w:adjustRightInd w:val="0"/>
                    <w:snapToGrid w:val="0"/>
                    <w:spacing w:before="0" w:beforeAutospacing="0" w:after="0" w:afterAutospacing="0" w:line="240" w:lineRule="auto"/>
                    <w:jc w:val="center"/>
                    <w:rPr>
                      <w:rFonts w:ascii="Times New Roman" w:hAnsi="Times New Roman" w:cs="Times New Roman"/>
                      <w:b/>
                      <w:bCs/>
                      <w:color w:val="000000" w:themeColor="text1"/>
                      <w:sz w:val="18"/>
                      <w:szCs w:val="18"/>
                      <w14:textFill>
                        <w14:solidFill>
                          <w14:schemeClr w14:val="tx1"/>
                        </w14:solidFill>
                      </w14:textFill>
                    </w:rPr>
                  </w:pPr>
                </w:p>
              </w:tc>
              <w:tc>
                <w:tcPr>
                  <w:tcW w:w="797" w:type="pct"/>
                  <w:vMerge w:val="continue"/>
                  <w:vAlign w:val="center"/>
                </w:tcPr>
                <w:p>
                  <w:pPr>
                    <w:pStyle w:val="60"/>
                    <w:adjustRightInd w:val="0"/>
                    <w:snapToGrid w:val="0"/>
                    <w:spacing w:before="0" w:beforeAutospacing="0" w:after="0" w:afterAutospacing="0" w:line="240" w:lineRule="auto"/>
                    <w:jc w:val="center"/>
                    <w:rPr>
                      <w:rFonts w:ascii="Times New Roman" w:hAnsi="Times New Roman" w:cs="Times New Roman"/>
                      <w:b/>
                      <w:bCs/>
                      <w:color w:val="000000" w:themeColor="text1"/>
                      <w:sz w:val="18"/>
                      <w:szCs w:val="18"/>
                      <w14:textFill>
                        <w14:solidFill>
                          <w14:schemeClr w14:val="tx1"/>
                        </w14:solidFill>
                      </w14:textFill>
                    </w:rPr>
                  </w:pPr>
                </w:p>
              </w:tc>
              <w:tc>
                <w:tcPr>
                  <w:tcW w:w="642" w:type="pct"/>
                  <w:vMerge w:val="continue"/>
                  <w:vAlign w:val="center"/>
                </w:tcPr>
                <w:p>
                  <w:pPr>
                    <w:pStyle w:val="60"/>
                    <w:adjustRightInd w:val="0"/>
                    <w:snapToGrid w:val="0"/>
                    <w:spacing w:before="0" w:beforeAutospacing="0" w:after="0" w:afterAutospacing="0" w:line="240" w:lineRule="auto"/>
                    <w:jc w:val="center"/>
                    <w:rPr>
                      <w:rFonts w:ascii="Times New Roman" w:hAnsi="Times New Roman" w:cs="Times New Roman"/>
                      <w:b/>
                      <w:bCs/>
                      <w:color w:val="000000" w:themeColor="text1"/>
                      <w:sz w:val="18"/>
                      <w:szCs w:val="18"/>
                      <w14:textFill>
                        <w14:solidFill>
                          <w14:schemeClr w14:val="tx1"/>
                        </w14:solidFill>
                      </w14:textFill>
                    </w:rPr>
                  </w:pPr>
                </w:p>
              </w:tc>
              <w:tc>
                <w:tcPr>
                  <w:tcW w:w="437" w:type="pct"/>
                  <w:vMerge w:val="continue"/>
                  <w:vAlign w:val="center"/>
                </w:tcPr>
                <w:p>
                  <w:pPr>
                    <w:pStyle w:val="60"/>
                    <w:adjustRightInd w:val="0"/>
                    <w:snapToGrid w:val="0"/>
                    <w:spacing w:before="0" w:beforeAutospacing="0" w:after="0" w:afterAutospacing="0" w:line="240" w:lineRule="auto"/>
                    <w:jc w:val="center"/>
                    <w:rPr>
                      <w:rFonts w:ascii="Times New Roman" w:hAnsi="Times New Roman" w:cs="Times New Roman"/>
                      <w:b/>
                      <w:bCs/>
                      <w:color w:val="000000" w:themeColor="text1"/>
                      <w:sz w:val="18"/>
                      <w:szCs w:val="18"/>
                      <w14:textFill>
                        <w14:solidFill>
                          <w14:schemeClr w14:val="tx1"/>
                        </w14:solidFill>
                      </w14:textFill>
                    </w:rPr>
                  </w:pPr>
                </w:p>
              </w:tc>
              <w:tc>
                <w:tcPr>
                  <w:tcW w:w="431" w:type="pct"/>
                  <w:vMerge w:val="continue"/>
                  <w:vAlign w:val="center"/>
                </w:tcPr>
                <w:p>
                  <w:pPr>
                    <w:pStyle w:val="60"/>
                    <w:adjustRightInd w:val="0"/>
                    <w:snapToGrid w:val="0"/>
                    <w:spacing w:before="0" w:beforeAutospacing="0" w:after="0" w:afterAutospacing="0" w:line="240" w:lineRule="auto"/>
                    <w:jc w:val="center"/>
                    <w:rPr>
                      <w:rFonts w:ascii="Times New Roman" w:hAnsi="Times New Roman" w:cs="Times New Roman"/>
                      <w:b/>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pct"/>
                  <w:vMerge w:val="restart"/>
                  <w:vAlign w:val="center"/>
                </w:tcPr>
                <w:p>
                  <w:pPr>
                    <w:pStyle w:val="60"/>
                    <w:adjustRightInd w:val="0"/>
                    <w:snapToGrid w:val="0"/>
                    <w:spacing w:before="0" w:beforeAutospacing="0" w:after="0" w:afterAutospacing="0" w:line="240" w:lineRule="auto"/>
                    <w:jc w:val="center"/>
                    <w:rPr>
                      <w:rFonts w:ascii="Times New Roman" w:hAnsi="Times New Roman" w:cs="Times New Roman"/>
                      <w:b/>
                      <w:bCs/>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梅树村</w:t>
                  </w:r>
                  <w:r>
                    <w:rPr>
                      <w:rFonts w:hint="eastAsia" w:ascii="Times New Roman" w:hAnsi="Times New Roman" w:cs="Times New Roman"/>
                      <w:color w:val="000000" w:themeColor="text1"/>
                      <w:sz w:val="18"/>
                      <w:szCs w:val="18"/>
                      <w14:textFill>
                        <w14:solidFill>
                          <w14:schemeClr w14:val="tx1"/>
                        </w14:solidFill>
                      </w14:textFill>
                    </w:rPr>
                    <w:t>西部</w:t>
                  </w:r>
                </w:p>
              </w:tc>
              <w:tc>
                <w:tcPr>
                  <w:tcW w:w="619" w:type="pct"/>
                  <w:vAlign w:val="center"/>
                </w:tcPr>
                <w:p>
                  <w:pPr>
                    <w:pStyle w:val="60"/>
                    <w:adjustRightInd w:val="0"/>
                    <w:snapToGrid w:val="0"/>
                    <w:spacing w:before="0" w:beforeAutospacing="0" w:after="0" w:afterAutospacing="0" w:line="240" w:lineRule="auto"/>
                    <w:jc w:val="center"/>
                    <w:rPr>
                      <w:rFonts w:ascii="Times New Roman" w:hAnsi="Times New Roman" w:cs="Times New Roman"/>
                      <w:b/>
                      <w:bCs/>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TSP</w:t>
                  </w:r>
                </w:p>
              </w:tc>
              <w:tc>
                <w:tcPr>
                  <w:tcW w:w="751" w:type="pct"/>
                  <w:vAlign w:val="center"/>
                </w:tcPr>
                <w:p>
                  <w:pPr>
                    <w:pStyle w:val="60"/>
                    <w:adjustRightInd w:val="0"/>
                    <w:snapToGrid w:val="0"/>
                    <w:spacing w:before="0" w:beforeAutospacing="0" w:after="0" w:afterAutospacing="0" w:line="24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日均值</w:t>
                  </w:r>
                </w:p>
              </w:tc>
              <w:tc>
                <w:tcPr>
                  <w:tcW w:w="830" w:type="pct"/>
                  <w:vAlign w:val="center"/>
                </w:tcPr>
                <w:p>
                  <w:pPr>
                    <w:pStyle w:val="60"/>
                    <w:adjustRightInd w:val="0"/>
                    <w:snapToGrid w:val="0"/>
                    <w:spacing w:before="0" w:beforeAutospacing="0" w:after="0" w:afterAutospacing="0" w:line="240" w:lineRule="auto"/>
                    <w:jc w:val="center"/>
                    <w:rPr>
                      <w:rFonts w:ascii="Times New Roman" w:hAnsi="Times New Roman" w:cs="Times New Roman"/>
                      <w:b/>
                      <w:bCs/>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300</w:t>
                  </w:r>
                </w:p>
              </w:tc>
              <w:tc>
                <w:tcPr>
                  <w:tcW w:w="797" w:type="pct"/>
                  <w:vAlign w:val="center"/>
                </w:tcPr>
                <w:p>
                  <w:pPr>
                    <w:pStyle w:val="60"/>
                    <w:adjustRightInd w:val="0"/>
                    <w:snapToGrid w:val="0"/>
                    <w:spacing w:before="0" w:beforeAutospacing="0" w:after="0" w:afterAutospacing="0" w:line="240" w:lineRule="auto"/>
                    <w:jc w:val="center"/>
                    <w:rPr>
                      <w:rFonts w:ascii="Times New Roman" w:hAnsi="Times New Roman" w:cs="Times New Roman"/>
                      <w:b/>
                      <w:bCs/>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110-112</w:t>
                  </w:r>
                </w:p>
              </w:tc>
              <w:tc>
                <w:tcPr>
                  <w:tcW w:w="642" w:type="pct"/>
                  <w:vAlign w:val="center"/>
                </w:tcPr>
                <w:p>
                  <w:pPr>
                    <w:pStyle w:val="60"/>
                    <w:adjustRightInd w:val="0"/>
                    <w:snapToGrid w:val="0"/>
                    <w:spacing w:before="0" w:beforeAutospacing="0" w:after="0" w:afterAutospacing="0" w:line="240" w:lineRule="auto"/>
                    <w:jc w:val="center"/>
                    <w:rPr>
                      <w:rFonts w:ascii="Times New Roman" w:hAnsi="Times New Roman" w:cs="Times New Roman"/>
                      <w:b/>
                      <w:bCs/>
                      <w:color w:val="000000" w:themeColor="text1"/>
                      <w:sz w:val="18"/>
                      <w:szCs w:val="18"/>
                      <w14:textFill>
                        <w14:solidFill>
                          <w14:schemeClr w14:val="tx1"/>
                        </w14:solidFill>
                      </w14:textFill>
                    </w:rPr>
                  </w:pPr>
                  <w:r>
                    <w:rPr>
                      <w:rFonts w:ascii="Times New Roman" w:hAnsi="Times New Roman" w:cs="Times New Roman"/>
                      <w:b/>
                      <w:bCs/>
                      <w:color w:val="000000" w:themeColor="text1"/>
                      <w:sz w:val="18"/>
                      <w:szCs w:val="18"/>
                      <w14:textFill>
                        <w14:solidFill>
                          <w14:schemeClr w14:val="tx1"/>
                        </w14:solidFill>
                      </w14:textFill>
                    </w:rPr>
                    <w:t>37.3</w:t>
                  </w:r>
                </w:p>
              </w:tc>
              <w:tc>
                <w:tcPr>
                  <w:tcW w:w="437" w:type="pct"/>
                  <w:vAlign w:val="center"/>
                </w:tcPr>
                <w:p>
                  <w:pPr>
                    <w:pStyle w:val="60"/>
                    <w:adjustRightInd w:val="0"/>
                    <w:snapToGrid w:val="0"/>
                    <w:spacing w:before="0" w:beforeAutospacing="0" w:after="0" w:afterAutospacing="0" w:line="240" w:lineRule="auto"/>
                    <w:jc w:val="center"/>
                    <w:rPr>
                      <w:rFonts w:ascii="Times New Roman" w:hAnsi="Times New Roman" w:cs="Times New Roman"/>
                      <w:b/>
                      <w:bCs/>
                      <w:color w:val="000000" w:themeColor="text1"/>
                      <w:sz w:val="18"/>
                      <w:szCs w:val="18"/>
                      <w14:textFill>
                        <w14:solidFill>
                          <w14:schemeClr w14:val="tx1"/>
                        </w14:solidFill>
                      </w14:textFill>
                    </w:rPr>
                  </w:pPr>
                  <w:r>
                    <w:rPr>
                      <w:rFonts w:ascii="Times New Roman" w:hAnsi="Times New Roman" w:cs="Times New Roman"/>
                      <w:b/>
                      <w:bCs/>
                      <w:color w:val="000000" w:themeColor="text1"/>
                      <w:sz w:val="18"/>
                      <w:szCs w:val="18"/>
                      <w14:textFill>
                        <w14:solidFill>
                          <w14:schemeClr w14:val="tx1"/>
                        </w14:solidFill>
                      </w14:textFill>
                    </w:rPr>
                    <w:t>0</w:t>
                  </w:r>
                </w:p>
              </w:tc>
              <w:tc>
                <w:tcPr>
                  <w:tcW w:w="431" w:type="pct"/>
                  <w:vAlign w:val="center"/>
                </w:tcPr>
                <w:p>
                  <w:pPr>
                    <w:pStyle w:val="60"/>
                    <w:adjustRightInd w:val="0"/>
                    <w:snapToGrid w:val="0"/>
                    <w:spacing w:before="0" w:beforeAutospacing="0" w:after="0" w:afterAutospacing="0" w:line="240" w:lineRule="auto"/>
                    <w:jc w:val="center"/>
                    <w:rPr>
                      <w:rFonts w:ascii="Times New Roman" w:hAnsi="Times New Roman" w:cs="Times New Roman"/>
                      <w:b/>
                      <w:bCs/>
                      <w:color w:val="000000" w:themeColor="text1"/>
                      <w:sz w:val="18"/>
                      <w:szCs w:val="18"/>
                      <w14:textFill>
                        <w14:solidFill>
                          <w14:schemeClr w14:val="tx1"/>
                        </w14:solidFill>
                      </w14:textFill>
                    </w:rPr>
                  </w:pPr>
                  <w:r>
                    <w:rPr>
                      <w:rFonts w:ascii="Times New Roman" w:hAnsi="Times New Roman" w:cs="Times New Roman"/>
                      <w:b/>
                      <w:color w:val="000000" w:themeColor="text1"/>
                      <w:sz w:val="18"/>
                      <w:szCs w:val="18"/>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 w:type="pct"/>
                  <w:vMerge w:val="continue"/>
                  <w:vAlign w:val="center"/>
                </w:tcPr>
                <w:p>
                  <w:pPr>
                    <w:pStyle w:val="60"/>
                    <w:adjustRightInd w:val="0"/>
                    <w:snapToGrid w:val="0"/>
                    <w:spacing w:before="0" w:beforeAutospacing="0" w:after="0" w:afterAutospacing="0" w:line="240" w:lineRule="auto"/>
                    <w:jc w:val="center"/>
                    <w:rPr>
                      <w:rFonts w:ascii="Times New Roman" w:hAnsi="Times New Roman" w:cs="Times New Roman"/>
                      <w:b/>
                      <w:bCs/>
                      <w:color w:val="000000" w:themeColor="text1"/>
                      <w:sz w:val="18"/>
                      <w:szCs w:val="18"/>
                      <w14:textFill>
                        <w14:solidFill>
                          <w14:schemeClr w14:val="tx1"/>
                        </w14:solidFill>
                      </w14:textFill>
                    </w:rPr>
                  </w:pPr>
                </w:p>
              </w:tc>
              <w:tc>
                <w:tcPr>
                  <w:tcW w:w="619" w:type="pct"/>
                  <w:vAlign w:val="center"/>
                </w:tcPr>
                <w:p>
                  <w:pPr>
                    <w:adjustRightInd w:val="0"/>
                    <w:snapToGrid w:val="0"/>
                    <w:spacing w:line="240" w:lineRule="auto"/>
                    <w:jc w:val="center"/>
                    <w:rPr>
                      <w:b/>
                      <w:bCs/>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TVOC</w:t>
                  </w:r>
                </w:p>
              </w:tc>
              <w:tc>
                <w:tcPr>
                  <w:tcW w:w="751" w:type="pct"/>
                  <w:vAlign w:val="center"/>
                </w:tcPr>
                <w:p>
                  <w:pPr>
                    <w:pStyle w:val="60"/>
                    <w:adjustRightInd w:val="0"/>
                    <w:snapToGrid w:val="0"/>
                    <w:spacing w:before="0" w:beforeAutospacing="0" w:after="0" w:afterAutospacing="0" w:line="24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8小时均值</w:t>
                  </w:r>
                </w:p>
              </w:tc>
              <w:tc>
                <w:tcPr>
                  <w:tcW w:w="830" w:type="pct"/>
                  <w:vAlign w:val="center"/>
                </w:tcPr>
                <w:p>
                  <w:pPr>
                    <w:pStyle w:val="60"/>
                    <w:adjustRightInd w:val="0"/>
                    <w:snapToGrid w:val="0"/>
                    <w:spacing w:before="0" w:beforeAutospacing="0" w:after="0" w:afterAutospacing="0" w:line="240" w:lineRule="auto"/>
                    <w:jc w:val="center"/>
                    <w:rPr>
                      <w:rFonts w:ascii="Times New Roman" w:hAnsi="Times New Roman" w:cs="Times New Roman"/>
                      <w:b/>
                      <w:bCs/>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600</w:t>
                  </w:r>
                </w:p>
              </w:tc>
              <w:tc>
                <w:tcPr>
                  <w:tcW w:w="797" w:type="pct"/>
                  <w:vAlign w:val="center"/>
                </w:tcPr>
                <w:p>
                  <w:pPr>
                    <w:pStyle w:val="60"/>
                    <w:adjustRightInd w:val="0"/>
                    <w:snapToGrid w:val="0"/>
                    <w:spacing w:before="0" w:beforeAutospacing="0" w:after="0" w:afterAutospacing="0" w:line="240" w:lineRule="auto"/>
                    <w:jc w:val="center"/>
                    <w:rPr>
                      <w:rFonts w:ascii="Times New Roman" w:hAnsi="Times New Roman" w:cs="Times New Roman"/>
                      <w:b/>
                      <w:bCs/>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1.452-7.698</w:t>
                  </w:r>
                </w:p>
              </w:tc>
              <w:tc>
                <w:tcPr>
                  <w:tcW w:w="642" w:type="pct"/>
                  <w:vAlign w:val="center"/>
                </w:tcPr>
                <w:p>
                  <w:pPr>
                    <w:pStyle w:val="60"/>
                    <w:adjustRightInd w:val="0"/>
                    <w:snapToGrid w:val="0"/>
                    <w:spacing w:before="0" w:beforeAutospacing="0" w:after="0" w:afterAutospacing="0" w:line="240" w:lineRule="auto"/>
                    <w:jc w:val="center"/>
                    <w:rPr>
                      <w:rFonts w:ascii="Times New Roman" w:hAnsi="Times New Roman" w:cs="Times New Roman"/>
                      <w:b/>
                      <w:bCs/>
                      <w:color w:val="000000" w:themeColor="text1"/>
                      <w:sz w:val="18"/>
                      <w:szCs w:val="18"/>
                      <w14:textFill>
                        <w14:solidFill>
                          <w14:schemeClr w14:val="tx1"/>
                        </w14:solidFill>
                      </w14:textFill>
                    </w:rPr>
                  </w:pPr>
                  <w:r>
                    <w:rPr>
                      <w:rFonts w:ascii="Times New Roman" w:hAnsi="Times New Roman" w:cs="Times New Roman"/>
                      <w:b/>
                      <w:bCs/>
                      <w:color w:val="000000" w:themeColor="text1"/>
                      <w:sz w:val="18"/>
                      <w:szCs w:val="18"/>
                      <w14:textFill>
                        <w14:solidFill>
                          <w14:schemeClr w14:val="tx1"/>
                        </w14:solidFill>
                      </w14:textFill>
                    </w:rPr>
                    <w:t>1.28</w:t>
                  </w:r>
                </w:p>
              </w:tc>
              <w:tc>
                <w:tcPr>
                  <w:tcW w:w="437" w:type="pct"/>
                  <w:vAlign w:val="center"/>
                </w:tcPr>
                <w:p>
                  <w:pPr>
                    <w:pStyle w:val="60"/>
                    <w:adjustRightInd w:val="0"/>
                    <w:snapToGrid w:val="0"/>
                    <w:spacing w:before="0" w:beforeAutospacing="0" w:after="0" w:afterAutospacing="0" w:line="240" w:lineRule="auto"/>
                    <w:jc w:val="center"/>
                    <w:rPr>
                      <w:rFonts w:ascii="Times New Roman" w:hAnsi="Times New Roman" w:cs="Times New Roman"/>
                      <w:b/>
                      <w:bCs/>
                      <w:color w:val="000000" w:themeColor="text1"/>
                      <w:sz w:val="18"/>
                      <w:szCs w:val="18"/>
                      <w14:textFill>
                        <w14:solidFill>
                          <w14:schemeClr w14:val="tx1"/>
                        </w14:solidFill>
                      </w14:textFill>
                    </w:rPr>
                  </w:pPr>
                  <w:r>
                    <w:rPr>
                      <w:rFonts w:ascii="Times New Roman" w:hAnsi="Times New Roman" w:cs="Times New Roman"/>
                      <w:b/>
                      <w:bCs/>
                      <w:color w:val="000000" w:themeColor="text1"/>
                      <w:sz w:val="18"/>
                      <w:szCs w:val="18"/>
                      <w14:textFill>
                        <w14:solidFill>
                          <w14:schemeClr w14:val="tx1"/>
                        </w14:solidFill>
                      </w14:textFill>
                    </w:rPr>
                    <w:t>0</w:t>
                  </w:r>
                </w:p>
              </w:tc>
              <w:tc>
                <w:tcPr>
                  <w:tcW w:w="431" w:type="pct"/>
                  <w:vAlign w:val="center"/>
                </w:tcPr>
                <w:p>
                  <w:pPr>
                    <w:pStyle w:val="60"/>
                    <w:adjustRightInd w:val="0"/>
                    <w:snapToGrid w:val="0"/>
                    <w:spacing w:before="0" w:beforeAutospacing="0" w:after="0" w:afterAutospacing="0" w:line="240" w:lineRule="auto"/>
                    <w:jc w:val="center"/>
                    <w:rPr>
                      <w:rFonts w:ascii="Times New Roman" w:hAnsi="Times New Roman" w:cs="Times New Roman"/>
                      <w:b/>
                      <w:bCs/>
                      <w:color w:val="000000" w:themeColor="text1"/>
                      <w:sz w:val="18"/>
                      <w:szCs w:val="18"/>
                      <w14:textFill>
                        <w14:solidFill>
                          <w14:schemeClr w14:val="tx1"/>
                        </w14:solidFill>
                      </w14:textFill>
                    </w:rPr>
                  </w:pPr>
                  <w:r>
                    <w:rPr>
                      <w:rFonts w:ascii="Times New Roman" w:hAnsi="Times New Roman" w:cs="Times New Roman"/>
                      <w:b/>
                      <w:color w:val="000000" w:themeColor="text1"/>
                      <w:sz w:val="18"/>
                      <w:szCs w:val="18"/>
                      <w14:textFill>
                        <w14:solidFill>
                          <w14:schemeClr w14:val="tx1"/>
                        </w14:solidFill>
                      </w14:textFill>
                    </w:rPr>
                    <w:t>达标</w:t>
                  </w:r>
                </w:p>
              </w:tc>
            </w:tr>
          </w:tbl>
          <w:p>
            <w:pPr>
              <w:adjustRightInd w:val="0"/>
              <w:snapToGrid w:val="0"/>
              <w:ind w:firstLine="480" w:firstLineChars="20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根据上表，项目区TSP浓度满足</w:t>
            </w:r>
            <w:r>
              <w:rPr>
                <w:color w:val="000000" w:themeColor="text1"/>
                <w:kern w:val="0"/>
                <w:lang w:val="zh-CN"/>
                <w14:textFill>
                  <w14:solidFill>
                    <w14:schemeClr w14:val="tx1"/>
                  </w14:solidFill>
                </w14:textFill>
              </w:rPr>
              <w:t>《环境空气质量标准》（</w:t>
            </w:r>
            <w:r>
              <w:rPr>
                <w:color w:val="000000" w:themeColor="text1"/>
                <w:kern w:val="0"/>
                <w14:textFill>
                  <w14:solidFill>
                    <w14:schemeClr w14:val="tx1"/>
                  </w14:solidFill>
                </w14:textFill>
              </w:rPr>
              <w:t>GB3095-2012）</w:t>
            </w:r>
            <w:r>
              <w:rPr>
                <w:rFonts w:hint="eastAsia"/>
                <w:color w:val="000000" w:themeColor="text1"/>
                <w:kern w:val="0"/>
                <w14:textFill>
                  <w14:solidFill>
                    <w14:schemeClr w14:val="tx1"/>
                  </w14:solidFill>
                </w14:textFill>
              </w:rPr>
              <w:t>二级标准限值要求，TVOC浓度满足《环境影响评价技术导则 大气环境》（HJ2.2-2018）附录D浓度参考限值要求。</w:t>
            </w:r>
          </w:p>
          <w:p>
            <w:pPr>
              <w:adjustRightInd w:val="0"/>
              <w:snapToGrid w:val="0"/>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2、地表水环境</w:t>
            </w:r>
          </w:p>
          <w:p>
            <w:pPr>
              <w:adjustRightInd w:val="0"/>
              <w:snapToGrid w:val="0"/>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项目</w:t>
            </w:r>
            <w:r>
              <w:rPr>
                <w:rFonts w:hint="eastAsia"/>
                <w:color w:val="000000" w:themeColor="text1"/>
                <w:kern w:val="0"/>
                <w14:textFill>
                  <w14:solidFill>
                    <w14:schemeClr w14:val="tx1"/>
                  </w14:solidFill>
                </w14:textFill>
              </w:rPr>
              <w:t>涉及</w:t>
            </w:r>
            <w:r>
              <w:rPr>
                <w:color w:val="000000" w:themeColor="text1"/>
                <w:kern w:val="0"/>
                <w14:textFill>
                  <w14:solidFill>
                    <w14:schemeClr w14:val="tx1"/>
                  </w14:solidFill>
                </w14:textFill>
              </w:rPr>
              <w:t>地表水体为</w:t>
            </w:r>
            <w:r>
              <w:rPr>
                <w:rFonts w:hint="eastAsia"/>
                <w:color w:val="000000" w:themeColor="text1"/>
                <w:kern w:val="0"/>
                <w14:textFill>
                  <w14:solidFill>
                    <w14:schemeClr w14:val="tx1"/>
                  </w14:solidFill>
                </w14:textFill>
              </w:rPr>
              <w:t>古城</w:t>
            </w:r>
            <w:r>
              <w:rPr>
                <w:color w:val="000000" w:themeColor="text1"/>
                <w:kern w:val="0"/>
                <w14:textFill>
                  <w14:solidFill>
                    <w14:schemeClr w14:val="tx1"/>
                  </w14:solidFill>
                </w14:textFill>
              </w:rPr>
              <w:t>河（</w:t>
            </w:r>
            <w:r>
              <w:rPr>
                <w:rFonts w:hint="eastAsia"/>
                <w:color w:val="000000" w:themeColor="text1"/>
                <w:kern w:val="0"/>
                <w14:textFill>
                  <w14:solidFill>
                    <w14:schemeClr w14:val="tx1"/>
                  </w14:solidFill>
                </w14:textFill>
              </w:rPr>
              <w:t>源头</w:t>
            </w:r>
            <w:r>
              <w:rPr>
                <w:color w:val="000000" w:themeColor="text1"/>
                <w:kern w:val="0"/>
                <w14:textFill>
                  <w14:solidFill>
                    <w14:schemeClr w14:val="tx1"/>
                  </w14:solidFill>
                </w14:textFill>
              </w:rPr>
              <w:t>-入外海口），位于本项目</w:t>
            </w:r>
            <w:r>
              <w:rPr>
                <w:rFonts w:hint="eastAsia"/>
                <w:color w:val="000000" w:themeColor="text1"/>
                <w:kern w:val="0"/>
                <w14:textFill>
                  <w14:solidFill>
                    <w14:schemeClr w14:val="tx1"/>
                  </w14:solidFill>
                </w14:textFill>
              </w:rPr>
              <w:t>南</w:t>
            </w:r>
            <w:r>
              <w:rPr>
                <w:color w:val="000000" w:themeColor="text1"/>
                <w:kern w:val="0"/>
                <w14:textFill>
                  <w14:solidFill>
                    <w14:schemeClr w14:val="tx1"/>
                  </w14:solidFill>
                </w14:textFill>
              </w:rPr>
              <w:t>侧</w:t>
            </w:r>
            <w:r>
              <w:rPr>
                <w:rFonts w:hint="eastAsia"/>
                <w:color w:val="000000" w:themeColor="text1"/>
                <w:kern w:val="0"/>
                <w14:textFill>
                  <w14:solidFill>
                    <w14:schemeClr w14:val="tx1"/>
                  </w14:solidFill>
                </w14:textFill>
              </w:rPr>
              <w:t>275</w:t>
            </w:r>
            <w:r>
              <w:rPr>
                <w:color w:val="000000" w:themeColor="text1"/>
                <w:kern w:val="0"/>
                <w14:textFill>
                  <w14:solidFill>
                    <w14:schemeClr w14:val="tx1"/>
                  </w14:solidFill>
                </w14:textFill>
              </w:rPr>
              <w:t>米</w:t>
            </w:r>
            <w:r>
              <w:rPr>
                <w:rFonts w:hint="eastAsia"/>
                <w:color w:val="000000" w:themeColor="text1"/>
                <w:kern w:val="0"/>
                <w14:textFill>
                  <w14:solidFill>
                    <w14:schemeClr w14:val="tx1"/>
                  </w14:solidFill>
                </w14:textFill>
              </w:rPr>
              <w:t>处</w:t>
            </w:r>
            <w:r>
              <w:rPr>
                <w:color w:val="000000" w:themeColor="text1"/>
                <w:kern w:val="0"/>
                <w14:textFill>
                  <w14:solidFill>
                    <w14:schemeClr w14:val="tx1"/>
                  </w14:solidFill>
                </w14:textFill>
              </w:rPr>
              <w:t>，属于滇池支流</w:t>
            </w:r>
            <w:r>
              <w:rPr>
                <w:rFonts w:hint="eastAsia"/>
                <w:color w:val="000000" w:themeColor="text1"/>
                <w:kern w:val="0"/>
                <w14:textFill>
                  <w14:solidFill>
                    <w14:schemeClr w14:val="tx1"/>
                  </w14:solidFill>
                </w14:textFill>
              </w:rPr>
              <w:t>。</w:t>
            </w:r>
            <w:r>
              <w:rPr>
                <w:color w:val="000000" w:themeColor="text1"/>
                <w:kern w:val="0"/>
                <w14:textFill>
                  <w14:solidFill>
                    <w14:schemeClr w14:val="tx1"/>
                  </w14:solidFill>
                </w14:textFill>
              </w:rPr>
              <w:t>根据《云南省水功能区划（</w:t>
            </w:r>
            <w:r>
              <w:rPr>
                <w:rFonts w:hint="eastAsia"/>
                <w:color w:val="000000" w:themeColor="text1"/>
                <w:kern w:val="0"/>
                <w14:textFill>
                  <w14:solidFill>
                    <w14:schemeClr w14:val="tx1"/>
                  </w14:solidFill>
                </w14:textFill>
              </w:rPr>
              <w:t>2014年修订</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项目位于古城</w:t>
            </w:r>
            <w:r>
              <w:rPr>
                <w:color w:val="000000" w:themeColor="text1"/>
                <w:kern w:val="0"/>
                <w14:textFill>
                  <w14:solidFill>
                    <w14:schemeClr w14:val="tx1"/>
                  </w14:solidFill>
                </w14:textFill>
              </w:rPr>
              <w:t>河</w:t>
            </w:r>
            <w:r>
              <w:rPr>
                <w:rFonts w:hint="eastAsia"/>
                <w:color w:val="000000" w:themeColor="text1"/>
                <w:kern w:val="0"/>
                <w14:textFill>
                  <w14:solidFill>
                    <w14:schemeClr w14:val="tx1"/>
                  </w14:solidFill>
                </w14:textFill>
              </w:rPr>
              <w:t>晋宁农业、工业用水区，古城</w:t>
            </w:r>
            <w:r>
              <w:rPr>
                <w:color w:val="000000" w:themeColor="text1"/>
                <w:kern w:val="0"/>
                <w14:textFill>
                  <w14:solidFill>
                    <w14:schemeClr w14:val="tx1"/>
                  </w14:solidFill>
                </w14:textFill>
              </w:rPr>
              <w:t>河</w:t>
            </w:r>
            <w:r>
              <w:rPr>
                <w:rFonts w:hint="eastAsia"/>
                <w:color w:val="000000" w:themeColor="text1"/>
                <w:kern w:val="0"/>
                <w14:textFill>
                  <w14:solidFill>
                    <w14:schemeClr w14:val="tx1"/>
                  </w14:solidFill>
                </w14:textFill>
              </w:rPr>
              <w:t>由源头至入滇池口，全长8.0km，以农业、工业用水为主。现状水质为Ⅳ类，规划水平年2030年水质目标为Ⅲ类</w:t>
            </w:r>
            <w:r>
              <w:rPr>
                <w:color w:val="000000" w:themeColor="text1"/>
                <w:kern w:val="0"/>
                <w14:textFill>
                  <w14:solidFill>
                    <w14:schemeClr w14:val="tx1"/>
                  </w14:solidFill>
                </w14:textFill>
              </w:rPr>
              <w:t>。根据</w:t>
            </w:r>
            <w:r>
              <w:rPr>
                <w:rFonts w:hint="eastAsia"/>
                <w:color w:val="000000" w:themeColor="text1"/>
                <w14:textFill>
                  <w14:solidFill>
                    <w14:schemeClr w14:val="tx1"/>
                  </w14:solidFill>
                </w14:textFill>
              </w:rPr>
              <w:t>《2020年度昆明市生态环境状况公报》</w:t>
            </w:r>
            <w:r>
              <w:rPr>
                <w:color w:val="000000" w:themeColor="text1"/>
                <w:kern w:val="0"/>
                <w14:textFill>
                  <w14:solidFill>
                    <w14:schemeClr w14:val="tx1"/>
                  </w14:solidFill>
                </w14:textFill>
              </w:rPr>
              <w:t>可知，</w:t>
            </w:r>
            <w:r>
              <w:rPr>
                <w:rFonts w:hint="eastAsia"/>
                <w:color w:val="000000" w:themeColor="text1"/>
                <w:kern w:val="0"/>
                <w14:textFill>
                  <w14:solidFill>
                    <w14:schemeClr w14:val="tx1"/>
                  </w14:solidFill>
                </w14:textFill>
              </w:rPr>
              <w:t>古城河入湖断面水质</w:t>
            </w:r>
            <w:r>
              <w:rPr>
                <w:color w:val="000000" w:themeColor="text1"/>
                <w:kern w:val="0"/>
                <w14:textFill>
                  <w14:solidFill>
                    <w14:schemeClr w14:val="tx1"/>
                  </w14:solidFill>
                </w14:textFill>
              </w:rPr>
              <w:t>达到</w:t>
            </w:r>
            <w:r>
              <w:rPr>
                <w:rFonts w:hint="eastAsia"/>
                <w:color w:val="000000" w:themeColor="text1"/>
                <w:kern w:val="0"/>
                <w14:textFill>
                  <w14:solidFill>
                    <w14:schemeClr w14:val="tx1"/>
                  </w14:solidFill>
                </w14:textFill>
              </w:rPr>
              <w:t>昆明市考核目标</w:t>
            </w:r>
            <w:r>
              <w:rPr>
                <w:color w:val="000000" w:themeColor="text1"/>
                <w:kern w:val="0"/>
                <w14:textFill>
                  <w14:solidFill>
                    <w14:schemeClr w14:val="tx1"/>
                  </w14:solidFill>
                </w14:textFill>
              </w:rPr>
              <w:t>。</w:t>
            </w:r>
          </w:p>
          <w:p>
            <w:pPr>
              <w:adjustRightInd w:val="0"/>
              <w:snapToGrid w:val="0"/>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3、声环境</w:t>
            </w:r>
          </w:p>
          <w:p>
            <w:pPr>
              <w:adjustRightInd w:val="0"/>
              <w:snapToGrid w:val="0"/>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项目所在地属于晋宁工业园区</w:t>
            </w:r>
            <w:r>
              <w:rPr>
                <w:rFonts w:hint="eastAsia"/>
                <w:color w:val="000000" w:themeColor="text1"/>
                <w:kern w:val="0"/>
                <w14:textFill>
                  <w14:solidFill>
                    <w14:schemeClr w14:val="tx1"/>
                  </w14:solidFill>
                </w14:textFill>
              </w:rPr>
              <w:t>青山</w:t>
            </w:r>
            <w:r>
              <w:rPr>
                <w:color w:val="000000" w:themeColor="text1"/>
                <w:kern w:val="0"/>
                <w14:textFill>
                  <w14:solidFill>
                    <w14:schemeClr w14:val="tx1"/>
                  </w14:solidFill>
                </w14:textFill>
              </w:rPr>
              <w:t>工业基地内，声环境质量执行《声环境质量标准》（GB3096-2008）3类标准。</w:t>
            </w:r>
            <w:r>
              <w:rPr>
                <w:rFonts w:hint="eastAsia"/>
                <w:color w:val="000000" w:themeColor="text1"/>
                <w:kern w:val="0"/>
                <w14:textFill>
                  <w14:solidFill>
                    <w14:schemeClr w14:val="tx1"/>
                  </w14:solidFill>
                </w14:textFill>
              </w:rPr>
              <w:t>项目周边的</w:t>
            </w:r>
            <w:r>
              <w:rPr>
                <w:color w:val="000000" w:themeColor="text1"/>
                <w:kern w:val="0"/>
                <w14:textFill>
                  <w14:solidFill>
                    <w14:schemeClr w14:val="tx1"/>
                  </w14:solidFill>
                </w14:textFill>
              </w:rPr>
              <w:t>环境敏感点</w:t>
            </w:r>
            <w:r>
              <w:rPr>
                <w:rFonts w:hint="eastAsia"/>
                <w:color w:val="000000" w:themeColor="text1"/>
                <w:kern w:val="0"/>
                <w14:textFill>
                  <w14:solidFill>
                    <w14:schemeClr w14:val="tx1"/>
                  </w14:solidFill>
                </w14:textFill>
              </w:rPr>
              <w:t>汉营村、梅树村</w:t>
            </w:r>
            <w:r>
              <w:rPr>
                <w:color w:val="000000" w:themeColor="text1"/>
                <w:kern w:val="0"/>
                <w14:textFill>
                  <w14:solidFill>
                    <w14:schemeClr w14:val="tx1"/>
                  </w14:solidFill>
                </w14:textFill>
              </w:rPr>
              <w:t>声环境质量执行《声环境质量标准》（GB3096-2008）2类标准。</w:t>
            </w:r>
          </w:p>
          <w:p>
            <w:pPr>
              <w:adjustRightInd w:val="0"/>
              <w:snapToGrid w:val="0"/>
              <w:ind w:firstLine="480" w:firstLineChars="200"/>
              <w:rPr>
                <w:color w:val="000000" w:themeColor="text1"/>
                <w:kern w:val="0"/>
                <w14:textFill>
                  <w14:solidFill>
                    <w14:schemeClr w14:val="tx1"/>
                  </w14:solidFill>
                </w14:textFill>
              </w:rPr>
            </w:pPr>
            <w:r>
              <w:rPr>
                <w:color w:val="000000" w:themeColor="text1"/>
                <w14:textFill>
                  <w14:solidFill>
                    <w14:schemeClr w14:val="tx1"/>
                  </w14:solidFill>
                </w14:textFill>
              </w:rPr>
              <w:t>为了解本项目所在区域</w:t>
            </w:r>
            <w:r>
              <w:rPr>
                <w:rFonts w:hint="eastAsia"/>
                <w:color w:val="000000" w:themeColor="text1"/>
                <w14:textFill>
                  <w14:solidFill>
                    <w14:schemeClr w14:val="tx1"/>
                  </w14:solidFill>
                </w14:textFill>
              </w:rPr>
              <w:t>声环境</w:t>
            </w:r>
            <w:r>
              <w:rPr>
                <w:color w:val="000000" w:themeColor="text1"/>
                <w14:textFill>
                  <w14:solidFill>
                    <w14:schemeClr w14:val="tx1"/>
                  </w14:solidFill>
                </w14:textFill>
              </w:rPr>
              <w:t>质量现状，</w:t>
            </w:r>
            <w:r>
              <w:rPr>
                <w:rFonts w:hint="eastAsia"/>
                <w:color w:val="000000" w:themeColor="text1"/>
                <w:kern w:val="0"/>
                <w14:textFill>
                  <w14:solidFill>
                    <w14:schemeClr w14:val="tx1"/>
                  </w14:solidFill>
                </w14:textFill>
              </w:rPr>
              <w:t>我公司</w:t>
            </w:r>
            <w:r>
              <w:rPr>
                <w:color w:val="000000" w:themeColor="text1"/>
                <w:kern w:val="0"/>
                <w14:textFill>
                  <w14:solidFill>
                    <w14:schemeClr w14:val="tx1"/>
                  </w14:solidFill>
                </w14:textFill>
              </w:rPr>
              <w:t>委托</w:t>
            </w:r>
            <w:r>
              <w:rPr>
                <w:rFonts w:hint="eastAsia"/>
                <w:color w:val="000000" w:themeColor="text1"/>
                <w:kern w:val="0"/>
                <w14:textFill>
                  <w14:solidFill>
                    <w14:schemeClr w14:val="tx1"/>
                  </w14:solidFill>
                </w14:textFill>
              </w:rPr>
              <w:t>云南天籁检测有限公司</w:t>
            </w:r>
            <w:r>
              <w:rPr>
                <w:color w:val="000000" w:themeColor="text1"/>
                <w:kern w:val="0"/>
                <w14:textFill>
                  <w14:solidFill>
                    <w14:schemeClr w14:val="tx1"/>
                  </w14:solidFill>
                </w14:textFill>
              </w:rPr>
              <w:t>对</w:t>
            </w:r>
            <w:r>
              <w:rPr>
                <w:rFonts w:hint="eastAsia"/>
                <w:color w:val="000000" w:themeColor="text1"/>
                <w:kern w:val="0"/>
                <w14:textFill>
                  <w14:solidFill>
                    <w14:schemeClr w14:val="tx1"/>
                  </w14:solidFill>
                </w14:textFill>
              </w:rPr>
              <w:t>项目北侧40m处的汉营村、西北侧42m处梅树村声</w:t>
            </w:r>
            <w:r>
              <w:rPr>
                <w:color w:val="000000" w:themeColor="text1"/>
                <w:kern w:val="0"/>
                <w14:textFill>
                  <w14:solidFill>
                    <w14:schemeClr w14:val="tx1"/>
                  </w14:solidFill>
                </w14:textFill>
              </w:rPr>
              <w:t>环境质量现状进行</w:t>
            </w:r>
            <w:r>
              <w:rPr>
                <w:rFonts w:hint="eastAsia"/>
                <w:color w:val="000000" w:themeColor="text1"/>
                <w:kern w:val="0"/>
                <w14:textFill>
                  <w14:solidFill>
                    <w14:schemeClr w14:val="tx1"/>
                  </w14:solidFill>
                </w14:textFill>
              </w:rPr>
              <w:t>了</w:t>
            </w:r>
            <w:r>
              <w:rPr>
                <w:color w:val="000000" w:themeColor="text1"/>
                <w:kern w:val="0"/>
                <w14:textFill>
                  <w14:solidFill>
                    <w14:schemeClr w14:val="tx1"/>
                  </w14:solidFill>
                </w14:textFill>
              </w:rPr>
              <w:t>监测，监测时间为202</w:t>
            </w:r>
            <w:r>
              <w:rPr>
                <w:rFonts w:hint="eastAsia"/>
                <w:color w:val="000000" w:themeColor="text1"/>
                <w:kern w:val="0"/>
                <w14:textFill>
                  <w14:solidFill>
                    <w14:schemeClr w14:val="tx1"/>
                  </w14:solidFill>
                </w14:textFill>
              </w:rPr>
              <w:t>1</w:t>
            </w:r>
            <w:r>
              <w:rPr>
                <w:color w:val="000000" w:themeColor="text1"/>
                <w:kern w:val="0"/>
                <w14:textFill>
                  <w14:solidFill>
                    <w14:schemeClr w14:val="tx1"/>
                  </w14:solidFill>
                </w14:textFill>
              </w:rPr>
              <w:t>年</w:t>
            </w:r>
            <w:r>
              <w:rPr>
                <w:rFonts w:hint="eastAsia"/>
                <w:color w:val="000000" w:themeColor="text1"/>
                <w:kern w:val="0"/>
                <w14:textFill>
                  <w14:solidFill>
                    <w14:schemeClr w14:val="tx1"/>
                  </w14:solidFill>
                </w14:textFill>
              </w:rPr>
              <w:t>10</w:t>
            </w:r>
            <w:r>
              <w:rPr>
                <w:color w:val="000000" w:themeColor="text1"/>
                <w:kern w:val="0"/>
                <w14:textFill>
                  <w14:solidFill>
                    <w14:schemeClr w14:val="tx1"/>
                  </w14:solidFill>
                </w14:textFill>
              </w:rPr>
              <w:t>月</w:t>
            </w:r>
            <w:r>
              <w:rPr>
                <w:rFonts w:hint="eastAsia"/>
                <w:color w:val="000000" w:themeColor="text1"/>
                <w:kern w:val="0"/>
                <w14:textFill>
                  <w14:solidFill>
                    <w14:schemeClr w14:val="tx1"/>
                  </w14:solidFill>
                </w14:textFill>
              </w:rPr>
              <w:t>17</w:t>
            </w:r>
            <w:r>
              <w:rPr>
                <w:color w:val="000000" w:themeColor="text1"/>
                <w:kern w:val="0"/>
                <w14:textFill>
                  <w14:solidFill>
                    <w14:schemeClr w14:val="tx1"/>
                  </w14:solidFill>
                </w14:textFill>
              </w:rPr>
              <w:t>日~202</w:t>
            </w:r>
            <w:r>
              <w:rPr>
                <w:rFonts w:hint="eastAsia"/>
                <w:color w:val="000000" w:themeColor="text1"/>
                <w:kern w:val="0"/>
                <w14:textFill>
                  <w14:solidFill>
                    <w14:schemeClr w14:val="tx1"/>
                  </w14:solidFill>
                </w14:textFill>
              </w:rPr>
              <w:t>1</w:t>
            </w:r>
            <w:r>
              <w:rPr>
                <w:color w:val="000000" w:themeColor="text1"/>
                <w:kern w:val="0"/>
                <w14:textFill>
                  <w14:solidFill>
                    <w14:schemeClr w14:val="tx1"/>
                  </w14:solidFill>
                </w14:textFill>
              </w:rPr>
              <w:t>年</w:t>
            </w:r>
            <w:r>
              <w:rPr>
                <w:rFonts w:hint="eastAsia"/>
                <w:color w:val="000000" w:themeColor="text1"/>
                <w:kern w:val="0"/>
                <w14:textFill>
                  <w14:solidFill>
                    <w14:schemeClr w14:val="tx1"/>
                  </w14:solidFill>
                </w14:textFill>
              </w:rPr>
              <w:t>10</w:t>
            </w:r>
            <w:r>
              <w:rPr>
                <w:color w:val="000000" w:themeColor="text1"/>
                <w:kern w:val="0"/>
                <w14:textFill>
                  <w14:solidFill>
                    <w14:schemeClr w14:val="tx1"/>
                  </w14:solidFill>
                </w14:textFill>
              </w:rPr>
              <w:t>月</w:t>
            </w:r>
            <w:r>
              <w:rPr>
                <w:rFonts w:hint="eastAsia"/>
                <w:color w:val="000000" w:themeColor="text1"/>
                <w:kern w:val="0"/>
                <w14:textFill>
                  <w14:solidFill>
                    <w14:schemeClr w14:val="tx1"/>
                  </w14:solidFill>
                </w14:textFill>
              </w:rPr>
              <w:t>18</w:t>
            </w:r>
            <w:r>
              <w:rPr>
                <w:color w:val="000000" w:themeColor="text1"/>
                <w:kern w:val="0"/>
                <w14:textFill>
                  <w14:solidFill>
                    <w14:schemeClr w14:val="tx1"/>
                  </w14:solidFill>
                </w14:textFill>
              </w:rPr>
              <w:t>日，连续检测2天，昼夜各一次。</w:t>
            </w:r>
          </w:p>
          <w:p>
            <w:pPr>
              <w:pStyle w:val="11"/>
              <w:adjustRightInd w:val="0"/>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根据检测报告，汉营村两天昼间噪声值均为54.6dB（A），夜间噪声值为43.5~43.7dB（A），梅树村昼间噪声值为51.2~51.4（A），夜间噪声为42.0~42.7dB（A），检测结果详见表3-3，项目周边的</w:t>
            </w:r>
            <w:r>
              <w:rPr>
                <w:color w:val="000000" w:themeColor="text1"/>
                <w:sz w:val="24"/>
                <w:szCs w:val="24"/>
                <w14:textFill>
                  <w14:solidFill>
                    <w14:schemeClr w14:val="tx1"/>
                  </w14:solidFill>
                </w14:textFill>
              </w:rPr>
              <w:t>环境敏感点</w:t>
            </w:r>
            <w:r>
              <w:rPr>
                <w:rFonts w:hint="eastAsia"/>
                <w:color w:val="000000" w:themeColor="text1"/>
                <w:sz w:val="24"/>
                <w:szCs w:val="24"/>
                <w14:textFill>
                  <w14:solidFill>
                    <w14:schemeClr w14:val="tx1"/>
                  </w14:solidFill>
                </w14:textFill>
              </w:rPr>
              <w:t>汉营村、梅树村监测点处声环境质量现状满足《声环境质量标准》（GB3096-2008）2类区标准要求。</w:t>
            </w:r>
          </w:p>
          <w:p>
            <w:pPr>
              <w:pStyle w:val="68"/>
              <w:adjustRightInd w:val="0"/>
              <w:snapToGrid w:val="0"/>
              <w:rPr>
                <w:color w:val="000000" w:themeColor="text1"/>
                <w:kern w:val="0"/>
                <w:sz w:val="24"/>
                <w14:textFill>
                  <w14:solidFill>
                    <w14:schemeClr w14:val="tx1"/>
                  </w14:solidFill>
                </w14:textFill>
              </w:rPr>
            </w:pPr>
            <w:r>
              <w:rPr>
                <w:rFonts w:hint="eastAsia"/>
                <w:color w:val="000000" w:themeColor="text1"/>
                <w:kern w:val="0"/>
                <w:sz w:val="24"/>
                <w14:textFill>
                  <w14:solidFill>
                    <w14:schemeClr w14:val="tx1"/>
                  </w14:solidFill>
                </w14:textFill>
              </w:rPr>
              <w:t>表3-3环境质量现状检测结果一览表</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4"/>
              <w:gridCol w:w="1331"/>
              <w:gridCol w:w="1122"/>
              <w:gridCol w:w="1169"/>
              <w:gridCol w:w="1217"/>
              <w:gridCol w:w="1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584" w:type="dxa"/>
                  <w:vAlign w:val="center"/>
                </w:tcPr>
                <w:p>
                  <w:pPr>
                    <w:widowControl/>
                    <w:adjustRightInd w:val="0"/>
                    <w:snapToGrid w:val="0"/>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监测点</w:t>
                  </w:r>
                </w:p>
              </w:tc>
              <w:tc>
                <w:tcPr>
                  <w:tcW w:w="2453" w:type="dxa"/>
                  <w:gridSpan w:val="2"/>
                  <w:vAlign w:val="center"/>
                </w:tcPr>
                <w:p>
                  <w:pPr>
                    <w:widowControl/>
                    <w:adjustRightInd w:val="0"/>
                    <w:snapToGrid w:val="0"/>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监测时间</w:t>
                  </w:r>
                </w:p>
              </w:tc>
              <w:tc>
                <w:tcPr>
                  <w:tcW w:w="1169" w:type="dxa"/>
                  <w:vAlign w:val="center"/>
                </w:tcPr>
                <w:p>
                  <w:pPr>
                    <w:widowControl/>
                    <w:adjustRightInd w:val="0"/>
                    <w:snapToGrid w:val="0"/>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Leq</w:t>
                  </w:r>
                </w:p>
              </w:tc>
              <w:tc>
                <w:tcPr>
                  <w:tcW w:w="1217" w:type="dxa"/>
                  <w:vAlign w:val="center"/>
                </w:tcPr>
                <w:p>
                  <w:pPr>
                    <w:widowControl/>
                    <w:adjustRightInd w:val="0"/>
                    <w:snapToGrid w:val="0"/>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标准值</w:t>
                  </w:r>
                </w:p>
              </w:tc>
              <w:tc>
                <w:tcPr>
                  <w:tcW w:w="1541" w:type="dxa"/>
                  <w:vAlign w:val="center"/>
                </w:tcPr>
                <w:p>
                  <w:pPr>
                    <w:widowControl/>
                    <w:adjustRightInd w:val="0"/>
                    <w:snapToGrid w:val="0"/>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584" w:type="dxa"/>
                  <w:vMerge w:val="restart"/>
                  <w:vAlign w:val="center"/>
                </w:tcPr>
                <w:p>
                  <w:pPr>
                    <w:widowControl/>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汉营村</w:t>
                  </w:r>
                </w:p>
              </w:tc>
              <w:tc>
                <w:tcPr>
                  <w:tcW w:w="1331" w:type="dxa"/>
                  <w:vMerge w:val="restart"/>
                  <w:vAlign w:val="center"/>
                </w:tcPr>
                <w:p>
                  <w:pPr>
                    <w:widowControl/>
                    <w:adjustRightInd w:val="0"/>
                    <w:snapToGrid w:val="0"/>
                    <w:spacing w:line="240" w:lineRule="auto"/>
                    <w:jc w:val="center"/>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202</w:t>
                  </w:r>
                  <w:r>
                    <w:rPr>
                      <w:rFonts w:hint="eastAsia"/>
                      <w:bCs/>
                      <w:color w:val="000000" w:themeColor="text1"/>
                      <w:kern w:val="0"/>
                      <w:sz w:val="21"/>
                      <w:szCs w:val="21"/>
                      <w14:textFill>
                        <w14:solidFill>
                          <w14:schemeClr w14:val="tx1"/>
                        </w14:solidFill>
                      </w14:textFill>
                    </w:rPr>
                    <w:t>1.10.17</w:t>
                  </w:r>
                </w:p>
              </w:tc>
              <w:tc>
                <w:tcPr>
                  <w:tcW w:w="1122" w:type="dxa"/>
                  <w:vAlign w:val="center"/>
                </w:tcPr>
                <w:p>
                  <w:pPr>
                    <w:widowControl/>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昼</w:t>
                  </w:r>
                </w:p>
              </w:tc>
              <w:tc>
                <w:tcPr>
                  <w:tcW w:w="1169" w:type="dxa"/>
                  <w:vAlign w:val="center"/>
                </w:tcPr>
                <w:p>
                  <w:pPr>
                    <w:widowControl/>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54.6</w:t>
                  </w:r>
                </w:p>
              </w:tc>
              <w:tc>
                <w:tcPr>
                  <w:tcW w:w="1217" w:type="dxa"/>
                  <w:vAlign w:val="center"/>
                </w:tcPr>
                <w:p>
                  <w:pPr>
                    <w:widowControl/>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6</w:t>
                  </w:r>
                  <w:r>
                    <w:rPr>
                      <w:rFonts w:hint="eastAsia"/>
                      <w:color w:val="000000" w:themeColor="text1"/>
                      <w:kern w:val="0"/>
                      <w:sz w:val="21"/>
                      <w:szCs w:val="21"/>
                      <w14:textFill>
                        <w14:solidFill>
                          <w14:schemeClr w14:val="tx1"/>
                        </w14:solidFill>
                      </w14:textFill>
                    </w:rPr>
                    <w:t>0</w:t>
                  </w:r>
                </w:p>
              </w:tc>
              <w:tc>
                <w:tcPr>
                  <w:tcW w:w="1541" w:type="dxa"/>
                  <w:vMerge w:val="restart"/>
                  <w:vAlign w:val="center"/>
                </w:tcPr>
                <w:p>
                  <w:pPr>
                    <w:widowControl/>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584" w:type="dxa"/>
                  <w:vMerge w:val="continue"/>
                  <w:vAlign w:val="center"/>
                </w:tcPr>
                <w:p>
                  <w:pPr>
                    <w:widowControl/>
                    <w:adjustRightInd w:val="0"/>
                    <w:snapToGrid w:val="0"/>
                    <w:spacing w:line="240" w:lineRule="auto"/>
                    <w:jc w:val="center"/>
                    <w:rPr>
                      <w:color w:val="000000" w:themeColor="text1"/>
                      <w:kern w:val="0"/>
                      <w:sz w:val="21"/>
                      <w:szCs w:val="21"/>
                      <w14:textFill>
                        <w14:solidFill>
                          <w14:schemeClr w14:val="tx1"/>
                        </w14:solidFill>
                      </w14:textFill>
                    </w:rPr>
                  </w:pPr>
                </w:p>
              </w:tc>
              <w:tc>
                <w:tcPr>
                  <w:tcW w:w="1331" w:type="dxa"/>
                  <w:vMerge w:val="continue"/>
                  <w:vAlign w:val="center"/>
                </w:tcPr>
                <w:p>
                  <w:pPr>
                    <w:widowControl/>
                    <w:adjustRightInd w:val="0"/>
                    <w:snapToGrid w:val="0"/>
                    <w:spacing w:line="240" w:lineRule="auto"/>
                    <w:jc w:val="center"/>
                    <w:rPr>
                      <w:bCs/>
                      <w:color w:val="000000" w:themeColor="text1"/>
                      <w:kern w:val="0"/>
                      <w:sz w:val="21"/>
                      <w:szCs w:val="21"/>
                      <w14:textFill>
                        <w14:solidFill>
                          <w14:schemeClr w14:val="tx1"/>
                        </w14:solidFill>
                      </w14:textFill>
                    </w:rPr>
                  </w:pPr>
                </w:p>
              </w:tc>
              <w:tc>
                <w:tcPr>
                  <w:tcW w:w="1122" w:type="dxa"/>
                  <w:vAlign w:val="center"/>
                </w:tcPr>
                <w:p>
                  <w:pPr>
                    <w:widowControl/>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夜</w:t>
                  </w:r>
                </w:p>
              </w:tc>
              <w:tc>
                <w:tcPr>
                  <w:tcW w:w="1169" w:type="dxa"/>
                  <w:vAlign w:val="center"/>
                </w:tcPr>
                <w:p>
                  <w:pPr>
                    <w:widowControl/>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4</w:t>
                  </w:r>
                  <w:r>
                    <w:rPr>
                      <w:rFonts w:hint="eastAsia"/>
                      <w:color w:val="000000" w:themeColor="text1"/>
                      <w:kern w:val="0"/>
                      <w:sz w:val="21"/>
                      <w:szCs w:val="21"/>
                      <w14:textFill>
                        <w14:solidFill>
                          <w14:schemeClr w14:val="tx1"/>
                        </w14:solidFill>
                      </w14:textFill>
                    </w:rPr>
                    <w:t>3.5</w:t>
                  </w:r>
                </w:p>
              </w:tc>
              <w:tc>
                <w:tcPr>
                  <w:tcW w:w="1217" w:type="dxa"/>
                  <w:vAlign w:val="center"/>
                </w:tcPr>
                <w:p>
                  <w:pPr>
                    <w:widowControl/>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5</w:t>
                  </w:r>
                  <w:r>
                    <w:rPr>
                      <w:rFonts w:hint="eastAsia"/>
                      <w:color w:val="000000" w:themeColor="text1"/>
                      <w:kern w:val="0"/>
                      <w:sz w:val="21"/>
                      <w:szCs w:val="21"/>
                      <w14:textFill>
                        <w14:solidFill>
                          <w14:schemeClr w14:val="tx1"/>
                        </w14:solidFill>
                      </w14:textFill>
                    </w:rPr>
                    <w:t>0</w:t>
                  </w:r>
                </w:p>
              </w:tc>
              <w:tc>
                <w:tcPr>
                  <w:tcW w:w="1541" w:type="dxa"/>
                  <w:vMerge w:val="continue"/>
                  <w:vAlign w:val="center"/>
                </w:tcPr>
                <w:p>
                  <w:pPr>
                    <w:widowControl/>
                    <w:adjustRightInd w:val="0"/>
                    <w:snapToGrid w:val="0"/>
                    <w:spacing w:line="240" w:lineRule="auto"/>
                    <w:jc w:val="center"/>
                    <w:rPr>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1" w:hRule="atLeast"/>
                <w:jc w:val="center"/>
              </w:trPr>
              <w:tc>
                <w:tcPr>
                  <w:tcW w:w="1584" w:type="dxa"/>
                  <w:vMerge w:val="continue"/>
                  <w:vAlign w:val="center"/>
                </w:tcPr>
                <w:p>
                  <w:pPr>
                    <w:widowControl/>
                    <w:adjustRightInd w:val="0"/>
                    <w:snapToGrid w:val="0"/>
                    <w:spacing w:line="240" w:lineRule="auto"/>
                    <w:jc w:val="center"/>
                    <w:rPr>
                      <w:color w:val="000000" w:themeColor="text1"/>
                      <w:kern w:val="0"/>
                      <w:sz w:val="21"/>
                      <w:szCs w:val="21"/>
                      <w14:textFill>
                        <w14:solidFill>
                          <w14:schemeClr w14:val="tx1"/>
                        </w14:solidFill>
                      </w14:textFill>
                    </w:rPr>
                  </w:pPr>
                </w:p>
              </w:tc>
              <w:tc>
                <w:tcPr>
                  <w:tcW w:w="1331" w:type="dxa"/>
                  <w:vMerge w:val="restart"/>
                  <w:vAlign w:val="center"/>
                </w:tcPr>
                <w:p>
                  <w:pPr>
                    <w:widowControl/>
                    <w:adjustRightInd w:val="0"/>
                    <w:snapToGrid w:val="0"/>
                    <w:spacing w:line="240" w:lineRule="auto"/>
                    <w:jc w:val="center"/>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202</w:t>
                  </w:r>
                  <w:r>
                    <w:rPr>
                      <w:rFonts w:hint="eastAsia"/>
                      <w:bCs/>
                      <w:color w:val="000000" w:themeColor="text1"/>
                      <w:kern w:val="0"/>
                      <w:sz w:val="21"/>
                      <w:szCs w:val="21"/>
                      <w14:textFill>
                        <w14:solidFill>
                          <w14:schemeClr w14:val="tx1"/>
                        </w14:solidFill>
                      </w14:textFill>
                    </w:rPr>
                    <w:t>1.10.18</w:t>
                  </w:r>
                </w:p>
              </w:tc>
              <w:tc>
                <w:tcPr>
                  <w:tcW w:w="1122" w:type="dxa"/>
                  <w:vAlign w:val="center"/>
                </w:tcPr>
                <w:p>
                  <w:pPr>
                    <w:widowControl/>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昼</w:t>
                  </w:r>
                </w:p>
              </w:tc>
              <w:tc>
                <w:tcPr>
                  <w:tcW w:w="1169" w:type="dxa"/>
                  <w:vAlign w:val="center"/>
                </w:tcPr>
                <w:p>
                  <w:pPr>
                    <w:widowControl/>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54.6</w:t>
                  </w:r>
                </w:p>
              </w:tc>
              <w:tc>
                <w:tcPr>
                  <w:tcW w:w="1217" w:type="dxa"/>
                  <w:vAlign w:val="center"/>
                </w:tcPr>
                <w:p>
                  <w:pPr>
                    <w:widowControl/>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6</w:t>
                  </w:r>
                  <w:r>
                    <w:rPr>
                      <w:rFonts w:hint="eastAsia"/>
                      <w:color w:val="000000" w:themeColor="text1"/>
                      <w:kern w:val="0"/>
                      <w:sz w:val="21"/>
                      <w:szCs w:val="21"/>
                      <w14:textFill>
                        <w14:solidFill>
                          <w14:schemeClr w14:val="tx1"/>
                        </w14:solidFill>
                      </w14:textFill>
                    </w:rPr>
                    <w:t>0</w:t>
                  </w:r>
                </w:p>
              </w:tc>
              <w:tc>
                <w:tcPr>
                  <w:tcW w:w="1541" w:type="dxa"/>
                  <w:vMerge w:val="restart"/>
                  <w:vAlign w:val="center"/>
                </w:tcPr>
                <w:p>
                  <w:pPr>
                    <w:widowControl/>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584" w:type="dxa"/>
                  <w:vMerge w:val="continue"/>
                  <w:vAlign w:val="center"/>
                </w:tcPr>
                <w:p>
                  <w:pPr>
                    <w:widowControl/>
                    <w:adjustRightInd w:val="0"/>
                    <w:snapToGrid w:val="0"/>
                    <w:spacing w:line="240" w:lineRule="auto"/>
                    <w:jc w:val="center"/>
                    <w:rPr>
                      <w:color w:val="000000" w:themeColor="text1"/>
                      <w:kern w:val="0"/>
                      <w:sz w:val="21"/>
                      <w:szCs w:val="21"/>
                      <w14:textFill>
                        <w14:solidFill>
                          <w14:schemeClr w14:val="tx1"/>
                        </w14:solidFill>
                      </w14:textFill>
                    </w:rPr>
                  </w:pPr>
                </w:p>
              </w:tc>
              <w:tc>
                <w:tcPr>
                  <w:tcW w:w="1331" w:type="dxa"/>
                  <w:vMerge w:val="continue"/>
                  <w:vAlign w:val="center"/>
                </w:tcPr>
                <w:p>
                  <w:pPr>
                    <w:widowControl/>
                    <w:adjustRightInd w:val="0"/>
                    <w:snapToGrid w:val="0"/>
                    <w:spacing w:line="240" w:lineRule="auto"/>
                    <w:jc w:val="center"/>
                    <w:rPr>
                      <w:bCs/>
                      <w:color w:val="000000" w:themeColor="text1"/>
                      <w:kern w:val="0"/>
                      <w:sz w:val="21"/>
                      <w:szCs w:val="21"/>
                      <w14:textFill>
                        <w14:solidFill>
                          <w14:schemeClr w14:val="tx1"/>
                        </w14:solidFill>
                      </w14:textFill>
                    </w:rPr>
                  </w:pPr>
                </w:p>
              </w:tc>
              <w:tc>
                <w:tcPr>
                  <w:tcW w:w="1122" w:type="dxa"/>
                  <w:vAlign w:val="center"/>
                </w:tcPr>
                <w:p>
                  <w:pPr>
                    <w:widowControl/>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夜</w:t>
                  </w:r>
                </w:p>
              </w:tc>
              <w:tc>
                <w:tcPr>
                  <w:tcW w:w="1169" w:type="dxa"/>
                  <w:vAlign w:val="center"/>
                </w:tcPr>
                <w:p>
                  <w:pPr>
                    <w:widowControl/>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4</w:t>
                  </w:r>
                  <w:r>
                    <w:rPr>
                      <w:rFonts w:hint="eastAsia"/>
                      <w:color w:val="000000" w:themeColor="text1"/>
                      <w:kern w:val="0"/>
                      <w:sz w:val="21"/>
                      <w:szCs w:val="21"/>
                      <w14:textFill>
                        <w14:solidFill>
                          <w14:schemeClr w14:val="tx1"/>
                        </w14:solidFill>
                      </w14:textFill>
                    </w:rPr>
                    <w:t>3.7</w:t>
                  </w:r>
                </w:p>
              </w:tc>
              <w:tc>
                <w:tcPr>
                  <w:tcW w:w="1217" w:type="dxa"/>
                  <w:vAlign w:val="center"/>
                </w:tcPr>
                <w:p>
                  <w:pPr>
                    <w:widowControl/>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5</w:t>
                  </w:r>
                  <w:r>
                    <w:rPr>
                      <w:rFonts w:hint="eastAsia"/>
                      <w:color w:val="000000" w:themeColor="text1"/>
                      <w:kern w:val="0"/>
                      <w:sz w:val="21"/>
                      <w:szCs w:val="21"/>
                      <w14:textFill>
                        <w14:solidFill>
                          <w14:schemeClr w14:val="tx1"/>
                        </w14:solidFill>
                      </w14:textFill>
                    </w:rPr>
                    <w:t>0</w:t>
                  </w:r>
                </w:p>
              </w:tc>
              <w:tc>
                <w:tcPr>
                  <w:tcW w:w="1541" w:type="dxa"/>
                  <w:vMerge w:val="continue"/>
                  <w:vAlign w:val="center"/>
                </w:tcPr>
                <w:p>
                  <w:pPr>
                    <w:widowControl/>
                    <w:adjustRightInd w:val="0"/>
                    <w:snapToGrid w:val="0"/>
                    <w:spacing w:line="240" w:lineRule="auto"/>
                    <w:jc w:val="center"/>
                    <w:rPr>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584" w:type="dxa"/>
                  <w:vMerge w:val="restart"/>
                  <w:vAlign w:val="center"/>
                </w:tcPr>
                <w:p>
                  <w:pPr>
                    <w:widowControl/>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梅树村</w:t>
                  </w:r>
                </w:p>
              </w:tc>
              <w:tc>
                <w:tcPr>
                  <w:tcW w:w="1331" w:type="dxa"/>
                  <w:vMerge w:val="restart"/>
                  <w:vAlign w:val="center"/>
                </w:tcPr>
                <w:p>
                  <w:pPr>
                    <w:widowControl/>
                    <w:adjustRightInd w:val="0"/>
                    <w:snapToGrid w:val="0"/>
                    <w:spacing w:line="240" w:lineRule="auto"/>
                    <w:jc w:val="center"/>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202</w:t>
                  </w:r>
                  <w:r>
                    <w:rPr>
                      <w:rFonts w:hint="eastAsia"/>
                      <w:bCs/>
                      <w:color w:val="000000" w:themeColor="text1"/>
                      <w:kern w:val="0"/>
                      <w:sz w:val="21"/>
                      <w:szCs w:val="21"/>
                      <w14:textFill>
                        <w14:solidFill>
                          <w14:schemeClr w14:val="tx1"/>
                        </w14:solidFill>
                      </w14:textFill>
                    </w:rPr>
                    <w:t>1.10.17</w:t>
                  </w:r>
                </w:p>
              </w:tc>
              <w:tc>
                <w:tcPr>
                  <w:tcW w:w="1122" w:type="dxa"/>
                  <w:vAlign w:val="center"/>
                </w:tcPr>
                <w:p>
                  <w:pPr>
                    <w:widowControl/>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昼</w:t>
                  </w:r>
                </w:p>
              </w:tc>
              <w:tc>
                <w:tcPr>
                  <w:tcW w:w="1169" w:type="dxa"/>
                  <w:vAlign w:val="center"/>
                </w:tcPr>
                <w:p>
                  <w:pPr>
                    <w:widowControl/>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51.2</w:t>
                  </w:r>
                </w:p>
              </w:tc>
              <w:tc>
                <w:tcPr>
                  <w:tcW w:w="1217" w:type="dxa"/>
                  <w:vAlign w:val="center"/>
                </w:tcPr>
                <w:p>
                  <w:pPr>
                    <w:widowControl/>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6</w:t>
                  </w:r>
                  <w:r>
                    <w:rPr>
                      <w:rFonts w:hint="eastAsia"/>
                      <w:color w:val="000000" w:themeColor="text1"/>
                      <w:kern w:val="0"/>
                      <w:sz w:val="21"/>
                      <w:szCs w:val="21"/>
                      <w14:textFill>
                        <w14:solidFill>
                          <w14:schemeClr w14:val="tx1"/>
                        </w14:solidFill>
                      </w14:textFill>
                    </w:rPr>
                    <w:t>0</w:t>
                  </w:r>
                </w:p>
              </w:tc>
              <w:tc>
                <w:tcPr>
                  <w:tcW w:w="1541" w:type="dxa"/>
                  <w:vMerge w:val="restart"/>
                  <w:vAlign w:val="center"/>
                </w:tcPr>
                <w:p>
                  <w:pPr>
                    <w:widowControl/>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584" w:type="dxa"/>
                  <w:vMerge w:val="continue"/>
                  <w:vAlign w:val="center"/>
                </w:tcPr>
                <w:p>
                  <w:pPr>
                    <w:widowControl/>
                    <w:adjustRightInd w:val="0"/>
                    <w:snapToGrid w:val="0"/>
                    <w:spacing w:line="240" w:lineRule="auto"/>
                    <w:jc w:val="center"/>
                    <w:rPr>
                      <w:color w:val="000000" w:themeColor="text1"/>
                      <w:kern w:val="0"/>
                      <w:sz w:val="21"/>
                      <w:szCs w:val="21"/>
                      <w14:textFill>
                        <w14:solidFill>
                          <w14:schemeClr w14:val="tx1"/>
                        </w14:solidFill>
                      </w14:textFill>
                    </w:rPr>
                  </w:pPr>
                </w:p>
              </w:tc>
              <w:tc>
                <w:tcPr>
                  <w:tcW w:w="1331" w:type="dxa"/>
                  <w:vMerge w:val="continue"/>
                  <w:vAlign w:val="center"/>
                </w:tcPr>
                <w:p>
                  <w:pPr>
                    <w:widowControl/>
                    <w:adjustRightInd w:val="0"/>
                    <w:snapToGrid w:val="0"/>
                    <w:spacing w:line="240" w:lineRule="auto"/>
                    <w:jc w:val="center"/>
                    <w:rPr>
                      <w:bCs/>
                      <w:color w:val="000000" w:themeColor="text1"/>
                      <w:kern w:val="0"/>
                      <w:sz w:val="21"/>
                      <w:szCs w:val="21"/>
                      <w14:textFill>
                        <w14:solidFill>
                          <w14:schemeClr w14:val="tx1"/>
                        </w14:solidFill>
                      </w14:textFill>
                    </w:rPr>
                  </w:pPr>
                </w:p>
              </w:tc>
              <w:tc>
                <w:tcPr>
                  <w:tcW w:w="1122" w:type="dxa"/>
                  <w:vAlign w:val="center"/>
                </w:tcPr>
                <w:p>
                  <w:pPr>
                    <w:widowControl/>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夜</w:t>
                  </w:r>
                </w:p>
              </w:tc>
              <w:tc>
                <w:tcPr>
                  <w:tcW w:w="1169" w:type="dxa"/>
                  <w:vAlign w:val="center"/>
                </w:tcPr>
                <w:p>
                  <w:pPr>
                    <w:widowControl/>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42.0</w:t>
                  </w:r>
                </w:p>
              </w:tc>
              <w:tc>
                <w:tcPr>
                  <w:tcW w:w="1217" w:type="dxa"/>
                  <w:vAlign w:val="center"/>
                </w:tcPr>
                <w:p>
                  <w:pPr>
                    <w:widowControl/>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5</w:t>
                  </w:r>
                  <w:r>
                    <w:rPr>
                      <w:rFonts w:hint="eastAsia"/>
                      <w:color w:val="000000" w:themeColor="text1"/>
                      <w:kern w:val="0"/>
                      <w:sz w:val="21"/>
                      <w:szCs w:val="21"/>
                      <w14:textFill>
                        <w14:solidFill>
                          <w14:schemeClr w14:val="tx1"/>
                        </w14:solidFill>
                      </w14:textFill>
                    </w:rPr>
                    <w:t>0</w:t>
                  </w:r>
                </w:p>
              </w:tc>
              <w:tc>
                <w:tcPr>
                  <w:tcW w:w="1541" w:type="dxa"/>
                  <w:vMerge w:val="continue"/>
                  <w:vAlign w:val="center"/>
                </w:tcPr>
                <w:p>
                  <w:pPr>
                    <w:widowControl/>
                    <w:adjustRightInd w:val="0"/>
                    <w:snapToGrid w:val="0"/>
                    <w:spacing w:line="240" w:lineRule="auto"/>
                    <w:jc w:val="center"/>
                    <w:rPr>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584" w:type="dxa"/>
                  <w:vMerge w:val="continue"/>
                  <w:vAlign w:val="center"/>
                </w:tcPr>
                <w:p>
                  <w:pPr>
                    <w:widowControl/>
                    <w:adjustRightInd w:val="0"/>
                    <w:snapToGrid w:val="0"/>
                    <w:spacing w:line="240" w:lineRule="auto"/>
                    <w:jc w:val="center"/>
                    <w:rPr>
                      <w:color w:val="000000" w:themeColor="text1"/>
                      <w:kern w:val="0"/>
                      <w:sz w:val="21"/>
                      <w:szCs w:val="21"/>
                      <w14:textFill>
                        <w14:solidFill>
                          <w14:schemeClr w14:val="tx1"/>
                        </w14:solidFill>
                      </w14:textFill>
                    </w:rPr>
                  </w:pPr>
                </w:p>
              </w:tc>
              <w:tc>
                <w:tcPr>
                  <w:tcW w:w="1331" w:type="dxa"/>
                  <w:vMerge w:val="restart"/>
                  <w:vAlign w:val="center"/>
                </w:tcPr>
                <w:p>
                  <w:pPr>
                    <w:widowControl/>
                    <w:adjustRightInd w:val="0"/>
                    <w:snapToGrid w:val="0"/>
                    <w:spacing w:line="240" w:lineRule="auto"/>
                    <w:jc w:val="center"/>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202</w:t>
                  </w:r>
                  <w:r>
                    <w:rPr>
                      <w:rFonts w:hint="eastAsia"/>
                      <w:bCs/>
                      <w:color w:val="000000" w:themeColor="text1"/>
                      <w:kern w:val="0"/>
                      <w:sz w:val="21"/>
                      <w:szCs w:val="21"/>
                      <w14:textFill>
                        <w14:solidFill>
                          <w14:schemeClr w14:val="tx1"/>
                        </w14:solidFill>
                      </w14:textFill>
                    </w:rPr>
                    <w:t>1.10.18</w:t>
                  </w:r>
                </w:p>
              </w:tc>
              <w:tc>
                <w:tcPr>
                  <w:tcW w:w="1122" w:type="dxa"/>
                  <w:vAlign w:val="center"/>
                </w:tcPr>
                <w:p>
                  <w:pPr>
                    <w:widowControl/>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昼</w:t>
                  </w:r>
                </w:p>
              </w:tc>
              <w:tc>
                <w:tcPr>
                  <w:tcW w:w="1169" w:type="dxa"/>
                  <w:vAlign w:val="center"/>
                </w:tcPr>
                <w:p>
                  <w:pPr>
                    <w:widowControl/>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51.4</w:t>
                  </w:r>
                </w:p>
              </w:tc>
              <w:tc>
                <w:tcPr>
                  <w:tcW w:w="1217" w:type="dxa"/>
                  <w:vAlign w:val="center"/>
                </w:tcPr>
                <w:p>
                  <w:pPr>
                    <w:widowControl/>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6</w:t>
                  </w:r>
                  <w:r>
                    <w:rPr>
                      <w:rFonts w:hint="eastAsia"/>
                      <w:color w:val="000000" w:themeColor="text1"/>
                      <w:kern w:val="0"/>
                      <w:sz w:val="21"/>
                      <w:szCs w:val="21"/>
                      <w14:textFill>
                        <w14:solidFill>
                          <w14:schemeClr w14:val="tx1"/>
                        </w14:solidFill>
                      </w14:textFill>
                    </w:rPr>
                    <w:t>0</w:t>
                  </w:r>
                </w:p>
              </w:tc>
              <w:tc>
                <w:tcPr>
                  <w:tcW w:w="1541" w:type="dxa"/>
                  <w:vMerge w:val="restart"/>
                  <w:vAlign w:val="center"/>
                </w:tcPr>
                <w:p>
                  <w:pPr>
                    <w:widowControl/>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584" w:type="dxa"/>
                  <w:vMerge w:val="continue"/>
                  <w:vAlign w:val="center"/>
                </w:tcPr>
                <w:p>
                  <w:pPr>
                    <w:widowControl/>
                    <w:adjustRightInd w:val="0"/>
                    <w:snapToGrid w:val="0"/>
                    <w:spacing w:line="240" w:lineRule="auto"/>
                    <w:jc w:val="center"/>
                    <w:rPr>
                      <w:color w:val="000000" w:themeColor="text1"/>
                      <w:kern w:val="0"/>
                      <w:sz w:val="21"/>
                      <w:szCs w:val="21"/>
                      <w14:textFill>
                        <w14:solidFill>
                          <w14:schemeClr w14:val="tx1"/>
                        </w14:solidFill>
                      </w14:textFill>
                    </w:rPr>
                  </w:pPr>
                </w:p>
              </w:tc>
              <w:tc>
                <w:tcPr>
                  <w:tcW w:w="1331" w:type="dxa"/>
                  <w:vMerge w:val="continue"/>
                  <w:vAlign w:val="center"/>
                </w:tcPr>
                <w:p>
                  <w:pPr>
                    <w:widowControl/>
                    <w:adjustRightInd w:val="0"/>
                    <w:snapToGrid w:val="0"/>
                    <w:spacing w:line="240" w:lineRule="auto"/>
                    <w:jc w:val="center"/>
                    <w:rPr>
                      <w:bCs/>
                      <w:color w:val="000000" w:themeColor="text1"/>
                      <w:kern w:val="0"/>
                      <w:sz w:val="21"/>
                      <w:szCs w:val="21"/>
                      <w14:textFill>
                        <w14:solidFill>
                          <w14:schemeClr w14:val="tx1"/>
                        </w14:solidFill>
                      </w14:textFill>
                    </w:rPr>
                  </w:pPr>
                </w:p>
              </w:tc>
              <w:tc>
                <w:tcPr>
                  <w:tcW w:w="1122" w:type="dxa"/>
                  <w:vAlign w:val="center"/>
                </w:tcPr>
                <w:p>
                  <w:pPr>
                    <w:widowControl/>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夜</w:t>
                  </w:r>
                </w:p>
              </w:tc>
              <w:tc>
                <w:tcPr>
                  <w:tcW w:w="1169" w:type="dxa"/>
                  <w:vAlign w:val="center"/>
                </w:tcPr>
                <w:p>
                  <w:pPr>
                    <w:widowControl/>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42.7</w:t>
                  </w:r>
                </w:p>
              </w:tc>
              <w:tc>
                <w:tcPr>
                  <w:tcW w:w="1217" w:type="dxa"/>
                  <w:vAlign w:val="center"/>
                </w:tcPr>
                <w:p>
                  <w:pPr>
                    <w:widowControl/>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5</w:t>
                  </w:r>
                  <w:r>
                    <w:rPr>
                      <w:rFonts w:hint="eastAsia"/>
                      <w:color w:val="000000" w:themeColor="text1"/>
                      <w:kern w:val="0"/>
                      <w:sz w:val="21"/>
                      <w:szCs w:val="21"/>
                      <w14:textFill>
                        <w14:solidFill>
                          <w14:schemeClr w14:val="tx1"/>
                        </w14:solidFill>
                      </w14:textFill>
                    </w:rPr>
                    <w:t>0</w:t>
                  </w:r>
                </w:p>
              </w:tc>
              <w:tc>
                <w:tcPr>
                  <w:tcW w:w="1541" w:type="dxa"/>
                  <w:vMerge w:val="continue"/>
                  <w:vAlign w:val="center"/>
                </w:tcPr>
                <w:p>
                  <w:pPr>
                    <w:widowControl/>
                    <w:adjustRightInd w:val="0"/>
                    <w:snapToGrid w:val="0"/>
                    <w:spacing w:line="240" w:lineRule="auto"/>
                    <w:jc w:val="center"/>
                    <w:rPr>
                      <w:color w:val="000000" w:themeColor="text1"/>
                      <w:kern w:val="0"/>
                      <w:sz w:val="21"/>
                      <w:szCs w:val="21"/>
                      <w14:textFill>
                        <w14:solidFill>
                          <w14:schemeClr w14:val="tx1"/>
                        </w14:solidFill>
                      </w14:textFill>
                    </w:rPr>
                  </w:pPr>
                </w:p>
              </w:tc>
            </w:tr>
          </w:tbl>
          <w:p>
            <w:pPr>
              <w:adjustRightInd w:val="0"/>
              <w:snapToGrid w:val="0"/>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4、生态环境</w:t>
            </w:r>
          </w:p>
          <w:p>
            <w:pPr>
              <w:adjustRightInd w:val="0"/>
              <w:snapToGrid w:val="0"/>
              <w:ind w:firstLine="480" w:firstLineChars="20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本项目</w:t>
            </w:r>
            <w:r>
              <w:rPr>
                <w:rFonts w:hint="eastAsia"/>
                <w:color w:val="000000" w:themeColor="text1"/>
                <w:kern w:val="0"/>
                <w:szCs w:val="21"/>
                <w14:textFill>
                  <w14:solidFill>
                    <w14:schemeClr w14:val="tx1"/>
                  </w14:solidFill>
                </w14:textFill>
              </w:rPr>
              <w:t>位于昆明市晋宁工业园区</w:t>
            </w:r>
            <w:r>
              <w:rPr>
                <w:color w:val="000000" w:themeColor="text1"/>
                <w:kern w:val="0"/>
                <w:szCs w:val="21"/>
                <w14:textFill>
                  <w14:solidFill>
                    <w14:schemeClr w14:val="tx1"/>
                  </w14:solidFill>
                </w14:textFill>
              </w:rPr>
              <w:t>青山基地</w:t>
            </w:r>
            <w:r>
              <w:rPr>
                <w:rFonts w:hint="eastAsia"/>
                <w:color w:val="000000" w:themeColor="text1"/>
                <w:kern w:val="0"/>
                <w:szCs w:val="21"/>
                <w14:textFill>
                  <w14:solidFill>
                    <w14:schemeClr w14:val="tx1"/>
                  </w14:solidFill>
                </w14:textFill>
              </w:rPr>
              <w:t>，无新增占地，</w:t>
            </w:r>
            <w:r>
              <w:rPr>
                <w:color w:val="000000" w:themeColor="text1"/>
                <w:kern w:val="0"/>
                <w:szCs w:val="21"/>
                <w14:textFill>
                  <w14:solidFill>
                    <w14:schemeClr w14:val="tx1"/>
                  </w14:solidFill>
                </w14:textFill>
              </w:rPr>
              <w:t>项目租用晋宁工业园区内已建厂房进行建设，场地已全部硬化，无植被附着，项目周边主要为园区人工绿化植被，已无天然植被，周边动物主要为雀、鼠等小型动物。项目区</w:t>
            </w:r>
            <w:r>
              <w:rPr>
                <w:rFonts w:hint="eastAsia"/>
                <w:color w:val="000000" w:themeColor="text1"/>
                <w:kern w:val="0"/>
                <w:szCs w:val="21"/>
                <w14:textFill>
                  <w14:solidFill>
                    <w14:schemeClr w14:val="tx1"/>
                  </w14:solidFill>
                </w14:textFill>
              </w:rPr>
              <w:t>无国家级和省市级保护物种分布</w:t>
            </w:r>
            <w:r>
              <w:rPr>
                <w:color w:val="000000" w:themeColor="text1"/>
                <w:kern w:val="0"/>
                <w:szCs w:val="21"/>
                <w14:textFill>
                  <w14:solidFill>
                    <w14:schemeClr w14:val="tx1"/>
                  </w14:solidFill>
                </w14:textFill>
              </w:rPr>
              <w:t>，无</w:t>
            </w:r>
            <w:r>
              <w:rPr>
                <w:rFonts w:hint="eastAsia"/>
                <w:color w:val="000000" w:themeColor="text1"/>
                <w:kern w:val="0"/>
                <w:szCs w:val="21"/>
                <w14:textFill>
                  <w14:solidFill>
                    <w14:schemeClr w14:val="tx1"/>
                  </w14:solidFill>
                </w14:textFill>
              </w:rPr>
              <w:t>珍稀濒危物种</w:t>
            </w:r>
            <w:r>
              <w:rPr>
                <w:color w:val="000000" w:themeColor="text1"/>
                <w:kern w:val="0"/>
                <w:szCs w:val="21"/>
                <w14:textFill>
                  <w14:solidFill>
                    <w14:schemeClr w14:val="tx1"/>
                  </w14:solidFill>
                </w14:textFill>
              </w:rPr>
              <w:t>，无</w:t>
            </w:r>
            <w:r>
              <w:rPr>
                <w:rFonts w:hint="eastAsia"/>
                <w:color w:val="000000" w:themeColor="text1"/>
                <w:kern w:val="0"/>
                <w:szCs w:val="21"/>
                <w14:textFill>
                  <w14:solidFill>
                    <w14:schemeClr w14:val="tx1"/>
                  </w14:solidFill>
                </w14:textFill>
              </w:rPr>
              <w:t>当地特有物种、</w:t>
            </w:r>
            <w:r>
              <w:rPr>
                <w:color w:val="000000" w:themeColor="text1"/>
                <w:kern w:val="0"/>
                <w:szCs w:val="21"/>
                <w14:textFill>
                  <w14:solidFill>
                    <w14:schemeClr w14:val="tx1"/>
                  </w14:solidFill>
                </w14:textFill>
              </w:rPr>
              <w:t>无</w:t>
            </w:r>
            <w:r>
              <w:rPr>
                <w:rFonts w:hint="eastAsia"/>
                <w:color w:val="000000" w:themeColor="text1"/>
                <w:kern w:val="0"/>
                <w:szCs w:val="21"/>
                <w14:textFill>
                  <w14:solidFill>
                    <w14:schemeClr w14:val="tx1"/>
                  </w14:solidFill>
                </w14:textFill>
              </w:rPr>
              <w:t>古树名木等分布</w:t>
            </w:r>
            <w:r>
              <w:rPr>
                <w:color w:val="000000" w:themeColor="text1"/>
                <w:kern w:val="0"/>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68" w:hRule="atLeast"/>
          <w:jc w:val="center"/>
        </w:trPr>
        <w:tc>
          <w:tcPr>
            <w:tcW w:w="800" w:type="dxa"/>
            <w:vAlign w:val="center"/>
          </w:tcPr>
          <w:p>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环境</w:t>
            </w:r>
          </w:p>
          <w:p>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保护</w:t>
            </w:r>
          </w:p>
          <w:p>
            <w:pPr>
              <w:adjustRightInd w:val="0"/>
              <w:snapToGrid w:val="0"/>
              <w:jc w:val="center"/>
              <w:rPr>
                <w:color w:val="000000" w:themeColor="text1"/>
                <w:kern w:val="0"/>
                <w:szCs w:val="21"/>
                <w14:textFill>
                  <w14:solidFill>
                    <w14:schemeClr w14:val="tx1"/>
                  </w14:solidFill>
                </w14:textFill>
              </w:rPr>
            </w:pPr>
            <w:r>
              <w:rPr>
                <w:color w:val="000000" w:themeColor="text1"/>
                <w:kern w:val="0"/>
                <w14:textFill>
                  <w14:solidFill>
                    <w14:schemeClr w14:val="tx1"/>
                  </w14:solidFill>
                </w14:textFill>
              </w:rPr>
              <w:t>目标</w:t>
            </w:r>
          </w:p>
        </w:tc>
        <w:tc>
          <w:tcPr>
            <w:tcW w:w="8190" w:type="dxa"/>
            <w:vAlign w:val="center"/>
          </w:tcPr>
          <w:p>
            <w:pPr>
              <w:ind w:firstLine="482" w:firstLineChars="200"/>
              <w:rPr>
                <w:color w:val="000000" w:themeColor="text1"/>
                <w:kern w:val="0"/>
                <w:szCs w:val="22"/>
                <w14:textFill>
                  <w14:solidFill>
                    <w14:schemeClr w14:val="tx1"/>
                  </w14:solidFill>
                </w14:textFill>
              </w:rPr>
            </w:pPr>
            <w:r>
              <w:rPr>
                <w:b/>
                <w:bCs/>
                <w:color w:val="000000" w:themeColor="text1"/>
                <w:kern w:val="0"/>
                <w:szCs w:val="22"/>
                <w14:textFill>
                  <w14:solidFill>
                    <w14:schemeClr w14:val="tx1"/>
                  </w14:solidFill>
                </w14:textFill>
              </w:rPr>
              <w:t>大气环境保护目标：</w:t>
            </w:r>
            <w:r>
              <w:rPr>
                <w:rFonts w:hint="eastAsia"/>
                <w:color w:val="000000" w:themeColor="text1"/>
                <w:kern w:val="0"/>
                <w:szCs w:val="22"/>
                <w14:textFill>
                  <w14:solidFill>
                    <w14:schemeClr w14:val="tx1"/>
                  </w14:solidFill>
                </w14:textFill>
              </w:rPr>
              <w:t>本项目</w:t>
            </w:r>
            <w:r>
              <w:rPr>
                <w:color w:val="000000" w:themeColor="text1"/>
                <w:kern w:val="0"/>
                <w:szCs w:val="22"/>
                <w14:textFill>
                  <w14:solidFill>
                    <w14:schemeClr w14:val="tx1"/>
                  </w14:solidFill>
                </w14:textFill>
              </w:rPr>
              <w:t>大气环境评价范围为厂界外</w:t>
            </w:r>
            <w:r>
              <w:rPr>
                <w:rFonts w:hint="eastAsia"/>
                <w:color w:val="000000" w:themeColor="text1"/>
                <w:kern w:val="0"/>
                <w:szCs w:val="22"/>
                <w14:textFill>
                  <w14:solidFill>
                    <w14:schemeClr w14:val="tx1"/>
                  </w14:solidFill>
                </w14:textFill>
              </w:rPr>
              <w:t>延</w:t>
            </w:r>
            <w:r>
              <w:rPr>
                <w:color w:val="000000" w:themeColor="text1"/>
                <w:kern w:val="0"/>
                <w:szCs w:val="22"/>
                <w14:textFill>
                  <w14:solidFill>
                    <w14:schemeClr w14:val="tx1"/>
                  </w14:solidFill>
                </w14:textFill>
              </w:rPr>
              <w:t>500m</w:t>
            </w:r>
            <w:r>
              <w:rPr>
                <w:rFonts w:hint="eastAsia"/>
                <w:color w:val="000000" w:themeColor="text1"/>
                <w:kern w:val="0"/>
                <w:szCs w:val="22"/>
                <w14:textFill>
                  <w14:solidFill>
                    <w14:schemeClr w14:val="tx1"/>
                  </w14:solidFill>
                </w14:textFill>
              </w:rPr>
              <w:t>的</w:t>
            </w:r>
            <w:r>
              <w:rPr>
                <w:color w:val="000000" w:themeColor="text1"/>
                <w:kern w:val="0"/>
                <w:szCs w:val="22"/>
                <w14:textFill>
                  <w14:solidFill>
                    <w14:schemeClr w14:val="tx1"/>
                  </w14:solidFill>
                </w14:textFill>
              </w:rPr>
              <w:t>范围</w:t>
            </w:r>
            <w:r>
              <w:rPr>
                <w:rFonts w:hint="eastAsia"/>
                <w:color w:val="000000" w:themeColor="text1"/>
                <w:kern w:val="0"/>
                <w:szCs w:val="22"/>
                <w14:textFill>
                  <w14:solidFill>
                    <w14:schemeClr w14:val="tx1"/>
                  </w14:solidFill>
                </w14:textFill>
              </w:rPr>
              <w:t>，该区内主要分布有汉营村、梅树村，不涉及自然保护区、风景名胜区等敏感区</w:t>
            </w:r>
            <w:r>
              <w:rPr>
                <w:color w:val="000000" w:themeColor="text1"/>
                <w:kern w:val="0"/>
                <w:szCs w:val="22"/>
                <w14:textFill>
                  <w14:solidFill>
                    <w14:schemeClr w14:val="tx1"/>
                  </w14:solidFill>
                </w14:textFill>
              </w:rPr>
              <w:t>；</w:t>
            </w:r>
          </w:p>
          <w:p>
            <w:pPr>
              <w:tabs>
                <w:tab w:val="left" w:pos="4200"/>
              </w:tabs>
              <w:ind w:firstLine="482" w:firstLineChars="200"/>
              <w:rPr>
                <w:color w:val="000000" w:themeColor="text1"/>
                <w:kern w:val="0"/>
                <w14:textFill>
                  <w14:solidFill>
                    <w14:schemeClr w14:val="tx1"/>
                  </w14:solidFill>
                </w14:textFill>
              </w:rPr>
            </w:pPr>
            <w:r>
              <w:rPr>
                <w:b/>
                <w:bCs/>
                <w:color w:val="000000" w:themeColor="text1"/>
                <w:kern w:val="0"/>
                <w:szCs w:val="22"/>
                <w14:textFill>
                  <w14:solidFill>
                    <w14:schemeClr w14:val="tx1"/>
                  </w14:solidFill>
                </w14:textFill>
              </w:rPr>
              <w:t>声环境保护目标：</w:t>
            </w:r>
            <w:r>
              <w:rPr>
                <w:color w:val="000000" w:themeColor="text1"/>
                <w:kern w:val="0"/>
                <w:szCs w:val="22"/>
                <w14:textFill>
                  <w14:solidFill>
                    <w14:schemeClr w14:val="tx1"/>
                  </w14:solidFill>
                </w14:textFill>
              </w:rPr>
              <w:t>声环境评价范围为建设项目厂界外50m范围</w:t>
            </w:r>
            <w:r>
              <w:rPr>
                <w:rFonts w:hint="eastAsia"/>
                <w:color w:val="000000" w:themeColor="text1"/>
                <w:kern w:val="0"/>
                <w:szCs w:val="22"/>
                <w14:textFill>
                  <w14:solidFill>
                    <w14:schemeClr w14:val="tx1"/>
                  </w14:solidFill>
                </w14:textFill>
              </w:rPr>
              <w:t>，保护目标主要为汉营村、梅树村</w:t>
            </w:r>
            <w:r>
              <w:rPr>
                <w:color w:val="000000" w:themeColor="text1"/>
                <w:kern w:val="0"/>
                <w:szCs w:val="22"/>
                <w14:textFill>
                  <w14:solidFill>
                    <w14:schemeClr w14:val="tx1"/>
                  </w14:solidFill>
                </w14:textFill>
              </w:rPr>
              <w:t>；</w:t>
            </w:r>
          </w:p>
          <w:p>
            <w:pPr>
              <w:pStyle w:val="13"/>
              <w:spacing w:after="0"/>
              <w:ind w:left="0" w:leftChars="0" w:firstLine="482" w:firstLineChars="200"/>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地下水环境保护目标：</w:t>
            </w:r>
            <w:r>
              <w:rPr>
                <w:color w:val="000000" w:themeColor="text1"/>
                <w:szCs w:val="21"/>
                <w14:textFill>
                  <w14:solidFill>
                    <w14:schemeClr w14:val="tx1"/>
                  </w14:solidFill>
                </w14:textFill>
              </w:rPr>
              <w:t>项目厂界外500米范围内</w:t>
            </w:r>
            <w:r>
              <w:rPr>
                <w:rFonts w:hint="eastAsia"/>
                <w:color w:val="000000" w:themeColor="text1"/>
                <w:szCs w:val="21"/>
                <w14:textFill>
                  <w14:solidFill>
                    <w14:schemeClr w14:val="tx1"/>
                  </w14:solidFill>
                </w14:textFill>
              </w:rPr>
              <w:t>无</w:t>
            </w:r>
            <w:r>
              <w:rPr>
                <w:color w:val="000000" w:themeColor="text1"/>
                <w:szCs w:val="21"/>
                <w14:textFill>
                  <w14:solidFill>
                    <w14:schemeClr w14:val="tx1"/>
                  </w14:solidFill>
                </w14:textFill>
              </w:rPr>
              <w:t>打井取水情况，亦未有出露泉点，周边村寨均使用自来水，区域内无地下水集中式饮用水水源，以及热水、矿泉水、温泉等特殊地下水资源，不设地下水环境保护目标。</w:t>
            </w:r>
          </w:p>
          <w:p>
            <w:pPr>
              <w:pStyle w:val="13"/>
              <w:spacing w:after="0"/>
              <w:ind w:left="0" w:leftChars="0" w:firstLine="482" w:firstLineChars="200"/>
              <w:rPr>
                <w:color w:val="000000" w:themeColor="text1"/>
                <w14:textFill>
                  <w14:solidFill>
                    <w14:schemeClr w14:val="tx1"/>
                  </w14:solidFill>
                </w14:textFill>
              </w:rPr>
            </w:pPr>
            <w:r>
              <w:rPr>
                <w:b/>
                <w:bCs/>
                <w:color w:val="000000" w:themeColor="text1"/>
                <w14:textFill>
                  <w14:solidFill>
                    <w14:schemeClr w14:val="tx1"/>
                  </w14:solidFill>
                </w14:textFill>
              </w:rPr>
              <w:t>生态环境：</w:t>
            </w:r>
            <w:r>
              <w:rPr>
                <w:color w:val="000000" w:themeColor="text1"/>
                <w14:textFill>
                  <w14:solidFill>
                    <w14:schemeClr w14:val="tx1"/>
                  </w14:solidFill>
                </w14:textFill>
              </w:rPr>
              <w:t>本项目位于工业园区内，不涉及园区外用地，不设生态环境保护目标。</w:t>
            </w:r>
            <w:r>
              <w:rPr>
                <w:rFonts w:hint="eastAsia"/>
                <w:color w:val="000000" w:themeColor="text1"/>
                <w14:textFill>
                  <w14:solidFill>
                    <w14:schemeClr w14:val="tx1"/>
                  </w14:solidFill>
                </w14:textFill>
              </w:rPr>
              <w:t>本项目</w:t>
            </w:r>
            <w:r>
              <w:rPr>
                <w:color w:val="000000" w:themeColor="text1"/>
                <w14:textFill>
                  <w14:solidFill>
                    <w14:schemeClr w14:val="tx1"/>
                  </w14:solidFill>
                </w14:textFill>
              </w:rPr>
              <w:t>主要环境保护目标详见表3-</w:t>
            </w:r>
            <w:r>
              <w:rPr>
                <w:rFonts w:hint="eastAsia"/>
                <w:color w:val="000000" w:themeColor="text1"/>
                <w14:textFill>
                  <w14:solidFill>
                    <w14:schemeClr w14:val="tx1"/>
                  </w14:solidFill>
                </w14:textFill>
              </w:rPr>
              <w:t>4，</w:t>
            </w: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保护目标分布</w:t>
            </w:r>
            <w:r>
              <w:rPr>
                <w:color w:val="000000" w:themeColor="text1"/>
                <w14:textFill>
                  <w14:solidFill>
                    <w14:schemeClr w14:val="tx1"/>
                  </w14:solidFill>
                </w14:textFill>
              </w:rPr>
              <w:t>详见附图。</w:t>
            </w:r>
          </w:p>
          <w:p>
            <w:pPr>
              <w:jc w:val="center"/>
              <w:rPr>
                <w:b/>
                <w:color w:val="000000" w:themeColor="text1"/>
                <w:kern w:val="0"/>
                <w14:textFill>
                  <w14:solidFill>
                    <w14:schemeClr w14:val="tx1"/>
                  </w14:solidFill>
                </w14:textFill>
              </w:rPr>
            </w:pPr>
            <w:r>
              <w:rPr>
                <w:b/>
                <w:color w:val="000000" w:themeColor="text1"/>
                <w:kern w:val="0"/>
                <w14:textFill>
                  <w14:solidFill>
                    <w14:schemeClr w14:val="tx1"/>
                  </w14:solidFill>
                </w14:textFill>
              </w:rPr>
              <w:t>表3-</w:t>
            </w:r>
            <w:r>
              <w:rPr>
                <w:rFonts w:hint="eastAsia"/>
                <w:b/>
                <w:color w:val="000000" w:themeColor="text1"/>
                <w:kern w:val="0"/>
                <w14:textFill>
                  <w14:solidFill>
                    <w14:schemeClr w14:val="tx1"/>
                  </w14:solidFill>
                </w14:textFill>
              </w:rPr>
              <w:t>4</w:t>
            </w:r>
            <w:r>
              <w:rPr>
                <w:b/>
                <w:color w:val="000000" w:themeColor="text1"/>
                <w:kern w:val="0"/>
                <w14:textFill>
                  <w14:solidFill>
                    <w14:schemeClr w14:val="tx1"/>
                  </w14:solidFill>
                </w14:textFill>
              </w:rPr>
              <w:t xml:space="preserve">   项目周边环境保护目标一览表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7"/>
              <w:gridCol w:w="417"/>
              <w:gridCol w:w="1877"/>
              <w:gridCol w:w="1676"/>
              <w:gridCol w:w="619"/>
              <w:gridCol w:w="417"/>
              <w:gridCol w:w="776"/>
              <w:gridCol w:w="820"/>
              <w:gridCol w:w="1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 w:type="pct"/>
                  <w:vMerge w:val="restart"/>
                  <w:tcBorders>
                    <w:top w:val="single" w:color="auto" w:sz="4" w:space="0"/>
                    <w:left w:val="single" w:color="auto" w:sz="4" w:space="0"/>
                    <w:right w:val="single" w:color="auto" w:sz="4" w:space="0"/>
                  </w:tcBorders>
                  <w:vAlign w:val="center"/>
                </w:tcPr>
                <w:p>
                  <w:pPr>
                    <w:autoSpaceDE w:val="0"/>
                    <w:autoSpaceDN w:val="0"/>
                    <w:adjustRightInd w:val="0"/>
                    <w:snapToGrid w:val="0"/>
                    <w:spacing w:line="240" w:lineRule="auto"/>
                    <w:contextualSpacing/>
                    <w:jc w:val="center"/>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类别</w:t>
                  </w:r>
                </w:p>
              </w:tc>
              <w:tc>
                <w:tcPr>
                  <w:tcW w:w="585" w:type="pct"/>
                  <w:vMerge w:val="restart"/>
                  <w:tcBorders>
                    <w:top w:val="single" w:color="auto" w:sz="4" w:space="0"/>
                    <w:left w:val="single" w:color="auto" w:sz="4" w:space="0"/>
                    <w:right w:val="single" w:color="auto" w:sz="4" w:space="0"/>
                  </w:tcBorders>
                  <w:vAlign w:val="center"/>
                </w:tcPr>
                <w:p>
                  <w:pPr>
                    <w:autoSpaceDE w:val="0"/>
                    <w:autoSpaceDN w:val="0"/>
                    <w:adjustRightInd w:val="0"/>
                    <w:snapToGrid w:val="0"/>
                    <w:spacing w:line="240" w:lineRule="auto"/>
                    <w:contextualSpacing/>
                    <w:jc w:val="center"/>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保护</w:t>
                  </w:r>
                </w:p>
                <w:p>
                  <w:pPr>
                    <w:autoSpaceDE w:val="0"/>
                    <w:autoSpaceDN w:val="0"/>
                    <w:adjustRightInd w:val="0"/>
                    <w:snapToGrid w:val="0"/>
                    <w:spacing w:line="240" w:lineRule="auto"/>
                    <w:contextualSpacing/>
                    <w:jc w:val="center"/>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目标</w:t>
                  </w:r>
                </w:p>
              </w:tc>
              <w:tc>
                <w:tcPr>
                  <w:tcW w:w="2071" w:type="pct"/>
                  <w:gridSpan w:val="3"/>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contextualSpacing/>
                    <w:jc w:val="center"/>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经纬度</w:t>
                  </w:r>
                </w:p>
              </w:tc>
              <w:tc>
                <w:tcPr>
                  <w:tcW w:w="327" w:type="pct"/>
                  <w:vMerge w:val="restart"/>
                  <w:tcBorders>
                    <w:top w:val="single" w:color="auto" w:sz="4" w:space="0"/>
                    <w:left w:val="single" w:color="auto" w:sz="4" w:space="0"/>
                    <w:right w:val="single" w:color="auto" w:sz="4" w:space="0"/>
                  </w:tcBorders>
                  <w:vAlign w:val="center"/>
                </w:tcPr>
                <w:p>
                  <w:pPr>
                    <w:autoSpaceDE w:val="0"/>
                    <w:autoSpaceDN w:val="0"/>
                    <w:adjustRightInd w:val="0"/>
                    <w:snapToGrid w:val="0"/>
                    <w:spacing w:line="240" w:lineRule="auto"/>
                    <w:contextualSpacing/>
                    <w:jc w:val="center"/>
                    <w:rPr>
                      <w:bCs/>
                      <w:color w:val="000000" w:themeColor="text1"/>
                      <w:kern w:val="0"/>
                      <w:sz w:val="21"/>
                      <w:szCs w:val="21"/>
                      <w14:textFill>
                        <w14:solidFill>
                          <w14:schemeClr w14:val="tx1"/>
                        </w14:solidFill>
                      </w14:textFill>
                    </w:rPr>
                  </w:pPr>
                  <w:r>
                    <w:rPr>
                      <w:rFonts w:hint="eastAsia"/>
                      <w:bCs/>
                      <w:color w:val="000000" w:themeColor="text1"/>
                      <w:kern w:val="0"/>
                      <w:sz w:val="21"/>
                      <w:szCs w:val="21"/>
                      <w14:textFill>
                        <w14:solidFill>
                          <w14:schemeClr w14:val="tx1"/>
                        </w14:solidFill>
                      </w14:textFill>
                    </w:rPr>
                    <w:t>相对厂界</w:t>
                  </w:r>
                  <w:r>
                    <w:rPr>
                      <w:bCs/>
                      <w:color w:val="000000" w:themeColor="text1"/>
                      <w:kern w:val="0"/>
                      <w:sz w:val="21"/>
                      <w:szCs w:val="21"/>
                      <w14:textFill>
                        <w14:solidFill>
                          <w14:schemeClr w14:val="tx1"/>
                        </w14:solidFill>
                      </w14:textFill>
                    </w:rPr>
                    <w:t>方位</w:t>
                  </w:r>
                </w:p>
              </w:tc>
              <w:tc>
                <w:tcPr>
                  <w:tcW w:w="462" w:type="pct"/>
                  <w:vMerge w:val="restart"/>
                  <w:tcBorders>
                    <w:top w:val="single" w:color="auto" w:sz="4" w:space="0"/>
                    <w:left w:val="single" w:color="auto" w:sz="4" w:space="0"/>
                    <w:right w:val="single" w:color="auto" w:sz="4" w:space="0"/>
                  </w:tcBorders>
                  <w:vAlign w:val="center"/>
                </w:tcPr>
                <w:p>
                  <w:pPr>
                    <w:autoSpaceDE w:val="0"/>
                    <w:autoSpaceDN w:val="0"/>
                    <w:adjustRightInd w:val="0"/>
                    <w:snapToGrid w:val="0"/>
                    <w:spacing w:line="240" w:lineRule="auto"/>
                    <w:contextualSpacing/>
                    <w:jc w:val="center"/>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与</w:t>
                  </w:r>
                  <w:r>
                    <w:rPr>
                      <w:rFonts w:hint="eastAsia"/>
                      <w:bCs/>
                      <w:color w:val="000000" w:themeColor="text1"/>
                      <w:kern w:val="0"/>
                      <w:sz w:val="21"/>
                      <w:szCs w:val="21"/>
                      <w14:textFill>
                        <w14:solidFill>
                          <w14:schemeClr w14:val="tx1"/>
                        </w14:solidFill>
                      </w14:textFill>
                    </w:rPr>
                    <w:t>厂界</w:t>
                  </w:r>
                  <w:r>
                    <w:rPr>
                      <w:bCs/>
                      <w:color w:val="000000" w:themeColor="text1"/>
                      <w:kern w:val="0"/>
                      <w:sz w:val="21"/>
                      <w:szCs w:val="21"/>
                      <w14:textFill>
                        <w14:solidFill>
                          <w14:schemeClr w14:val="tx1"/>
                        </w14:solidFill>
                      </w14:textFill>
                    </w:rPr>
                    <w:t>的相对距离（m）</w:t>
                  </w:r>
                </w:p>
              </w:tc>
              <w:tc>
                <w:tcPr>
                  <w:tcW w:w="487" w:type="pct"/>
                  <w:vMerge w:val="restart"/>
                  <w:tcBorders>
                    <w:top w:val="single" w:color="auto" w:sz="4" w:space="0"/>
                    <w:left w:val="single" w:color="auto" w:sz="4" w:space="0"/>
                    <w:right w:val="single" w:color="auto" w:sz="4" w:space="0"/>
                  </w:tcBorders>
                  <w:vAlign w:val="center"/>
                </w:tcPr>
                <w:p>
                  <w:pPr>
                    <w:autoSpaceDE w:val="0"/>
                    <w:autoSpaceDN w:val="0"/>
                    <w:adjustRightInd w:val="0"/>
                    <w:snapToGrid w:val="0"/>
                    <w:spacing w:line="240" w:lineRule="auto"/>
                    <w:contextualSpacing/>
                    <w:jc w:val="center"/>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保护对象及人数（人）</w:t>
                  </w:r>
                </w:p>
              </w:tc>
              <w:tc>
                <w:tcPr>
                  <w:tcW w:w="818" w:type="pct"/>
                  <w:vMerge w:val="restart"/>
                  <w:tcBorders>
                    <w:top w:val="single" w:color="auto" w:sz="4" w:space="0"/>
                    <w:left w:val="single" w:color="auto" w:sz="4" w:space="0"/>
                    <w:right w:val="single" w:color="auto" w:sz="4" w:space="0"/>
                  </w:tcBorders>
                  <w:vAlign w:val="center"/>
                </w:tcPr>
                <w:p>
                  <w:pPr>
                    <w:autoSpaceDE w:val="0"/>
                    <w:autoSpaceDN w:val="0"/>
                    <w:adjustRightInd w:val="0"/>
                    <w:snapToGrid w:val="0"/>
                    <w:spacing w:line="240" w:lineRule="auto"/>
                    <w:contextualSpacing/>
                    <w:jc w:val="center"/>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 w:type="pct"/>
                  <w:vMerge w:val="continue"/>
                  <w:tcBorders>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contextualSpacing/>
                    <w:jc w:val="center"/>
                    <w:rPr>
                      <w:color w:val="000000" w:themeColor="text1"/>
                      <w:kern w:val="0"/>
                      <w:sz w:val="21"/>
                      <w:szCs w:val="21"/>
                      <w14:textFill>
                        <w14:solidFill>
                          <w14:schemeClr w14:val="tx1"/>
                        </w14:solidFill>
                      </w14:textFill>
                    </w:rPr>
                  </w:pPr>
                </w:p>
              </w:tc>
              <w:tc>
                <w:tcPr>
                  <w:tcW w:w="585" w:type="pct"/>
                  <w:vMerge w:val="continue"/>
                  <w:tcBorders>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contextualSpacing/>
                    <w:jc w:val="center"/>
                    <w:rPr>
                      <w:color w:val="000000" w:themeColor="text1"/>
                      <w:kern w:val="0"/>
                      <w:sz w:val="21"/>
                      <w:szCs w:val="21"/>
                      <w14:textFill>
                        <w14:solidFill>
                          <w14:schemeClr w14:val="tx1"/>
                        </w14:solidFill>
                      </w14:textFill>
                    </w:rPr>
                  </w:pPr>
                </w:p>
              </w:tc>
              <w:tc>
                <w:tcPr>
                  <w:tcW w:w="682"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contextualSpacing/>
                    <w:jc w:val="center"/>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经度</w:t>
                  </w:r>
                </w:p>
              </w:tc>
              <w:tc>
                <w:tcPr>
                  <w:tcW w:w="753"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contextualSpacing/>
                    <w:jc w:val="center"/>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纬度</w:t>
                  </w:r>
                </w:p>
              </w:tc>
              <w:tc>
                <w:tcPr>
                  <w:tcW w:w="635"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contextualSpacing/>
                    <w:jc w:val="center"/>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高程(m)</w:t>
                  </w:r>
                </w:p>
              </w:tc>
              <w:tc>
                <w:tcPr>
                  <w:tcW w:w="327" w:type="pct"/>
                  <w:vMerge w:val="continue"/>
                  <w:tcBorders>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contextualSpacing/>
                    <w:jc w:val="center"/>
                    <w:rPr>
                      <w:b/>
                      <w:color w:val="000000" w:themeColor="text1"/>
                      <w:kern w:val="0"/>
                      <w:sz w:val="21"/>
                      <w:szCs w:val="21"/>
                      <w14:textFill>
                        <w14:solidFill>
                          <w14:schemeClr w14:val="tx1"/>
                        </w14:solidFill>
                      </w14:textFill>
                    </w:rPr>
                  </w:pPr>
                </w:p>
              </w:tc>
              <w:tc>
                <w:tcPr>
                  <w:tcW w:w="462" w:type="pct"/>
                  <w:vMerge w:val="continue"/>
                  <w:tcBorders>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contextualSpacing/>
                    <w:jc w:val="center"/>
                    <w:rPr>
                      <w:b/>
                      <w:color w:val="000000" w:themeColor="text1"/>
                      <w:kern w:val="0"/>
                      <w:sz w:val="21"/>
                      <w:szCs w:val="21"/>
                      <w14:textFill>
                        <w14:solidFill>
                          <w14:schemeClr w14:val="tx1"/>
                        </w14:solidFill>
                      </w14:textFill>
                    </w:rPr>
                  </w:pPr>
                </w:p>
              </w:tc>
              <w:tc>
                <w:tcPr>
                  <w:tcW w:w="487" w:type="pct"/>
                  <w:vMerge w:val="continue"/>
                  <w:tcBorders>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contextualSpacing/>
                    <w:jc w:val="center"/>
                    <w:rPr>
                      <w:b/>
                      <w:color w:val="000000" w:themeColor="text1"/>
                      <w:kern w:val="0"/>
                      <w:sz w:val="21"/>
                      <w:szCs w:val="21"/>
                      <w14:textFill>
                        <w14:solidFill>
                          <w14:schemeClr w14:val="tx1"/>
                        </w14:solidFill>
                      </w14:textFill>
                    </w:rPr>
                  </w:pPr>
                </w:p>
              </w:tc>
              <w:tc>
                <w:tcPr>
                  <w:tcW w:w="818" w:type="pct"/>
                  <w:vMerge w:val="continue"/>
                  <w:tcBorders>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contextualSpacing/>
                    <w:jc w:val="center"/>
                    <w:rPr>
                      <w:b/>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 w:type="pct"/>
                  <w:vMerge w:val="restart"/>
                  <w:tcBorders>
                    <w:top w:val="single" w:color="auto" w:sz="4" w:space="0"/>
                    <w:left w:val="single" w:color="auto" w:sz="4" w:space="0"/>
                    <w:right w:val="single" w:color="auto" w:sz="4" w:space="0"/>
                  </w:tcBorders>
                  <w:vAlign w:val="center"/>
                </w:tcPr>
                <w:p>
                  <w:pPr>
                    <w:autoSpaceDE w:val="0"/>
                    <w:autoSpaceDN w:val="0"/>
                    <w:adjustRightInd w:val="0"/>
                    <w:snapToGrid w:val="0"/>
                    <w:spacing w:line="240" w:lineRule="auto"/>
                    <w:contextualSpacing/>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大气环境</w:t>
                  </w:r>
                </w:p>
              </w:tc>
              <w:tc>
                <w:tcPr>
                  <w:tcW w:w="58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contextualSpacing/>
                    <w:jc w:val="center"/>
                    <w:rPr>
                      <w:snapToGrid w:val="0"/>
                      <w:color w:val="000000" w:themeColor="text1"/>
                      <w:kern w:val="0"/>
                      <w:sz w:val="21"/>
                      <w:szCs w:val="21"/>
                      <w14:textFill>
                        <w14:solidFill>
                          <w14:schemeClr w14:val="tx1"/>
                        </w14:solidFill>
                      </w14:textFill>
                    </w:rPr>
                  </w:pPr>
                  <w:r>
                    <w:rPr>
                      <w:rFonts w:hint="eastAsia"/>
                      <w:snapToGrid w:val="0"/>
                      <w:color w:val="000000" w:themeColor="text1"/>
                      <w:kern w:val="0"/>
                      <w:sz w:val="21"/>
                      <w:szCs w:val="21"/>
                      <w14:textFill>
                        <w14:solidFill>
                          <w14:schemeClr w14:val="tx1"/>
                        </w14:solidFill>
                      </w14:textFill>
                    </w:rPr>
                    <w:t>汉营村</w:t>
                  </w:r>
                </w:p>
              </w:tc>
              <w:tc>
                <w:tcPr>
                  <w:tcW w:w="682" w:type="pct"/>
                  <w:tcBorders>
                    <w:top w:val="single" w:color="auto" w:sz="4" w:space="0"/>
                    <w:left w:val="single" w:color="auto" w:sz="4" w:space="0"/>
                    <w:bottom w:val="single" w:color="auto" w:sz="4" w:space="0"/>
                    <w:right w:val="single" w:color="auto" w:sz="4" w:space="0"/>
                  </w:tcBorders>
                  <w:vAlign w:val="center"/>
                </w:tcPr>
                <w:p>
                  <w:pPr>
                    <w:pStyle w:val="24"/>
                    <w:adjustRightInd w:val="0"/>
                    <w:snapToGrid w:val="0"/>
                    <w:spacing w:before="0" w:beforeAutospacing="0" w:after="0" w:afterAutospacing="0" w:line="240" w:lineRule="auto"/>
                    <w:jc w:val="center"/>
                    <w:rPr>
                      <w:rFonts w:ascii="Times New Roman" w:hAnsi="Times New Roman"/>
                      <w:color w:val="000000" w:themeColor="text1"/>
                      <w:sz w:val="21"/>
                      <w:szCs w:val="22"/>
                      <w14:textFill>
                        <w14:solidFill>
                          <w14:schemeClr w14:val="tx1"/>
                        </w14:solidFill>
                      </w14:textFill>
                    </w:rPr>
                  </w:pPr>
                  <w:r>
                    <w:rPr>
                      <w:rFonts w:ascii="Times New Roman" w:hAnsi="Times New Roman"/>
                      <w:color w:val="000000" w:themeColor="text1"/>
                      <w:sz w:val="21"/>
                      <w:szCs w:val="22"/>
                      <w14:textFill>
                        <w14:solidFill>
                          <w14:schemeClr w14:val="tx1"/>
                        </w14:solidFill>
                      </w14:textFill>
                    </w:rPr>
                    <w:t>102°34′</w:t>
                  </w:r>
                </w:p>
                <w:p>
                  <w:pPr>
                    <w:pStyle w:val="24"/>
                    <w:adjustRightInd w:val="0"/>
                    <w:snapToGrid w:val="0"/>
                    <w:spacing w:before="0" w:beforeAutospacing="0" w:after="0" w:afterAutospacing="0" w:line="240" w:lineRule="auto"/>
                    <w:jc w:val="center"/>
                    <w:rPr>
                      <w:rFonts w:ascii="Times New Roman" w:hAnsi="Times New Roman"/>
                      <w:color w:val="000000" w:themeColor="text1"/>
                      <w:sz w:val="21"/>
                      <w:szCs w:val="22"/>
                      <w14:textFill>
                        <w14:solidFill>
                          <w14:schemeClr w14:val="tx1"/>
                        </w14:solidFill>
                      </w14:textFill>
                    </w:rPr>
                  </w:pPr>
                  <w:r>
                    <w:rPr>
                      <w:rFonts w:ascii="Times New Roman" w:hAnsi="Times New Roman"/>
                      <w:color w:val="000000" w:themeColor="text1"/>
                      <w:sz w:val="21"/>
                      <w:szCs w:val="22"/>
                      <w14:textFill>
                        <w14:solidFill>
                          <w14:schemeClr w14:val="tx1"/>
                        </w14:solidFill>
                      </w14:textFill>
                    </w:rPr>
                    <w:t>34.310″</w:t>
                  </w:r>
                </w:p>
              </w:tc>
              <w:tc>
                <w:tcPr>
                  <w:tcW w:w="75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contextualSpacing/>
                    <w:jc w:val="center"/>
                    <w:rPr>
                      <w:snapToGrid w:val="0"/>
                      <w:color w:val="000000" w:themeColor="text1"/>
                      <w:kern w:val="0"/>
                      <w:sz w:val="21"/>
                      <w:szCs w:val="21"/>
                      <w14:textFill>
                        <w14:solidFill>
                          <w14:schemeClr w14:val="tx1"/>
                        </w14:solidFill>
                      </w14:textFill>
                    </w:rPr>
                  </w:pPr>
                  <w:r>
                    <w:rPr>
                      <w:snapToGrid w:val="0"/>
                      <w:color w:val="000000" w:themeColor="text1"/>
                      <w:kern w:val="0"/>
                      <w:sz w:val="21"/>
                      <w:szCs w:val="21"/>
                      <w14:textFill>
                        <w14:solidFill>
                          <w14:schemeClr w14:val="tx1"/>
                        </w14:solidFill>
                      </w14:textFill>
                    </w:rPr>
                    <w:t>24°42′</w:t>
                  </w:r>
                </w:p>
                <w:p>
                  <w:pPr>
                    <w:adjustRightInd w:val="0"/>
                    <w:snapToGrid w:val="0"/>
                    <w:spacing w:line="240" w:lineRule="auto"/>
                    <w:contextualSpacing/>
                    <w:jc w:val="center"/>
                    <w:rPr>
                      <w:snapToGrid w:val="0"/>
                      <w:color w:val="000000" w:themeColor="text1"/>
                      <w:kern w:val="0"/>
                      <w:sz w:val="21"/>
                      <w:szCs w:val="21"/>
                      <w14:textFill>
                        <w14:solidFill>
                          <w14:schemeClr w14:val="tx1"/>
                        </w14:solidFill>
                      </w14:textFill>
                    </w:rPr>
                  </w:pPr>
                  <w:r>
                    <w:rPr>
                      <w:snapToGrid w:val="0"/>
                      <w:color w:val="000000" w:themeColor="text1"/>
                      <w:kern w:val="0"/>
                      <w:sz w:val="21"/>
                      <w:szCs w:val="21"/>
                      <w14:textFill>
                        <w14:solidFill>
                          <w14:schemeClr w14:val="tx1"/>
                        </w14:solidFill>
                      </w14:textFill>
                    </w:rPr>
                    <w:t>58.391″</w:t>
                  </w:r>
                </w:p>
              </w:tc>
              <w:tc>
                <w:tcPr>
                  <w:tcW w:w="63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contextualSpacing/>
                    <w:jc w:val="center"/>
                    <w:rPr>
                      <w:snapToGrid w:val="0"/>
                      <w:color w:val="000000" w:themeColor="text1"/>
                      <w:kern w:val="0"/>
                      <w:sz w:val="21"/>
                      <w:szCs w:val="21"/>
                      <w14:textFill>
                        <w14:solidFill>
                          <w14:schemeClr w14:val="tx1"/>
                        </w14:solidFill>
                      </w14:textFill>
                    </w:rPr>
                  </w:pPr>
                  <w:r>
                    <w:rPr>
                      <w:rFonts w:hint="eastAsia"/>
                      <w:snapToGrid w:val="0"/>
                      <w:color w:val="000000" w:themeColor="text1"/>
                      <w:kern w:val="0"/>
                      <w:sz w:val="21"/>
                      <w:szCs w:val="21"/>
                      <w14:textFill>
                        <w14:solidFill>
                          <w14:schemeClr w14:val="tx1"/>
                        </w14:solidFill>
                      </w14:textFill>
                    </w:rPr>
                    <w:t>1936</w:t>
                  </w:r>
                </w:p>
              </w:tc>
              <w:tc>
                <w:tcPr>
                  <w:tcW w:w="32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contextualSpacing/>
                    <w:jc w:val="center"/>
                    <w:rPr>
                      <w:snapToGrid w:val="0"/>
                      <w:color w:val="000000" w:themeColor="text1"/>
                      <w:kern w:val="0"/>
                      <w:sz w:val="21"/>
                      <w:szCs w:val="21"/>
                      <w14:textFill>
                        <w14:solidFill>
                          <w14:schemeClr w14:val="tx1"/>
                        </w14:solidFill>
                      </w14:textFill>
                    </w:rPr>
                  </w:pPr>
                  <w:r>
                    <w:rPr>
                      <w:rFonts w:hint="eastAsia"/>
                      <w:snapToGrid w:val="0"/>
                      <w:color w:val="000000" w:themeColor="text1"/>
                      <w:kern w:val="0"/>
                      <w:sz w:val="21"/>
                      <w:szCs w:val="21"/>
                      <w14:textFill>
                        <w14:solidFill>
                          <w14:schemeClr w14:val="tx1"/>
                        </w14:solidFill>
                      </w14:textFill>
                    </w:rPr>
                    <w:t>北</w:t>
                  </w:r>
                </w:p>
              </w:tc>
              <w:tc>
                <w:tcPr>
                  <w:tcW w:w="46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contextualSpacing/>
                    <w:jc w:val="center"/>
                    <w:rPr>
                      <w:snapToGrid w:val="0"/>
                      <w:color w:val="000000" w:themeColor="text1"/>
                      <w:kern w:val="0"/>
                      <w:sz w:val="21"/>
                      <w:szCs w:val="21"/>
                      <w14:textFill>
                        <w14:solidFill>
                          <w14:schemeClr w14:val="tx1"/>
                        </w14:solidFill>
                      </w14:textFill>
                    </w:rPr>
                  </w:pPr>
                  <w:r>
                    <w:rPr>
                      <w:rFonts w:hint="eastAsia"/>
                      <w:snapToGrid w:val="0"/>
                      <w:color w:val="000000" w:themeColor="text1"/>
                      <w:kern w:val="0"/>
                      <w:sz w:val="21"/>
                      <w:szCs w:val="21"/>
                      <w14:textFill>
                        <w14:solidFill>
                          <w14:schemeClr w14:val="tx1"/>
                        </w14:solidFill>
                      </w14:textFill>
                    </w:rPr>
                    <w:t>40</w:t>
                  </w:r>
                </w:p>
              </w:tc>
              <w:tc>
                <w:tcPr>
                  <w:tcW w:w="48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contextualSpacing/>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村民，</w:t>
                  </w:r>
                  <w:r>
                    <w:rPr>
                      <w:rFonts w:hint="eastAsia"/>
                      <w:color w:val="000000" w:themeColor="text1"/>
                      <w:kern w:val="0"/>
                      <w:sz w:val="21"/>
                      <w:szCs w:val="21"/>
                      <w14:textFill>
                        <w14:solidFill>
                          <w14:schemeClr w14:val="tx1"/>
                        </w14:solidFill>
                      </w14:textFill>
                    </w:rPr>
                    <w:t>69户，207</w:t>
                  </w:r>
                  <w:r>
                    <w:rPr>
                      <w:color w:val="000000" w:themeColor="text1"/>
                      <w:kern w:val="0"/>
                      <w:sz w:val="21"/>
                      <w:szCs w:val="21"/>
                      <w14:textFill>
                        <w14:solidFill>
                          <w14:schemeClr w14:val="tx1"/>
                        </w14:solidFill>
                      </w14:textFill>
                    </w:rPr>
                    <w:t>人</w:t>
                  </w:r>
                </w:p>
              </w:tc>
              <w:tc>
                <w:tcPr>
                  <w:tcW w:w="818" w:type="pct"/>
                  <w:vMerge w:val="restart"/>
                  <w:tcBorders>
                    <w:top w:val="single" w:color="auto" w:sz="4" w:space="0"/>
                    <w:left w:val="single" w:color="auto" w:sz="4" w:space="0"/>
                    <w:right w:val="single" w:color="auto" w:sz="4" w:space="0"/>
                  </w:tcBorders>
                  <w:vAlign w:val="center"/>
                </w:tcPr>
                <w:p>
                  <w:pPr>
                    <w:tabs>
                      <w:tab w:val="center" w:pos="4153"/>
                      <w:tab w:val="right" w:pos="8306"/>
                    </w:tabs>
                    <w:adjustRightInd w:val="0"/>
                    <w:snapToGrid w:val="0"/>
                    <w:spacing w:line="240" w:lineRule="auto"/>
                    <w:contextualSpacing/>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GB3095-2012《环境空气质量标准》二级标准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 w:type="pct"/>
                  <w:vMerge w:val="continue"/>
                  <w:tcBorders>
                    <w:left w:val="single" w:color="auto" w:sz="4" w:space="0"/>
                    <w:right w:val="single" w:color="auto" w:sz="4" w:space="0"/>
                  </w:tcBorders>
                  <w:vAlign w:val="center"/>
                </w:tcPr>
                <w:p>
                  <w:pPr>
                    <w:autoSpaceDE w:val="0"/>
                    <w:autoSpaceDN w:val="0"/>
                    <w:adjustRightInd w:val="0"/>
                    <w:snapToGrid w:val="0"/>
                    <w:spacing w:line="240" w:lineRule="auto"/>
                    <w:contextualSpacing/>
                    <w:jc w:val="center"/>
                    <w:rPr>
                      <w:color w:val="000000" w:themeColor="text1"/>
                      <w:kern w:val="0"/>
                      <w:sz w:val="21"/>
                      <w:szCs w:val="21"/>
                      <w14:textFill>
                        <w14:solidFill>
                          <w14:schemeClr w14:val="tx1"/>
                        </w14:solidFill>
                      </w14:textFill>
                    </w:rPr>
                  </w:pPr>
                </w:p>
              </w:tc>
              <w:tc>
                <w:tcPr>
                  <w:tcW w:w="58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contextualSpacing/>
                    <w:jc w:val="center"/>
                    <w:rPr>
                      <w:snapToGrid w:val="0"/>
                      <w:color w:val="000000" w:themeColor="text1"/>
                      <w:kern w:val="0"/>
                      <w:sz w:val="21"/>
                      <w:szCs w:val="21"/>
                      <w14:textFill>
                        <w14:solidFill>
                          <w14:schemeClr w14:val="tx1"/>
                        </w14:solidFill>
                      </w14:textFill>
                    </w:rPr>
                  </w:pPr>
                  <w:r>
                    <w:rPr>
                      <w:rFonts w:hint="eastAsia"/>
                      <w:snapToGrid w:val="0"/>
                      <w:color w:val="000000" w:themeColor="text1"/>
                      <w:kern w:val="0"/>
                      <w:sz w:val="21"/>
                      <w:szCs w:val="21"/>
                      <w14:textFill>
                        <w14:solidFill>
                          <w14:schemeClr w14:val="tx1"/>
                        </w14:solidFill>
                      </w14:textFill>
                    </w:rPr>
                    <w:t>梅树村</w:t>
                  </w:r>
                </w:p>
              </w:tc>
              <w:tc>
                <w:tcPr>
                  <w:tcW w:w="682" w:type="pct"/>
                  <w:tcBorders>
                    <w:top w:val="single" w:color="auto" w:sz="4" w:space="0"/>
                    <w:left w:val="single" w:color="auto" w:sz="4" w:space="0"/>
                    <w:bottom w:val="single" w:color="auto" w:sz="4" w:space="0"/>
                    <w:right w:val="single" w:color="auto" w:sz="4" w:space="0"/>
                  </w:tcBorders>
                  <w:vAlign w:val="center"/>
                </w:tcPr>
                <w:p>
                  <w:pPr>
                    <w:pStyle w:val="24"/>
                    <w:adjustRightInd w:val="0"/>
                    <w:snapToGrid w:val="0"/>
                    <w:spacing w:before="0" w:beforeAutospacing="0" w:after="0" w:afterAutospacing="0" w:line="240" w:lineRule="auto"/>
                    <w:jc w:val="center"/>
                    <w:rPr>
                      <w:rFonts w:ascii="Times New Roman" w:hAnsi="Times New Roman"/>
                      <w:color w:val="000000" w:themeColor="text1"/>
                      <w:sz w:val="21"/>
                      <w:szCs w:val="22"/>
                      <w14:textFill>
                        <w14:solidFill>
                          <w14:schemeClr w14:val="tx1"/>
                        </w14:solidFill>
                      </w14:textFill>
                    </w:rPr>
                  </w:pPr>
                  <w:r>
                    <w:rPr>
                      <w:rFonts w:ascii="Times New Roman" w:hAnsi="Times New Roman"/>
                      <w:color w:val="000000" w:themeColor="text1"/>
                      <w:sz w:val="21"/>
                      <w:szCs w:val="22"/>
                      <w14:textFill>
                        <w14:solidFill>
                          <w14:schemeClr w14:val="tx1"/>
                        </w14:solidFill>
                      </w14:textFill>
                    </w:rPr>
                    <w:t>102°34′</w:t>
                  </w:r>
                </w:p>
                <w:p>
                  <w:pPr>
                    <w:pStyle w:val="24"/>
                    <w:adjustRightInd w:val="0"/>
                    <w:snapToGrid w:val="0"/>
                    <w:spacing w:before="0" w:beforeAutospacing="0" w:after="0" w:afterAutospacing="0" w:line="240" w:lineRule="auto"/>
                    <w:jc w:val="center"/>
                    <w:rPr>
                      <w:rFonts w:ascii="Times New Roman" w:hAnsi="Times New Roman"/>
                      <w:color w:val="000000" w:themeColor="text1"/>
                      <w:sz w:val="21"/>
                      <w:szCs w:val="22"/>
                      <w14:textFill>
                        <w14:solidFill>
                          <w14:schemeClr w14:val="tx1"/>
                        </w14:solidFill>
                      </w14:textFill>
                    </w:rPr>
                  </w:pPr>
                  <w:r>
                    <w:rPr>
                      <w:rFonts w:ascii="Times New Roman" w:hAnsi="Times New Roman"/>
                      <w:color w:val="000000" w:themeColor="text1"/>
                      <w:sz w:val="21"/>
                      <w:szCs w:val="22"/>
                      <w14:textFill>
                        <w14:solidFill>
                          <w14:schemeClr w14:val="tx1"/>
                        </w14:solidFill>
                      </w14:textFill>
                    </w:rPr>
                    <w:t>26.982″</w:t>
                  </w:r>
                </w:p>
              </w:tc>
              <w:tc>
                <w:tcPr>
                  <w:tcW w:w="75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contextualSpacing/>
                    <w:jc w:val="center"/>
                    <w:rPr>
                      <w:snapToGrid w:val="0"/>
                      <w:color w:val="000000" w:themeColor="text1"/>
                      <w:kern w:val="0"/>
                      <w:sz w:val="21"/>
                      <w:szCs w:val="21"/>
                      <w14:textFill>
                        <w14:solidFill>
                          <w14:schemeClr w14:val="tx1"/>
                        </w14:solidFill>
                      </w14:textFill>
                    </w:rPr>
                  </w:pPr>
                  <w:r>
                    <w:rPr>
                      <w:snapToGrid w:val="0"/>
                      <w:color w:val="000000" w:themeColor="text1"/>
                      <w:kern w:val="0"/>
                      <w:sz w:val="21"/>
                      <w:szCs w:val="21"/>
                      <w14:textFill>
                        <w14:solidFill>
                          <w14:schemeClr w14:val="tx1"/>
                        </w14:solidFill>
                      </w14:textFill>
                    </w:rPr>
                    <w:t>24°42′</w:t>
                  </w:r>
                </w:p>
                <w:p>
                  <w:pPr>
                    <w:adjustRightInd w:val="0"/>
                    <w:snapToGrid w:val="0"/>
                    <w:spacing w:line="240" w:lineRule="auto"/>
                    <w:contextualSpacing/>
                    <w:jc w:val="center"/>
                    <w:rPr>
                      <w:snapToGrid w:val="0"/>
                      <w:color w:val="000000" w:themeColor="text1"/>
                      <w:kern w:val="0"/>
                      <w:sz w:val="21"/>
                      <w:szCs w:val="21"/>
                      <w14:textFill>
                        <w14:solidFill>
                          <w14:schemeClr w14:val="tx1"/>
                        </w14:solidFill>
                      </w14:textFill>
                    </w:rPr>
                  </w:pPr>
                  <w:r>
                    <w:rPr>
                      <w:snapToGrid w:val="0"/>
                      <w:color w:val="000000" w:themeColor="text1"/>
                      <w:kern w:val="0"/>
                      <w:sz w:val="21"/>
                      <w:szCs w:val="21"/>
                      <w14:textFill>
                        <w14:solidFill>
                          <w14:schemeClr w14:val="tx1"/>
                        </w14:solidFill>
                      </w14:textFill>
                    </w:rPr>
                    <w:t>58.377″</w:t>
                  </w:r>
                </w:p>
              </w:tc>
              <w:tc>
                <w:tcPr>
                  <w:tcW w:w="63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contextualSpacing/>
                    <w:jc w:val="center"/>
                    <w:rPr>
                      <w:snapToGrid w:val="0"/>
                      <w:color w:val="000000" w:themeColor="text1"/>
                      <w:kern w:val="0"/>
                      <w:sz w:val="21"/>
                      <w:szCs w:val="21"/>
                      <w14:textFill>
                        <w14:solidFill>
                          <w14:schemeClr w14:val="tx1"/>
                        </w14:solidFill>
                      </w14:textFill>
                    </w:rPr>
                  </w:pPr>
                  <w:r>
                    <w:rPr>
                      <w:rFonts w:hint="eastAsia"/>
                      <w:snapToGrid w:val="0"/>
                      <w:color w:val="000000" w:themeColor="text1"/>
                      <w:kern w:val="0"/>
                      <w:sz w:val="21"/>
                      <w:szCs w:val="21"/>
                      <w14:textFill>
                        <w14:solidFill>
                          <w14:schemeClr w14:val="tx1"/>
                        </w14:solidFill>
                      </w14:textFill>
                    </w:rPr>
                    <w:t>1941</w:t>
                  </w:r>
                </w:p>
              </w:tc>
              <w:tc>
                <w:tcPr>
                  <w:tcW w:w="32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contextualSpacing/>
                    <w:jc w:val="center"/>
                    <w:rPr>
                      <w:snapToGrid w:val="0"/>
                      <w:color w:val="000000" w:themeColor="text1"/>
                      <w:kern w:val="0"/>
                      <w:sz w:val="21"/>
                      <w:szCs w:val="21"/>
                      <w14:textFill>
                        <w14:solidFill>
                          <w14:schemeClr w14:val="tx1"/>
                        </w14:solidFill>
                      </w14:textFill>
                    </w:rPr>
                  </w:pPr>
                  <w:r>
                    <w:rPr>
                      <w:rFonts w:hint="eastAsia"/>
                      <w:snapToGrid w:val="0"/>
                      <w:color w:val="000000" w:themeColor="text1"/>
                      <w:kern w:val="0"/>
                      <w:sz w:val="21"/>
                      <w:szCs w:val="21"/>
                      <w14:textFill>
                        <w14:solidFill>
                          <w14:schemeClr w14:val="tx1"/>
                        </w14:solidFill>
                      </w14:textFill>
                    </w:rPr>
                    <w:t>西北</w:t>
                  </w:r>
                </w:p>
              </w:tc>
              <w:tc>
                <w:tcPr>
                  <w:tcW w:w="46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contextualSpacing/>
                    <w:jc w:val="center"/>
                    <w:rPr>
                      <w:snapToGrid w:val="0"/>
                      <w:color w:val="000000" w:themeColor="text1"/>
                      <w:kern w:val="0"/>
                      <w:sz w:val="21"/>
                      <w:szCs w:val="21"/>
                      <w14:textFill>
                        <w14:solidFill>
                          <w14:schemeClr w14:val="tx1"/>
                        </w14:solidFill>
                      </w14:textFill>
                    </w:rPr>
                  </w:pPr>
                  <w:r>
                    <w:rPr>
                      <w:rFonts w:hint="eastAsia"/>
                      <w:snapToGrid w:val="0"/>
                      <w:color w:val="000000" w:themeColor="text1"/>
                      <w:kern w:val="0"/>
                      <w:sz w:val="21"/>
                      <w:szCs w:val="21"/>
                      <w14:textFill>
                        <w14:solidFill>
                          <w14:schemeClr w14:val="tx1"/>
                        </w14:solidFill>
                      </w14:textFill>
                    </w:rPr>
                    <w:t>42</w:t>
                  </w:r>
                </w:p>
              </w:tc>
              <w:tc>
                <w:tcPr>
                  <w:tcW w:w="48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contextualSpacing/>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村民，</w:t>
                  </w:r>
                  <w:r>
                    <w:rPr>
                      <w:rFonts w:hint="eastAsia"/>
                      <w:color w:val="000000" w:themeColor="text1"/>
                      <w:kern w:val="0"/>
                      <w:sz w:val="21"/>
                      <w:szCs w:val="21"/>
                      <w14:textFill>
                        <w14:solidFill>
                          <w14:schemeClr w14:val="tx1"/>
                        </w14:solidFill>
                      </w14:textFill>
                    </w:rPr>
                    <w:t>278户，829</w:t>
                  </w:r>
                  <w:r>
                    <w:rPr>
                      <w:color w:val="000000" w:themeColor="text1"/>
                      <w:kern w:val="0"/>
                      <w:sz w:val="21"/>
                      <w:szCs w:val="21"/>
                      <w14:textFill>
                        <w14:solidFill>
                          <w14:schemeClr w14:val="tx1"/>
                        </w14:solidFill>
                      </w14:textFill>
                    </w:rPr>
                    <w:t>人</w:t>
                  </w:r>
                </w:p>
              </w:tc>
              <w:tc>
                <w:tcPr>
                  <w:tcW w:w="818" w:type="pct"/>
                  <w:vMerge w:val="continue"/>
                  <w:tcBorders>
                    <w:left w:val="single" w:color="auto" w:sz="4" w:space="0"/>
                    <w:right w:val="single" w:color="auto" w:sz="4" w:space="0"/>
                  </w:tcBorders>
                  <w:vAlign w:val="center"/>
                </w:tcPr>
                <w:p>
                  <w:pPr>
                    <w:tabs>
                      <w:tab w:val="center" w:pos="4153"/>
                      <w:tab w:val="right" w:pos="8306"/>
                    </w:tabs>
                    <w:adjustRightInd w:val="0"/>
                    <w:snapToGrid w:val="0"/>
                    <w:spacing w:line="240" w:lineRule="auto"/>
                    <w:contextualSpacing/>
                    <w:jc w:val="center"/>
                    <w:rPr>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 w:type="pct"/>
                  <w:vMerge w:val="restart"/>
                  <w:tcBorders>
                    <w:left w:val="single" w:color="auto" w:sz="4" w:space="0"/>
                    <w:right w:val="single" w:color="auto" w:sz="4" w:space="0"/>
                  </w:tcBorders>
                  <w:vAlign w:val="center"/>
                </w:tcPr>
                <w:p>
                  <w:pPr>
                    <w:autoSpaceDE w:val="0"/>
                    <w:autoSpaceDN w:val="0"/>
                    <w:adjustRightInd w:val="0"/>
                    <w:snapToGrid w:val="0"/>
                    <w:spacing w:line="240" w:lineRule="auto"/>
                    <w:contextualSpacing/>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声环境</w:t>
                  </w:r>
                </w:p>
              </w:tc>
              <w:tc>
                <w:tcPr>
                  <w:tcW w:w="58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contextualSpacing/>
                    <w:jc w:val="center"/>
                    <w:rPr>
                      <w:snapToGrid w:val="0"/>
                      <w:color w:val="000000" w:themeColor="text1"/>
                      <w:kern w:val="0"/>
                      <w:sz w:val="21"/>
                      <w:szCs w:val="21"/>
                      <w14:textFill>
                        <w14:solidFill>
                          <w14:schemeClr w14:val="tx1"/>
                        </w14:solidFill>
                      </w14:textFill>
                    </w:rPr>
                  </w:pPr>
                  <w:r>
                    <w:rPr>
                      <w:rFonts w:hint="eastAsia"/>
                      <w:snapToGrid w:val="0"/>
                      <w:color w:val="000000" w:themeColor="text1"/>
                      <w:kern w:val="0"/>
                      <w:sz w:val="21"/>
                      <w:szCs w:val="21"/>
                      <w14:textFill>
                        <w14:solidFill>
                          <w14:schemeClr w14:val="tx1"/>
                        </w14:solidFill>
                      </w14:textFill>
                    </w:rPr>
                    <w:t>汉营村</w:t>
                  </w:r>
                </w:p>
              </w:tc>
              <w:tc>
                <w:tcPr>
                  <w:tcW w:w="682" w:type="pct"/>
                  <w:tcBorders>
                    <w:top w:val="single" w:color="auto" w:sz="4" w:space="0"/>
                    <w:left w:val="single" w:color="auto" w:sz="4" w:space="0"/>
                    <w:bottom w:val="single" w:color="auto" w:sz="4" w:space="0"/>
                    <w:right w:val="single" w:color="auto" w:sz="4" w:space="0"/>
                  </w:tcBorders>
                  <w:vAlign w:val="center"/>
                </w:tcPr>
                <w:p>
                  <w:pPr>
                    <w:pStyle w:val="24"/>
                    <w:adjustRightInd w:val="0"/>
                    <w:snapToGrid w:val="0"/>
                    <w:spacing w:before="0" w:beforeAutospacing="0" w:after="0" w:afterAutospacing="0" w:line="240" w:lineRule="auto"/>
                    <w:jc w:val="center"/>
                    <w:rPr>
                      <w:rFonts w:ascii="Times New Roman" w:hAnsi="Times New Roman"/>
                      <w:color w:val="000000" w:themeColor="text1"/>
                      <w:sz w:val="21"/>
                      <w:szCs w:val="22"/>
                      <w14:textFill>
                        <w14:solidFill>
                          <w14:schemeClr w14:val="tx1"/>
                        </w14:solidFill>
                      </w14:textFill>
                    </w:rPr>
                  </w:pPr>
                  <w:r>
                    <w:rPr>
                      <w:rFonts w:ascii="Times New Roman" w:hAnsi="Times New Roman"/>
                      <w:color w:val="000000" w:themeColor="text1"/>
                      <w:sz w:val="21"/>
                      <w:szCs w:val="22"/>
                      <w14:textFill>
                        <w14:solidFill>
                          <w14:schemeClr w14:val="tx1"/>
                        </w14:solidFill>
                      </w14:textFill>
                    </w:rPr>
                    <w:t>102°34′</w:t>
                  </w:r>
                </w:p>
                <w:p>
                  <w:pPr>
                    <w:pStyle w:val="24"/>
                    <w:adjustRightInd w:val="0"/>
                    <w:snapToGrid w:val="0"/>
                    <w:spacing w:before="0" w:beforeAutospacing="0" w:after="0" w:afterAutospacing="0" w:line="240" w:lineRule="auto"/>
                    <w:jc w:val="center"/>
                    <w:rPr>
                      <w:rFonts w:ascii="Times New Roman" w:hAnsi="Times New Roman"/>
                      <w:color w:val="000000" w:themeColor="text1"/>
                      <w:sz w:val="21"/>
                      <w:szCs w:val="22"/>
                      <w14:textFill>
                        <w14:solidFill>
                          <w14:schemeClr w14:val="tx1"/>
                        </w14:solidFill>
                      </w14:textFill>
                    </w:rPr>
                  </w:pPr>
                  <w:r>
                    <w:rPr>
                      <w:rFonts w:ascii="Times New Roman" w:hAnsi="Times New Roman"/>
                      <w:color w:val="000000" w:themeColor="text1"/>
                      <w:sz w:val="21"/>
                      <w:szCs w:val="22"/>
                      <w14:textFill>
                        <w14:solidFill>
                          <w14:schemeClr w14:val="tx1"/>
                        </w14:solidFill>
                      </w14:textFill>
                    </w:rPr>
                    <w:t>34.310″</w:t>
                  </w:r>
                </w:p>
              </w:tc>
              <w:tc>
                <w:tcPr>
                  <w:tcW w:w="75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contextualSpacing/>
                    <w:jc w:val="center"/>
                    <w:rPr>
                      <w:snapToGrid w:val="0"/>
                      <w:color w:val="000000" w:themeColor="text1"/>
                      <w:kern w:val="0"/>
                      <w:sz w:val="21"/>
                      <w:szCs w:val="21"/>
                      <w14:textFill>
                        <w14:solidFill>
                          <w14:schemeClr w14:val="tx1"/>
                        </w14:solidFill>
                      </w14:textFill>
                    </w:rPr>
                  </w:pPr>
                  <w:r>
                    <w:rPr>
                      <w:snapToGrid w:val="0"/>
                      <w:color w:val="000000" w:themeColor="text1"/>
                      <w:kern w:val="0"/>
                      <w:sz w:val="21"/>
                      <w:szCs w:val="21"/>
                      <w14:textFill>
                        <w14:solidFill>
                          <w14:schemeClr w14:val="tx1"/>
                        </w14:solidFill>
                      </w14:textFill>
                    </w:rPr>
                    <w:t>24°42′</w:t>
                  </w:r>
                </w:p>
                <w:p>
                  <w:pPr>
                    <w:adjustRightInd w:val="0"/>
                    <w:snapToGrid w:val="0"/>
                    <w:spacing w:line="240" w:lineRule="auto"/>
                    <w:contextualSpacing/>
                    <w:jc w:val="center"/>
                    <w:rPr>
                      <w:snapToGrid w:val="0"/>
                      <w:color w:val="000000" w:themeColor="text1"/>
                      <w:kern w:val="0"/>
                      <w:sz w:val="21"/>
                      <w:szCs w:val="21"/>
                      <w14:textFill>
                        <w14:solidFill>
                          <w14:schemeClr w14:val="tx1"/>
                        </w14:solidFill>
                      </w14:textFill>
                    </w:rPr>
                  </w:pPr>
                  <w:r>
                    <w:rPr>
                      <w:snapToGrid w:val="0"/>
                      <w:color w:val="000000" w:themeColor="text1"/>
                      <w:kern w:val="0"/>
                      <w:sz w:val="21"/>
                      <w:szCs w:val="21"/>
                      <w14:textFill>
                        <w14:solidFill>
                          <w14:schemeClr w14:val="tx1"/>
                        </w14:solidFill>
                      </w14:textFill>
                    </w:rPr>
                    <w:t>58.391″</w:t>
                  </w:r>
                </w:p>
              </w:tc>
              <w:tc>
                <w:tcPr>
                  <w:tcW w:w="63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contextualSpacing/>
                    <w:jc w:val="center"/>
                    <w:rPr>
                      <w:snapToGrid w:val="0"/>
                      <w:color w:val="000000" w:themeColor="text1"/>
                      <w:kern w:val="0"/>
                      <w:sz w:val="21"/>
                      <w:szCs w:val="21"/>
                      <w14:textFill>
                        <w14:solidFill>
                          <w14:schemeClr w14:val="tx1"/>
                        </w14:solidFill>
                      </w14:textFill>
                    </w:rPr>
                  </w:pPr>
                  <w:r>
                    <w:rPr>
                      <w:rFonts w:hint="eastAsia"/>
                      <w:snapToGrid w:val="0"/>
                      <w:color w:val="000000" w:themeColor="text1"/>
                      <w:kern w:val="0"/>
                      <w:sz w:val="21"/>
                      <w:szCs w:val="21"/>
                      <w14:textFill>
                        <w14:solidFill>
                          <w14:schemeClr w14:val="tx1"/>
                        </w14:solidFill>
                      </w14:textFill>
                    </w:rPr>
                    <w:t>1936</w:t>
                  </w:r>
                </w:p>
              </w:tc>
              <w:tc>
                <w:tcPr>
                  <w:tcW w:w="32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contextualSpacing/>
                    <w:jc w:val="center"/>
                    <w:rPr>
                      <w:snapToGrid w:val="0"/>
                      <w:color w:val="000000" w:themeColor="text1"/>
                      <w:kern w:val="0"/>
                      <w:sz w:val="21"/>
                      <w:szCs w:val="21"/>
                      <w14:textFill>
                        <w14:solidFill>
                          <w14:schemeClr w14:val="tx1"/>
                        </w14:solidFill>
                      </w14:textFill>
                    </w:rPr>
                  </w:pPr>
                  <w:r>
                    <w:rPr>
                      <w:rFonts w:hint="eastAsia"/>
                      <w:snapToGrid w:val="0"/>
                      <w:color w:val="000000" w:themeColor="text1"/>
                      <w:kern w:val="0"/>
                      <w:sz w:val="21"/>
                      <w:szCs w:val="21"/>
                      <w14:textFill>
                        <w14:solidFill>
                          <w14:schemeClr w14:val="tx1"/>
                        </w14:solidFill>
                      </w14:textFill>
                    </w:rPr>
                    <w:t>北</w:t>
                  </w:r>
                </w:p>
              </w:tc>
              <w:tc>
                <w:tcPr>
                  <w:tcW w:w="46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contextualSpacing/>
                    <w:jc w:val="center"/>
                    <w:rPr>
                      <w:snapToGrid w:val="0"/>
                      <w:color w:val="000000" w:themeColor="text1"/>
                      <w:kern w:val="0"/>
                      <w:sz w:val="21"/>
                      <w:szCs w:val="21"/>
                      <w14:textFill>
                        <w14:solidFill>
                          <w14:schemeClr w14:val="tx1"/>
                        </w14:solidFill>
                      </w14:textFill>
                    </w:rPr>
                  </w:pPr>
                  <w:r>
                    <w:rPr>
                      <w:rFonts w:hint="eastAsia"/>
                      <w:snapToGrid w:val="0"/>
                      <w:color w:val="000000" w:themeColor="text1"/>
                      <w:kern w:val="0"/>
                      <w:sz w:val="21"/>
                      <w:szCs w:val="21"/>
                      <w14:textFill>
                        <w14:solidFill>
                          <w14:schemeClr w14:val="tx1"/>
                        </w14:solidFill>
                      </w14:textFill>
                    </w:rPr>
                    <w:t>40</w:t>
                  </w:r>
                </w:p>
              </w:tc>
              <w:tc>
                <w:tcPr>
                  <w:tcW w:w="48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contextualSpacing/>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村民，</w:t>
                  </w:r>
                  <w:r>
                    <w:rPr>
                      <w:rFonts w:hint="eastAsia"/>
                      <w:color w:val="000000" w:themeColor="text1"/>
                      <w:kern w:val="0"/>
                      <w:sz w:val="21"/>
                      <w:szCs w:val="21"/>
                      <w14:textFill>
                        <w14:solidFill>
                          <w14:schemeClr w14:val="tx1"/>
                        </w14:solidFill>
                      </w14:textFill>
                    </w:rPr>
                    <w:t>5户，20</w:t>
                  </w:r>
                  <w:r>
                    <w:rPr>
                      <w:color w:val="000000" w:themeColor="text1"/>
                      <w:kern w:val="0"/>
                      <w:sz w:val="21"/>
                      <w:szCs w:val="21"/>
                      <w14:textFill>
                        <w14:solidFill>
                          <w14:schemeClr w14:val="tx1"/>
                        </w14:solidFill>
                      </w14:textFill>
                    </w:rPr>
                    <w:t>人</w:t>
                  </w:r>
                </w:p>
              </w:tc>
              <w:tc>
                <w:tcPr>
                  <w:tcW w:w="818" w:type="pct"/>
                  <w:vMerge w:val="restart"/>
                  <w:tcBorders>
                    <w:left w:val="single" w:color="auto" w:sz="4" w:space="0"/>
                    <w:right w:val="single" w:color="auto" w:sz="4" w:space="0"/>
                  </w:tcBorders>
                  <w:vAlign w:val="center"/>
                </w:tcPr>
                <w:p>
                  <w:pPr>
                    <w:tabs>
                      <w:tab w:val="center" w:pos="4153"/>
                      <w:tab w:val="right" w:pos="8306"/>
                    </w:tabs>
                    <w:adjustRightInd w:val="0"/>
                    <w:snapToGrid w:val="0"/>
                    <w:spacing w:line="240" w:lineRule="auto"/>
                    <w:contextualSpacing/>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GB3096-2008《声环境质量标准》2类标准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7" w:type="pct"/>
                  <w:vMerge w:val="continue"/>
                  <w:tcBorders>
                    <w:left w:val="single" w:color="auto" w:sz="4" w:space="0"/>
                    <w:right w:val="single" w:color="auto" w:sz="4" w:space="0"/>
                  </w:tcBorders>
                  <w:vAlign w:val="center"/>
                </w:tcPr>
                <w:p>
                  <w:pPr>
                    <w:autoSpaceDE w:val="0"/>
                    <w:autoSpaceDN w:val="0"/>
                    <w:adjustRightInd w:val="0"/>
                    <w:snapToGrid w:val="0"/>
                    <w:spacing w:line="240" w:lineRule="auto"/>
                    <w:contextualSpacing/>
                    <w:jc w:val="center"/>
                    <w:rPr>
                      <w:color w:val="000000" w:themeColor="text1"/>
                      <w:kern w:val="0"/>
                      <w:sz w:val="21"/>
                      <w:szCs w:val="21"/>
                      <w14:textFill>
                        <w14:solidFill>
                          <w14:schemeClr w14:val="tx1"/>
                        </w14:solidFill>
                      </w14:textFill>
                    </w:rPr>
                  </w:pPr>
                </w:p>
              </w:tc>
              <w:tc>
                <w:tcPr>
                  <w:tcW w:w="58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contextualSpacing/>
                    <w:jc w:val="center"/>
                    <w:rPr>
                      <w:snapToGrid w:val="0"/>
                      <w:color w:val="000000" w:themeColor="text1"/>
                      <w:kern w:val="0"/>
                      <w:sz w:val="21"/>
                      <w:szCs w:val="21"/>
                      <w14:textFill>
                        <w14:solidFill>
                          <w14:schemeClr w14:val="tx1"/>
                        </w14:solidFill>
                      </w14:textFill>
                    </w:rPr>
                  </w:pPr>
                  <w:r>
                    <w:rPr>
                      <w:rFonts w:hint="eastAsia"/>
                      <w:snapToGrid w:val="0"/>
                      <w:color w:val="000000" w:themeColor="text1"/>
                      <w:kern w:val="0"/>
                      <w:sz w:val="21"/>
                      <w:szCs w:val="21"/>
                      <w14:textFill>
                        <w14:solidFill>
                          <w14:schemeClr w14:val="tx1"/>
                        </w14:solidFill>
                      </w14:textFill>
                    </w:rPr>
                    <w:t>梅树村</w:t>
                  </w:r>
                </w:p>
              </w:tc>
              <w:tc>
                <w:tcPr>
                  <w:tcW w:w="682" w:type="pct"/>
                  <w:tcBorders>
                    <w:top w:val="single" w:color="auto" w:sz="4" w:space="0"/>
                    <w:left w:val="single" w:color="auto" w:sz="4" w:space="0"/>
                    <w:bottom w:val="single" w:color="auto" w:sz="4" w:space="0"/>
                    <w:right w:val="single" w:color="auto" w:sz="4" w:space="0"/>
                  </w:tcBorders>
                  <w:vAlign w:val="center"/>
                </w:tcPr>
                <w:p>
                  <w:pPr>
                    <w:pStyle w:val="24"/>
                    <w:adjustRightInd w:val="0"/>
                    <w:snapToGrid w:val="0"/>
                    <w:spacing w:before="0" w:beforeAutospacing="0" w:after="0" w:afterAutospacing="0" w:line="240" w:lineRule="auto"/>
                    <w:jc w:val="center"/>
                    <w:rPr>
                      <w:rFonts w:ascii="Times New Roman" w:hAnsi="Times New Roman"/>
                      <w:color w:val="000000" w:themeColor="text1"/>
                      <w:sz w:val="21"/>
                      <w:szCs w:val="22"/>
                      <w14:textFill>
                        <w14:solidFill>
                          <w14:schemeClr w14:val="tx1"/>
                        </w14:solidFill>
                      </w14:textFill>
                    </w:rPr>
                  </w:pPr>
                  <w:r>
                    <w:rPr>
                      <w:rFonts w:ascii="Times New Roman" w:hAnsi="Times New Roman"/>
                      <w:color w:val="000000" w:themeColor="text1"/>
                      <w:sz w:val="21"/>
                      <w:szCs w:val="22"/>
                      <w14:textFill>
                        <w14:solidFill>
                          <w14:schemeClr w14:val="tx1"/>
                        </w14:solidFill>
                      </w14:textFill>
                    </w:rPr>
                    <w:t>102°34′</w:t>
                  </w:r>
                </w:p>
                <w:p>
                  <w:pPr>
                    <w:pStyle w:val="24"/>
                    <w:adjustRightInd w:val="0"/>
                    <w:snapToGrid w:val="0"/>
                    <w:spacing w:before="0" w:beforeAutospacing="0" w:after="0" w:afterAutospacing="0" w:line="240" w:lineRule="auto"/>
                    <w:jc w:val="center"/>
                    <w:rPr>
                      <w:rFonts w:ascii="Times New Roman" w:hAnsi="Times New Roman"/>
                      <w:color w:val="000000" w:themeColor="text1"/>
                      <w:sz w:val="21"/>
                      <w:szCs w:val="22"/>
                      <w14:textFill>
                        <w14:solidFill>
                          <w14:schemeClr w14:val="tx1"/>
                        </w14:solidFill>
                      </w14:textFill>
                    </w:rPr>
                  </w:pPr>
                  <w:r>
                    <w:rPr>
                      <w:rFonts w:ascii="Times New Roman" w:hAnsi="Times New Roman"/>
                      <w:color w:val="000000" w:themeColor="text1"/>
                      <w:sz w:val="21"/>
                      <w:szCs w:val="22"/>
                      <w14:textFill>
                        <w14:solidFill>
                          <w14:schemeClr w14:val="tx1"/>
                        </w14:solidFill>
                      </w14:textFill>
                    </w:rPr>
                    <w:t>26.982″</w:t>
                  </w:r>
                </w:p>
              </w:tc>
              <w:tc>
                <w:tcPr>
                  <w:tcW w:w="75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contextualSpacing/>
                    <w:jc w:val="center"/>
                    <w:rPr>
                      <w:snapToGrid w:val="0"/>
                      <w:color w:val="000000" w:themeColor="text1"/>
                      <w:kern w:val="0"/>
                      <w:sz w:val="21"/>
                      <w:szCs w:val="21"/>
                      <w14:textFill>
                        <w14:solidFill>
                          <w14:schemeClr w14:val="tx1"/>
                        </w14:solidFill>
                      </w14:textFill>
                    </w:rPr>
                  </w:pPr>
                  <w:r>
                    <w:rPr>
                      <w:snapToGrid w:val="0"/>
                      <w:color w:val="000000" w:themeColor="text1"/>
                      <w:kern w:val="0"/>
                      <w:sz w:val="21"/>
                      <w:szCs w:val="21"/>
                      <w14:textFill>
                        <w14:solidFill>
                          <w14:schemeClr w14:val="tx1"/>
                        </w14:solidFill>
                      </w14:textFill>
                    </w:rPr>
                    <w:t>24°42′</w:t>
                  </w:r>
                </w:p>
                <w:p>
                  <w:pPr>
                    <w:adjustRightInd w:val="0"/>
                    <w:snapToGrid w:val="0"/>
                    <w:spacing w:line="240" w:lineRule="auto"/>
                    <w:contextualSpacing/>
                    <w:jc w:val="center"/>
                    <w:rPr>
                      <w:snapToGrid w:val="0"/>
                      <w:color w:val="000000" w:themeColor="text1"/>
                      <w:kern w:val="0"/>
                      <w:sz w:val="21"/>
                      <w:szCs w:val="21"/>
                      <w14:textFill>
                        <w14:solidFill>
                          <w14:schemeClr w14:val="tx1"/>
                        </w14:solidFill>
                      </w14:textFill>
                    </w:rPr>
                  </w:pPr>
                  <w:r>
                    <w:rPr>
                      <w:snapToGrid w:val="0"/>
                      <w:color w:val="000000" w:themeColor="text1"/>
                      <w:kern w:val="0"/>
                      <w:sz w:val="21"/>
                      <w:szCs w:val="21"/>
                      <w14:textFill>
                        <w14:solidFill>
                          <w14:schemeClr w14:val="tx1"/>
                        </w14:solidFill>
                      </w14:textFill>
                    </w:rPr>
                    <w:t>58.377″</w:t>
                  </w:r>
                </w:p>
              </w:tc>
              <w:tc>
                <w:tcPr>
                  <w:tcW w:w="63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contextualSpacing/>
                    <w:jc w:val="center"/>
                    <w:rPr>
                      <w:snapToGrid w:val="0"/>
                      <w:color w:val="000000" w:themeColor="text1"/>
                      <w:kern w:val="0"/>
                      <w:sz w:val="21"/>
                      <w:szCs w:val="21"/>
                      <w14:textFill>
                        <w14:solidFill>
                          <w14:schemeClr w14:val="tx1"/>
                        </w14:solidFill>
                      </w14:textFill>
                    </w:rPr>
                  </w:pPr>
                  <w:r>
                    <w:rPr>
                      <w:rFonts w:hint="eastAsia"/>
                      <w:snapToGrid w:val="0"/>
                      <w:color w:val="000000" w:themeColor="text1"/>
                      <w:kern w:val="0"/>
                      <w:sz w:val="21"/>
                      <w:szCs w:val="21"/>
                      <w14:textFill>
                        <w14:solidFill>
                          <w14:schemeClr w14:val="tx1"/>
                        </w14:solidFill>
                      </w14:textFill>
                    </w:rPr>
                    <w:t>1941</w:t>
                  </w:r>
                </w:p>
              </w:tc>
              <w:tc>
                <w:tcPr>
                  <w:tcW w:w="32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contextualSpacing/>
                    <w:jc w:val="center"/>
                    <w:rPr>
                      <w:snapToGrid w:val="0"/>
                      <w:color w:val="000000" w:themeColor="text1"/>
                      <w:kern w:val="0"/>
                      <w:sz w:val="21"/>
                      <w:szCs w:val="21"/>
                      <w14:textFill>
                        <w14:solidFill>
                          <w14:schemeClr w14:val="tx1"/>
                        </w14:solidFill>
                      </w14:textFill>
                    </w:rPr>
                  </w:pPr>
                  <w:r>
                    <w:rPr>
                      <w:rFonts w:hint="eastAsia"/>
                      <w:snapToGrid w:val="0"/>
                      <w:color w:val="000000" w:themeColor="text1"/>
                      <w:kern w:val="0"/>
                      <w:sz w:val="21"/>
                      <w:szCs w:val="21"/>
                      <w14:textFill>
                        <w14:solidFill>
                          <w14:schemeClr w14:val="tx1"/>
                        </w14:solidFill>
                      </w14:textFill>
                    </w:rPr>
                    <w:t>西北</w:t>
                  </w:r>
                </w:p>
              </w:tc>
              <w:tc>
                <w:tcPr>
                  <w:tcW w:w="46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contextualSpacing/>
                    <w:jc w:val="center"/>
                    <w:rPr>
                      <w:snapToGrid w:val="0"/>
                      <w:color w:val="000000" w:themeColor="text1"/>
                      <w:kern w:val="0"/>
                      <w:sz w:val="21"/>
                      <w:szCs w:val="21"/>
                      <w14:textFill>
                        <w14:solidFill>
                          <w14:schemeClr w14:val="tx1"/>
                        </w14:solidFill>
                      </w14:textFill>
                    </w:rPr>
                  </w:pPr>
                  <w:r>
                    <w:rPr>
                      <w:rFonts w:hint="eastAsia"/>
                      <w:snapToGrid w:val="0"/>
                      <w:color w:val="000000" w:themeColor="text1"/>
                      <w:kern w:val="0"/>
                      <w:sz w:val="21"/>
                      <w:szCs w:val="21"/>
                      <w14:textFill>
                        <w14:solidFill>
                          <w14:schemeClr w14:val="tx1"/>
                        </w14:solidFill>
                      </w14:textFill>
                    </w:rPr>
                    <w:t>42</w:t>
                  </w:r>
                </w:p>
              </w:tc>
              <w:tc>
                <w:tcPr>
                  <w:tcW w:w="48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contextualSpacing/>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村民，</w:t>
                  </w:r>
                  <w:r>
                    <w:rPr>
                      <w:rFonts w:hint="eastAsia"/>
                      <w:color w:val="000000" w:themeColor="text1"/>
                      <w:kern w:val="0"/>
                      <w:sz w:val="21"/>
                      <w:szCs w:val="21"/>
                      <w14:textFill>
                        <w14:solidFill>
                          <w14:schemeClr w14:val="tx1"/>
                        </w14:solidFill>
                      </w14:textFill>
                    </w:rPr>
                    <w:t>6户，23</w:t>
                  </w:r>
                  <w:r>
                    <w:rPr>
                      <w:color w:val="000000" w:themeColor="text1"/>
                      <w:kern w:val="0"/>
                      <w:sz w:val="21"/>
                      <w:szCs w:val="21"/>
                      <w14:textFill>
                        <w14:solidFill>
                          <w14:schemeClr w14:val="tx1"/>
                        </w14:solidFill>
                      </w14:textFill>
                    </w:rPr>
                    <w:t>人</w:t>
                  </w:r>
                </w:p>
              </w:tc>
              <w:tc>
                <w:tcPr>
                  <w:tcW w:w="818" w:type="pct"/>
                  <w:vMerge w:val="continue"/>
                  <w:tcBorders>
                    <w:left w:val="single" w:color="auto" w:sz="4" w:space="0"/>
                    <w:right w:val="single" w:color="auto" w:sz="4" w:space="0"/>
                  </w:tcBorders>
                  <w:vAlign w:val="center"/>
                </w:tcPr>
                <w:p>
                  <w:pPr>
                    <w:tabs>
                      <w:tab w:val="center" w:pos="4153"/>
                      <w:tab w:val="right" w:pos="8306"/>
                    </w:tabs>
                    <w:adjustRightInd w:val="0"/>
                    <w:snapToGrid w:val="0"/>
                    <w:spacing w:line="240" w:lineRule="auto"/>
                    <w:contextualSpacing/>
                    <w:jc w:val="center"/>
                    <w:rPr>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pct"/>
                  <w:gridSpan w:val="2"/>
                  <w:tcBorders>
                    <w:left w:val="single" w:color="auto" w:sz="4" w:space="0"/>
                    <w:right w:val="single" w:color="auto" w:sz="4" w:space="0"/>
                  </w:tcBorders>
                  <w:vAlign w:val="center"/>
                </w:tcPr>
                <w:p>
                  <w:pPr>
                    <w:adjustRightInd w:val="0"/>
                    <w:snapToGrid w:val="0"/>
                    <w:spacing w:line="240" w:lineRule="auto"/>
                    <w:contextualSpacing/>
                    <w:jc w:val="center"/>
                    <w:rPr>
                      <w:snapToGrid w:val="0"/>
                      <w:color w:val="000000" w:themeColor="text1"/>
                      <w:kern w:val="0"/>
                      <w:sz w:val="21"/>
                      <w:szCs w:val="21"/>
                      <w14:textFill>
                        <w14:solidFill>
                          <w14:schemeClr w14:val="tx1"/>
                        </w14:solidFill>
                      </w14:textFill>
                    </w:rPr>
                  </w:pPr>
                  <w:r>
                    <w:rPr>
                      <w:rFonts w:hint="eastAsia"/>
                      <w:snapToGrid w:val="0"/>
                      <w:color w:val="000000" w:themeColor="text1"/>
                      <w:kern w:val="0"/>
                      <w:sz w:val="21"/>
                      <w:szCs w:val="21"/>
                      <w14:textFill>
                        <w14:solidFill>
                          <w14:schemeClr w14:val="tx1"/>
                        </w14:solidFill>
                      </w14:textFill>
                    </w:rPr>
                    <w:t>中国前寒武系省级地质自然保护区</w:t>
                  </w:r>
                </w:p>
              </w:tc>
              <w:tc>
                <w:tcPr>
                  <w:tcW w:w="682" w:type="pct"/>
                  <w:tcBorders>
                    <w:top w:val="single" w:color="auto" w:sz="4" w:space="0"/>
                    <w:left w:val="single" w:color="auto" w:sz="4" w:space="0"/>
                    <w:bottom w:val="single" w:color="auto" w:sz="4" w:space="0"/>
                    <w:right w:val="single" w:color="auto" w:sz="4" w:space="0"/>
                  </w:tcBorders>
                  <w:vAlign w:val="center"/>
                </w:tcPr>
                <w:p>
                  <w:pPr>
                    <w:pStyle w:val="24"/>
                    <w:adjustRightInd w:val="0"/>
                    <w:snapToGrid w:val="0"/>
                    <w:spacing w:before="0" w:beforeAutospacing="0" w:after="0" w:afterAutospacing="0" w:line="240" w:lineRule="auto"/>
                    <w:jc w:val="center"/>
                    <w:rPr>
                      <w:rFonts w:ascii="Times New Roman" w:hAnsi="Times New Roman"/>
                      <w:color w:val="000000" w:themeColor="text1"/>
                      <w:sz w:val="21"/>
                      <w:szCs w:val="22"/>
                      <w14:textFill>
                        <w14:solidFill>
                          <w14:schemeClr w14:val="tx1"/>
                        </w14:solidFill>
                      </w14:textFill>
                    </w:rPr>
                  </w:pPr>
                  <w:r>
                    <w:rPr>
                      <w:rFonts w:hint="eastAsia" w:ascii="Times New Roman" w:hAnsi="Times New Roman"/>
                      <w:color w:val="000000" w:themeColor="text1"/>
                      <w:sz w:val="21"/>
                      <w:szCs w:val="22"/>
                      <w14:textFill>
                        <w14:solidFill>
                          <w14:schemeClr w14:val="tx1"/>
                        </w14:solidFill>
                      </w14:textFill>
                    </w:rPr>
                    <w:t>102°33′24.491″</w:t>
                  </w:r>
                </w:p>
              </w:tc>
              <w:tc>
                <w:tcPr>
                  <w:tcW w:w="753"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contextualSpacing/>
                    <w:jc w:val="center"/>
                    <w:rPr>
                      <w:snapToGrid w:val="0"/>
                      <w:color w:val="000000" w:themeColor="text1"/>
                      <w:kern w:val="0"/>
                      <w:sz w:val="21"/>
                      <w:szCs w:val="21"/>
                      <w14:textFill>
                        <w14:solidFill>
                          <w14:schemeClr w14:val="tx1"/>
                        </w14:solidFill>
                      </w14:textFill>
                    </w:rPr>
                  </w:pPr>
                  <w:r>
                    <w:rPr>
                      <w:rFonts w:hint="eastAsia"/>
                      <w:snapToGrid w:val="0"/>
                      <w:color w:val="000000" w:themeColor="text1"/>
                      <w:kern w:val="0"/>
                      <w:sz w:val="21"/>
                      <w:szCs w:val="21"/>
                      <w14:textFill>
                        <w14:solidFill>
                          <w14:schemeClr w14:val="tx1"/>
                        </w14:solidFill>
                      </w14:textFill>
                    </w:rPr>
                    <w:t>24°43′8.594″</w:t>
                  </w:r>
                </w:p>
              </w:tc>
              <w:tc>
                <w:tcPr>
                  <w:tcW w:w="635"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contextualSpacing/>
                    <w:jc w:val="center"/>
                    <w:rPr>
                      <w:snapToGrid w:val="0"/>
                      <w:color w:val="000000" w:themeColor="text1"/>
                      <w:kern w:val="0"/>
                      <w:sz w:val="21"/>
                      <w:szCs w:val="21"/>
                      <w14:textFill>
                        <w14:solidFill>
                          <w14:schemeClr w14:val="tx1"/>
                        </w14:solidFill>
                      </w14:textFill>
                    </w:rPr>
                  </w:pPr>
                  <w:r>
                    <w:rPr>
                      <w:rFonts w:hint="eastAsia"/>
                      <w:snapToGrid w:val="0"/>
                      <w:color w:val="000000" w:themeColor="text1"/>
                      <w:kern w:val="0"/>
                      <w:sz w:val="21"/>
                      <w:szCs w:val="21"/>
                      <w14:textFill>
                        <w14:solidFill>
                          <w14:schemeClr w14:val="tx1"/>
                        </w14:solidFill>
                      </w14:textFill>
                    </w:rPr>
                    <w:t>2062</w:t>
                  </w:r>
                </w:p>
              </w:tc>
              <w:tc>
                <w:tcPr>
                  <w:tcW w:w="327"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contextualSpacing/>
                    <w:jc w:val="center"/>
                    <w:rPr>
                      <w:snapToGrid w:val="0"/>
                      <w:color w:val="000000" w:themeColor="text1"/>
                      <w:kern w:val="0"/>
                      <w:sz w:val="21"/>
                      <w:szCs w:val="21"/>
                      <w14:textFill>
                        <w14:solidFill>
                          <w14:schemeClr w14:val="tx1"/>
                        </w14:solidFill>
                      </w14:textFill>
                    </w:rPr>
                  </w:pPr>
                  <w:r>
                    <w:rPr>
                      <w:rFonts w:hint="eastAsia"/>
                      <w:snapToGrid w:val="0"/>
                      <w:color w:val="000000" w:themeColor="text1"/>
                      <w:kern w:val="0"/>
                      <w:sz w:val="21"/>
                      <w:szCs w:val="21"/>
                      <w14:textFill>
                        <w14:solidFill>
                          <w14:schemeClr w14:val="tx1"/>
                        </w14:solidFill>
                      </w14:textFill>
                    </w:rPr>
                    <w:t>西北</w:t>
                  </w:r>
                </w:p>
              </w:tc>
              <w:tc>
                <w:tcPr>
                  <w:tcW w:w="46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contextualSpacing/>
                    <w:jc w:val="center"/>
                    <w:rPr>
                      <w:snapToGrid w:val="0"/>
                      <w:color w:val="000000" w:themeColor="text1"/>
                      <w:kern w:val="0"/>
                      <w:sz w:val="21"/>
                      <w:szCs w:val="21"/>
                      <w14:textFill>
                        <w14:solidFill>
                          <w14:schemeClr w14:val="tx1"/>
                        </w14:solidFill>
                      </w14:textFill>
                    </w:rPr>
                  </w:pPr>
                  <w:r>
                    <w:rPr>
                      <w:rFonts w:hint="eastAsia"/>
                      <w:snapToGrid w:val="0"/>
                      <w:color w:val="000000" w:themeColor="text1"/>
                      <w:kern w:val="0"/>
                      <w:sz w:val="21"/>
                      <w:szCs w:val="21"/>
                      <w14:textFill>
                        <w14:solidFill>
                          <w14:schemeClr w14:val="tx1"/>
                        </w14:solidFill>
                      </w14:textFill>
                    </w:rPr>
                    <w:t>1667</w:t>
                  </w:r>
                </w:p>
              </w:tc>
              <w:tc>
                <w:tcPr>
                  <w:tcW w:w="487" w:type="pct"/>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spacing w:line="240" w:lineRule="auto"/>
                    <w:contextualSpacing/>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w:t>
                  </w:r>
                </w:p>
              </w:tc>
              <w:tc>
                <w:tcPr>
                  <w:tcW w:w="818" w:type="pct"/>
                  <w:tcBorders>
                    <w:left w:val="single" w:color="auto" w:sz="4" w:space="0"/>
                    <w:right w:val="single" w:color="auto" w:sz="4" w:space="0"/>
                  </w:tcBorders>
                  <w:vAlign w:val="center"/>
                </w:tcPr>
                <w:p>
                  <w:pPr>
                    <w:tabs>
                      <w:tab w:val="center" w:pos="4153"/>
                      <w:tab w:val="right" w:pos="8306"/>
                    </w:tabs>
                    <w:adjustRightInd w:val="0"/>
                    <w:snapToGrid w:val="0"/>
                    <w:spacing w:line="240" w:lineRule="auto"/>
                    <w:contextualSpacing/>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9"/>
                  <w:tcBorders>
                    <w:left w:val="single" w:color="auto" w:sz="4" w:space="0"/>
                    <w:right w:val="single" w:color="auto" w:sz="4" w:space="0"/>
                  </w:tcBorders>
                  <w:vAlign w:val="center"/>
                </w:tcPr>
                <w:p>
                  <w:pPr>
                    <w:tabs>
                      <w:tab w:val="center" w:pos="4153"/>
                      <w:tab w:val="right" w:pos="8306"/>
                    </w:tabs>
                    <w:adjustRightInd w:val="0"/>
                    <w:snapToGrid w:val="0"/>
                    <w:spacing w:line="240" w:lineRule="auto"/>
                    <w:contextualSpacing/>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注：保护对象及人数仅计算各环境要素评价范围内人数。</w:t>
                  </w:r>
                </w:p>
              </w:tc>
            </w:tr>
          </w:tbl>
          <w:p>
            <w:pPr>
              <w:pStyle w:val="13"/>
              <w:spacing w:after="0"/>
              <w:ind w:left="0" w:leftChars="0" w:firstLine="480" w:firstLineChars="200"/>
              <w:rPr>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tcMar>
              <w:left w:w="28" w:type="dxa"/>
              <w:right w:w="28" w:type="dxa"/>
            </w:tcMar>
            <w:vAlign w:val="center"/>
          </w:tcPr>
          <w:p>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污染</w:t>
            </w:r>
          </w:p>
          <w:p>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物排</w:t>
            </w:r>
          </w:p>
          <w:p>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放控</w:t>
            </w:r>
          </w:p>
          <w:p>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制标</w:t>
            </w:r>
          </w:p>
          <w:p>
            <w:pPr>
              <w:adjustRightInd w:val="0"/>
              <w:snapToGrid w:val="0"/>
              <w:jc w:val="center"/>
              <w:rPr>
                <w:color w:val="000000" w:themeColor="text1"/>
                <w:kern w:val="0"/>
                <w:szCs w:val="21"/>
                <w14:textFill>
                  <w14:solidFill>
                    <w14:schemeClr w14:val="tx1"/>
                  </w14:solidFill>
                </w14:textFill>
              </w:rPr>
            </w:pPr>
            <w:r>
              <w:rPr>
                <w:color w:val="000000" w:themeColor="text1"/>
                <w:kern w:val="0"/>
                <w14:textFill>
                  <w14:solidFill>
                    <w14:schemeClr w14:val="tx1"/>
                  </w14:solidFill>
                </w14:textFill>
              </w:rPr>
              <w:t>准</w:t>
            </w:r>
          </w:p>
        </w:tc>
        <w:tc>
          <w:tcPr>
            <w:tcW w:w="8190" w:type="dxa"/>
            <w:vAlign w:val="center"/>
          </w:tcPr>
          <w:p>
            <w:pPr>
              <w:rPr>
                <w:b/>
                <w:color w:val="000000" w:themeColor="text1"/>
                <w:kern w:val="0"/>
                <w:lang w:val="zh-CN"/>
                <w14:textFill>
                  <w14:solidFill>
                    <w14:schemeClr w14:val="tx1"/>
                  </w14:solidFill>
                </w14:textFill>
              </w:rPr>
            </w:pPr>
            <w:r>
              <w:rPr>
                <w:b/>
                <w:color w:val="000000" w:themeColor="text1"/>
                <w:kern w:val="0"/>
                <w:lang w:val="zh-CN"/>
                <w14:textFill>
                  <w14:solidFill>
                    <w14:schemeClr w14:val="tx1"/>
                  </w14:solidFill>
                </w14:textFill>
              </w:rPr>
              <w:t>施工期</w:t>
            </w:r>
            <w:r>
              <w:rPr>
                <w:b/>
                <w:color w:val="000000" w:themeColor="text1"/>
                <w:kern w:val="0"/>
                <w14:textFill>
                  <w14:solidFill>
                    <w14:schemeClr w14:val="tx1"/>
                  </w14:solidFill>
                </w14:textFill>
              </w:rPr>
              <w:t>污染物排放标准：</w:t>
            </w:r>
          </w:p>
          <w:p>
            <w:pPr>
              <w:ind w:firstLine="482" w:firstLineChars="200"/>
              <w:rPr>
                <w:b/>
                <w:color w:val="000000" w:themeColor="text1"/>
                <w:kern w:val="0"/>
                <w14:textFill>
                  <w14:solidFill>
                    <w14:schemeClr w14:val="tx1"/>
                  </w14:solidFill>
                </w14:textFill>
              </w:rPr>
            </w:pPr>
            <w:r>
              <w:rPr>
                <w:b/>
                <w:color w:val="000000" w:themeColor="text1"/>
                <w:kern w:val="0"/>
                <w14:textFill>
                  <w14:solidFill>
                    <w14:schemeClr w14:val="tx1"/>
                  </w14:solidFill>
                </w14:textFill>
              </w:rPr>
              <w:t>1、大气污染物排放标准</w:t>
            </w:r>
          </w:p>
          <w:p>
            <w:pPr>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施工期粉尘排放执行《大气污染物综合排放标准》（GB16297-1996）中的二级标准，即周界外无组织最大浓度为1.0mg/m</w:t>
            </w:r>
            <w:r>
              <w:rPr>
                <w:color w:val="000000" w:themeColor="text1"/>
                <w:kern w:val="0"/>
                <w:vertAlign w:val="superscript"/>
                <w14:textFill>
                  <w14:solidFill>
                    <w14:schemeClr w14:val="tx1"/>
                  </w14:solidFill>
                </w14:textFill>
              </w:rPr>
              <w:t>3</w:t>
            </w:r>
            <w:r>
              <w:rPr>
                <w:color w:val="000000" w:themeColor="text1"/>
                <w:kern w:val="0"/>
                <w14:textFill>
                  <w14:solidFill>
                    <w14:schemeClr w14:val="tx1"/>
                  </w14:solidFill>
                </w14:textFill>
              </w:rPr>
              <w:t>。</w:t>
            </w:r>
          </w:p>
          <w:p>
            <w:pPr>
              <w:ind w:firstLine="482" w:firstLineChars="200"/>
              <w:rPr>
                <w:b/>
                <w:color w:val="000000" w:themeColor="text1"/>
                <w:kern w:val="0"/>
                <w14:textFill>
                  <w14:solidFill>
                    <w14:schemeClr w14:val="tx1"/>
                  </w14:solidFill>
                </w14:textFill>
              </w:rPr>
            </w:pPr>
            <w:r>
              <w:rPr>
                <w:b/>
                <w:color w:val="000000" w:themeColor="text1"/>
                <w:kern w:val="0"/>
                <w14:textFill>
                  <w14:solidFill>
                    <w14:schemeClr w14:val="tx1"/>
                  </w14:solidFill>
                </w14:textFill>
              </w:rPr>
              <w:t>2、</w:t>
            </w:r>
            <w:bookmarkStart w:id="18" w:name="_Toc7851"/>
            <w:r>
              <w:rPr>
                <w:b/>
                <w:color w:val="000000" w:themeColor="text1"/>
                <w:kern w:val="0"/>
                <w14:textFill>
                  <w14:solidFill>
                    <w14:schemeClr w14:val="tx1"/>
                  </w14:solidFill>
                </w14:textFill>
              </w:rPr>
              <w:t>噪声</w:t>
            </w:r>
            <w:bookmarkEnd w:id="18"/>
            <w:r>
              <w:rPr>
                <w:b/>
                <w:color w:val="000000" w:themeColor="text1"/>
                <w:kern w:val="0"/>
                <w14:textFill>
                  <w14:solidFill>
                    <w14:schemeClr w14:val="tx1"/>
                  </w14:solidFill>
                </w14:textFill>
              </w:rPr>
              <w:t>排放标准</w:t>
            </w:r>
          </w:p>
          <w:p>
            <w:pPr>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项目施工期噪声排放执行《建筑施工场界环境噪声排放标准》（GB12523-2011），标准限值见表3-</w:t>
            </w:r>
            <w:r>
              <w:rPr>
                <w:rFonts w:hint="eastAsia"/>
                <w:color w:val="000000" w:themeColor="text1"/>
                <w:kern w:val="0"/>
                <w14:textFill>
                  <w14:solidFill>
                    <w14:schemeClr w14:val="tx1"/>
                  </w14:solidFill>
                </w14:textFill>
              </w:rPr>
              <w:t>3</w:t>
            </w:r>
            <w:r>
              <w:rPr>
                <w:color w:val="000000" w:themeColor="text1"/>
                <w:kern w:val="0"/>
                <w14:textFill>
                  <w14:solidFill>
                    <w14:schemeClr w14:val="tx1"/>
                  </w14:solidFill>
                </w14:textFill>
              </w:rPr>
              <w:t>。</w:t>
            </w:r>
          </w:p>
          <w:p>
            <w:pPr>
              <w:spacing w:line="240" w:lineRule="auto"/>
              <w:jc w:val="center"/>
              <w:rPr>
                <w:b/>
                <w:color w:val="000000" w:themeColor="text1"/>
                <w:kern w:val="0"/>
                <w14:textFill>
                  <w14:solidFill>
                    <w14:schemeClr w14:val="tx1"/>
                  </w14:solidFill>
                </w14:textFill>
              </w:rPr>
            </w:pPr>
            <w:r>
              <w:rPr>
                <w:b/>
                <w:color w:val="000000" w:themeColor="text1"/>
                <w:kern w:val="0"/>
                <w14:textFill>
                  <w14:solidFill>
                    <w14:schemeClr w14:val="tx1"/>
                  </w14:solidFill>
                </w14:textFill>
              </w:rPr>
              <w:t>表3-</w:t>
            </w:r>
            <w:r>
              <w:rPr>
                <w:rFonts w:hint="eastAsia"/>
                <w:b/>
                <w:color w:val="000000" w:themeColor="text1"/>
                <w:kern w:val="0"/>
                <w14:textFill>
                  <w14:solidFill>
                    <w14:schemeClr w14:val="tx1"/>
                  </w14:solidFill>
                </w14:textFill>
              </w:rPr>
              <w:t>3</w:t>
            </w:r>
            <w:r>
              <w:rPr>
                <w:b/>
                <w:color w:val="000000" w:themeColor="text1"/>
                <w:kern w:val="0"/>
                <w14:textFill>
                  <w14:solidFill>
                    <w14:schemeClr w14:val="tx1"/>
                  </w14:solidFill>
                </w14:textFill>
              </w:rPr>
              <w:t xml:space="preserve">  建筑施工场界环境噪声排放限值  单位：dB（A）</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89"/>
              <w:gridCol w:w="2698"/>
              <w:gridCol w:w="2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78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时段</w:t>
                  </w:r>
                </w:p>
              </w:tc>
              <w:tc>
                <w:tcPr>
                  <w:tcW w:w="160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昼间</w:t>
                  </w:r>
                </w:p>
              </w:tc>
              <w:tc>
                <w:tcPr>
                  <w:tcW w:w="160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jc w:val="center"/>
              </w:trPr>
              <w:tc>
                <w:tcPr>
                  <w:tcW w:w="1782"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标准限值dB（A）</w:t>
                  </w:r>
                </w:p>
              </w:tc>
              <w:tc>
                <w:tcPr>
                  <w:tcW w:w="1608"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70</w:t>
                  </w:r>
                </w:p>
              </w:tc>
              <w:tc>
                <w:tcPr>
                  <w:tcW w:w="1609" w:type="pct"/>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55</w:t>
                  </w:r>
                </w:p>
              </w:tc>
            </w:tr>
          </w:tbl>
          <w:p>
            <w:pPr>
              <w:ind w:firstLine="482" w:firstLineChars="200"/>
              <w:rPr>
                <w:b/>
                <w:color w:val="000000" w:themeColor="text1"/>
                <w:kern w:val="0"/>
                <w14:textFill>
                  <w14:solidFill>
                    <w14:schemeClr w14:val="tx1"/>
                  </w14:solidFill>
                </w14:textFill>
              </w:rPr>
            </w:pPr>
            <w:r>
              <w:rPr>
                <w:b/>
                <w:color w:val="000000" w:themeColor="text1"/>
                <w:kern w:val="0"/>
                <w14:textFill>
                  <w14:solidFill>
                    <w14:schemeClr w14:val="tx1"/>
                  </w14:solidFill>
                </w14:textFill>
              </w:rPr>
              <w:t>3、废水</w:t>
            </w:r>
          </w:p>
          <w:p>
            <w:pPr>
              <w:ind w:firstLine="480" w:firstLineChars="200"/>
              <w:rPr>
                <w:color w:val="000000" w:themeColor="text1"/>
                <w14:textFill>
                  <w14:solidFill>
                    <w14:schemeClr w14:val="tx1"/>
                  </w14:solidFill>
                </w14:textFill>
              </w:rPr>
            </w:pPr>
            <w:r>
              <w:rPr>
                <w:color w:val="000000" w:themeColor="text1"/>
                <w:kern w:val="0"/>
                <w14:textFill>
                  <w14:solidFill>
                    <w14:schemeClr w14:val="tx1"/>
                  </w14:solidFill>
                </w14:textFill>
              </w:rPr>
              <w:t>项目施工期产生的废水均为生活废水，依托园区内现有污水设施，排入园区污水管网，</w:t>
            </w:r>
            <w:r>
              <w:rPr>
                <w:rFonts w:hint="eastAsia"/>
                <w:color w:val="000000" w:themeColor="text1"/>
                <w:kern w:val="0"/>
                <w14:textFill>
                  <w14:solidFill>
                    <w14:schemeClr w14:val="tx1"/>
                  </w14:solidFill>
                </w14:textFill>
              </w:rPr>
              <w:t>最终进入环湖西岸污水处理厂处理，外排废水执行《污水排入城镇下水道水质标准》（GB/T31962-2015）表1（A）等级标准。</w:t>
            </w:r>
          </w:p>
          <w:p>
            <w:pPr>
              <w:snapToGrid w:val="0"/>
              <w:rPr>
                <w:b/>
                <w:color w:val="000000" w:themeColor="text1"/>
                <w:kern w:val="0"/>
                <w:lang w:val="zh-CN"/>
                <w14:textFill>
                  <w14:solidFill>
                    <w14:schemeClr w14:val="tx1"/>
                  </w14:solidFill>
                </w14:textFill>
              </w:rPr>
            </w:pPr>
            <w:r>
              <w:rPr>
                <w:b/>
                <w:color w:val="000000" w:themeColor="text1"/>
                <w:kern w:val="0"/>
                <w:lang w:val="zh-CN"/>
                <w14:textFill>
                  <w14:solidFill>
                    <w14:schemeClr w14:val="tx1"/>
                  </w14:solidFill>
                </w14:textFill>
              </w:rPr>
              <w:t>运营期</w:t>
            </w:r>
            <w:r>
              <w:rPr>
                <w:b/>
                <w:color w:val="000000" w:themeColor="text1"/>
                <w:kern w:val="0"/>
                <w14:textFill>
                  <w14:solidFill>
                    <w14:schemeClr w14:val="tx1"/>
                  </w14:solidFill>
                </w14:textFill>
              </w:rPr>
              <w:t>污染物排放标准：</w:t>
            </w:r>
          </w:p>
          <w:p>
            <w:pPr>
              <w:snapToGrid w:val="0"/>
              <w:ind w:firstLine="482" w:firstLineChars="200"/>
              <w:rPr>
                <w:b/>
                <w:color w:val="000000" w:themeColor="text1"/>
                <w:kern w:val="0"/>
                <w14:textFill>
                  <w14:solidFill>
                    <w14:schemeClr w14:val="tx1"/>
                  </w14:solidFill>
                </w14:textFill>
              </w:rPr>
            </w:pPr>
            <w:r>
              <w:rPr>
                <w:b/>
                <w:color w:val="000000" w:themeColor="text1"/>
                <w:kern w:val="0"/>
                <w14:textFill>
                  <w14:solidFill>
                    <w14:schemeClr w14:val="tx1"/>
                  </w14:solidFill>
                </w14:textFill>
              </w:rPr>
              <w:t>1、大气污染物排放标准</w:t>
            </w:r>
          </w:p>
          <w:p>
            <w:pPr>
              <w:adjustRightInd w:val="0"/>
              <w:snapToGrid w:val="0"/>
              <w:ind w:firstLine="480" w:firstLineChars="20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烟（粉）尘（以颗粒物计）呈无组织排放，执行《大气污染物综合排放标准》（GB16297-1996）</w:t>
            </w:r>
            <w:r>
              <w:rPr>
                <w:color w:val="000000" w:themeColor="text1"/>
                <w:kern w:val="0"/>
                <w14:textFill>
                  <w14:solidFill>
                    <w14:schemeClr w14:val="tx1"/>
                  </w14:solidFill>
                </w14:textFill>
              </w:rPr>
              <w:t>表2中无组织排放标准限值要求</w:t>
            </w:r>
            <w:r>
              <w:rPr>
                <w:rFonts w:hint="eastAsia"/>
                <w:color w:val="000000" w:themeColor="text1"/>
                <w:kern w:val="0"/>
                <w14:textFill>
                  <w14:solidFill>
                    <w14:schemeClr w14:val="tx1"/>
                  </w14:solidFill>
                </w14:textFill>
              </w:rPr>
              <w:t>；喷漆产生的漆雾（以颗粒物计）和挥发性有机物分为</w:t>
            </w:r>
            <w:r>
              <w:rPr>
                <w:color w:val="000000" w:themeColor="text1"/>
                <w:kern w:val="0"/>
                <w14:textFill>
                  <w14:solidFill>
                    <w14:schemeClr w14:val="tx1"/>
                  </w14:solidFill>
                </w14:textFill>
              </w:rPr>
              <w:t>有组织</w:t>
            </w:r>
            <w:r>
              <w:rPr>
                <w:rFonts w:hint="eastAsia"/>
                <w:color w:val="000000" w:themeColor="text1"/>
                <w:kern w:val="0"/>
                <w14:textFill>
                  <w14:solidFill>
                    <w14:schemeClr w14:val="tx1"/>
                  </w14:solidFill>
                </w14:textFill>
              </w:rPr>
              <w:t>和无组织两种排放方式，</w:t>
            </w:r>
            <w:r>
              <w:rPr>
                <w:color w:val="000000" w:themeColor="text1"/>
                <w:kern w:val="0"/>
                <w14:textFill>
                  <w14:solidFill>
                    <w14:schemeClr w14:val="tx1"/>
                  </w14:solidFill>
                </w14:textFill>
              </w:rPr>
              <w:t>执行《大气污染物综合排放标准》（GB16297-1996）表2中</w:t>
            </w:r>
            <w:r>
              <w:rPr>
                <w:rFonts w:hint="eastAsia"/>
                <w:color w:val="000000" w:themeColor="text1"/>
                <w:kern w:val="0"/>
                <w14:textFill>
                  <w14:solidFill>
                    <w14:schemeClr w14:val="tx1"/>
                  </w14:solidFill>
                </w14:textFill>
              </w:rPr>
              <w:t>有组织和</w:t>
            </w:r>
            <w:r>
              <w:rPr>
                <w:color w:val="000000" w:themeColor="text1"/>
                <w:kern w:val="0"/>
                <w14:textFill>
                  <w14:solidFill>
                    <w14:schemeClr w14:val="tx1"/>
                  </w14:solidFill>
                </w14:textFill>
              </w:rPr>
              <w:t>无组织排放标准限值要求</w:t>
            </w:r>
            <w:r>
              <w:rPr>
                <w:rFonts w:hint="eastAsia"/>
                <w:color w:val="000000" w:themeColor="text1"/>
                <w:kern w:val="0"/>
                <w14:textFill>
                  <w14:solidFill>
                    <w14:schemeClr w14:val="tx1"/>
                  </w14:solidFill>
                </w14:textFill>
              </w:rPr>
              <w:t>。项目厂区内挥发性有机物无组织排放执行《挥发性有机物无组织排放控制标准》（GB37822-2019）附录A中表A.1限值要求。各排放标准详见表3-4、3-5、3-6、3-7。</w:t>
            </w:r>
          </w:p>
          <w:p>
            <w:pPr>
              <w:spacing w:line="240" w:lineRule="auto"/>
              <w:jc w:val="center"/>
              <w:rPr>
                <w:b/>
                <w:color w:val="000000" w:themeColor="text1"/>
                <w:kern w:val="0"/>
                <w14:textFill>
                  <w14:solidFill>
                    <w14:schemeClr w14:val="tx1"/>
                  </w14:solidFill>
                </w14:textFill>
              </w:rPr>
            </w:pPr>
            <w:r>
              <w:rPr>
                <w:b/>
                <w:color w:val="000000" w:themeColor="text1"/>
                <w:kern w:val="0"/>
                <w14:textFill>
                  <w14:solidFill>
                    <w14:schemeClr w14:val="tx1"/>
                  </w14:solidFill>
                </w14:textFill>
              </w:rPr>
              <w:t>表3-</w:t>
            </w:r>
            <w:r>
              <w:rPr>
                <w:rFonts w:hint="eastAsia"/>
                <w:b/>
                <w:color w:val="000000" w:themeColor="text1"/>
                <w:kern w:val="0"/>
                <w14:textFill>
                  <w14:solidFill>
                    <w14:schemeClr w14:val="tx1"/>
                  </w14:solidFill>
                </w14:textFill>
              </w:rPr>
              <w:t>4</w:t>
            </w:r>
            <w:r>
              <w:rPr>
                <w:b/>
                <w:color w:val="000000" w:themeColor="text1"/>
                <w:kern w:val="0"/>
                <w14:textFill>
                  <w14:solidFill>
                    <w14:schemeClr w14:val="tx1"/>
                  </w14:solidFill>
                </w14:textFill>
              </w:rPr>
              <w:t xml:space="preserve">  大气污染物综合排放标准</w:t>
            </w:r>
          </w:p>
          <w:tbl>
            <w:tblPr>
              <w:tblStyle w:val="2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69"/>
              <w:gridCol w:w="2555"/>
              <w:gridCol w:w="2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830" w:type="pct"/>
                  <w:vMerge w:val="restart"/>
                  <w:vAlign w:val="center"/>
                </w:tcPr>
                <w:p>
                  <w:pPr>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污染物名称</w:t>
                  </w:r>
                </w:p>
              </w:tc>
              <w:tc>
                <w:tcPr>
                  <w:tcW w:w="3169" w:type="pct"/>
                  <w:gridSpan w:val="2"/>
                  <w:vAlign w:val="center"/>
                </w:tcPr>
                <w:p>
                  <w:pPr>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无组织排放浓度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30" w:type="pct"/>
                  <w:vMerge w:val="continue"/>
                  <w:vAlign w:val="center"/>
                </w:tcPr>
                <w:p>
                  <w:pPr>
                    <w:spacing w:line="240" w:lineRule="auto"/>
                    <w:jc w:val="center"/>
                    <w:rPr>
                      <w:b/>
                      <w:bCs/>
                      <w:color w:val="000000" w:themeColor="text1"/>
                      <w:kern w:val="0"/>
                      <w:sz w:val="21"/>
                      <w:szCs w:val="21"/>
                      <w14:textFill>
                        <w14:solidFill>
                          <w14:schemeClr w14:val="tx1"/>
                        </w14:solidFill>
                      </w14:textFill>
                    </w:rPr>
                  </w:pPr>
                </w:p>
              </w:tc>
              <w:tc>
                <w:tcPr>
                  <w:tcW w:w="1523" w:type="pct"/>
                  <w:vAlign w:val="center"/>
                </w:tcPr>
                <w:p>
                  <w:pPr>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监控点</w:t>
                  </w:r>
                </w:p>
              </w:tc>
              <w:tc>
                <w:tcPr>
                  <w:tcW w:w="1645" w:type="pct"/>
                  <w:vAlign w:val="center"/>
                </w:tcPr>
                <w:p>
                  <w:pPr>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浓度（mg/m</w:t>
                  </w:r>
                  <w:r>
                    <w:rPr>
                      <w:b/>
                      <w:bCs/>
                      <w:color w:val="000000" w:themeColor="text1"/>
                      <w:kern w:val="0"/>
                      <w:sz w:val="21"/>
                      <w:szCs w:val="21"/>
                      <w:vertAlign w:val="superscript"/>
                      <w14:textFill>
                        <w14:solidFill>
                          <w14:schemeClr w14:val="tx1"/>
                        </w14:solidFill>
                      </w14:textFill>
                    </w:rPr>
                    <w:t>3</w:t>
                  </w:r>
                  <w:r>
                    <w:rPr>
                      <w:b/>
                      <w:bCs/>
                      <w:color w:val="000000" w:themeColor="text1"/>
                      <w:kern w:val="0"/>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830" w:type="pct"/>
                  <w:vAlign w:val="center"/>
                </w:tcPr>
                <w:p>
                  <w:pPr>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颗粒物</w:t>
                  </w:r>
                </w:p>
              </w:tc>
              <w:tc>
                <w:tcPr>
                  <w:tcW w:w="1523" w:type="pct"/>
                  <w:vMerge w:val="restart"/>
                  <w:vAlign w:val="center"/>
                </w:tcPr>
                <w:p>
                  <w:pPr>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周界外浓度最高点</w:t>
                  </w:r>
                </w:p>
              </w:tc>
              <w:tc>
                <w:tcPr>
                  <w:tcW w:w="1645" w:type="pct"/>
                  <w:vAlign w:val="center"/>
                </w:tcPr>
                <w:p>
                  <w:pPr>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30" w:type="pct"/>
                  <w:vAlign w:val="center"/>
                </w:tcPr>
                <w:p>
                  <w:pPr>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非甲烷总烃</w:t>
                  </w:r>
                </w:p>
              </w:tc>
              <w:tc>
                <w:tcPr>
                  <w:tcW w:w="1523" w:type="pct"/>
                  <w:vMerge w:val="continue"/>
                  <w:vAlign w:val="center"/>
                </w:tcPr>
                <w:p>
                  <w:pPr>
                    <w:spacing w:line="240" w:lineRule="auto"/>
                    <w:jc w:val="center"/>
                    <w:rPr>
                      <w:color w:val="000000" w:themeColor="text1"/>
                      <w:kern w:val="0"/>
                      <w:sz w:val="21"/>
                      <w:szCs w:val="21"/>
                      <w14:textFill>
                        <w14:solidFill>
                          <w14:schemeClr w14:val="tx1"/>
                        </w14:solidFill>
                      </w14:textFill>
                    </w:rPr>
                  </w:pPr>
                </w:p>
              </w:tc>
              <w:tc>
                <w:tcPr>
                  <w:tcW w:w="1645" w:type="pct"/>
                  <w:vAlign w:val="center"/>
                </w:tcPr>
                <w:p>
                  <w:pPr>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4.0</w:t>
                  </w:r>
                </w:p>
              </w:tc>
            </w:tr>
          </w:tbl>
          <w:p>
            <w:pPr>
              <w:spacing w:line="240" w:lineRule="auto"/>
              <w:jc w:val="center"/>
              <w:rPr>
                <w:b/>
                <w:color w:val="000000" w:themeColor="text1"/>
                <w:kern w:val="0"/>
                <w14:textFill>
                  <w14:solidFill>
                    <w14:schemeClr w14:val="tx1"/>
                  </w14:solidFill>
                </w14:textFill>
              </w:rPr>
            </w:pPr>
            <w:r>
              <w:rPr>
                <w:rFonts w:hint="eastAsia"/>
                <w:b/>
                <w:color w:val="000000" w:themeColor="text1"/>
                <w:kern w:val="0"/>
                <w14:textFill>
                  <w14:solidFill>
                    <w14:schemeClr w14:val="tx1"/>
                  </w14:solidFill>
                </w14:textFill>
              </w:rPr>
              <w:t>表3-5 挥发性有机物无组织排放控制标准（mg/m³）</w:t>
            </w:r>
          </w:p>
          <w:tbl>
            <w:tblPr>
              <w:tblStyle w:val="2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2"/>
              <w:gridCol w:w="1387"/>
              <w:gridCol w:w="3117"/>
              <w:gridCol w:w="2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63" w:type="pct"/>
                  <w:vAlign w:val="center"/>
                </w:tcPr>
                <w:p>
                  <w:pPr>
                    <w:pStyle w:val="11"/>
                    <w:adjustRightInd w:val="0"/>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污染物</w:t>
                  </w:r>
                </w:p>
              </w:tc>
              <w:tc>
                <w:tcPr>
                  <w:tcW w:w="827" w:type="pct"/>
                  <w:vAlign w:val="center"/>
                </w:tcPr>
                <w:p>
                  <w:pPr>
                    <w:pStyle w:val="11"/>
                    <w:adjustRightInd w:val="0"/>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排放限制</w:t>
                  </w:r>
                </w:p>
              </w:tc>
              <w:tc>
                <w:tcPr>
                  <w:tcW w:w="1858" w:type="pct"/>
                  <w:vAlign w:val="center"/>
                </w:tcPr>
                <w:p>
                  <w:pPr>
                    <w:pStyle w:val="11"/>
                    <w:adjustRightInd w:val="0"/>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限值含义</w:t>
                  </w:r>
                </w:p>
              </w:tc>
              <w:tc>
                <w:tcPr>
                  <w:tcW w:w="1650" w:type="pct"/>
                  <w:vAlign w:val="center"/>
                </w:tcPr>
                <w:p>
                  <w:pPr>
                    <w:pStyle w:val="11"/>
                    <w:adjustRightInd w:val="0"/>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pct"/>
                  <w:vMerge w:val="restart"/>
                  <w:vAlign w:val="center"/>
                </w:tcPr>
                <w:p>
                  <w:pPr>
                    <w:pStyle w:val="11"/>
                    <w:adjustRightInd w:val="0"/>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NMHC</w:t>
                  </w:r>
                </w:p>
              </w:tc>
              <w:tc>
                <w:tcPr>
                  <w:tcW w:w="827" w:type="pct"/>
                  <w:vAlign w:val="center"/>
                </w:tcPr>
                <w:p>
                  <w:pPr>
                    <w:pStyle w:val="11"/>
                    <w:adjustRightInd w:val="0"/>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w:t>
                  </w:r>
                </w:p>
              </w:tc>
              <w:tc>
                <w:tcPr>
                  <w:tcW w:w="1858" w:type="pct"/>
                  <w:vAlign w:val="center"/>
                </w:tcPr>
                <w:p>
                  <w:pPr>
                    <w:pStyle w:val="11"/>
                    <w:adjustRightInd w:val="0"/>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监控点处1h平均浓度值</w:t>
                  </w:r>
                </w:p>
              </w:tc>
              <w:tc>
                <w:tcPr>
                  <w:tcW w:w="1650" w:type="pct"/>
                  <w:vMerge w:val="restart"/>
                  <w:vAlign w:val="center"/>
                </w:tcPr>
                <w:p>
                  <w:pPr>
                    <w:pStyle w:val="11"/>
                    <w:adjustRightInd w:val="0"/>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在厂房外设置监控点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pct"/>
                  <w:vMerge w:val="continue"/>
                  <w:vAlign w:val="center"/>
                </w:tcPr>
                <w:p>
                  <w:pPr>
                    <w:pStyle w:val="11"/>
                    <w:adjustRightInd w:val="0"/>
                    <w:spacing w:before="0" w:after="0" w:line="240" w:lineRule="auto"/>
                    <w:ind w:right="0"/>
                    <w:jc w:val="center"/>
                    <w:rPr>
                      <w:color w:val="000000" w:themeColor="text1"/>
                      <w:sz w:val="21"/>
                      <w:szCs w:val="21"/>
                      <w14:textFill>
                        <w14:solidFill>
                          <w14:schemeClr w14:val="tx1"/>
                        </w14:solidFill>
                      </w14:textFill>
                    </w:rPr>
                  </w:pPr>
                </w:p>
              </w:tc>
              <w:tc>
                <w:tcPr>
                  <w:tcW w:w="827" w:type="pct"/>
                  <w:vAlign w:val="center"/>
                </w:tcPr>
                <w:p>
                  <w:pPr>
                    <w:pStyle w:val="11"/>
                    <w:adjustRightInd w:val="0"/>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30</w:t>
                  </w:r>
                </w:p>
              </w:tc>
              <w:tc>
                <w:tcPr>
                  <w:tcW w:w="1858" w:type="pct"/>
                  <w:vAlign w:val="center"/>
                </w:tcPr>
                <w:p>
                  <w:pPr>
                    <w:pStyle w:val="11"/>
                    <w:adjustRightInd w:val="0"/>
                    <w:spacing w:before="0" w:after="0" w:line="240" w:lineRule="auto"/>
                    <w:ind w:right="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监控点处任意一次浓度值</w:t>
                  </w:r>
                </w:p>
              </w:tc>
              <w:tc>
                <w:tcPr>
                  <w:tcW w:w="1650" w:type="pct"/>
                  <w:vMerge w:val="continue"/>
                  <w:vAlign w:val="center"/>
                </w:tcPr>
                <w:p>
                  <w:pPr>
                    <w:pStyle w:val="11"/>
                    <w:adjustRightInd w:val="0"/>
                    <w:spacing w:before="0" w:after="0" w:line="240" w:lineRule="auto"/>
                    <w:ind w:right="0"/>
                    <w:jc w:val="center"/>
                    <w:rPr>
                      <w:color w:val="000000" w:themeColor="text1"/>
                      <w:sz w:val="21"/>
                      <w:szCs w:val="21"/>
                      <w14:textFill>
                        <w14:solidFill>
                          <w14:schemeClr w14:val="tx1"/>
                        </w14:solidFill>
                      </w14:textFill>
                    </w:rPr>
                  </w:pPr>
                </w:p>
              </w:tc>
            </w:tr>
          </w:tbl>
          <w:p>
            <w:pPr>
              <w:spacing w:line="240" w:lineRule="auto"/>
              <w:jc w:val="center"/>
              <w:rPr>
                <w:b/>
                <w:color w:val="000000" w:themeColor="text1"/>
                <w:kern w:val="0"/>
                <w14:textFill>
                  <w14:solidFill>
                    <w14:schemeClr w14:val="tx1"/>
                  </w14:solidFill>
                </w14:textFill>
              </w:rPr>
            </w:pPr>
            <w:r>
              <w:rPr>
                <w:b/>
                <w:color w:val="000000" w:themeColor="text1"/>
                <w:kern w:val="0"/>
                <w14:textFill>
                  <w14:solidFill>
                    <w14:schemeClr w14:val="tx1"/>
                  </w14:solidFill>
                </w14:textFill>
              </w:rPr>
              <w:t>表3-</w:t>
            </w:r>
            <w:r>
              <w:rPr>
                <w:rFonts w:hint="eastAsia"/>
                <w:b/>
                <w:color w:val="000000" w:themeColor="text1"/>
                <w:kern w:val="0"/>
                <w14:textFill>
                  <w14:solidFill>
                    <w14:schemeClr w14:val="tx1"/>
                  </w14:solidFill>
                </w14:textFill>
              </w:rPr>
              <w:t xml:space="preserve">6 </w:t>
            </w:r>
            <w:r>
              <w:rPr>
                <w:b/>
                <w:color w:val="000000" w:themeColor="text1"/>
                <w:kern w:val="0"/>
                <w14:textFill>
                  <w14:solidFill>
                    <w14:schemeClr w14:val="tx1"/>
                  </w14:solidFill>
                </w14:textFill>
              </w:rPr>
              <w:t xml:space="preserve"> 大气污染物综合排放标准</w:t>
            </w:r>
            <w:r>
              <w:rPr>
                <w:rFonts w:hint="eastAsia"/>
                <w:b/>
                <w:color w:val="000000" w:themeColor="text1"/>
                <w:kern w:val="0"/>
                <w14:textFill>
                  <w14:solidFill>
                    <w14:schemeClr w14:val="tx1"/>
                  </w14:solidFill>
                </w14:textFill>
              </w:rPr>
              <w:t>（有组织排放限值要求）</w:t>
            </w:r>
          </w:p>
          <w:p>
            <w:pPr>
              <w:spacing w:line="240" w:lineRule="auto"/>
              <w:jc w:val="center"/>
              <w:rPr>
                <w:b/>
                <w:color w:val="000000" w:themeColor="text1"/>
                <w:kern w:val="0"/>
                <w14:textFill>
                  <w14:solidFill>
                    <w14:schemeClr w14:val="tx1"/>
                  </w14:solidFill>
                </w14:textFill>
              </w:rPr>
            </w:pPr>
            <w:r>
              <w:rPr>
                <w:rFonts w:hint="eastAsia"/>
                <w:b/>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排放速率标准值严格50%执行</w:t>
            </w:r>
            <w:r>
              <w:rPr>
                <w:rFonts w:hint="eastAsia"/>
                <w:b/>
                <w:color w:val="000000" w:themeColor="text1"/>
                <w:kern w:val="0"/>
                <w14:textFill>
                  <w14:solidFill>
                    <w14:schemeClr w14:val="tx1"/>
                  </w14:solidFill>
                </w14:textFill>
              </w:rPr>
              <w:t>）</w:t>
            </w:r>
          </w:p>
          <w:tbl>
            <w:tblPr>
              <w:tblStyle w:val="2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1"/>
              <w:gridCol w:w="1815"/>
              <w:gridCol w:w="1865"/>
              <w:gridCol w:w="2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187" w:type="pct"/>
                  <w:vMerge w:val="restart"/>
                  <w:vAlign w:val="center"/>
                </w:tcPr>
                <w:p>
                  <w:pPr>
                    <w:spacing w:line="240" w:lineRule="auto"/>
                    <w:jc w:val="center"/>
                    <w:rPr>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污染物名称</w:t>
                  </w:r>
                </w:p>
              </w:tc>
              <w:tc>
                <w:tcPr>
                  <w:tcW w:w="1082" w:type="pct"/>
                  <w:vMerge w:val="restart"/>
                  <w:vAlign w:val="center"/>
                </w:tcPr>
                <w:p>
                  <w:pPr>
                    <w:spacing w:line="240" w:lineRule="auto"/>
                    <w:jc w:val="center"/>
                    <w:rPr>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最高允许排放浓度（mg/m</w:t>
                  </w:r>
                  <w:r>
                    <w:rPr>
                      <w:rFonts w:hint="eastAsia"/>
                      <w:b/>
                      <w:bCs/>
                      <w:color w:val="000000" w:themeColor="text1"/>
                      <w:kern w:val="0"/>
                      <w:sz w:val="21"/>
                      <w:szCs w:val="21"/>
                      <w:vertAlign w:val="superscript"/>
                      <w14:textFill>
                        <w14:solidFill>
                          <w14:schemeClr w14:val="tx1"/>
                        </w14:solidFill>
                      </w14:textFill>
                    </w:rPr>
                    <w:t>3</w:t>
                  </w:r>
                  <w:r>
                    <w:rPr>
                      <w:rFonts w:hint="eastAsia"/>
                      <w:b/>
                      <w:bCs/>
                      <w:color w:val="000000" w:themeColor="text1"/>
                      <w:kern w:val="0"/>
                      <w:sz w:val="21"/>
                      <w:szCs w:val="21"/>
                      <w14:textFill>
                        <w14:solidFill>
                          <w14:schemeClr w14:val="tx1"/>
                        </w14:solidFill>
                      </w14:textFill>
                    </w:rPr>
                    <w:t>）</w:t>
                  </w:r>
                </w:p>
              </w:tc>
              <w:tc>
                <w:tcPr>
                  <w:tcW w:w="2729" w:type="pct"/>
                  <w:gridSpan w:val="2"/>
                  <w:vAlign w:val="center"/>
                </w:tcPr>
                <w:p>
                  <w:pPr>
                    <w:spacing w:line="240" w:lineRule="auto"/>
                    <w:jc w:val="center"/>
                    <w:rPr>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最高允许排放速率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7" w:type="pct"/>
                  <w:vMerge w:val="continue"/>
                  <w:vAlign w:val="center"/>
                </w:tcPr>
                <w:p>
                  <w:pPr>
                    <w:spacing w:line="240" w:lineRule="auto"/>
                    <w:jc w:val="center"/>
                    <w:rPr>
                      <w:b/>
                      <w:bCs/>
                      <w:color w:val="000000" w:themeColor="text1"/>
                      <w:kern w:val="0"/>
                      <w:sz w:val="21"/>
                      <w:szCs w:val="21"/>
                      <w14:textFill>
                        <w14:solidFill>
                          <w14:schemeClr w14:val="tx1"/>
                        </w14:solidFill>
                      </w14:textFill>
                    </w:rPr>
                  </w:pPr>
                </w:p>
              </w:tc>
              <w:tc>
                <w:tcPr>
                  <w:tcW w:w="1082" w:type="pct"/>
                  <w:vMerge w:val="continue"/>
                  <w:vAlign w:val="center"/>
                </w:tcPr>
                <w:p>
                  <w:pPr>
                    <w:spacing w:line="240" w:lineRule="auto"/>
                    <w:jc w:val="center"/>
                    <w:rPr>
                      <w:b/>
                      <w:bCs/>
                      <w:color w:val="000000" w:themeColor="text1"/>
                      <w:kern w:val="0"/>
                      <w:sz w:val="21"/>
                      <w:szCs w:val="21"/>
                      <w14:textFill>
                        <w14:solidFill>
                          <w14:schemeClr w14:val="tx1"/>
                        </w14:solidFill>
                      </w14:textFill>
                    </w:rPr>
                  </w:pPr>
                </w:p>
              </w:tc>
              <w:tc>
                <w:tcPr>
                  <w:tcW w:w="1112" w:type="pct"/>
                  <w:vAlign w:val="center"/>
                </w:tcPr>
                <w:p>
                  <w:pPr>
                    <w:spacing w:line="240" w:lineRule="auto"/>
                    <w:jc w:val="center"/>
                    <w:rPr>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排气筒高度（m）</w:t>
                  </w:r>
                </w:p>
              </w:tc>
              <w:tc>
                <w:tcPr>
                  <w:tcW w:w="1616" w:type="pct"/>
                  <w:vAlign w:val="center"/>
                </w:tcPr>
                <w:p>
                  <w:pPr>
                    <w:spacing w:line="240" w:lineRule="auto"/>
                    <w:jc w:val="center"/>
                    <w:rPr>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排放速率（kg/h）</w:t>
                  </w:r>
                </w:p>
                <w:p>
                  <w:pPr>
                    <w:spacing w:line="240" w:lineRule="auto"/>
                    <w:jc w:val="center"/>
                    <w:rPr>
                      <w:b/>
                      <w:bCs/>
                      <w:color w:val="000000" w:themeColor="text1"/>
                      <w:kern w:val="0"/>
                      <w:sz w:val="21"/>
                      <w:szCs w:val="21"/>
                      <w14:textFill>
                        <w14:solidFill>
                          <w14:schemeClr w14:val="tx1"/>
                        </w14:solidFill>
                      </w14:textFill>
                    </w:rPr>
                  </w:pPr>
                  <w:r>
                    <w:rPr>
                      <w:rFonts w:hint="eastAsia"/>
                      <w:b/>
                      <w:bCs/>
                      <w:color w:val="000000" w:themeColor="text1"/>
                      <w:spacing w:val="-2"/>
                      <w:sz w:val="21"/>
                      <w:szCs w:val="21"/>
                      <w14:textFill>
                        <w14:solidFill>
                          <w14:schemeClr w14:val="tx1"/>
                        </w14:solidFill>
                      </w14:textFill>
                    </w:rPr>
                    <w:t>（严格50%执行）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7" w:type="pct"/>
                  <w:vAlign w:val="center"/>
                </w:tcPr>
                <w:p>
                  <w:pPr>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颗粒物</w:t>
                  </w:r>
                </w:p>
              </w:tc>
              <w:tc>
                <w:tcPr>
                  <w:tcW w:w="1082" w:type="pct"/>
                  <w:vAlign w:val="center"/>
                </w:tcPr>
                <w:p>
                  <w:pPr>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120</w:t>
                  </w:r>
                </w:p>
              </w:tc>
              <w:tc>
                <w:tcPr>
                  <w:tcW w:w="1112" w:type="pct"/>
                  <w:vMerge w:val="restart"/>
                  <w:vAlign w:val="center"/>
                </w:tcPr>
                <w:p>
                  <w:pPr>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15</w:t>
                  </w:r>
                </w:p>
              </w:tc>
              <w:tc>
                <w:tcPr>
                  <w:tcW w:w="1616" w:type="pct"/>
                  <w:vAlign w:val="center"/>
                </w:tcPr>
                <w:p>
                  <w:pPr>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7" w:type="pct"/>
                  <w:vAlign w:val="center"/>
                </w:tcPr>
                <w:p>
                  <w:pPr>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非甲烷总烃</w:t>
                  </w:r>
                </w:p>
              </w:tc>
              <w:tc>
                <w:tcPr>
                  <w:tcW w:w="1082" w:type="pct"/>
                  <w:vAlign w:val="center"/>
                </w:tcPr>
                <w:p>
                  <w:pPr>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120</w:t>
                  </w:r>
                </w:p>
              </w:tc>
              <w:tc>
                <w:tcPr>
                  <w:tcW w:w="1112" w:type="pct"/>
                  <w:vMerge w:val="continue"/>
                  <w:vAlign w:val="center"/>
                </w:tcPr>
                <w:p>
                  <w:pPr>
                    <w:spacing w:line="240" w:lineRule="auto"/>
                    <w:jc w:val="center"/>
                    <w:rPr>
                      <w:color w:val="000000" w:themeColor="text1"/>
                      <w:kern w:val="0"/>
                      <w:sz w:val="21"/>
                      <w:szCs w:val="21"/>
                      <w14:textFill>
                        <w14:solidFill>
                          <w14:schemeClr w14:val="tx1"/>
                        </w14:solidFill>
                      </w14:textFill>
                    </w:rPr>
                  </w:pPr>
                </w:p>
              </w:tc>
              <w:tc>
                <w:tcPr>
                  <w:tcW w:w="1616" w:type="pct"/>
                  <w:vAlign w:val="center"/>
                </w:tcPr>
                <w:p>
                  <w:pPr>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5.0</w:t>
                  </w:r>
                </w:p>
              </w:tc>
            </w:tr>
          </w:tbl>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注：项目位于晋宁工业园区内，本项目周围200米内，最高建筑物为云南宇恬防雷材料研究所，约为30m，</w:t>
            </w:r>
            <w:r>
              <w:rPr>
                <w:rFonts w:hint="eastAsia"/>
                <w:bCs/>
                <w:color w:val="000000" w:themeColor="text1"/>
                <w14:textFill>
                  <w14:solidFill>
                    <w14:schemeClr w14:val="tx1"/>
                  </w14:solidFill>
                </w14:textFill>
              </w:rPr>
              <w:t>根据</w:t>
            </w:r>
            <w:r>
              <w:rPr>
                <w:rFonts w:hint="eastAsia"/>
                <w:color w:val="000000" w:themeColor="text1"/>
                <w14:textFill>
                  <w14:solidFill>
                    <w14:schemeClr w14:val="tx1"/>
                  </w14:solidFill>
                </w14:textFill>
              </w:rPr>
              <w:t>《大气污染物综合排放标准》（GB16297-1996）第7.1~7.4章节：“新污染源的排气筒一般不应低于15m，应高于周围200m半径范围内的建筑5m以上，不能达到该要求的排气筒，应按其高度对应的表列排放速率标准值严格50%执行（节选）。”</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异味执行《恶臭污染物排放标准》（GB14554-93），标准值见表</w:t>
            </w:r>
            <w:r>
              <w:rPr>
                <w:color w:val="000000" w:themeColor="text1"/>
                <w14:textFill>
                  <w14:solidFill>
                    <w14:schemeClr w14:val="tx1"/>
                  </w14:solidFill>
                </w14:textFill>
              </w:rPr>
              <w:t>3-7</w:t>
            </w:r>
            <w:r>
              <w:rPr>
                <w:rFonts w:hint="eastAsia"/>
                <w:color w:val="000000" w:themeColor="text1"/>
                <w14:textFill>
                  <w14:solidFill>
                    <w14:schemeClr w14:val="tx1"/>
                  </w14:solidFill>
                </w14:textFill>
              </w:rPr>
              <w:t>。</w:t>
            </w:r>
          </w:p>
          <w:p>
            <w:pPr>
              <w:jc w:val="center"/>
              <w:rPr>
                <w:rFonts w:hAnsi="宋体"/>
                <w:b/>
                <w:bCs/>
                <w:color w:val="000000" w:themeColor="text1"/>
                <w14:textFill>
                  <w14:solidFill>
                    <w14:schemeClr w14:val="tx1"/>
                  </w14:solidFill>
                </w14:textFill>
              </w:rPr>
            </w:pPr>
            <w:r>
              <w:rPr>
                <w:rFonts w:hint="eastAsia" w:hAnsi="宋体"/>
                <w:b/>
                <w:bCs/>
                <w:color w:val="000000" w:themeColor="text1"/>
                <w14:textFill>
                  <w14:solidFill>
                    <w14:schemeClr w14:val="tx1"/>
                  </w14:solidFill>
                </w14:textFill>
              </w:rPr>
              <w:t>表</w:t>
            </w:r>
            <w:r>
              <w:rPr>
                <w:rFonts w:hAnsi="宋体"/>
                <w:b/>
                <w:bCs/>
                <w:color w:val="000000" w:themeColor="text1"/>
                <w14:textFill>
                  <w14:solidFill>
                    <w14:schemeClr w14:val="tx1"/>
                  </w14:solidFill>
                </w14:textFill>
              </w:rPr>
              <w:t>3</w:t>
            </w:r>
            <w:r>
              <w:rPr>
                <w:rFonts w:hint="eastAsia" w:hAnsi="宋体"/>
                <w:b/>
                <w:bCs/>
                <w:color w:val="000000" w:themeColor="text1"/>
                <w14:textFill>
                  <w14:solidFill>
                    <w14:schemeClr w14:val="tx1"/>
                  </w14:solidFill>
                </w14:textFill>
              </w:rPr>
              <w:t>-</w:t>
            </w:r>
            <w:r>
              <w:rPr>
                <w:rFonts w:hAnsi="宋体"/>
                <w:b/>
                <w:bCs/>
                <w:color w:val="000000" w:themeColor="text1"/>
                <w14:textFill>
                  <w14:solidFill>
                    <w14:schemeClr w14:val="tx1"/>
                  </w14:solidFill>
                </w14:textFill>
              </w:rPr>
              <w:t>7</w:t>
            </w:r>
            <w:r>
              <w:rPr>
                <w:rFonts w:hint="eastAsia" w:hAnsi="宋体"/>
                <w:b/>
                <w:bCs/>
                <w:color w:val="000000" w:themeColor="text1"/>
                <w14:textFill>
                  <w14:solidFill>
                    <w14:schemeClr w14:val="tx1"/>
                  </w14:solidFill>
                </w14:textFill>
              </w:rPr>
              <w:t xml:space="preserve">  恶臭污染物厂界标准值  </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92"/>
              <w:gridCol w:w="4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3" w:hRule="atLeast"/>
              </w:trPr>
              <w:tc>
                <w:tcPr>
                  <w:tcW w:w="2499" w:type="pct"/>
                  <w:vAlign w:val="center"/>
                </w:tcPr>
                <w:p>
                  <w:pPr>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单位</w:t>
                  </w:r>
                </w:p>
              </w:tc>
              <w:tc>
                <w:tcPr>
                  <w:tcW w:w="2501" w:type="pct"/>
                  <w:vAlign w:val="center"/>
                </w:tcPr>
                <w:p>
                  <w:pPr>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二级新建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2499" w:type="pct"/>
                  <w:vAlign w:val="center"/>
                </w:tcPr>
                <w:p>
                  <w:pPr>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无量纲</w:t>
                  </w:r>
                </w:p>
              </w:tc>
              <w:tc>
                <w:tcPr>
                  <w:tcW w:w="2501" w:type="pct"/>
                  <w:vAlign w:val="center"/>
                </w:tcPr>
                <w:p>
                  <w:pPr>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20</w:t>
                  </w:r>
                </w:p>
              </w:tc>
            </w:tr>
          </w:tbl>
          <w:p>
            <w:pPr>
              <w:adjustRightInd w:val="0"/>
              <w:snapToGrid w:val="0"/>
              <w:ind w:firstLine="482" w:firstLineChars="200"/>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（2）食堂油烟</w:t>
            </w:r>
          </w:p>
          <w:p>
            <w:pPr>
              <w:adjustRightInd w:val="0"/>
              <w:snapToGrid w:val="0"/>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营运期食堂设1个灶头，食堂油烟排放执行《饮食业油烟排放标准》（GB18483-2001）（试行）小型规模标准要求：即最高允许排放浓度为2.0mg/m</w:t>
            </w:r>
            <w:r>
              <w:rPr>
                <w:color w:val="000000" w:themeColor="text1"/>
                <w:kern w:val="0"/>
                <w:vertAlign w:val="superscript"/>
                <w14:textFill>
                  <w14:solidFill>
                    <w14:schemeClr w14:val="tx1"/>
                  </w14:solidFill>
                </w14:textFill>
              </w:rPr>
              <w:t>3</w:t>
            </w:r>
            <w:r>
              <w:rPr>
                <w:color w:val="000000" w:themeColor="text1"/>
                <w:kern w:val="0"/>
                <w14:textFill>
                  <w14:solidFill>
                    <w14:schemeClr w14:val="tx1"/>
                  </w14:solidFill>
                </w14:textFill>
              </w:rPr>
              <w:t>，净化设施最低去除效率为60%。</w:t>
            </w:r>
          </w:p>
          <w:p>
            <w:pPr>
              <w:adjustRightInd w:val="0"/>
              <w:snapToGrid w:val="0"/>
              <w:ind w:firstLine="482" w:firstLineChars="200"/>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2、水污染排放标准</w:t>
            </w:r>
          </w:p>
          <w:p>
            <w:pPr>
              <w:adjustRightInd w:val="0"/>
              <w:snapToGrid w:val="0"/>
              <w:ind w:firstLine="480" w:firstLineChars="200"/>
              <w:rPr>
                <w:b/>
                <w:color w:val="000000" w:themeColor="text1"/>
                <w:kern w:val="0"/>
                <w14:textFill>
                  <w14:solidFill>
                    <w14:schemeClr w14:val="tx1"/>
                  </w14:solidFill>
                </w14:textFill>
              </w:rPr>
            </w:pPr>
            <w:r>
              <w:rPr>
                <w:color w:val="000000" w:themeColor="text1"/>
                <w:kern w:val="0"/>
                <w14:textFill>
                  <w14:solidFill>
                    <w14:schemeClr w14:val="tx1"/>
                  </w14:solidFill>
                </w14:textFill>
              </w:rPr>
              <w:t>本项目无生产废水产生，产生的废水均为生活废水，食堂含油废水经隔油池处理后，与生活废水一起进入化粪池，处理后排入园区污水管网，</w:t>
            </w:r>
            <w:r>
              <w:rPr>
                <w:rFonts w:hint="eastAsia"/>
                <w:color w:val="000000" w:themeColor="text1"/>
                <w:kern w:val="0"/>
                <w14:textFill>
                  <w14:solidFill>
                    <w14:schemeClr w14:val="tx1"/>
                  </w14:solidFill>
                </w14:textFill>
              </w:rPr>
              <w:t>最终进入环湖西岸污水处理厂处理</w:t>
            </w:r>
            <w:r>
              <w:rPr>
                <w:color w:val="000000" w:themeColor="text1"/>
                <w:kern w:val="0"/>
                <w14:textFill>
                  <w14:solidFill>
                    <w14:schemeClr w14:val="tx1"/>
                  </w14:solidFill>
                </w14:textFill>
              </w:rPr>
              <w:t>，外排废水执行《污水排入城镇下水道水质标准》（GB/T31962-2015）</w:t>
            </w:r>
            <w:r>
              <w:rPr>
                <w:rFonts w:hint="eastAsia"/>
                <w:color w:val="000000" w:themeColor="text1"/>
                <w:kern w:val="0"/>
                <w14:textFill>
                  <w14:solidFill>
                    <w14:schemeClr w14:val="tx1"/>
                  </w14:solidFill>
                </w14:textFill>
              </w:rPr>
              <w:t>表1</w:t>
            </w:r>
            <w:r>
              <w:rPr>
                <w:color w:val="000000" w:themeColor="text1"/>
                <w:kern w:val="0"/>
                <w14:textFill>
                  <w14:solidFill>
                    <w14:schemeClr w14:val="tx1"/>
                  </w14:solidFill>
                </w14:textFill>
              </w:rPr>
              <w:t>（A）级标准。标准限值见表3-</w:t>
            </w:r>
            <w:r>
              <w:rPr>
                <w:rFonts w:hint="eastAsia"/>
                <w:color w:val="000000" w:themeColor="text1"/>
                <w:kern w:val="0"/>
                <w14:textFill>
                  <w14:solidFill>
                    <w14:schemeClr w14:val="tx1"/>
                  </w14:solidFill>
                </w14:textFill>
              </w:rPr>
              <w:t>8</w:t>
            </w:r>
          </w:p>
          <w:p>
            <w:pPr>
              <w:spacing w:line="240" w:lineRule="auto"/>
              <w:jc w:val="center"/>
              <w:rPr>
                <w:b/>
                <w:color w:val="000000" w:themeColor="text1"/>
                <w:kern w:val="0"/>
                <w14:textFill>
                  <w14:solidFill>
                    <w14:schemeClr w14:val="tx1"/>
                  </w14:solidFill>
                </w14:textFill>
              </w:rPr>
            </w:pPr>
            <w:r>
              <w:rPr>
                <w:b/>
                <w:color w:val="000000" w:themeColor="text1"/>
                <w:kern w:val="0"/>
                <w14:textFill>
                  <w14:solidFill>
                    <w14:schemeClr w14:val="tx1"/>
                  </w14:solidFill>
                </w14:textFill>
              </w:rPr>
              <w:t>表3-</w:t>
            </w:r>
            <w:r>
              <w:rPr>
                <w:rFonts w:hint="eastAsia"/>
                <w:b/>
                <w:color w:val="000000" w:themeColor="text1"/>
                <w:kern w:val="0"/>
                <w14:textFill>
                  <w14:solidFill>
                    <w14:schemeClr w14:val="tx1"/>
                  </w14:solidFill>
                </w14:textFill>
              </w:rPr>
              <w:t>8</w:t>
            </w:r>
            <w:r>
              <w:rPr>
                <w:b/>
                <w:color w:val="000000" w:themeColor="text1"/>
                <w:kern w:val="0"/>
                <w14:textFill>
                  <w14:solidFill>
                    <w14:schemeClr w14:val="tx1"/>
                  </w14:solidFill>
                </w14:textFill>
              </w:rPr>
              <w:t xml:space="preserve">  项目水污染物排放限值   单位：mg/L</w:t>
            </w:r>
          </w:p>
          <w:tbl>
            <w:tblPr>
              <w:tblStyle w:val="28"/>
              <w:tblW w:w="79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0"/>
              <w:gridCol w:w="879"/>
              <w:gridCol w:w="690"/>
              <w:gridCol w:w="765"/>
              <w:gridCol w:w="705"/>
              <w:gridCol w:w="645"/>
              <w:gridCol w:w="720"/>
              <w:gridCol w:w="615"/>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09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auto"/>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标准类别</w:t>
                  </w:r>
                </w:p>
              </w:tc>
              <w:tc>
                <w:tcPr>
                  <w:tcW w:w="879"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auto"/>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pH值</w:t>
                  </w:r>
                </w:p>
              </w:tc>
              <w:tc>
                <w:tcPr>
                  <w:tcW w:w="69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auto"/>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COD</w:t>
                  </w:r>
                </w:p>
              </w:tc>
              <w:tc>
                <w:tcPr>
                  <w:tcW w:w="76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auto"/>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BOD</w:t>
                  </w:r>
                  <w:r>
                    <w:rPr>
                      <w:b/>
                      <w:color w:val="000000" w:themeColor="text1"/>
                      <w:kern w:val="0"/>
                      <w:sz w:val="21"/>
                      <w:szCs w:val="21"/>
                      <w:vertAlign w:val="subscript"/>
                      <w14:textFill>
                        <w14:solidFill>
                          <w14:schemeClr w14:val="tx1"/>
                        </w14:solidFill>
                      </w14:textFill>
                    </w:rPr>
                    <w:t>5</w:t>
                  </w:r>
                </w:p>
              </w:tc>
              <w:tc>
                <w:tcPr>
                  <w:tcW w:w="70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auto"/>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SS</w:t>
                  </w:r>
                </w:p>
              </w:tc>
              <w:tc>
                <w:tcPr>
                  <w:tcW w:w="6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auto"/>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氨氮</w:t>
                  </w:r>
                </w:p>
              </w:tc>
              <w:tc>
                <w:tcPr>
                  <w:tcW w:w="72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auto"/>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TN</w:t>
                  </w:r>
                </w:p>
              </w:tc>
              <w:tc>
                <w:tcPr>
                  <w:tcW w:w="61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auto"/>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TP</w:t>
                  </w:r>
                </w:p>
              </w:tc>
              <w:tc>
                <w:tcPr>
                  <w:tcW w:w="851"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auto"/>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09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（GB/T 31962-2015）A级标准</w:t>
                  </w:r>
                </w:p>
              </w:tc>
              <w:tc>
                <w:tcPr>
                  <w:tcW w:w="879"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6.5-9.5</w:t>
                  </w:r>
                </w:p>
              </w:tc>
              <w:tc>
                <w:tcPr>
                  <w:tcW w:w="69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≤500</w:t>
                  </w:r>
                </w:p>
              </w:tc>
              <w:tc>
                <w:tcPr>
                  <w:tcW w:w="76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≤350</w:t>
                  </w:r>
                </w:p>
              </w:tc>
              <w:tc>
                <w:tcPr>
                  <w:tcW w:w="70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≤400</w:t>
                  </w:r>
                </w:p>
              </w:tc>
              <w:tc>
                <w:tcPr>
                  <w:tcW w:w="64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≤45</w:t>
                  </w:r>
                </w:p>
              </w:tc>
              <w:tc>
                <w:tcPr>
                  <w:tcW w:w="720"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≤70</w:t>
                  </w:r>
                </w:p>
              </w:tc>
              <w:tc>
                <w:tcPr>
                  <w:tcW w:w="61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≤8</w:t>
                  </w:r>
                </w:p>
              </w:tc>
              <w:tc>
                <w:tcPr>
                  <w:tcW w:w="851"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≤100</w:t>
                  </w:r>
                </w:p>
              </w:tc>
            </w:tr>
          </w:tbl>
          <w:p>
            <w:pPr>
              <w:adjustRightInd w:val="0"/>
              <w:snapToGrid w:val="0"/>
              <w:ind w:firstLine="482" w:firstLineChars="200"/>
              <w:rPr>
                <w:b/>
                <w:bCs/>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3、噪声排放标准</w:t>
            </w:r>
          </w:p>
          <w:p>
            <w:pPr>
              <w:adjustRightInd w:val="0"/>
              <w:snapToGrid w:val="0"/>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项目营运期厂界噪声执行《工业企业厂界环境噪声排放标准》（GB12348-2008）中的3类标准。标准限值见表3-</w:t>
            </w:r>
            <w:r>
              <w:rPr>
                <w:rFonts w:hint="eastAsia"/>
                <w:color w:val="000000" w:themeColor="text1"/>
                <w:kern w:val="0"/>
                <w14:textFill>
                  <w14:solidFill>
                    <w14:schemeClr w14:val="tx1"/>
                  </w14:solidFill>
                </w14:textFill>
              </w:rPr>
              <w:t>9</w:t>
            </w:r>
            <w:r>
              <w:rPr>
                <w:color w:val="000000" w:themeColor="text1"/>
                <w:kern w:val="0"/>
                <w14:textFill>
                  <w14:solidFill>
                    <w14:schemeClr w14:val="tx1"/>
                  </w14:solidFill>
                </w14:textFill>
              </w:rPr>
              <w:t>。</w:t>
            </w:r>
          </w:p>
          <w:p>
            <w:pPr>
              <w:spacing w:line="240" w:lineRule="auto"/>
              <w:jc w:val="center"/>
              <w:rPr>
                <w:b/>
                <w:color w:val="000000" w:themeColor="text1"/>
                <w:kern w:val="0"/>
                <w14:textFill>
                  <w14:solidFill>
                    <w14:schemeClr w14:val="tx1"/>
                  </w14:solidFill>
                </w14:textFill>
              </w:rPr>
            </w:pPr>
            <w:r>
              <w:rPr>
                <w:b/>
                <w:color w:val="000000" w:themeColor="text1"/>
                <w:kern w:val="0"/>
                <w14:textFill>
                  <w14:solidFill>
                    <w14:schemeClr w14:val="tx1"/>
                  </w14:solidFill>
                </w14:textFill>
              </w:rPr>
              <w:t>表3-</w:t>
            </w:r>
            <w:r>
              <w:rPr>
                <w:rFonts w:hint="eastAsia"/>
                <w:b/>
                <w:color w:val="000000" w:themeColor="text1"/>
                <w:kern w:val="0"/>
                <w14:textFill>
                  <w14:solidFill>
                    <w14:schemeClr w14:val="tx1"/>
                  </w14:solidFill>
                </w14:textFill>
              </w:rPr>
              <w:t>9</w:t>
            </w:r>
            <w:r>
              <w:rPr>
                <w:b/>
                <w:color w:val="000000" w:themeColor="text1"/>
                <w:kern w:val="0"/>
                <w14:textFill>
                  <w14:solidFill>
                    <w14:schemeClr w14:val="tx1"/>
                  </w14:solidFill>
                </w14:textFill>
              </w:rPr>
              <w:t xml:space="preserve">  工业企业厂界环境噪声排放标准   单位：dB(A)</w:t>
            </w:r>
          </w:p>
          <w:tbl>
            <w:tblPr>
              <w:tblStyle w:val="28"/>
              <w:tblW w:w="498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5378"/>
              <w:gridCol w:w="1105"/>
              <w:gridCol w:w="945"/>
              <w:gridCol w:w="93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3217" w:type="pct"/>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标准</w:t>
                  </w:r>
                </w:p>
              </w:tc>
              <w:tc>
                <w:tcPr>
                  <w:tcW w:w="661" w:type="pct"/>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类别</w:t>
                  </w:r>
                </w:p>
              </w:tc>
              <w:tc>
                <w:tcPr>
                  <w:tcW w:w="565" w:type="pct"/>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昼间</w:t>
                  </w:r>
                </w:p>
              </w:tc>
              <w:tc>
                <w:tcPr>
                  <w:tcW w:w="556" w:type="pct"/>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夜间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jc w:val="center"/>
              </w:trPr>
              <w:tc>
                <w:tcPr>
                  <w:tcW w:w="3217"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《工业企业厂界环境噪声排放标准》（GB12348-2008）</w:t>
                  </w:r>
                </w:p>
              </w:tc>
              <w:tc>
                <w:tcPr>
                  <w:tcW w:w="661"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3</w:t>
                  </w:r>
                </w:p>
              </w:tc>
              <w:tc>
                <w:tcPr>
                  <w:tcW w:w="565"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65</w:t>
                  </w:r>
                </w:p>
              </w:tc>
              <w:tc>
                <w:tcPr>
                  <w:tcW w:w="556"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55</w:t>
                  </w:r>
                </w:p>
              </w:tc>
            </w:tr>
          </w:tbl>
          <w:p>
            <w:pPr>
              <w:adjustRightInd w:val="0"/>
              <w:snapToGrid w:val="0"/>
              <w:ind w:firstLine="482" w:firstLineChars="200"/>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4、固体废物排放标准</w:t>
            </w:r>
          </w:p>
          <w:p>
            <w:pPr>
              <w:adjustRightInd w:val="0"/>
              <w:snapToGrid w:val="0"/>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（1）项目一般固体废物在项目内的暂存执行《一般工业固体废物贮存和填埋污染控制标准》（GB18599-2020）相关要求。</w:t>
            </w:r>
          </w:p>
          <w:p>
            <w:pPr>
              <w:adjustRightInd w:val="0"/>
              <w:snapToGrid w:val="0"/>
              <w:ind w:firstLine="480" w:firstLineChars="200"/>
              <w:rPr>
                <w:color w:val="000000" w:themeColor="text1"/>
                <w:kern w:val="0"/>
                <w:szCs w:val="21"/>
                <w14:textFill>
                  <w14:solidFill>
                    <w14:schemeClr w14:val="tx1"/>
                  </w14:solidFill>
                </w14:textFill>
              </w:rPr>
            </w:pPr>
            <w:r>
              <w:rPr>
                <w:color w:val="000000" w:themeColor="text1"/>
                <w:kern w:val="0"/>
                <w14:textFill>
                  <w14:solidFill>
                    <w14:schemeClr w14:val="tx1"/>
                  </w14:solidFill>
                </w14:textFill>
              </w:rPr>
              <w:t>（2）项目危险废物暂存执行《危险废物贮存污染控制标准》（GB18597-2001）及国家污染物控制标准修改单的公告（2013年第36号公告）。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88" w:hRule="atLeast"/>
          <w:jc w:val="center"/>
        </w:trPr>
        <w:tc>
          <w:tcPr>
            <w:tcW w:w="800" w:type="dxa"/>
            <w:vAlign w:val="center"/>
          </w:tcPr>
          <w:p>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总量</w:t>
            </w:r>
          </w:p>
          <w:p>
            <w:pPr>
              <w:adjustRightInd w:val="0"/>
              <w:snapToGrid w:val="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控制</w:t>
            </w:r>
          </w:p>
          <w:p>
            <w:pPr>
              <w:adjustRightInd w:val="0"/>
              <w:snapToGrid w:val="0"/>
              <w:jc w:val="center"/>
              <w:rPr>
                <w:color w:val="000000" w:themeColor="text1"/>
                <w:kern w:val="0"/>
                <w:szCs w:val="21"/>
                <w14:textFill>
                  <w14:solidFill>
                    <w14:schemeClr w14:val="tx1"/>
                  </w14:solidFill>
                </w14:textFill>
              </w:rPr>
            </w:pPr>
            <w:r>
              <w:rPr>
                <w:color w:val="000000" w:themeColor="text1"/>
                <w:kern w:val="0"/>
                <w14:textFill>
                  <w14:solidFill>
                    <w14:schemeClr w14:val="tx1"/>
                  </w14:solidFill>
                </w14:textFill>
              </w:rPr>
              <w:t>指标</w:t>
            </w:r>
          </w:p>
        </w:tc>
        <w:tc>
          <w:tcPr>
            <w:tcW w:w="8190" w:type="dxa"/>
            <w:vAlign w:val="center"/>
          </w:tcPr>
          <w:p>
            <w:pPr>
              <w:snapToGrid w:val="0"/>
              <w:rPr>
                <w:color w:val="000000" w:themeColor="text1"/>
                <w14:textFill>
                  <w14:solidFill>
                    <w14:schemeClr w14:val="tx1"/>
                  </w14:solidFill>
                </w14:textFill>
              </w:rPr>
            </w:pPr>
            <w:r>
              <w:rPr>
                <w:color w:val="000000" w:themeColor="text1"/>
                <w14:textFill>
                  <w14:solidFill>
                    <w14:schemeClr w14:val="tx1"/>
                  </w14:solidFill>
                </w14:textFill>
              </w:rPr>
              <w:t>建议的总量控制指标：</w:t>
            </w:r>
          </w:p>
          <w:p>
            <w:pPr>
              <w:numPr>
                <w:ilvl w:val="0"/>
                <w:numId w:val="14"/>
              </w:numPr>
              <w:tabs>
                <w:tab w:val="left" w:pos="5580"/>
              </w:tabs>
              <w:adjustRightInd w:val="0"/>
              <w:ind w:firstLine="480" w:firstLineChars="200"/>
              <w:textAlignment w:val="baseline"/>
              <w:rPr>
                <w:color w:val="000000" w:themeColor="text1"/>
                <w14:textFill>
                  <w14:solidFill>
                    <w14:schemeClr w14:val="tx1"/>
                  </w14:solidFill>
                </w14:textFill>
              </w:rPr>
            </w:pPr>
            <w:r>
              <w:rPr>
                <w:color w:val="000000" w:themeColor="text1"/>
                <w14:textFill>
                  <w14:solidFill>
                    <w14:schemeClr w14:val="tx1"/>
                  </w14:solidFill>
                </w14:textFill>
              </w:rPr>
              <w:t>废气</w:t>
            </w:r>
          </w:p>
          <w:p>
            <w:pPr>
              <w:tabs>
                <w:tab w:val="left" w:pos="5580"/>
              </w:tabs>
              <w:adjustRightInd w:val="0"/>
              <w:ind w:firstLine="480" w:firstLineChars="200"/>
              <w:textAlignment w:val="baseline"/>
              <w:rPr>
                <w:color w:val="000000" w:themeColor="text1"/>
                <w14:textFill>
                  <w14:solidFill>
                    <w14:schemeClr w14:val="tx1"/>
                  </w14:solidFill>
                </w14:textFill>
              </w:rPr>
            </w:pPr>
            <w:r>
              <w:rPr>
                <w:rFonts w:hint="eastAsia"/>
                <w:color w:val="000000" w:themeColor="text1"/>
                <w14:textFill>
                  <w14:solidFill>
                    <w14:schemeClr w14:val="tx1"/>
                  </w14:solidFill>
                </w14:textFill>
              </w:rPr>
              <w:t>有组织排放：挥发性有机物排放量为0.1134t/a，漆雾（以颗粒物计）排放量为0.0072t/a。</w:t>
            </w:r>
          </w:p>
          <w:p>
            <w:pPr>
              <w:tabs>
                <w:tab w:val="left" w:pos="5580"/>
              </w:tabs>
              <w:adjustRightInd w:val="0"/>
              <w:ind w:firstLine="480" w:firstLineChars="200"/>
              <w:textAlignment w:val="baseline"/>
              <w:rPr>
                <w:color w:val="000000" w:themeColor="text1"/>
                <w14:textFill>
                  <w14:solidFill>
                    <w14:schemeClr w14:val="tx1"/>
                  </w14:solidFill>
                </w14:textFill>
              </w:rPr>
            </w:pPr>
            <w:r>
              <w:rPr>
                <w:color w:val="000000" w:themeColor="text1"/>
                <w14:textFill>
                  <w14:solidFill>
                    <w14:schemeClr w14:val="tx1"/>
                  </w14:solidFill>
                </w14:textFill>
              </w:rPr>
              <w:t>无组织排放：</w:t>
            </w:r>
            <w:r>
              <w:rPr>
                <w:rFonts w:hint="eastAsia"/>
                <w:color w:val="000000" w:themeColor="text1"/>
                <w14:textFill>
                  <w14:solidFill>
                    <w14:schemeClr w14:val="tx1"/>
                  </w14:solidFill>
                </w14:textFill>
              </w:rPr>
              <w:t>挥发性有机物</w:t>
            </w:r>
            <w:r>
              <w:rPr>
                <w:color w:val="000000" w:themeColor="text1"/>
                <w14:textFill>
                  <w14:solidFill>
                    <w14:schemeClr w14:val="tx1"/>
                  </w14:solidFill>
                </w14:textFill>
              </w:rPr>
              <w:t>（以非甲烷总烃计）排放量0.</w:t>
            </w:r>
            <w:r>
              <w:rPr>
                <w:rFonts w:hint="eastAsia"/>
                <w:color w:val="000000" w:themeColor="text1"/>
                <w14:textFill>
                  <w14:solidFill>
                    <w14:schemeClr w14:val="tx1"/>
                  </w14:solidFill>
                </w14:textFill>
              </w:rPr>
              <w:t>03456</w:t>
            </w:r>
            <w:r>
              <w:rPr>
                <w:color w:val="000000" w:themeColor="text1"/>
                <w14:textFill>
                  <w14:solidFill>
                    <w14:schemeClr w14:val="tx1"/>
                  </w14:solidFill>
                </w14:textFill>
              </w:rPr>
              <w:t>t/a，颗粒物排放量</w:t>
            </w:r>
            <w:r>
              <w:rPr>
                <w:rFonts w:hint="eastAsia"/>
                <w:color w:val="000000" w:themeColor="text1"/>
                <w14:textFill>
                  <w14:solidFill>
                    <w14:schemeClr w14:val="tx1"/>
                  </w14:solidFill>
                </w14:textFill>
              </w:rPr>
              <w:t>0.0105t</w:t>
            </w:r>
            <w:r>
              <w:rPr>
                <w:color w:val="000000" w:themeColor="text1"/>
                <w14:textFill>
                  <w14:solidFill>
                    <w14:schemeClr w14:val="tx1"/>
                  </w14:solidFill>
                </w14:textFill>
              </w:rPr>
              <w:t>/a；</w:t>
            </w:r>
          </w:p>
          <w:p>
            <w:pPr>
              <w:numPr>
                <w:ilvl w:val="0"/>
                <w:numId w:val="14"/>
              </w:numPr>
              <w:tabs>
                <w:tab w:val="left" w:pos="5580"/>
              </w:tabs>
              <w:adjustRightInd w:val="0"/>
              <w:ind w:firstLine="480" w:firstLineChars="200"/>
              <w:textAlignment w:val="baseline"/>
              <w:rPr>
                <w:color w:val="000000" w:themeColor="text1"/>
                <w14:textFill>
                  <w14:solidFill>
                    <w14:schemeClr w14:val="tx1"/>
                  </w14:solidFill>
                </w14:textFill>
              </w:rPr>
            </w:pPr>
            <w:r>
              <w:rPr>
                <w:color w:val="000000" w:themeColor="text1"/>
                <w14:textFill>
                  <w14:solidFill>
                    <w14:schemeClr w14:val="tx1"/>
                  </w14:solidFill>
                </w14:textFill>
              </w:rPr>
              <w:t>废水</w:t>
            </w:r>
          </w:p>
          <w:p>
            <w:pPr>
              <w:tabs>
                <w:tab w:val="left" w:pos="5580"/>
              </w:tabs>
              <w:adjustRightInd w:val="0"/>
              <w:ind w:firstLine="480" w:firstLineChars="200"/>
              <w:textAlignment w:val="baseline"/>
              <w:rPr>
                <w:color w:val="000000" w:themeColor="text1"/>
                <w14:textFill>
                  <w14:solidFill>
                    <w14:schemeClr w14:val="tx1"/>
                  </w14:solidFill>
                </w14:textFill>
              </w:rPr>
            </w:pPr>
            <w:r>
              <w:rPr>
                <w:color w:val="000000" w:themeColor="text1"/>
                <w14:textFill>
                  <w14:solidFill>
                    <w14:schemeClr w14:val="tx1"/>
                  </w14:solidFill>
                </w14:textFill>
              </w:rPr>
              <w:t>本项目生活废水排污园区管网，最终进入最终进入</w:t>
            </w:r>
            <w:r>
              <w:rPr>
                <w:rFonts w:hint="eastAsia"/>
                <w:color w:val="000000" w:themeColor="text1"/>
                <w14:textFill>
                  <w14:solidFill>
                    <w14:schemeClr w14:val="tx1"/>
                  </w14:solidFill>
                </w14:textFill>
              </w:rPr>
              <w:t>环湖西岸污水处理厂处理</w:t>
            </w:r>
            <w:r>
              <w:rPr>
                <w:color w:val="000000" w:themeColor="text1"/>
                <w14:textFill>
                  <w14:solidFill>
                    <w14:schemeClr w14:val="tx1"/>
                  </w14:solidFill>
                </w14:textFill>
              </w:rPr>
              <w:t>，不单独设总量控制指标，纳入污水处理厂管理。废水排放量为</w:t>
            </w:r>
            <w:r>
              <w:rPr>
                <w:rFonts w:hint="eastAsia"/>
                <w:color w:val="000000" w:themeColor="text1"/>
                <w14:textFill>
                  <w14:solidFill>
                    <w14:schemeClr w14:val="tx1"/>
                  </w14:solidFill>
                </w14:textFill>
              </w:rPr>
              <w:t>480</w:t>
            </w:r>
            <w:r>
              <w:rPr>
                <w:color w:val="000000" w:themeColor="text1"/>
                <w14:textFill>
                  <w14:solidFill>
                    <w14:schemeClr w14:val="tx1"/>
                  </w14:solidFill>
                </w14:textFill>
              </w:rPr>
              <w:t>m</w:t>
            </w:r>
            <w:r>
              <w:rPr>
                <w:color w:val="000000" w:themeColor="text1"/>
                <w:vertAlign w:val="superscript"/>
                <w14:textFill>
                  <w14:solidFill>
                    <w14:schemeClr w14:val="tx1"/>
                  </w14:solidFill>
                </w14:textFill>
              </w:rPr>
              <w:t>3</w:t>
            </w:r>
            <w:r>
              <w:rPr>
                <w:color w:val="000000" w:themeColor="text1"/>
                <w14:textFill>
                  <w14:solidFill>
                    <w14:schemeClr w14:val="tx1"/>
                  </w14:solidFill>
                </w14:textFill>
              </w:rPr>
              <w:t>/a，水污染物排放量为CODcr：0.</w:t>
            </w:r>
            <w:r>
              <w:rPr>
                <w:rFonts w:hint="eastAsia"/>
                <w:color w:val="000000" w:themeColor="text1"/>
                <w14:textFill>
                  <w14:solidFill>
                    <w14:schemeClr w14:val="tx1"/>
                  </w14:solidFill>
                </w14:textFill>
              </w:rPr>
              <w:t>2013</w:t>
            </w:r>
            <w:r>
              <w:rPr>
                <w:color w:val="000000" w:themeColor="text1"/>
                <w14:textFill>
                  <w14:solidFill>
                    <w14:schemeClr w14:val="tx1"/>
                  </w14:solidFill>
                </w14:textFill>
              </w:rPr>
              <w:t>t/a、氨氮：0.00</w:t>
            </w:r>
            <w:r>
              <w:rPr>
                <w:rFonts w:hint="eastAsia"/>
                <w:color w:val="000000" w:themeColor="text1"/>
                <w14:textFill>
                  <w14:solidFill>
                    <w14:schemeClr w14:val="tx1"/>
                  </w14:solidFill>
                </w14:textFill>
              </w:rPr>
              <w:t>22</w:t>
            </w:r>
            <w:r>
              <w:rPr>
                <w:color w:val="000000" w:themeColor="text1"/>
                <w14:textFill>
                  <w14:solidFill>
                    <w14:schemeClr w14:val="tx1"/>
                  </w14:solidFill>
                </w14:textFill>
              </w:rPr>
              <w:t>t/a、TP：0.00</w:t>
            </w:r>
            <w:r>
              <w:rPr>
                <w:rFonts w:hint="eastAsia"/>
                <w:color w:val="000000" w:themeColor="text1"/>
                <w14:textFill>
                  <w14:solidFill>
                    <w14:schemeClr w14:val="tx1"/>
                  </w14:solidFill>
                </w14:textFill>
              </w:rPr>
              <w:t>29</w:t>
            </w:r>
            <w:r>
              <w:rPr>
                <w:color w:val="000000" w:themeColor="text1"/>
                <w14:textFill>
                  <w14:solidFill>
                    <w14:schemeClr w14:val="tx1"/>
                  </w14:solidFill>
                </w14:textFill>
              </w:rPr>
              <w:t>t/a。</w:t>
            </w:r>
          </w:p>
          <w:p>
            <w:pPr>
              <w:numPr>
                <w:ilvl w:val="0"/>
                <w:numId w:val="14"/>
              </w:numPr>
              <w:tabs>
                <w:tab w:val="left" w:pos="5580"/>
              </w:tabs>
              <w:adjustRightInd w:val="0"/>
              <w:ind w:firstLine="480" w:firstLineChars="200"/>
              <w:textAlignment w:val="baseline"/>
              <w:rPr>
                <w:color w:val="000000" w:themeColor="text1"/>
                <w14:textFill>
                  <w14:solidFill>
                    <w14:schemeClr w14:val="tx1"/>
                  </w14:solidFill>
                </w14:textFill>
              </w:rPr>
            </w:pPr>
            <w:r>
              <w:rPr>
                <w:color w:val="000000" w:themeColor="text1"/>
                <w14:textFill>
                  <w14:solidFill>
                    <w14:schemeClr w14:val="tx1"/>
                  </w14:solidFill>
                </w14:textFill>
              </w:rPr>
              <w:t>固体废弃物</w:t>
            </w:r>
          </w:p>
          <w:p>
            <w:pPr>
              <w:tabs>
                <w:tab w:val="left" w:pos="5580"/>
              </w:tabs>
              <w:adjustRightInd w:val="0"/>
              <w:ind w:firstLine="480" w:firstLineChars="200"/>
              <w:textAlignment w:val="baseline"/>
              <w:rPr>
                <w:color w:val="000000" w:themeColor="text1"/>
                <w14:textFill>
                  <w14:solidFill>
                    <w14:schemeClr w14:val="tx1"/>
                  </w14:solidFill>
                </w14:textFill>
              </w:rPr>
            </w:pPr>
            <w:r>
              <w:rPr>
                <w:color w:val="000000" w:themeColor="text1"/>
                <w14:textFill>
                  <w14:solidFill>
                    <w14:schemeClr w14:val="tx1"/>
                  </w14:solidFill>
                </w14:textFill>
              </w:rPr>
              <w:t>全部得到合理处置，处置率100%。</w:t>
            </w:r>
          </w:p>
        </w:tc>
      </w:tr>
    </w:tbl>
    <w:p>
      <w:pPr>
        <w:pStyle w:val="24"/>
        <w:spacing w:before="0" w:beforeAutospacing="0" w:after="0" w:afterAutospacing="0"/>
        <w:jc w:val="center"/>
        <w:outlineLvl w:val="0"/>
        <w:rPr>
          <w:rFonts w:ascii="Times New Roman" w:hAnsi="Times New Roman"/>
          <w:snapToGrid w:val="0"/>
          <w:color w:val="000000" w:themeColor="text1"/>
          <w:sz w:val="30"/>
          <w:szCs w:val="30"/>
          <w14:textFill>
            <w14:solidFill>
              <w14:schemeClr w14:val="tx1"/>
            </w14:solidFill>
          </w14:textFill>
        </w:rPr>
      </w:pPr>
      <w:r>
        <w:rPr>
          <w:rFonts w:ascii="Times New Roman" w:hAnsi="Times New Roman"/>
          <w:snapToGrid w:val="0"/>
          <w:color w:val="000000" w:themeColor="text1"/>
          <w:sz w:val="36"/>
          <w:szCs w:val="36"/>
          <w14:textFill>
            <w14:solidFill>
              <w14:schemeClr w14:val="tx1"/>
            </w14:solidFill>
          </w14:textFill>
        </w:rPr>
        <w:br w:type="page"/>
      </w:r>
      <w:bookmarkStart w:id="19" w:name="_Toc21914"/>
      <w:r>
        <w:rPr>
          <w:rFonts w:ascii="Times New Roman" w:hAnsi="Times New Roman"/>
          <w:snapToGrid w:val="0"/>
          <w:color w:val="000000" w:themeColor="text1"/>
          <w:sz w:val="30"/>
          <w:szCs w:val="30"/>
          <w14:textFill>
            <w14:solidFill>
              <w14:schemeClr w14:val="tx1"/>
            </w14:solidFill>
          </w14:textFill>
        </w:rPr>
        <w:t>四、主要环境影响和保护措施</w:t>
      </w:r>
      <w:bookmarkEnd w:id="19"/>
    </w:p>
    <w:tbl>
      <w:tblPr>
        <w:tblStyle w:val="28"/>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49" w:hRule="atLeast"/>
          <w:jc w:val="center"/>
        </w:trPr>
        <w:tc>
          <w:tcPr>
            <w:tcW w:w="746" w:type="dxa"/>
            <w:tcMar>
              <w:left w:w="28" w:type="dxa"/>
              <w:right w:w="28" w:type="dxa"/>
            </w:tcMar>
            <w:vAlign w:val="center"/>
          </w:tcPr>
          <w:p>
            <w:pPr>
              <w:pStyle w:val="24"/>
              <w:adjustRightInd w:val="0"/>
              <w:snapToGrid w:val="0"/>
              <w:spacing w:before="0" w:beforeAutospacing="0" w:after="0" w:afterAutospacing="0"/>
              <w:jc w:val="center"/>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施工</w:t>
            </w:r>
          </w:p>
          <w:p>
            <w:pPr>
              <w:pStyle w:val="24"/>
              <w:adjustRightInd w:val="0"/>
              <w:snapToGrid w:val="0"/>
              <w:spacing w:before="0" w:beforeAutospacing="0" w:after="0" w:afterAutospacing="0"/>
              <w:jc w:val="center"/>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期环</w:t>
            </w:r>
          </w:p>
          <w:p>
            <w:pPr>
              <w:pStyle w:val="24"/>
              <w:adjustRightInd w:val="0"/>
              <w:snapToGrid w:val="0"/>
              <w:spacing w:before="0" w:beforeAutospacing="0" w:after="0" w:afterAutospacing="0"/>
              <w:jc w:val="center"/>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境保</w:t>
            </w:r>
          </w:p>
          <w:p>
            <w:pPr>
              <w:pStyle w:val="24"/>
              <w:adjustRightInd w:val="0"/>
              <w:snapToGrid w:val="0"/>
              <w:spacing w:before="0" w:beforeAutospacing="0" w:after="0" w:afterAutospacing="0"/>
              <w:jc w:val="center"/>
              <w:rPr>
                <w:rFonts w:ascii="Times New Roman" w:hAnsi="Times New Roman"/>
                <w:color w:val="000000" w:themeColor="text1"/>
                <w:szCs w:val="24"/>
                <w14:textFill>
                  <w14:solidFill>
                    <w14:schemeClr w14:val="tx1"/>
                  </w14:solidFill>
                </w14:textFill>
              </w:rPr>
            </w:pPr>
            <w:r>
              <w:rPr>
                <w:rFonts w:ascii="Times New Roman" w:hAnsi="Times New Roman"/>
                <w:color w:val="000000" w:themeColor="text1"/>
                <w:szCs w:val="24"/>
                <w14:textFill>
                  <w14:solidFill>
                    <w14:schemeClr w14:val="tx1"/>
                  </w14:solidFill>
                </w14:textFill>
              </w:rPr>
              <w:t>护措</w:t>
            </w:r>
          </w:p>
          <w:p>
            <w:pPr>
              <w:pStyle w:val="24"/>
              <w:adjustRightInd w:val="0"/>
              <w:snapToGrid w:val="0"/>
              <w:spacing w:before="0" w:beforeAutospacing="0" w:after="0" w:afterAutospacing="0"/>
              <w:jc w:val="center"/>
              <w:rPr>
                <w:rFonts w:ascii="Times New Roman" w:hAnsi="Times New Roman"/>
                <w:bCs/>
                <w:color w:val="000000" w:themeColor="text1"/>
                <w:sz w:val="21"/>
                <w:szCs w:val="21"/>
                <w14:textFill>
                  <w14:solidFill>
                    <w14:schemeClr w14:val="tx1"/>
                  </w14:solidFill>
                </w14:textFill>
              </w:rPr>
            </w:pPr>
            <w:r>
              <w:rPr>
                <w:rFonts w:ascii="Times New Roman" w:hAnsi="Times New Roman"/>
                <w:color w:val="000000" w:themeColor="text1"/>
                <w:szCs w:val="24"/>
                <w14:textFill>
                  <w14:solidFill>
                    <w14:schemeClr w14:val="tx1"/>
                  </w14:solidFill>
                </w14:textFill>
              </w:rPr>
              <w:t>施</w:t>
            </w:r>
          </w:p>
        </w:tc>
        <w:tc>
          <w:tcPr>
            <w:tcW w:w="8162" w:type="dxa"/>
            <w:vAlign w:val="center"/>
          </w:tcPr>
          <w:p>
            <w:pPr>
              <w:adjustRightInd w:val="0"/>
              <w:snapToGrid w:val="0"/>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本项目租用</w:t>
            </w:r>
            <w:r>
              <w:rPr>
                <w:rFonts w:hint="eastAsia"/>
                <w:color w:val="000000" w:themeColor="text1"/>
                <w:kern w:val="0"/>
                <w14:textFill>
                  <w14:solidFill>
                    <w14:schemeClr w14:val="tx1"/>
                  </w14:solidFill>
                </w14:textFill>
              </w:rPr>
              <w:t>晋宁志诚物流有限责任公司</w:t>
            </w:r>
            <w:r>
              <w:rPr>
                <w:color w:val="000000" w:themeColor="text1"/>
                <w:kern w:val="0"/>
                <w14:textFill>
                  <w14:solidFill>
                    <w14:schemeClr w14:val="tx1"/>
                  </w14:solidFill>
                </w14:textFill>
              </w:rPr>
              <w:t>厂房进行建设，施工期主要为设备安装、调试，无土建、装修等工程，产生的污染物主要为施工粉尘、施工人员洗手和冲厕废水、施工噪声，以及废弃的设备包装材料、金属零件等。针对这些污染</w:t>
            </w:r>
            <w:r>
              <w:rPr>
                <w:rFonts w:hint="eastAsia"/>
                <w:color w:val="000000" w:themeColor="text1"/>
                <w:kern w:val="0"/>
                <w14:textFill>
                  <w14:solidFill>
                    <w14:schemeClr w14:val="tx1"/>
                  </w14:solidFill>
                </w14:textFill>
              </w:rPr>
              <w:t>，施工期</w:t>
            </w:r>
            <w:r>
              <w:rPr>
                <w:color w:val="000000" w:themeColor="text1"/>
                <w:kern w:val="0"/>
                <w14:textFill>
                  <w14:solidFill>
                    <w14:schemeClr w14:val="tx1"/>
                  </w14:solidFill>
                </w14:textFill>
              </w:rPr>
              <w:t>采取的环保措施如下</w:t>
            </w:r>
            <w:r>
              <w:rPr>
                <w:rFonts w:hint="eastAsia"/>
                <w:color w:val="000000" w:themeColor="text1"/>
                <w:kern w:val="0"/>
                <w14:textFill>
                  <w14:solidFill>
                    <w14:schemeClr w14:val="tx1"/>
                  </w14:solidFill>
                </w14:textFill>
              </w:rPr>
              <w:t>：</w:t>
            </w:r>
          </w:p>
          <w:p>
            <w:pPr>
              <w:numPr>
                <w:ilvl w:val="0"/>
                <w:numId w:val="15"/>
              </w:numPr>
              <w:adjustRightInd w:val="0"/>
              <w:snapToGrid w:val="0"/>
              <w:ind w:firstLine="482" w:firstLineChars="200"/>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废气</w:t>
            </w:r>
          </w:p>
          <w:p>
            <w:pPr>
              <w:pStyle w:val="22"/>
              <w:adjustRightInd w:val="0"/>
              <w:ind w:firstLine="480" w:firstLineChars="200"/>
              <w:jc w:val="both"/>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施工期主要进行设备安装，扬尘产生量较小，施工活动均在厂房内完成，施工粉尘以及车辆扬尘采取洒水抑尘的措施。</w:t>
            </w:r>
          </w:p>
          <w:p>
            <w:pPr>
              <w:pStyle w:val="22"/>
              <w:adjustRightInd w:val="0"/>
              <w:ind w:firstLine="482" w:firstLineChars="200"/>
              <w:jc w:val="both"/>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2、废水</w:t>
            </w:r>
          </w:p>
          <w:p>
            <w:pPr>
              <w:pStyle w:val="22"/>
              <w:adjustRightInd w:val="0"/>
              <w:ind w:firstLine="480" w:firstLineChars="200"/>
              <w:jc w:val="both"/>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施工期主要进行设备安装、调试，不产生施工废水，施工人员不在场地食宿，废水主要为施工人员的生活污水。施工人员清洁、如厕均在</w:t>
            </w:r>
            <w:r>
              <w:rPr>
                <w:rFonts w:hint="eastAsia"/>
                <w:color w:val="000000" w:themeColor="text1"/>
                <w:sz w:val="24"/>
                <w:szCs w:val="24"/>
                <w14:textFill>
                  <w14:solidFill>
                    <w14:schemeClr w14:val="tx1"/>
                  </w14:solidFill>
                </w14:textFill>
              </w:rPr>
              <w:t>晋宁志诚物流有限责任公司</w:t>
            </w:r>
            <w:r>
              <w:rPr>
                <w:color w:val="000000" w:themeColor="text1"/>
                <w:sz w:val="24"/>
                <w:szCs w:val="24"/>
                <w14:textFill>
                  <w14:solidFill>
                    <w14:schemeClr w14:val="tx1"/>
                  </w14:solidFill>
                </w14:textFill>
              </w:rPr>
              <w:t>办公楼内进行，产生的生活污水经</w:t>
            </w:r>
            <w:r>
              <w:rPr>
                <w:rFonts w:hint="eastAsia"/>
                <w:color w:val="000000" w:themeColor="text1"/>
                <w:sz w:val="24"/>
                <w:szCs w:val="24"/>
                <w14:textFill>
                  <w14:solidFill>
                    <w14:schemeClr w14:val="tx1"/>
                  </w14:solidFill>
                </w14:textFill>
              </w:rPr>
              <w:t>办公生活区</w:t>
            </w:r>
            <w:r>
              <w:rPr>
                <w:color w:val="000000" w:themeColor="text1"/>
                <w:sz w:val="24"/>
                <w:szCs w:val="24"/>
                <w14:textFill>
                  <w14:solidFill>
                    <w14:schemeClr w14:val="tx1"/>
                  </w14:solidFill>
                </w14:textFill>
              </w:rPr>
              <w:t>配套化粪池处理后</w:t>
            </w:r>
            <w:r>
              <w:rPr>
                <w:rFonts w:hint="eastAsia"/>
                <w:color w:val="000000" w:themeColor="text1"/>
                <w:sz w:val="24"/>
                <w:szCs w:val="24"/>
                <w14:textFill>
                  <w14:solidFill>
                    <w14:schemeClr w14:val="tx1"/>
                  </w14:solidFill>
                </w14:textFill>
              </w:rPr>
              <w:t>，达《污水排入城镇下水道水质标准》（GB/T31962-2015）表1A级标准后接</w:t>
            </w:r>
            <w:r>
              <w:rPr>
                <w:color w:val="000000" w:themeColor="text1"/>
                <w:sz w:val="24"/>
                <w:szCs w:val="24"/>
                <w14:textFill>
                  <w14:solidFill>
                    <w14:schemeClr w14:val="tx1"/>
                  </w14:solidFill>
                </w14:textFill>
              </w:rPr>
              <w:t>入园区管网，</w:t>
            </w:r>
            <w:r>
              <w:rPr>
                <w:rFonts w:hint="eastAsia"/>
                <w:color w:val="000000" w:themeColor="text1"/>
                <w:sz w:val="24"/>
                <w:szCs w:val="24"/>
                <w14:textFill>
                  <w14:solidFill>
                    <w14:schemeClr w14:val="tx1"/>
                  </w14:solidFill>
                </w14:textFill>
              </w:rPr>
              <w:t>最终进入环湖西岸污水处理厂</w:t>
            </w:r>
            <w:r>
              <w:rPr>
                <w:color w:val="000000" w:themeColor="text1"/>
                <w:sz w:val="24"/>
                <w:szCs w:val="24"/>
                <w14:textFill>
                  <w14:solidFill>
                    <w14:schemeClr w14:val="tx1"/>
                  </w14:solidFill>
                </w14:textFill>
              </w:rPr>
              <w:t>。</w:t>
            </w:r>
          </w:p>
          <w:p>
            <w:pPr>
              <w:pStyle w:val="22"/>
              <w:adjustRightInd w:val="0"/>
              <w:ind w:firstLine="482" w:firstLineChars="200"/>
              <w:jc w:val="both"/>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3、噪声</w:t>
            </w:r>
          </w:p>
          <w:p>
            <w:pPr>
              <w:pStyle w:val="22"/>
              <w:adjustRightInd w:val="0"/>
              <w:ind w:firstLine="480" w:firstLineChars="200"/>
              <w:jc w:val="both"/>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施工期噪声主要为设备安装时的敲击声，通过厂房进行隔声，并禁止施工人员抛掷物品，搬运时尽量轻拿轻放，合理安排施工时间（中午（12:00～14:00）和夜间（22:00～次日 6:00）不施工）。</w:t>
            </w:r>
          </w:p>
          <w:p>
            <w:pPr>
              <w:pStyle w:val="22"/>
              <w:adjustRightInd w:val="0"/>
              <w:ind w:firstLine="482" w:firstLineChars="200"/>
              <w:jc w:val="both"/>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4、固废</w:t>
            </w:r>
          </w:p>
          <w:p>
            <w:pPr>
              <w:pStyle w:val="22"/>
              <w:adjustRightInd w:val="0"/>
              <w:ind w:firstLine="480" w:firstLineChars="200"/>
              <w:jc w:val="both"/>
              <w:rPr>
                <w:color w:val="000000" w:themeColor="text1"/>
                <w14:textFill>
                  <w14:solidFill>
                    <w14:schemeClr w14:val="tx1"/>
                  </w14:solidFill>
                </w14:textFill>
              </w:rPr>
            </w:pPr>
            <w:r>
              <w:rPr>
                <w:color w:val="000000" w:themeColor="text1"/>
                <w:sz w:val="24"/>
                <w:szCs w:val="24"/>
                <w14:textFill>
                  <w14:solidFill>
                    <w14:schemeClr w14:val="tx1"/>
                  </w14:solidFill>
                </w14:textFill>
              </w:rPr>
              <w:t>本项目施工期产生的固体废物主要是废弃的</w:t>
            </w:r>
            <w:r>
              <w:rPr>
                <w:rFonts w:hint="eastAsia"/>
                <w:color w:val="000000" w:themeColor="text1"/>
                <w:sz w:val="24"/>
                <w:szCs w:val="24"/>
                <w14:textFill>
                  <w14:solidFill>
                    <w14:schemeClr w14:val="tx1"/>
                  </w14:solidFill>
                </w14:textFill>
              </w:rPr>
              <w:t>建筑垃圾与生活垃圾</w:t>
            </w:r>
            <w:r>
              <w:rPr>
                <w:color w:val="000000" w:themeColor="text1"/>
                <w:sz w:val="24"/>
                <w:szCs w:val="24"/>
                <w14:textFill>
                  <w14:solidFill>
                    <w14:schemeClr w14:val="tx1"/>
                  </w14:solidFill>
                </w14:textFill>
              </w:rPr>
              <w:t>。废弃建筑垃圾</w:t>
            </w:r>
            <w:r>
              <w:rPr>
                <w:rFonts w:hint="eastAsia"/>
                <w:color w:val="000000" w:themeColor="text1"/>
                <w:sz w:val="24"/>
                <w:szCs w:val="24"/>
                <w14:textFill>
                  <w14:solidFill>
                    <w14:schemeClr w14:val="tx1"/>
                  </w14:solidFill>
                </w14:textFill>
              </w:rPr>
              <w:t>能回收利用的回收利用，不能回收利用的</w:t>
            </w:r>
            <w:r>
              <w:rPr>
                <w:color w:val="000000" w:themeColor="text1"/>
                <w:sz w:val="24"/>
                <w:szCs w:val="24"/>
                <w14:textFill>
                  <w14:solidFill>
                    <w14:schemeClr w14:val="tx1"/>
                  </w14:solidFill>
                </w14:textFill>
              </w:rPr>
              <w:t>严格按照《昆明市人民政府办公厅关于转发昆明市城市建筑垃圾管理实施办法实施细则的通知》（昆政办﹝2011﹞88号）的相关规定进行处置</w:t>
            </w:r>
            <w:r>
              <w:rPr>
                <w:rFonts w:hint="eastAsia"/>
                <w:color w:val="000000" w:themeColor="text1"/>
                <w:sz w:val="24"/>
                <w:szCs w:val="24"/>
                <w14:textFill>
                  <w14:solidFill>
                    <w14:schemeClr w14:val="tx1"/>
                  </w14:solidFill>
                </w14:textFill>
              </w:rPr>
              <w:t>。施工人员生活垃圾经晋宁志诚物流有限责任公司厂区内垃圾桶收集，依托园区物业管理，最终由环卫部门清运处置。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46" w:type="dxa"/>
            <w:tcMar>
              <w:left w:w="28" w:type="dxa"/>
              <w:right w:w="28" w:type="dxa"/>
            </w:tcMar>
            <w:vAlign w:val="center"/>
          </w:tcPr>
          <w:p>
            <w:pPr>
              <w:adjustRightInd w:val="0"/>
              <w:snapToGrid w:val="0"/>
              <w:jc w:val="center"/>
              <w:rPr>
                <w:bCs/>
                <w:color w:val="000000" w:themeColor="text1"/>
                <w:kern w:val="0"/>
                <w14:textFill>
                  <w14:solidFill>
                    <w14:schemeClr w14:val="tx1"/>
                  </w14:solidFill>
                </w14:textFill>
              </w:rPr>
            </w:pPr>
            <w:r>
              <w:rPr>
                <w:bCs/>
                <w:color w:val="000000" w:themeColor="text1"/>
                <w:kern w:val="0"/>
                <w14:textFill>
                  <w14:solidFill>
                    <w14:schemeClr w14:val="tx1"/>
                  </w14:solidFill>
                </w14:textFill>
              </w:rPr>
              <w:t>运营</w:t>
            </w:r>
          </w:p>
          <w:p>
            <w:pPr>
              <w:adjustRightInd w:val="0"/>
              <w:snapToGrid w:val="0"/>
              <w:jc w:val="center"/>
              <w:rPr>
                <w:bCs/>
                <w:color w:val="000000" w:themeColor="text1"/>
                <w:kern w:val="0"/>
                <w14:textFill>
                  <w14:solidFill>
                    <w14:schemeClr w14:val="tx1"/>
                  </w14:solidFill>
                </w14:textFill>
              </w:rPr>
            </w:pPr>
            <w:r>
              <w:rPr>
                <w:bCs/>
                <w:color w:val="000000" w:themeColor="text1"/>
                <w:kern w:val="0"/>
                <w14:textFill>
                  <w14:solidFill>
                    <w14:schemeClr w14:val="tx1"/>
                  </w14:solidFill>
                </w14:textFill>
              </w:rPr>
              <w:t>期环</w:t>
            </w:r>
          </w:p>
          <w:p>
            <w:pPr>
              <w:adjustRightInd w:val="0"/>
              <w:snapToGrid w:val="0"/>
              <w:jc w:val="center"/>
              <w:rPr>
                <w:bCs/>
                <w:color w:val="000000" w:themeColor="text1"/>
                <w:kern w:val="0"/>
                <w14:textFill>
                  <w14:solidFill>
                    <w14:schemeClr w14:val="tx1"/>
                  </w14:solidFill>
                </w14:textFill>
              </w:rPr>
            </w:pPr>
            <w:r>
              <w:rPr>
                <w:bCs/>
                <w:color w:val="000000" w:themeColor="text1"/>
                <w:kern w:val="0"/>
                <w14:textFill>
                  <w14:solidFill>
                    <w14:schemeClr w14:val="tx1"/>
                  </w14:solidFill>
                </w14:textFill>
              </w:rPr>
              <w:t>境影</w:t>
            </w:r>
          </w:p>
          <w:p>
            <w:pPr>
              <w:adjustRightInd w:val="0"/>
              <w:snapToGrid w:val="0"/>
              <w:jc w:val="center"/>
              <w:rPr>
                <w:bCs/>
                <w:color w:val="000000" w:themeColor="text1"/>
                <w:kern w:val="0"/>
                <w14:textFill>
                  <w14:solidFill>
                    <w14:schemeClr w14:val="tx1"/>
                  </w14:solidFill>
                </w14:textFill>
              </w:rPr>
            </w:pPr>
            <w:r>
              <w:rPr>
                <w:bCs/>
                <w:color w:val="000000" w:themeColor="text1"/>
                <w:kern w:val="0"/>
                <w14:textFill>
                  <w14:solidFill>
                    <w14:schemeClr w14:val="tx1"/>
                  </w14:solidFill>
                </w14:textFill>
              </w:rPr>
              <w:t>响和</w:t>
            </w:r>
          </w:p>
          <w:p>
            <w:pPr>
              <w:adjustRightInd w:val="0"/>
              <w:snapToGrid w:val="0"/>
              <w:jc w:val="center"/>
              <w:rPr>
                <w:bCs/>
                <w:color w:val="000000" w:themeColor="text1"/>
                <w:kern w:val="0"/>
                <w14:textFill>
                  <w14:solidFill>
                    <w14:schemeClr w14:val="tx1"/>
                  </w14:solidFill>
                </w14:textFill>
              </w:rPr>
            </w:pPr>
            <w:r>
              <w:rPr>
                <w:bCs/>
                <w:color w:val="000000" w:themeColor="text1"/>
                <w:kern w:val="0"/>
                <w14:textFill>
                  <w14:solidFill>
                    <w14:schemeClr w14:val="tx1"/>
                  </w14:solidFill>
                </w14:textFill>
              </w:rPr>
              <w:t>保护</w:t>
            </w:r>
          </w:p>
          <w:p>
            <w:pPr>
              <w:adjustRightInd w:val="0"/>
              <w:snapToGrid w:val="0"/>
              <w:jc w:val="center"/>
              <w:rPr>
                <w:bCs/>
                <w:color w:val="000000" w:themeColor="text1"/>
                <w:kern w:val="0"/>
                <w:szCs w:val="21"/>
                <w14:textFill>
                  <w14:solidFill>
                    <w14:schemeClr w14:val="tx1"/>
                  </w14:solidFill>
                </w14:textFill>
              </w:rPr>
            </w:pPr>
            <w:r>
              <w:rPr>
                <w:bCs/>
                <w:color w:val="000000" w:themeColor="text1"/>
                <w:kern w:val="0"/>
                <w14:textFill>
                  <w14:solidFill>
                    <w14:schemeClr w14:val="tx1"/>
                  </w14:solidFill>
                </w14:textFill>
              </w:rPr>
              <w:t>措施</w:t>
            </w:r>
          </w:p>
        </w:tc>
        <w:tc>
          <w:tcPr>
            <w:tcW w:w="8162" w:type="dxa"/>
            <w:vAlign w:val="center"/>
          </w:tcPr>
          <w:p>
            <w:pPr>
              <w:pStyle w:val="22"/>
              <w:adjustRightInd w:val="0"/>
              <w:rPr>
                <w:b/>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一、废气</w:t>
            </w:r>
          </w:p>
          <w:p>
            <w:pPr>
              <w:pStyle w:val="22"/>
              <w:adjustRightInd w:val="0"/>
              <w:ind w:firstLine="482" w:firstLineChars="200"/>
              <w:jc w:val="both"/>
              <w:rPr>
                <w:bCs/>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1、污染源强核算</w:t>
            </w:r>
          </w:p>
          <w:p>
            <w:pPr>
              <w:pStyle w:val="22"/>
              <w:adjustRightInd w:val="0"/>
              <w:ind w:firstLine="480" w:firstLineChars="200"/>
              <w:jc w:val="both"/>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根据</w:t>
            </w:r>
            <w:r>
              <w:rPr>
                <w:rFonts w:hint="eastAsia"/>
                <w:bCs/>
                <w:color w:val="000000" w:themeColor="text1"/>
                <w:sz w:val="24"/>
                <w:szCs w:val="24"/>
                <w14:textFill>
                  <w14:solidFill>
                    <w14:schemeClr w14:val="tx1"/>
                  </w14:solidFill>
                </w14:textFill>
              </w:rPr>
              <w:t>《排放源统计调查产排污核算方法和系数手册》中</w:t>
            </w:r>
            <w:r>
              <w:rPr>
                <w:bCs/>
                <w:color w:val="000000" w:themeColor="text1"/>
                <w:sz w:val="24"/>
                <w:szCs w:val="24"/>
                <w14:textFill>
                  <w14:solidFill>
                    <w14:schemeClr w14:val="tx1"/>
                  </w14:solidFill>
                </w14:textFill>
              </w:rPr>
              <w:t>”机械行业系数手册”</w:t>
            </w:r>
            <w:r>
              <w:rPr>
                <w:rFonts w:hint="eastAsia"/>
                <w:bCs/>
                <w:color w:val="000000" w:themeColor="text1"/>
                <w:sz w:val="24"/>
                <w:szCs w:val="24"/>
                <w14:textFill>
                  <w14:solidFill>
                    <w14:schemeClr w14:val="tx1"/>
                  </w14:solidFill>
                </w14:textFill>
              </w:rPr>
              <w:t>的产排污系数</w:t>
            </w:r>
            <w:r>
              <w:rPr>
                <w:bCs/>
                <w:color w:val="000000" w:themeColor="text1"/>
                <w:sz w:val="24"/>
                <w:szCs w:val="24"/>
                <w14:textFill>
                  <w14:solidFill>
                    <w14:schemeClr w14:val="tx1"/>
                  </w14:solidFill>
                </w14:textFill>
              </w:rPr>
              <w:t>，本项目产生的废气有焊接工段产生的焊接烟尘</w:t>
            </w:r>
            <w:r>
              <w:rPr>
                <w:rFonts w:hint="eastAsia"/>
                <w:bCs/>
                <w:color w:val="000000" w:themeColor="text1"/>
                <w:sz w:val="24"/>
                <w:szCs w:val="24"/>
                <w14:textFill>
                  <w14:solidFill>
                    <w14:schemeClr w14:val="tx1"/>
                  </w14:solidFill>
                </w14:textFill>
              </w:rPr>
              <w:t>、</w:t>
            </w:r>
            <w:r>
              <w:rPr>
                <w:bCs/>
                <w:color w:val="000000" w:themeColor="text1"/>
                <w:sz w:val="24"/>
                <w:szCs w:val="24"/>
                <w14:textFill>
                  <w14:solidFill>
                    <w14:schemeClr w14:val="tx1"/>
                  </w14:solidFill>
                </w14:textFill>
              </w:rPr>
              <w:t>喷漆工段产生的挥发性有机物</w:t>
            </w:r>
            <w:r>
              <w:rPr>
                <w:rFonts w:hint="eastAsia"/>
                <w:bCs/>
                <w:color w:val="000000" w:themeColor="text1"/>
                <w:sz w:val="24"/>
                <w:szCs w:val="24"/>
                <w14:textFill>
                  <w14:solidFill>
                    <w14:schemeClr w14:val="tx1"/>
                  </w14:solidFill>
                </w14:textFill>
              </w:rPr>
              <w:t>及漆雾、打磨粉尘</w:t>
            </w:r>
            <w:r>
              <w:rPr>
                <w:bCs/>
                <w:color w:val="000000" w:themeColor="text1"/>
                <w:sz w:val="24"/>
                <w:szCs w:val="24"/>
                <w14:textFill>
                  <w14:solidFill>
                    <w14:schemeClr w14:val="tx1"/>
                  </w14:solidFill>
                </w14:textFill>
              </w:rPr>
              <w:t>。各源强核算如下：</w:t>
            </w:r>
          </w:p>
          <w:p>
            <w:pPr>
              <w:pStyle w:val="22"/>
              <w:adjustRightInd w:val="0"/>
              <w:ind w:firstLine="482" w:firstLineChars="200"/>
              <w:jc w:val="both"/>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w:t>
            </w:r>
            <w:r>
              <w:rPr>
                <w:rFonts w:hint="eastAsia"/>
                <w:b/>
                <w:color w:val="000000" w:themeColor="text1"/>
                <w:sz w:val="24"/>
                <w:szCs w:val="24"/>
                <w14:textFill>
                  <w14:solidFill>
                    <w14:schemeClr w14:val="tx1"/>
                  </w14:solidFill>
                </w14:textFill>
              </w:rPr>
              <w:t>1</w:t>
            </w:r>
            <w:r>
              <w:rPr>
                <w:b/>
                <w:color w:val="000000" w:themeColor="text1"/>
                <w:sz w:val="24"/>
                <w:szCs w:val="24"/>
                <w14:textFill>
                  <w14:solidFill>
                    <w14:schemeClr w14:val="tx1"/>
                  </w14:solidFill>
                </w14:textFill>
              </w:rPr>
              <w:t>）焊接烟尘</w:t>
            </w:r>
          </w:p>
          <w:p>
            <w:pPr>
              <w:widowControl/>
              <w:ind w:firstLine="480" w:firstLineChars="200"/>
              <w:jc w:val="left"/>
              <w:rPr>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项目在焊接中将产生焊接烟尘，该烟尘是由金属在过热条件下产生的蒸汽经氧化和冷凝而形成的，烟尘粒子小呈碎片状。焊接烟尘的主要有害物质为</w:t>
            </w:r>
            <w:r>
              <w:rPr>
                <w:color w:val="000000" w:themeColor="text1"/>
                <w:kern w:val="0"/>
                <w:lang w:bidi="ar"/>
                <w14:textFill>
                  <w14:solidFill>
                    <w14:schemeClr w14:val="tx1"/>
                  </w14:solidFill>
                </w14:textFill>
              </w:rPr>
              <w:t>Fe</w:t>
            </w:r>
            <w:r>
              <w:rPr>
                <w:color w:val="000000" w:themeColor="text1"/>
                <w:kern w:val="0"/>
                <w:vertAlign w:val="subscript"/>
                <w:lang w:bidi="ar"/>
                <w14:textFill>
                  <w14:solidFill>
                    <w14:schemeClr w14:val="tx1"/>
                  </w14:solidFill>
                </w14:textFill>
              </w:rPr>
              <w:t>2</w:t>
            </w:r>
            <w:r>
              <w:rPr>
                <w:color w:val="000000" w:themeColor="text1"/>
                <w:kern w:val="0"/>
                <w:lang w:bidi="ar"/>
                <w14:textFill>
                  <w14:solidFill>
                    <w14:schemeClr w14:val="tx1"/>
                  </w14:solidFill>
                </w14:textFill>
              </w:rPr>
              <w:t>O</w:t>
            </w:r>
            <w:r>
              <w:rPr>
                <w:color w:val="000000" w:themeColor="text1"/>
                <w:kern w:val="0"/>
                <w:vertAlign w:val="subscript"/>
                <w:lang w:bidi="ar"/>
                <w14:textFill>
                  <w14:solidFill>
                    <w14:schemeClr w14:val="tx1"/>
                  </w14:solidFill>
                </w14:textFill>
              </w:rPr>
              <w:t>3</w:t>
            </w:r>
            <w:r>
              <w:rPr>
                <w:rFonts w:hint="eastAsia" w:ascii="宋体" w:hAnsi="宋体" w:cs="宋体"/>
                <w:color w:val="000000" w:themeColor="text1"/>
                <w:kern w:val="0"/>
                <w:lang w:bidi="ar"/>
                <w14:textFill>
                  <w14:solidFill>
                    <w14:schemeClr w14:val="tx1"/>
                  </w14:solidFill>
                </w14:textFill>
              </w:rPr>
              <w:t>、</w:t>
            </w:r>
            <w:r>
              <w:rPr>
                <w:color w:val="000000" w:themeColor="text1"/>
                <w:kern w:val="0"/>
                <w:lang w:bidi="ar"/>
                <w14:textFill>
                  <w14:solidFill>
                    <w14:schemeClr w14:val="tx1"/>
                  </w14:solidFill>
                </w14:textFill>
              </w:rPr>
              <w:t>SiO</w:t>
            </w:r>
            <w:r>
              <w:rPr>
                <w:color w:val="000000" w:themeColor="text1"/>
                <w:kern w:val="0"/>
                <w:vertAlign w:val="subscript"/>
                <w:lang w:bidi="ar"/>
                <w14:textFill>
                  <w14:solidFill>
                    <w14:schemeClr w14:val="tx1"/>
                  </w14:solidFill>
                </w14:textFill>
              </w:rPr>
              <w:t>2</w:t>
            </w:r>
            <w:r>
              <w:rPr>
                <w:rFonts w:hint="eastAsia" w:ascii="宋体" w:hAnsi="宋体" w:cs="宋体"/>
                <w:color w:val="000000" w:themeColor="text1"/>
                <w:kern w:val="0"/>
                <w:lang w:bidi="ar"/>
                <w14:textFill>
                  <w14:solidFill>
                    <w14:schemeClr w14:val="tx1"/>
                  </w14:solidFill>
                </w14:textFill>
              </w:rPr>
              <w:t>、</w:t>
            </w:r>
            <w:r>
              <w:rPr>
                <w:color w:val="000000" w:themeColor="text1"/>
                <w:kern w:val="0"/>
                <w:lang w:bidi="ar"/>
                <w14:textFill>
                  <w14:solidFill>
                    <w14:schemeClr w14:val="tx1"/>
                  </w14:solidFill>
                </w14:textFill>
              </w:rPr>
              <w:t>MnO</w:t>
            </w:r>
            <w:r>
              <w:rPr>
                <w:color w:val="000000" w:themeColor="text1"/>
                <w:kern w:val="0"/>
                <w:vertAlign w:val="subscript"/>
                <w:lang w:bidi="ar"/>
                <w14:textFill>
                  <w14:solidFill>
                    <w14:schemeClr w14:val="tx1"/>
                  </w14:solidFill>
                </w14:textFill>
              </w:rPr>
              <w:t>2</w:t>
            </w:r>
            <w:r>
              <w:rPr>
                <w:rFonts w:hint="eastAsia" w:ascii="宋体" w:hAnsi="宋体" w:cs="宋体"/>
                <w:color w:val="000000" w:themeColor="text1"/>
                <w:kern w:val="0"/>
                <w:lang w:bidi="ar"/>
                <w14:textFill>
                  <w14:solidFill>
                    <w14:schemeClr w14:val="tx1"/>
                  </w14:solidFill>
                </w14:textFill>
              </w:rPr>
              <w:t>等，其中含量最多的为</w:t>
            </w:r>
            <w:r>
              <w:rPr>
                <w:color w:val="000000" w:themeColor="text1"/>
                <w:kern w:val="0"/>
                <w:lang w:bidi="ar"/>
                <w14:textFill>
                  <w14:solidFill>
                    <w14:schemeClr w14:val="tx1"/>
                  </w14:solidFill>
                </w14:textFill>
              </w:rPr>
              <w:t>Fe</w:t>
            </w:r>
            <w:r>
              <w:rPr>
                <w:color w:val="000000" w:themeColor="text1"/>
                <w:kern w:val="0"/>
                <w:vertAlign w:val="subscript"/>
                <w:lang w:bidi="ar"/>
                <w14:textFill>
                  <w14:solidFill>
                    <w14:schemeClr w14:val="tx1"/>
                  </w14:solidFill>
                </w14:textFill>
              </w:rPr>
              <w:t>2</w:t>
            </w:r>
            <w:r>
              <w:rPr>
                <w:color w:val="000000" w:themeColor="text1"/>
                <w:kern w:val="0"/>
                <w:lang w:bidi="ar"/>
                <w14:textFill>
                  <w14:solidFill>
                    <w14:schemeClr w14:val="tx1"/>
                  </w14:solidFill>
                </w14:textFill>
              </w:rPr>
              <w:t>O</w:t>
            </w:r>
            <w:r>
              <w:rPr>
                <w:color w:val="000000" w:themeColor="text1"/>
                <w:kern w:val="0"/>
                <w:vertAlign w:val="subscript"/>
                <w:lang w:bidi="ar"/>
                <w14:textFill>
                  <w14:solidFill>
                    <w14:schemeClr w14:val="tx1"/>
                  </w14:solidFill>
                </w14:textFill>
              </w:rPr>
              <w:t>3</w:t>
            </w:r>
            <w:r>
              <w:rPr>
                <w:rFonts w:hint="eastAsia" w:ascii="宋体" w:hAnsi="宋体" w:cs="宋体"/>
                <w:color w:val="000000" w:themeColor="text1"/>
                <w:kern w:val="0"/>
                <w:lang w:bidi="ar"/>
                <w14:textFill>
                  <w14:solidFill>
                    <w14:schemeClr w14:val="tx1"/>
                  </w14:solidFill>
                </w14:textFill>
              </w:rPr>
              <w:t>，一般占烟尘总量的</w:t>
            </w:r>
            <w:r>
              <w:rPr>
                <w:color w:val="000000" w:themeColor="text1"/>
                <w:kern w:val="0"/>
                <w:lang w:bidi="ar"/>
                <w14:textFill>
                  <w14:solidFill>
                    <w14:schemeClr w14:val="tx1"/>
                  </w14:solidFill>
                </w14:textFill>
              </w:rPr>
              <w:t>35.56%</w:t>
            </w:r>
            <w:r>
              <w:rPr>
                <w:rFonts w:hint="eastAsia" w:ascii="宋体" w:hAnsi="宋体" w:cs="宋体"/>
                <w:color w:val="000000" w:themeColor="text1"/>
                <w:kern w:val="0"/>
                <w:lang w:bidi="ar"/>
                <w14:textFill>
                  <w14:solidFill>
                    <w14:schemeClr w14:val="tx1"/>
                  </w14:solidFill>
                </w14:textFill>
              </w:rPr>
              <w:t>，其次是</w:t>
            </w:r>
            <w:r>
              <w:rPr>
                <w:color w:val="000000" w:themeColor="text1"/>
                <w:kern w:val="0"/>
                <w:lang w:bidi="ar"/>
                <w14:textFill>
                  <w14:solidFill>
                    <w14:schemeClr w14:val="tx1"/>
                  </w14:solidFill>
                </w14:textFill>
              </w:rPr>
              <w:t>SiO</w:t>
            </w:r>
            <w:r>
              <w:rPr>
                <w:color w:val="000000" w:themeColor="text1"/>
                <w:kern w:val="0"/>
                <w:vertAlign w:val="subscript"/>
                <w:lang w:bidi="ar"/>
                <w14:textFill>
                  <w14:solidFill>
                    <w14:schemeClr w14:val="tx1"/>
                  </w14:solidFill>
                </w14:textFill>
              </w:rPr>
              <w:t>2</w:t>
            </w:r>
            <w:r>
              <w:rPr>
                <w:rFonts w:hint="eastAsia" w:ascii="宋体" w:hAnsi="宋体" w:cs="宋体"/>
                <w:color w:val="000000" w:themeColor="text1"/>
                <w:kern w:val="0"/>
                <w:lang w:bidi="ar"/>
                <w14:textFill>
                  <w14:solidFill>
                    <w14:schemeClr w14:val="tx1"/>
                  </w14:solidFill>
                </w14:textFill>
              </w:rPr>
              <w:t>，其含量占</w:t>
            </w:r>
            <w:r>
              <w:rPr>
                <w:color w:val="000000" w:themeColor="text1"/>
                <w:kern w:val="0"/>
                <w:lang w:bidi="ar"/>
                <w14:textFill>
                  <w14:solidFill>
                    <w14:schemeClr w14:val="tx1"/>
                  </w14:solidFill>
                </w14:textFill>
              </w:rPr>
              <w:t>10~20%</w:t>
            </w:r>
            <w:r>
              <w:rPr>
                <w:rFonts w:hint="eastAsia" w:ascii="宋体" w:hAnsi="宋体" w:cs="宋体"/>
                <w:color w:val="000000" w:themeColor="text1"/>
                <w:kern w:val="0"/>
                <w:lang w:bidi="ar"/>
                <w14:textFill>
                  <w14:solidFill>
                    <w14:schemeClr w14:val="tx1"/>
                  </w14:solidFill>
                </w14:textFill>
              </w:rPr>
              <w:t>，</w:t>
            </w:r>
            <w:r>
              <w:rPr>
                <w:color w:val="000000" w:themeColor="text1"/>
                <w:kern w:val="0"/>
                <w:lang w:bidi="ar"/>
                <w14:textFill>
                  <w14:solidFill>
                    <w14:schemeClr w14:val="tx1"/>
                  </w14:solidFill>
                </w14:textFill>
              </w:rPr>
              <w:t>MnO</w:t>
            </w:r>
            <w:r>
              <w:rPr>
                <w:color w:val="000000" w:themeColor="text1"/>
                <w:kern w:val="0"/>
                <w:vertAlign w:val="subscript"/>
                <w:lang w:bidi="ar"/>
                <w14:textFill>
                  <w14:solidFill>
                    <w14:schemeClr w14:val="tx1"/>
                  </w14:solidFill>
                </w14:textFill>
              </w:rPr>
              <w:t>2</w:t>
            </w:r>
            <w:r>
              <w:rPr>
                <w:rFonts w:hint="eastAsia" w:ascii="宋体" w:hAnsi="宋体" w:cs="宋体"/>
                <w:color w:val="000000" w:themeColor="text1"/>
                <w:kern w:val="0"/>
                <w:lang w:bidi="ar"/>
                <w14:textFill>
                  <w14:solidFill>
                    <w14:schemeClr w14:val="tx1"/>
                  </w14:solidFill>
                </w14:textFill>
              </w:rPr>
              <w:t>占</w:t>
            </w:r>
            <w:r>
              <w:rPr>
                <w:color w:val="000000" w:themeColor="text1"/>
                <w:kern w:val="0"/>
                <w:lang w:bidi="ar"/>
                <w14:textFill>
                  <w14:solidFill>
                    <w14:schemeClr w14:val="tx1"/>
                  </w14:solidFill>
                </w14:textFill>
              </w:rPr>
              <w:t>5~20%</w:t>
            </w:r>
            <w:r>
              <w:rPr>
                <w:rFonts w:hint="eastAsia" w:ascii="宋体" w:hAnsi="宋体" w:cs="宋体"/>
                <w:color w:val="000000" w:themeColor="text1"/>
                <w:kern w:val="0"/>
                <w:lang w:bidi="ar"/>
                <w14:textFill>
                  <w14:solidFill>
                    <w14:schemeClr w14:val="tx1"/>
                  </w14:solidFill>
                </w14:textFill>
              </w:rPr>
              <w:t>左右。项目焊接工序主要采用手工电弧焊、</w:t>
            </w:r>
            <w:r>
              <w:rPr>
                <w:color w:val="000000" w:themeColor="text1"/>
                <w:kern w:val="0"/>
                <w:lang w:bidi="ar"/>
                <w14:textFill>
                  <w14:solidFill>
                    <w14:schemeClr w14:val="tx1"/>
                  </w14:solidFill>
                </w14:textFill>
              </w:rPr>
              <w:t>CO</w:t>
            </w:r>
            <w:r>
              <w:rPr>
                <w:color w:val="000000" w:themeColor="text1"/>
                <w:kern w:val="0"/>
                <w:vertAlign w:val="subscript"/>
                <w:lang w:bidi="ar"/>
                <w14:textFill>
                  <w14:solidFill>
                    <w14:schemeClr w14:val="tx1"/>
                  </w14:solidFill>
                </w14:textFill>
              </w:rPr>
              <w:t>2</w:t>
            </w:r>
            <w:r>
              <w:rPr>
                <w:rFonts w:hint="eastAsia" w:ascii="宋体" w:hAnsi="宋体" w:cs="宋体"/>
                <w:color w:val="000000" w:themeColor="text1"/>
                <w:kern w:val="0"/>
                <w:lang w:bidi="ar"/>
                <w14:textFill>
                  <w14:solidFill>
                    <w14:schemeClr w14:val="tx1"/>
                  </w14:solidFill>
                </w14:textFill>
              </w:rPr>
              <w:t>气体保护焊机、氩弧焊机，焊接材料为焊条和焊丝。根据</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排放源统计调查产排污核算方法和系数手册-机械行业系数手册</w:t>
            </w:r>
            <w:r>
              <w:rPr>
                <w:color w:val="000000" w:themeColor="text1"/>
                <w:kern w:val="0"/>
                <w14:textFill>
                  <w14:solidFill>
                    <w14:schemeClr w14:val="tx1"/>
                  </w14:solidFill>
                </w14:textFill>
              </w:rPr>
              <w:t>》</w:t>
            </w:r>
            <w:r>
              <w:rPr>
                <w:rFonts w:hint="eastAsia" w:ascii="宋体" w:hAnsi="宋体" w:cs="宋体"/>
                <w:color w:val="000000" w:themeColor="text1"/>
                <w:kern w:val="0"/>
                <w:lang w:bidi="ar"/>
                <w14:textFill>
                  <w14:solidFill>
                    <w14:schemeClr w14:val="tx1"/>
                  </w14:solidFill>
                </w14:textFill>
              </w:rPr>
              <w:t>，焊条产尘量约为</w:t>
            </w:r>
            <w:r>
              <w:rPr>
                <w:rFonts w:hint="eastAsia"/>
                <w:color w:val="000000" w:themeColor="text1"/>
                <w:kern w:val="0"/>
                <w:lang w:bidi="ar"/>
                <w14:textFill>
                  <w14:solidFill>
                    <w14:schemeClr w14:val="tx1"/>
                  </w14:solidFill>
                </w14:textFill>
              </w:rPr>
              <w:t>20.2kg/t-原料</w:t>
            </w:r>
            <w:r>
              <w:rPr>
                <w:rFonts w:hint="eastAsia" w:ascii="宋体" w:hAnsi="宋体" w:cs="宋体"/>
                <w:color w:val="000000" w:themeColor="text1"/>
                <w:kern w:val="0"/>
                <w:lang w:bidi="ar"/>
                <w14:textFill>
                  <w14:solidFill>
                    <w14:schemeClr w14:val="tx1"/>
                  </w14:solidFill>
                </w14:textFill>
              </w:rPr>
              <w:t>，实芯焊丝产尘量为</w:t>
            </w:r>
            <w:r>
              <w:rPr>
                <w:rFonts w:hint="eastAsia"/>
                <w:color w:val="000000" w:themeColor="text1"/>
                <w:kern w:val="0"/>
                <w:lang w:bidi="ar"/>
                <w14:textFill>
                  <w14:solidFill>
                    <w14:schemeClr w14:val="tx1"/>
                  </w14:solidFill>
                </w14:textFill>
              </w:rPr>
              <w:t>9.19kg/t-原料</w:t>
            </w:r>
            <w:r>
              <w:rPr>
                <w:rFonts w:hint="eastAsia" w:ascii="宋体" w:hAnsi="宋体" w:cs="宋体"/>
                <w:color w:val="000000" w:themeColor="text1"/>
                <w:kern w:val="0"/>
                <w:lang w:bidi="ar"/>
                <w14:textFill>
                  <w14:solidFill>
                    <w14:schemeClr w14:val="tx1"/>
                  </w14:solidFill>
                </w14:textFill>
              </w:rPr>
              <w:t>，项目焊条和</w:t>
            </w:r>
            <w:r>
              <w:rPr>
                <w:rFonts w:hint="eastAsia"/>
                <w:color w:val="000000" w:themeColor="text1"/>
                <w:kern w:val="0"/>
                <w:lang w:bidi="ar"/>
                <w14:textFill>
                  <w14:solidFill>
                    <w14:schemeClr w14:val="tx1"/>
                  </w14:solidFill>
                </w14:textFill>
              </w:rPr>
              <w:t>实芯</w:t>
            </w:r>
            <w:r>
              <w:rPr>
                <w:rFonts w:hint="eastAsia" w:ascii="宋体" w:hAnsi="宋体" w:cs="宋体"/>
                <w:color w:val="000000" w:themeColor="text1"/>
                <w:kern w:val="0"/>
                <w:lang w:bidi="ar"/>
                <w14:textFill>
                  <w14:solidFill>
                    <w14:schemeClr w14:val="tx1"/>
                  </w14:solidFill>
                </w14:textFill>
              </w:rPr>
              <w:t>焊丝用量分别为0.</w:t>
            </w:r>
            <w:r>
              <w:rPr>
                <w:color w:val="000000" w:themeColor="text1"/>
                <w:kern w:val="0"/>
                <w:lang w:bidi="ar"/>
                <w14:textFill>
                  <w14:solidFill>
                    <w14:schemeClr w14:val="tx1"/>
                  </w14:solidFill>
                </w14:textFill>
              </w:rPr>
              <w:t>1t/a</w:t>
            </w:r>
            <w:r>
              <w:rPr>
                <w:rFonts w:hint="eastAsia" w:ascii="宋体" w:hAnsi="宋体" w:cs="宋体"/>
                <w:color w:val="000000" w:themeColor="text1"/>
                <w:kern w:val="0"/>
                <w:lang w:bidi="ar"/>
                <w14:textFill>
                  <w14:solidFill>
                    <w14:schemeClr w14:val="tx1"/>
                  </w14:solidFill>
                </w14:textFill>
              </w:rPr>
              <w:t>、</w:t>
            </w:r>
            <w:r>
              <w:rPr>
                <w:rFonts w:hint="eastAsia"/>
                <w:color w:val="000000" w:themeColor="text1"/>
                <w:kern w:val="0"/>
                <w:lang w:bidi="ar"/>
                <w14:textFill>
                  <w14:solidFill>
                    <w14:schemeClr w14:val="tx1"/>
                  </w14:solidFill>
                </w14:textFill>
              </w:rPr>
              <w:t>0.1</w:t>
            </w:r>
            <w:r>
              <w:rPr>
                <w:color w:val="000000" w:themeColor="text1"/>
                <w:kern w:val="0"/>
                <w:lang w:bidi="ar"/>
                <w14:textFill>
                  <w14:solidFill>
                    <w14:schemeClr w14:val="tx1"/>
                  </w14:solidFill>
                </w14:textFill>
              </w:rPr>
              <w:t>t/a</w:t>
            </w:r>
            <w:r>
              <w:rPr>
                <w:rFonts w:hint="eastAsia"/>
                <w:color w:val="000000" w:themeColor="text1"/>
                <w:kern w:val="0"/>
                <w:lang w:bidi="ar"/>
                <w14:textFill>
                  <w14:solidFill>
                    <w14:schemeClr w14:val="tx1"/>
                  </w14:solidFill>
                </w14:textFill>
              </w:rPr>
              <w:t>，焊接时间为600h/a，</w:t>
            </w:r>
            <w:r>
              <w:rPr>
                <w:rFonts w:hint="eastAsia" w:ascii="宋体" w:hAnsi="宋体" w:cs="宋体"/>
                <w:color w:val="000000" w:themeColor="text1"/>
                <w:kern w:val="0"/>
                <w:lang w:bidi="ar"/>
                <w14:textFill>
                  <w14:solidFill>
                    <w14:schemeClr w14:val="tx1"/>
                  </w14:solidFill>
                </w14:textFill>
              </w:rPr>
              <w:t>经计算，焊接烟尘总产生量为</w:t>
            </w:r>
            <w:r>
              <w:rPr>
                <w:rFonts w:hint="eastAsia"/>
                <w:color w:val="000000" w:themeColor="text1"/>
                <w:kern w:val="0"/>
                <w:lang w:bidi="ar"/>
                <w14:textFill>
                  <w14:solidFill>
                    <w14:schemeClr w14:val="tx1"/>
                  </w14:solidFill>
                </w14:textFill>
              </w:rPr>
              <w:t>2.939kg</w:t>
            </w:r>
            <w:r>
              <w:rPr>
                <w:color w:val="000000" w:themeColor="text1"/>
                <w:kern w:val="0"/>
                <w:lang w:bidi="ar"/>
                <w14:textFill>
                  <w14:solidFill>
                    <w14:schemeClr w14:val="tx1"/>
                  </w14:solidFill>
                </w14:textFill>
              </w:rPr>
              <w:t>/a</w:t>
            </w:r>
            <w:r>
              <w:rPr>
                <w:rFonts w:hint="eastAsia"/>
                <w:color w:val="000000" w:themeColor="text1"/>
                <w:kern w:val="0"/>
                <w:lang w:bidi="ar"/>
                <w14:textFill>
                  <w14:solidFill>
                    <w14:schemeClr w14:val="tx1"/>
                  </w14:solidFill>
                </w14:textFill>
              </w:rPr>
              <w:t>，产生速率为0.0048kg/h。</w:t>
            </w:r>
          </w:p>
          <w:p>
            <w:pPr>
              <w:widowControl/>
              <w:adjustRightInd w:val="0"/>
              <w:snapToGrid w:val="0"/>
              <w:ind w:firstLine="480" w:firstLineChars="200"/>
              <w:rPr>
                <w:rFonts w:ascii="宋体" w:hAnsi="宋体" w:cs="宋体"/>
                <w:color w:val="000000" w:themeColor="text1"/>
                <w:kern w:val="0"/>
                <w:lang w:bidi="ar"/>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焊接烟尘经移动式焊烟净化器进行处理，集气罩捕集效率为80%，除尘效率约为</w:t>
            </w:r>
            <w:r>
              <w:rPr>
                <w:rFonts w:hint="eastAsia"/>
                <w:color w:val="000000" w:themeColor="text1"/>
                <w:kern w:val="0"/>
                <w:lang w:bidi="ar"/>
                <w14:textFill>
                  <w14:solidFill>
                    <w14:schemeClr w14:val="tx1"/>
                  </w14:solidFill>
                </w14:textFill>
              </w:rPr>
              <w:t>85</w:t>
            </w:r>
            <w:r>
              <w:rPr>
                <w:color w:val="000000" w:themeColor="text1"/>
                <w:kern w:val="0"/>
                <w:lang w:bidi="ar"/>
                <w14:textFill>
                  <w14:solidFill>
                    <w14:schemeClr w14:val="tx1"/>
                  </w14:solidFill>
                </w14:textFill>
              </w:rPr>
              <w:t>%</w:t>
            </w:r>
            <w:r>
              <w:rPr>
                <w:rFonts w:hint="eastAsia" w:ascii="宋体" w:hAnsi="宋体" w:cs="宋体"/>
                <w:color w:val="000000" w:themeColor="text1"/>
                <w:kern w:val="0"/>
                <w:lang w:bidi="ar"/>
                <w14:textFill>
                  <w14:solidFill>
                    <w14:schemeClr w14:val="tx1"/>
                  </w14:solidFill>
                </w14:textFill>
              </w:rPr>
              <w:t>，经计算，经焊接烟尘经移动式焊烟净化器收集处理后，焊接烟尘排放量为0.3527kg/a，集气罩未捕集部分为0.5878kg/a。</w:t>
            </w:r>
          </w:p>
          <w:p>
            <w:pPr>
              <w:pStyle w:val="22"/>
              <w:adjustRightInd w:val="0"/>
              <w:ind w:firstLine="482" w:firstLineChars="200"/>
              <w:jc w:val="both"/>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（2）翻新粉尘</w:t>
            </w:r>
          </w:p>
          <w:p>
            <w:pPr>
              <w:pStyle w:val="22"/>
              <w:adjustRightInd w:val="0"/>
              <w:ind w:firstLine="480" w:firstLineChars="200"/>
              <w:jc w:val="both"/>
              <w:rPr>
                <w:b/>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主要对台车表面附着混凝土进行打磨处理，主要用铁锤进行敲击，此工段会有部分粉尘产生，废混凝土附着量约为50kg/台，根据同类行业经验资料，粉尘产生量约为混凝土附着量的0.1%，则翻新粉尘产生量约为0.05kg/台，0.0006t/a。此部分粉尘呈无组织排放。</w:t>
            </w:r>
          </w:p>
          <w:p>
            <w:pPr>
              <w:pStyle w:val="22"/>
              <w:adjustRightInd w:val="0"/>
              <w:ind w:firstLine="482" w:firstLineChars="200"/>
              <w:jc w:val="both"/>
              <w:rPr>
                <w:b/>
                <w:bCs/>
                <w:color w:val="000000" w:themeColor="text1"/>
                <w:sz w:val="24"/>
                <w:szCs w:val="28"/>
                <w14:textFill>
                  <w14:solidFill>
                    <w14:schemeClr w14:val="tx1"/>
                  </w14:solidFill>
                </w14:textFill>
              </w:rPr>
            </w:pPr>
            <w:r>
              <w:rPr>
                <w:b/>
                <w:bCs/>
                <w:color w:val="000000" w:themeColor="text1"/>
                <w:sz w:val="24"/>
                <w:szCs w:val="28"/>
                <w14:textFill>
                  <w14:solidFill>
                    <w14:schemeClr w14:val="tx1"/>
                  </w14:solidFill>
                </w14:textFill>
              </w:rPr>
              <w:t>（</w:t>
            </w:r>
            <w:r>
              <w:rPr>
                <w:rFonts w:hint="eastAsia"/>
                <w:b/>
                <w:bCs/>
                <w:color w:val="000000" w:themeColor="text1"/>
                <w:sz w:val="24"/>
                <w:szCs w:val="28"/>
                <w14:textFill>
                  <w14:solidFill>
                    <w14:schemeClr w14:val="tx1"/>
                  </w14:solidFill>
                </w14:textFill>
              </w:rPr>
              <w:t>3</w:t>
            </w:r>
            <w:r>
              <w:rPr>
                <w:b/>
                <w:bCs/>
                <w:color w:val="000000" w:themeColor="text1"/>
                <w:sz w:val="24"/>
                <w:szCs w:val="28"/>
                <w14:textFill>
                  <w14:solidFill>
                    <w14:schemeClr w14:val="tx1"/>
                  </w14:solidFill>
                </w14:textFill>
              </w:rPr>
              <w:t>）喷漆</w:t>
            </w:r>
            <w:r>
              <w:rPr>
                <w:rFonts w:hint="eastAsia"/>
                <w:b/>
                <w:bCs/>
                <w:color w:val="000000" w:themeColor="text1"/>
                <w:sz w:val="24"/>
                <w:szCs w:val="28"/>
                <w14:textFill>
                  <w14:solidFill>
                    <w14:schemeClr w14:val="tx1"/>
                  </w14:solidFill>
                </w14:textFill>
              </w:rPr>
              <w:t>、刷漆</w:t>
            </w:r>
            <w:r>
              <w:rPr>
                <w:b/>
                <w:bCs/>
                <w:color w:val="000000" w:themeColor="text1"/>
                <w:sz w:val="24"/>
                <w:szCs w:val="28"/>
                <w14:textFill>
                  <w14:solidFill>
                    <w14:schemeClr w14:val="tx1"/>
                  </w14:solidFill>
                </w14:textFill>
              </w:rPr>
              <w:t>废气</w:t>
            </w:r>
          </w:p>
          <w:p>
            <w:pPr>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项目</w:t>
            </w:r>
            <w:r>
              <w:rPr>
                <w:rFonts w:hint="eastAsia"/>
                <w:color w:val="000000" w:themeColor="text1"/>
                <w:kern w:val="0"/>
                <w14:textFill>
                  <w14:solidFill>
                    <w14:schemeClr w14:val="tx1"/>
                  </w14:solidFill>
                </w14:textFill>
              </w:rPr>
              <w:t>喷涂、</w:t>
            </w:r>
            <w:r>
              <w:rPr>
                <w:color w:val="000000" w:themeColor="text1"/>
                <w:kern w:val="0"/>
                <w14:textFill>
                  <w14:solidFill>
                    <w14:schemeClr w14:val="tx1"/>
                  </w14:solidFill>
                </w14:textFill>
              </w:rPr>
              <w:t>晾干均在</w:t>
            </w:r>
            <w:r>
              <w:rPr>
                <w:rFonts w:hint="eastAsia"/>
                <w:color w:val="000000" w:themeColor="text1"/>
                <w:kern w:val="0"/>
                <w14:textFill>
                  <w14:solidFill>
                    <w14:schemeClr w14:val="tx1"/>
                  </w14:solidFill>
                </w14:textFill>
              </w:rPr>
              <w:t>厂房</w:t>
            </w:r>
            <w:r>
              <w:rPr>
                <w:color w:val="000000" w:themeColor="text1"/>
                <w:kern w:val="0"/>
                <w14:textFill>
                  <w14:solidFill>
                    <w14:schemeClr w14:val="tx1"/>
                  </w14:solidFill>
                </w14:textFill>
              </w:rPr>
              <w:t>内进行。喷漆过程产生的污染物主要为挥发性有机物</w:t>
            </w:r>
            <w:r>
              <w:rPr>
                <w:rFonts w:hint="eastAsia"/>
                <w:color w:val="000000" w:themeColor="text1"/>
                <w:kern w:val="0"/>
                <w14:textFill>
                  <w14:solidFill>
                    <w14:schemeClr w14:val="tx1"/>
                  </w14:solidFill>
                </w14:textFill>
              </w:rPr>
              <w:t>及漆雾，刷漆过程产生的污染物主要为挥发性有机物</w:t>
            </w:r>
            <w:r>
              <w:rPr>
                <w:color w:val="000000" w:themeColor="text1"/>
                <w:kern w:val="0"/>
                <w14:textFill>
                  <w14:solidFill>
                    <w14:schemeClr w14:val="tx1"/>
                  </w14:solidFill>
                </w14:textFill>
              </w:rPr>
              <w:t>。</w:t>
            </w:r>
          </w:p>
          <w:p>
            <w:pPr>
              <w:ind w:firstLine="482" w:firstLineChars="200"/>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1）污染物产生情况</w:t>
            </w:r>
          </w:p>
          <w:p>
            <w:pPr>
              <w:ind w:firstLine="482" w:firstLineChars="200"/>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①</w:t>
            </w:r>
            <w:r>
              <w:rPr>
                <w:rFonts w:hint="eastAsia"/>
                <w:b/>
                <w:bCs/>
                <w:color w:val="000000" w:themeColor="text1"/>
                <w:kern w:val="0"/>
                <w14:textFill>
                  <w14:solidFill>
                    <w14:schemeClr w14:val="tx1"/>
                  </w14:solidFill>
                </w14:textFill>
              </w:rPr>
              <w:t>有组织废气</w:t>
            </w:r>
          </w:p>
          <w:p>
            <w:pPr>
              <w:ind w:firstLine="480" w:firstLineChars="200"/>
              <w:rPr>
                <w:b/>
                <w:bCs/>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项目喷漆、刷漆区域各设置一个移动式集气罩（收集效率为80%），将废气抽至过滤棉+活性炭吸附装置（风机风量约为4000m³/h）处理后经过15米高排气筒排放，喷漆、刷漆区域工段未被收集的有机废气、漆雾经车间沉降后呈无组织排放。</w:t>
            </w:r>
          </w:p>
          <w:p>
            <w:pPr>
              <w:numPr>
                <w:ilvl w:val="0"/>
                <w:numId w:val="16"/>
              </w:numPr>
              <w:ind w:firstLine="482" w:firstLineChars="200"/>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漆雾（以颗粒物计）</w:t>
            </w:r>
          </w:p>
          <w:p>
            <w:pPr>
              <w:pStyle w:val="18"/>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根据对机械设备涂装工段的研究资料，机械涂装过程喷漆工序中，漆部分进入空气，部分附着在机械设备上，油漆附着率约为85%，其余15%油漆以漆雾的形式挥发。项目喷涂瓶装漆用量</w:t>
            </w:r>
            <w:r>
              <w:rPr>
                <w:rFonts w:hint="eastAsia" w:ascii="Times New Roman" w:hAnsi="Times New Roman"/>
                <w:color w:val="000000" w:themeColor="text1"/>
                <w:kern w:val="0"/>
                <w14:textFill>
                  <w14:solidFill>
                    <w14:schemeClr w14:val="tx1"/>
                  </w14:solidFill>
                </w14:textFill>
              </w:rPr>
              <w:t>300kg，</w:t>
            </w:r>
            <w:r>
              <w:rPr>
                <w:rFonts w:ascii="Times New Roman" w:hAnsi="Times New Roman"/>
                <w:color w:val="000000" w:themeColor="text1"/>
                <w:kern w:val="0"/>
                <w14:textFill>
                  <w14:solidFill>
                    <w14:schemeClr w14:val="tx1"/>
                  </w14:solidFill>
                </w14:textFill>
              </w:rPr>
              <w:t>则漆雾（颗粒物）产生量为</w:t>
            </w:r>
            <w:r>
              <w:rPr>
                <w:rFonts w:hint="eastAsia" w:ascii="Times New Roman" w:hAnsi="Times New Roman"/>
                <w:color w:val="000000" w:themeColor="text1"/>
                <w:kern w:val="0"/>
                <w14:textFill>
                  <w14:solidFill>
                    <w14:schemeClr w14:val="tx1"/>
                  </w14:solidFill>
                </w14:textFill>
              </w:rPr>
              <w:t>0.045</w:t>
            </w:r>
            <w:r>
              <w:rPr>
                <w:rFonts w:ascii="Times New Roman" w:hAnsi="Times New Roman"/>
                <w:color w:val="000000" w:themeColor="text1"/>
                <w:kern w:val="0"/>
                <w14:textFill>
                  <w14:solidFill>
                    <w14:schemeClr w14:val="tx1"/>
                  </w14:solidFill>
                </w14:textFill>
              </w:rPr>
              <w:t>t/a，产生速率为</w:t>
            </w:r>
            <w:r>
              <w:rPr>
                <w:rFonts w:hint="eastAsia" w:ascii="Times New Roman" w:hAnsi="Times New Roman"/>
                <w:color w:val="000000" w:themeColor="text1"/>
                <w:kern w:val="0"/>
                <w14:textFill>
                  <w14:solidFill>
                    <w14:schemeClr w14:val="tx1"/>
                  </w14:solidFill>
                </w14:textFill>
              </w:rPr>
              <w:t>0.05</w:t>
            </w:r>
            <w:r>
              <w:rPr>
                <w:rFonts w:ascii="Times New Roman" w:hAnsi="Times New Roman"/>
                <w:color w:val="000000" w:themeColor="text1"/>
                <w:kern w:val="0"/>
                <w14:textFill>
                  <w14:solidFill>
                    <w14:schemeClr w14:val="tx1"/>
                  </w14:solidFill>
                </w14:textFill>
              </w:rPr>
              <w:t>kg/h</w:t>
            </w:r>
            <w:r>
              <w:rPr>
                <w:rFonts w:hint="eastAsia" w:ascii="Times New Roman" w:hAnsi="Times New Roman"/>
                <w:color w:val="000000" w:themeColor="text1"/>
                <w:kern w:val="0"/>
                <w14:textFill>
                  <w14:solidFill>
                    <w14:schemeClr w14:val="tx1"/>
                  </w14:solidFill>
                </w14:textFill>
              </w:rPr>
              <w:t>，产生浓度为12.5mg/m³，</w:t>
            </w:r>
            <w:r>
              <w:rPr>
                <w:rFonts w:ascii="Times New Roman" w:hAnsi="Times New Roman"/>
                <w:color w:val="000000" w:themeColor="text1"/>
                <w:kern w:val="0"/>
                <w14:textFill>
                  <w14:solidFill>
                    <w14:schemeClr w14:val="tx1"/>
                  </w14:solidFill>
                </w14:textFill>
              </w:rPr>
              <w:t>（喷漆时间为</w:t>
            </w:r>
            <w:r>
              <w:rPr>
                <w:rFonts w:hint="eastAsia" w:ascii="Times New Roman" w:hAnsi="Times New Roman"/>
                <w:color w:val="000000" w:themeColor="text1"/>
                <w:kern w:val="0"/>
                <w14:textFill>
                  <w14:solidFill>
                    <w14:schemeClr w14:val="tx1"/>
                  </w14:solidFill>
                </w14:textFill>
              </w:rPr>
              <w:t>9</w:t>
            </w:r>
            <w:r>
              <w:rPr>
                <w:rFonts w:ascii="Times New Roman" w:hAnsi="Times New Roman"/>
                <w:color w:val="000000" w:themeColor="text1"/>
                <w:kern w:val="0"/>
                <w14:textFill>
                  <w14:solidFill>
                    <w14:schemeClr w14:val="tx1"/>
                  </w14:solidFill>
                </w14:textFill>
              </w:rPr>
              <w:t>00h/a）。</w:t>
            </w:r>
            <w:r>
              <w:rPr>
                <w:rFonts w:hint="eastAsia" w:ascii="Times New Roman" w:hAnsi="Times New Roman"/>
                <w:color w:val="000000" w:themeColor="text1"/>
                <w:kern w:val="0"/>
                <w14:textFill>
                  <w14:solidFill>
                    <w14:schemeClr w14:val="tx1"/>
                  </w14:solidFill>
                </w14:textFill>
              </w:rPr>
              <w:t>过滤棉+活性炭</w:t>
            </w:r>
            <w:r>
              <w:rPr>
                <w:rFonts w:hint="eastAsia"/>
                <w:color w:val="000000" w:themeColor="text1"/>
                <w:kern w:val="0"/>
                <w14:textFill>
                  <w14:solidFill>
                    <w14:schemeClr w14:val="tx1"/>
                  </w14:solidFill>
                </w14:textFill>
              </w:rPr>
              <w:t>（风机风量约为4000m³/h）</w:t>
            </w:r>
            <w:r>
              <w:rPr>
                <w:rFonts w:hint="eastAsia" w:ascii="Times New Roman" w:hAnsi="Times New Roman"/>
                <w:color w:val="000000" w:themeColor="text1"/>
                <w:kern w:val="0"/>
                <w14:textFill>
                  <w14:solidFill>
                    <w14:schemeClr w14:val="tx1"/>
                  </w14:solidFill>
                </w14:textFill>
              </w:rPr>
              <w:t>对漆雾去除效率按80%计算，则漆雾（以颗粒物计）的排放量为0.0072t/a，产生速率为0.008kg/h，排放浓度为2mg/m³。未被收集的20%，呈无组织排放，即排放量为0.009t/a，排放速率为0.01kg/h。</w:t>
            </w:r>
          </w:p>
          <w:p>
            <w:pPr>
              <w:ind w:firstLine="482" w:firstLineChars="200"/>
              <w:rPr>
                <w:b/>
                <w:bCs/>
                <w:color w:val="000000" w:themeColor="text1"/>
                <w:kern w:val="0"/>
                <w14:textFill>
                  <w14:solidFill>
                    <w14:schemeClr w14:val="tx1"/>
                  </w14:solidFill>
                </w14:textFill>
              </w:rPr>
            </w:pPr>
            <w:r>
              <w:rPr>
                <w:rFonts w:hint="eastAsia"/>
                <w:b/>
                <w:bCs/>
                <w:color w:val="000000" w:themeColor="text1"/>
                <w14:textFill>
                  <w14:solidFill>
                    <w14:schemeClr w14:val="tx1"/>
                  </w14:solidFill>
                </w14:textFill>
              </w:rPr>
              <w:t>b.挥发性有机物</w:t>
            </w:r>
          </w:p>
          <w:p>
            <w:pPr>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根据《</w:t>
            </w:r>
            <w:r>
              <w:rPr>
                <w:rFonts w:hint="eastAsia"/>
                <w:color w:val="000000" w:themeColor="text1"/>
                <w:kern w:val="0"/>
                <w14:textFill>
                  <w14:solidFill>
                    <w14:schemeClr w14:val="tx1"/>
                  </w14:solidFill>
                </w14:textFill>
              </w:rPr>
              <w:t>排放源统计调查产排污核算方法和系数手册-机械行业系数手册</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刷漆（水性漆）工段挥发性有机物产污系数为135kg/t-原料，喷漆（油漆）工段挥发性有机物产污系数为486kg/t-原料，本项目年使用水性漆0.2t，油漆0.3t，</w:t>
            </w:r>
            <w:r>
              <w:rPr>
                <w:color w:val="000000" w:themeColor="text1"/>
                <w:kern w:val="0"/>
                <w14:textFill>
                  <w14:solidFill>
                    <w14:schemeClr w14:val="tx1"/>
                  </w14:solidFill>
                </w14:textFill>
              </w:rPr>
              <w:t>则本项目</w:t>
            </w:r>
            <w:r>
              <w:rPr>
                <w:rFonts w:hint="eastAsia"/>
                <w:color w:val="000000" w:themeColor="text1"/>
                <w:kern w:val="0"/>
                <w14:textFill>
                  <w14:solidFill>
                    <w14:schemeClr w14:val="tx1"/>
                  </w14:solidFill>
                </w14:textFill>
              </w:rPr>
              <w:t>刷漆工段</w:t>
            </w:r>
            <w:r>
              <w:rPr>
                <w:rFonts w:hint="eastAsia"/>
                <w:color w:val="000000" w:themeColor="text1"/>
                <w14:textFill>
                  <w14:solidFill>
                    <w14:schemeClr w14:val="tx1"/>
                  </w14:solidFill>
                </w14:textFill>
              </w:rPr>
              <w:t>挥发性有机物</w:t>
            </w:r>
            <w:r>
              <w:rPr>
                <w:color w:val="000000" w:themeColor="text1"/>
                <w:kern w:val="0"/>
                <w14:textFill>
                  <w14:solidFill>
                    <w14:schemeClr w14:val="tx1"/>
                  </w14:solidFill>
                </w14:textFill>
              </w:rPr>
              <w:t>（以</w:t>
            </w:r>
            <w:r>
              <w:rPr>
                <w:color w:val="000000" w:themeColor="text1"/>
                <w14:textFill>
                  <w14:solidFill>
                    <w14:schemeClr w14:val="tx1"/>
                  </w14:solidFill>
                </w14:textFill>
              </w:rPr>
              <w:t>非甲烷总烃</w:t>
            </w:r>
            <w:r>
              <w:rPr>
                <w:color w:val="000000" w:themeColor="text1"/>
                <w:kern w:val="0"/>
                <w14:textFill>
                  <w14:solidFill>
                    <w14:schemeClr w14:val="tx1"/>
                  </w14:solidFill>
                </w14:textFill>
              </w:rPr>
              <w:t>计）产生量为</w:t>
            </w:r>
            <w:r>
              <w:rPr>
                <w:rFonts w:hint="eastAsia"/>
                <w:color w:val="000000" w:themeColor="text1"/>
                <w:kern w:val="0"/>
                <w14:textFill>
                  <w14:solidFill>
                    <w14:schemeClr w14:val="tx1"/>
                  </w14:solidFill>
                </w14:textFill>
              </w:rPr>
              <w:t>27kg</w:t>
            </w:r>
            <w:r>
              <w:rPr>
                <w:color w:val="000000" w:themeColor="text1"/>
                <w:kern w:val="0"/>
                <w14:textFill>
                  <w14:solidFill>
                    <w14:schemeClr w14:val="tx1"/>
                  </w14:solidFill>
                </w14:textFill>
              </w:rPr>
              <w:t>/a，</w:t>
            </w:r>
            <w:r>
              <w:rPr>
                <w:rFonts w:hint="eastAsia"/>
                <w:color w:val="000000" w:themeColor="text1"/>
                <w:kern w:val="0"/>
                <w14:textFill>
                  <w14:solidFill>
                    <w14:schemeClr w14:val="tx1"/>
                  </w14:solidFill>
                </w14:textFill>
              </w:rPr>
              <w:t>喷漆工段</w:t>
            </w:r>
            <w:r>
              <w:rPr>
                <w:rFonts w:hint="eastAsia"/>
                <w:color w:val="000000" w:themeColor="text1"/>
                <w14:textFill>
                  <w14:solidFill>
                    <w14:schemeClr w14:val="tx1"/>
                  </w14:solidFill>
                </w14:textFill>
              </w:rPr>
              <w:t>挥发性有机物</w:t>
            </w:r>
            <w:r>
              <w:rPr>
                <w:color w:val="000000" w:themeColor="text1"/>
                <w:kern w:val="0"/>
                <w14:textFill>
                  <w14:solidFill>
                    <w14:schemeClr w14:val="tx1"/>
                  </w14:solidFill>
                </w14:textFill>
              </w:rPr>
              <w:t>（以</w:t>
            </w:r>
            <w:r>
              <w:rPr>
                <w:color w:val="000000" w:themeColor="text1"/>
                <w14:textFill>
                  <w14:solidFill>
                    <w14:schemeClr w14:val="tx1"/>
                  </w14:solidFill>
                </w14:textFill>
              </w:rPr>
              <w:t>非甲烷总烃</w:t>
            </w:r>
            <w:r>
              <w:rPr>
                <w:color w:val="000000" w:themeColor="text1"/>
                <w:kern w:val="0"/>
                <w14:textFill>
                  <w14:solidFill>
                    <w14:schemeClr w14:val="tx1"/>
                  </w14:solidFill>
                </w14:textFill>
              </w:rPr>
              <w:t>计）产生量为</w:t>
            </w:r>
            <w:r>
              <w:rPr>
                <w:rFonts w:hint="eastAsia"/>
                <w:color w:val="000000" w:themeColor="text1"/>
                <w:kern w:val="0"/>
                <w14:textFill>
                  <w14:solidFill>
                    <w14:schemeClr w14:val="tx1"/>
                  </w14:solidFill>
                </w14:textFill>
              </w:rPr>
              <w:t>145.8kg</w:t>
            </w:r>
            <w:r>
              <w:rPr>
                <w:color w:val="000000" w:themeColor="text1"/>
                <w:kern w:val="0"/>
                <w14:textFill>
                  <w14:solidFill>
                    <w14:schemeClr w14:val="tx1"/>
                  </w14:solidFill>
                </w14:textFill>
              </w:rPr>
              <w:t>/a，</w:t>
            </w:r>
            <w:r>
              <w:rPr>
                <w:rFonts w:hint="eastAsia"/>
                <w:color w:val="000000" w:themeColor="text1"/>
                <w:kern w:val="0"/>
                <w14:textFill>
                  <w14:solidFill>
                    <w14:schemeClr w14:val="tx1"/>
                  </w14:solidFill>
                </w14:textFill>
              </w:rPr>
              <w:t>总计172.8kg</w:t>
            </w:r>
            <w:r>
              <w:rPr>
                <w:color w:val="000000" w:themeColor="text1"/>
                <w:kern w:val="0"/>
                <w14:textFill>
                  <w14:solidFill>
                    <w14:schemeClr w14:val="tx1"/>
                  </w14:solidFill>
                </w14:textFill>
              </w:rPr>
              <w:t>/a</w:t>
            </w:r>
            <w:r>
              <w:rPr>
                <w:rFonts w:hint="eastAsia"/>
                <w:color w:val="000000" w:themeColor="text1"/>
                <w:kern w:val="0"/>
                <w14:textFill>
                  <w14:solidFill>
                    <w14:schemeClr w14:val="tx1"/>
                  </w14:solidFill>
                </w14:textFill>
              </w:rPr>
              <w:t>，喷漆、刷漆+晾干时间为2400h/a，产生速率为0.072kg/h，产生浓度为18mg/m³，过滤棉+活性炭对挥发性有机物的去除效率按18%计算，喷漆、刷漆工段有机废气经集气罩收集后经过滤棉+活性炭吸附装置（风机风量约为4000m³/h）吸附后的有机废气排放量为0.1134t/a，排放</w:t>
            </w:r>
            <w:r>
              <w:rPr>
                <w:color w:val="000000" w:themeColor="text1"/>
                <w:kern w:val="0"/>
                <w14:textFill>
                  <w14:solidFill>
                    <w14:schemeClr w14:val="tx1"/>
                  </w14:solidFill>
                </w14:textFill>
              </w:rPr>
              <w:t>速率为0.</w:t>
            </w:r>
            <w:r>
              <w:rPr>
                <w:rFonts w:hint="eastAsia"/>
                <w:color w:val="000000" w:themeColor="text1"/>
                <w:kern w:val="0"/>
                <w14:textFill>
                  <w14:solidFill>
                    <w14:schemeClr w14:val="tx1"/>
                  </w14:solidFill>
                </w14:textFill>
              </w:rPr>
              <w:t>047</w:t>
            </w:r>
            <w:r>
              <w:rPr>
                <w:color w:val="000000" w:themeColor="text1"/>
                <w:kern w:val="0"/>
                <w14:textFill>
                  <w14:solidFill>
                    <w14:schemeClr w14:val="tx1"/>
                  </w14:solidFill>
                </w14:textFill>
              </w:rPr>
              <w:t>kg/h（喷</w:t>
            </w:r>
            <w:r>
              <w:rPr>
                <w:rFonts w:hint="eastAsia"/>
                <w:color w:val="000000" w:themeColor="text1"/>
                <w:kern w:val="0"/>
                <w14:textFill>
                  <w14:solidFill>
                    <w14:schemeClr w14:val="tx1"/>
                  </w14:solidFill>
                </w14:textFill>
              </w:rPr>
              <w:t>涂</w:t>
            </w:r>
            <w:r>
              <w:rPr>
                <w:color w:val="000000" w:themeColor="text1"/>
                <w:kern w:val="0"/>
                <w14:textFill>
                  <w14:solidFill>
                    <w14:schemeClr w14:val="tx1"/>
                  </w14:solidFill>
                </w14:textFill>
              </w:rPr>
              <w:t>漆、晾干时间为</w:t>
            </w:r>
            <w:r>
              <w:rPr>
                <w:rFonts w:hint="eastAsia"/>
                <w:color w:val="000000" w:themeColor="text1"/>
                <w:kern w:val="0"/>
                <w14:textFill>
                  <w14:solidFill>
                    <w14:schemeClr w14:val="tx1"/>
                  </w14:solidFill>
                </w14:textFill>
              </w:rPr>
              <w:t>2400</w:t>
            </w:r>
            <w:r>
              <w:rPr>
                <w:color w:val="000000" w:themeColor="text1"/>
                <w:kern w:val="0"/>
                <w14:textFill>
                  <w14:solidFill>
                    <w14:schemeClr w14:val="tx1"/>
                  </w14:solidFill>
                </w14:textFill>
              </w:rPr>
              <w:t>h/a）</w:t>
            </w:r>
            <w:r>
              <w:rPr>
                <w:rFonts w:hint="eastAsia"/>
                <w:color w:val="000000" w:themeColor="text1"/>
                <w:kern w:val="0"/>
                <w14:textFill>
                  <w14:solidFill>
                    <w14:schemeClr w14:val="tx1"/>
                  </w14:solidFill>
                </w14:textFill>
              </w:rPr>
              <w:t>，排放浓度为11.75mg/m³，未被收集的20%的挥发性有机物经车间沉降后呈无组织排放，排放量为0.03456t/a，排放速率为0.0144kg/h</w:t>
            </w:r>
            <w:r>
              <w:rPr>
                <w:color w:val="000000" w:themeColor="text1"/>
                <w:kern w:val="0"/>
                <w14:textFill>
                  <w14:solidFill>
                    <w14:schemeClr w14:val="tx1"/>
                  </w14:solidFill>
                </w14:textFill>
              </w:rPr>
              <w:t>。</w:t>
            </w:r>
          </w:p>
          <w:p>
            <w:pPr>
              <w:ind w:firstLine="482" w:firstLineChars="200"/>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2）治理措施</w:t>
            </w:r>
          </w:p>
          <w:p>
            <w:pPr>
              <w:adjustRightInd w:val="0"/>
              <w:snapToGrid w:val="0"/>
              <w:ind w:firstLine="480" w:firstLineChars="200"/>
              <w:rPr>
                <w:b/>
                <w:bCs/>
                <w:color w:val="000000" w:themeColor="text1"/>
                <w:kern w:val="0"/>
                <w14:textFill>
                  <w14:solidFill>
                    <w14:schemeClr w14:val="tx1"/>
                  </w14:solidFill>
                </w14:textFill>
              </w:rPr>
            </w:pPr>
            <w:r>
              <w:rPr>
                <w:color w:val="000000" w:themeColor="text1"/>
                <w:kern w:val="0"/>
                <w14:textFill>
                  <w14:solidFill>
                    <w14:schemeClr w14:val="tx1"/>
                  </w14:solidFill>
                </w14:textFill>
              </w:rPr>
              <w:t>本项目废气主要为焊接粉尘、喷涂</w:t>
            </w:r>
            <w:r>
              <w:rPr>
                <w:rFonts w:hint="eastAsia"/>
                <w:color w:val="000000" w:themeColor="text1"/>
                <w:kern w:val="0"/>
                <w14:textFill>
                  <w14:solidFill>
                    <w14:schemeClr w14:val="tx1"/>
                  </w14:solidFill>
                </w14:textFill>
              </w:rPr>
              <w:t>工段</w:t>
            </w:r>
            <w:r>
              <w:rPr>
                <w:color w:val="000000" w:themeColor="text1"/>
                <w:kern w:val="0"/>
                <w14:textFill>
                  <w14:solidFill>
                    <w14:schemeClr w14:val="tx1"/>
                  </w14:solidFill>
                </w14:textFill>
              </w:rPr>
              <w:t>产生的有机废气</w:t>
            </w:r>
            <w:r>
              <w:rPr>
                <w:rFonts w:hint="eastAsia"/>
                <w:color w:val="000000" w:themeColor="text1"/>
                <w:kern w:val="0"/>
                <w14:textFill>
                  <w14:solidFill>
                    <w14:schemeClr w14:val="tx1"/>
                  </w14:solidFill>
                </w14:textFill>
              </w:rPr>
              <w:t>、漆雾</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焊接烟气经移动式焊接烟尘净化器净化后呈无组织排放，喷漆、刷漆工段产生有机废气及漆雾通过分别设置集气罩，采用过滤棉+活性炭吸附后，通过15米高排气筒排放</w:t>
            </w:r>
            <w:r>
              <w:rPr>
                <w:color w:val="000000" w:themeColor="text1"/>
                <w:kern w:val="0"/>
                <w14:textFill>
                  <w14:solidFill>
                    <w14:schemeClr w14:val="tx1"/>
                  </w14:solidFill>
                </w14:textFill>
              </w:rPr>
              <w:t>，可达标排放。</w:t>
            </w:r>
          </w:p>
          <w:p>
            <w:pPr>
              <w:ind w:firstLine="482" w:firstLineChars="200"/>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3）污染物排放情况</w:t>
            </w:r>
          </w:p>
          <w:p>
            <w:pPr>
              <w:ind w:firstLine="482" w:firstLineChars="200"/>
              <w:rPr>
                <w:color w:val="000000" w:themeColor="text1"/>
                <w:kern w:val="0"/>
                <w14:textFill>
                  <w14:solidFill>
                    <w14:schemeClr w14:val="tx1"/>
                  </w14:solidFill>
                </w14:textFill>
              </w:rPr>
            </w:pPr>
            <w:r>
              <w:rPr>
                <w:rFonts w:hint="eastAsia" w:ascii="宋体" w:hAnsi="宋体" w:cs="宋体"/>
                <w:b/>
                <w:bCs/>
                <w:color w:val="000000" w:themeColor="text1"/>
                <w:kern w:val="0"/>
                <w14:textFill>
                  <w14:solidFill>
                    <w14:schemeClr w14:val="tx1"/>
                  </w14:solidFill>
                </w14:textFill>
              </w:rPr>
              <w:t>①有组织排放</w:t>
            </w:r>
          </w:p>
          <w:p>
            <w:pPr>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挥发性有机物</w:t>
            </w:r>
            <w:r>
              <w:rPr>
                <w:color w:val="000000" w:themeColor="text1"/>
                <w14:textFill>
                  <w14:solidFill>
                    <w14:schemeClr w14:val="tx1"/>
                  </w14:solidFill>
                </w14:textFill>
              </w:rPr>
              <w:t>排放量为0.</w:t>
            </w:r>
            <w:r>
              <w:rPr>
                <w:rFonts w:hint="eastAsia"/>
                <w:color w:val="000000" w:themeColor="text1"/>
                <w14:textFill>
                  <w14:solidFill>
                    <w14:schemeClr w14:val="tx1"/>
                  </w14:solidFill>
                </w14:textFill>
              </w:rPr>
              <w:t>1134</w:t>
            </w:r>
            <w:r>
              <w:rPr>
                <w:color w:val="000000" w:themeColor="text1"/>
                <w14:textFill>
                  <w14:solidFill>
                    <w14:schemeClr w14:val="tx1"/>
                  </w14:solidFill>
                </w14:textFill>
              </w:rPr>
              <w:t>t/a，排放速率为0.0</w:t>
            </w:r>
            <w:r>
              <w:rPr>
                <w:rFonts w:hint="eastAsia"/>
                <w:color w:val="000000" w:themeColor="text1"/>
                <w14:textFill>
                  <w14:solidFill>
                    <w14:schemeClr w14:val="tx1"/>
                  </w14:solidFill>
                </w14:textFill>
              </w:rPr>
              <w:t>47</w:t>
            </w:r>
            <w:r>
              <w:rPr>
                <w:color w:val="000000" w:themeColor="text1"/>
                <w14:textFill>
                  <w14:solidFill>
                    <w14:schemeClr w14:val="tx1"/>
                  </w14:solidFill>
                </w14:textFill>
              </w:rPr>
              <w:t>kg/h</w:t>
            </w:r>
            <w:r>
              <w:rPr>
                <w:rFonts w:hint="eastAsia"/>
                <w:color w:val="000000" w:themeColor="text1"/>
                <w14:textFill>
                  <w14:solidFill>
                    <w14:schemeClr w14:val="tx1"/>
                  </w14:solidFill>
                </w14:textFill>
              </w:rPr>
              <w:t>，排放浓度为11.75mg/m³</w:t>
            </w:r>
            <w:r>
              <w:rPr>
                <w:color w:val="000000" w:themeColor="text1"/>
                <w14:textFill>
                  <w14:solidFill>
                    <w14:schemeClr w14:val="tx1"/>
                  </w14:solidFill>
                </w14:textFill>
              </w:rPr>
              <w:t>。</w:t>
            </w:r>
          </w:p>
          <w:p>
            <w:pPr>
              <w:pStyle w:val="18"/>
              <w:adjustRightInd w:val="0"/>
              <w:snapToGrid w:val="0"/>
              <w:ind w:firstLine="480" w:firstLineChars="200"/>
              <w:rPr>
                <w:color w:val="000000" w:themeColor="text1"/>
                <w14:textFill>
                  <w14:solidFill>
                    <w14:schemeClr w14:val="tx1"/>
                  </w14:solidFill>
                </w14:textFill>
              </w:rPr>
            </w:pPr>
            <w:r>
              <w:rPr>
                <w:rFonts w:ascii="Times New Roman" w:hAnsi="Times New Roman"/>
                <w:color w:val="000000" w:themeColor="text1"/>
                <w:kern w:val="0"/>
                <w14:textFill>
                  <w14:solidFill>
                    <w14:schemeClr w14:val="tx1"/>
                  </w14:solidFill>
                </w14:textFill>
              </w:rPr>
              <w:t>喷漆废气中颗粒物排放量为0.</w:t>
            </w:r>
            <w:r>
              <w:rPr>
                <w:rFonts w:hint="eastAsia" w:ascii="Times New Roman" w:hAnsi="Times New Roman"/>
                <w:color w:val="000000" w:themeColor="text1"/>
                <w:kern w:val="0"/>
                <w14:textFill>
                  <w14:solidFill>
                    <w14:schemeClr w14:val="tx1"/>
                  </w14:solidFill>
                </w14:textFill>
              </w:rPr>
              <w:t>0072</w:t>
            </w:r>
            <w:r>
              <w:rPr>
                <w:rFonts w:ascii="Times New Roman" w:hAnsi="Times New Roman"/>
                <w:color w:val="000000" w:themeColor="text1"/>
                <w:kern w:val="0"/>
                <w14:textFill>
                  <w14:solidFill>
                    <w14:schemeClr w14:val="tx1"/>
                  </w14:solidFill>
                </w14:textFill>
              </w:rPr>
              <w:t>t/a，排放速率为0.</w:t>
            </w:r>
            <w:r>
              <w:rPr>
                <w:rFonts w:hint="eastAsia" w:ascii="Times New Roman" w:hAnsi="Times New Roman"/>
                <w:color w:val="000000" w:themeColor="text1"/>
                <w:kern w:val="0"/>
                <w14:textFill>
                  <w14:solidFill>
                    <w14:schemeClr w14:val="tx1"/>
                  </w14:solidFill>
                </w14:textFill>
              </w:rPr>
              <w:t>008</w:t>
            </w:r>
            <w:r>
              <w:rPr>
                <w:rFonts w:ascii="Times New Roman" w:hAnsi="Times New Roman"/>
                <w:color w:val="000000" w:themeColor="text1"/>
                <w:kern w:val="0"/>
                <w14:textFill>
                  <w14:solidFill>
                    <w14:schemeClr w14:val="tx1"/>
                  </w14:solidFill>
                </w14:textFill>
              </w:rPr>
              <w:t>kg/h</w:t>
            </w:r>
            <w:r>
              <w:rPr>
                <w:rFonts w:hint="eastAsia" w:ascii="Times New Roman" w:hAnsi="Times New Roman"/>
                <w:color w:val="000000" w:themeColor="text1"/>
                <w:kern w:val="0"/>
                <w14:textFill>
                  <w14:solidFill>
                    <w14:schemeClr w14:val="tx1"/>
                  </w14:solidFill>
                </w14:textFill>
              </w:rPr>
              <w:t>，排放浓度为2mg/m³</w:t>
            </w:r>
            <w:r>
              <w:rPr>
                <w:rFonts w:ascii="Times New Roman" w:hAnsi="Times New Roman"/>
                <w:color w:val="000000" w:themeColor="text1"/>
                <w:kern w:val="0"/>
                <w14:textFill>
                  <w14:solidFill>
                    <w14:schemeClr w14:val="tx1"/>
                  </w14:solidFill>
                </w14:textFill>
              </w:rPr>
              <w:t>；</w:t>
            </w:r>
          </w:p>
          <w:p>
            <w:pPr>
              <w:ind w:firstLine="482" w:firstLineChars="200"/>
              <w:rPr>
                <w:b/>
                <w:bCs/>
                <w:color w:val="000000" w:themeColor="text1"/>
                <w:kern w:val="0"/>
                <w14:textFill>
                  <w14:solidFill>
                    <w14:schemeClr w14:val="tx1"/>
                  </w14:solidFill>
                </w14:textFill>
              </w:rPr>
            </w:pPr>
            <w:r>
              <w:rPr>
                <w:rFonts w:hint="eastAsia" w:ascii="宋体" w:hAnsi="宋体" w:cs="宋体"/>
                <w:b/>
                <w:bCs/>
                <w:color w:val="000000" w:themeColor="text1"/>
                <w:kern w:val="0"/>
                <w14:textFill>
                  <w14:solidFill>
                    <w14:schemeClr w14:val="tx1"/>
                  </w14:solidFill>
                </w14:textFill>
              </w:rPr>
              <w:t>②</w:t>
            </w:r>
            <w:r>
              <w:rPr>
                <w:b/>
                <w:bCs/>
                <w:color w:val="000000" w:themeColor="text1"/>
                <w:kern w:val="0"/>
                <w14:textFill>
                  <w14:solidFill>
                    <w14:schemeClr w14:val="tx1"/>
                  </w14:solidFill>
                </w14:textFill>
              </w:rPr>
              <w:t>无组织排放</w:t>
            </w:r>
          </w:p>
          <w:p>
            <w:pPr>
              <w:ind w:firstLine="480" w:firstLineChars="200"/>
              <w:rPr>
                <w:color w:val="000000" w:themeColor="text1"/>
                <w14:textFill>
                  <w14:solidFill>
                    <w14:schemeClr w14:val="tx1"/>
                  </w14:solidFill>
                </w14:textFill>
              </w:rPr>
            </w:pPr>
            <w:r>
              <w:rPr>
                <w:rFonts w:hint="eastAsia"/>
                <w:color w:val="000000" w:themeColor="text1"/>
                <w:kern w:val="0"/>
                <w14:textFill>
                  <w14:solidFill>
                    <w14:schemeClr w14:val="tx1"/>
                  </w14:solidFill>
                </w14:textFill>
              </w:rPr>
              <w:t>焊接烟尘排放量为0.0009</w:t>
            </w:r>
            <w:r>
              <w:rPr>
                <w:color w:val="000000" w:themeColor="text1"/>
                <w:kern w:val="0"/>
                <w14:textFill>
                  <w14:solidFill>
                    <w14:schemeClr w14:val="tx1"/>
                  </w14:solidFill>
                </w14:textFill>
              </w:rPr>
              <w:t>t/a</w:t>
            </w:r>
            <w:r>
              <w:rPr>
                <w:rFonts w:hint="eastAsia"/>
                <w:color w:val="000000" w:themeColor="text1"/>
                <w:kern w:val="0"/>
                <w14:textFill>
                  <w14:solidFill>
                    <w14:schemeClr w14:val="tx1"/>
                  </w14:solidFill>
                </w14:textFill>
              </w:rPr>
              <w:t>，翻新粉尘排放量为0.0006t/a，漆雾（以颗粒物计）为0.009t/a，</w:t>
            </w:r>
            <w:r>
              <w:rPr>
                <w:rFonts w:hint="eastAsia"/>
                <w:color w:val="000000" w:themeColor="text1"/>
                <w14:textFill>
                  <w14:solidFill>
                    <w14:schemeClr w14:val="tx1"/>
                  </w14:solidFill>
                </w14:textFill>
              </w:rPr>
              <w:t>挥发性有机物</w:t>
            </w:r>
            <w:r>
              <w:rPr>
                <w:color w:val="000000" w:themeColor="text1"/>
                <w14:textFill>
                  <w14:solidFill>
                    <w14:schemeClr w14:val="tx1"/>
                  </w14:solidFill>
                </w14:textFill>
              </w:rPr>
              <w:t>排放量为0.</w:t>
            </w:r>
            <w:r>
              <w:rPr>
                <w:rFonts w:hint="eastAsia"/>
                <w:color w:val="000000" w:themeColor="text1"/>
                <w14:textFill>
                  <w14:solidFill>
                    <w14:schemeClr w14:val="tx1"/>
                  </w14:solidFill>
                </w14:textFill>
              </w:rPr>
              <w:t>03456t</w:t>
            </w:r>
            <w:r>
              <w:rPr>
                <w:color w:val="000000" w:themeColor="text1"/>
                <w14:textFill>
                  <w14:solidFill>
                    <w14:schemeClr w14:val="tx1"/>
                  </w14:solidFill>
                </w14:textFill>
              </w:rPr>
              <w:t>。</w:t>
            </w:r>
          </w:p>
          <w:p>
            <w:pPr>
              <w:pStyle w:val="22"/>
              <w:adjustRightInd w:val="0"/>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废气污染物产排情况统计详见下表：</w:t>
            </w:r>
          </w:p>
          <w:p>
            <w:pPr>
              <w:pStyle w:val="22"/>
              <w:adjustRightInd w:val="0"/>
              <w:ind w:firstLine="482" w:firstLineChars="200"/>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表4-1  废气污染物产排情况统计表</w:t>
            </w:r>
          </w:p>
          <w:tbl>
            <w:tblPr>
              <w:tblStyle w:val="28"/>
              <w:tblW w:w="7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106"/>
              <w:gridCol w:w="1109"/>
              <w:gridCol w:w="949"/>
              <w:gridCol w:w="1303"/>
              <w:gridCol w:w="1293"/>
              <w:gridCol w:w="793"/>
              <w:gridCol w:w="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pct"/>
                  <w:gridSpan w:val="2"/>
                  <w:vAlign w:val="center"/>
                </w:tcPr>
                <w:p>
                  <w:pPr>
                    <w:pStyle w:val="22"/>
                    <w:adjustRightInd w:val="0"/>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产排污环节</w:t>
                  </w:r>
                </w:p>
              </w:tc>
              <w:tc>
                <w:tcPr>
                  <w:tcW w:w="703"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焊接</w:t>
                  </w:r>
                </w:p>
              </w:tc>
              <w:tc>
                <w:tcPr>
                  <w:tcW w:w="601"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翻新</w:t>
                  </w:r>
                </w:p>
              </w:tc>
              <w:tc>
                <w:tcPr>
                  <w:tcW w:w="2723" w:type="pct"/>
                  <w:gridSpan w:val="4"/>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喷漆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pct"/>
                  <w:gridSpan w:val="2"/>
                  <w:vAlign w:val="center"/>
                </w:tcPr>
                <w:p>
                  <w:pPr>
                    <w:pStyle w:val="22"/>
                    <w:adjustRightInd w:val="0"/>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污染物种类</w:t>
                  </w:r>
                </w:p>
              </w:tc>
              <w:tc>
                <w:tcPr>
                  <w:tcW w:w="703"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烟尘</w:t>
                  </w:r>
                </w:p>
              </w:tc>
              <w:tc>
                <w:tcPr>
                  <w:tcW w:w="601"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粉尘</w:t>
                  </w:r>
                </w:p>
              </w:tc>
              <w:tc>
                <w:tcPr>
                  <w:tcW w:w="826"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漆雾</w:t>
                  </w:r>
                </w:p>
              </w:tc>
              <w:tc>
                <w:tcPr>
                  <w:tcW w:w="819"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挥发性有机化合物</w:t>
                  </w:r>
                </w:p>
              </w:tc>
              <w:tc>
                <w:tcPr>
                  <w:tcW w:w="503"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漆雾</w:t>
                  </w:r>
                </w:p>
              </w:tc>
              <w:tc>
                <w:tcPr>
                  <w:tcW w:w="573"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挥发性有机化合物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pct"/>
                  <w:gridSpan w:val="2"/>
                  <w:vAlign w:val="center"/>
                </w:tcPr>
                <w:p>
                  <w:pPr>
                    <w:pStyle w:val="22"/>
                    <w:adjustRightInd w:val="0"/>
                    <w:spacing w:line="240" w:lineRule="auto"/>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污染因子</w:t>
                  </w:r>
                </w:p>
              </w:tc>
              <w:tc>
                <w:tcPr>
                  <w:tcW w:w="703"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颗粒物</w:t>
                  </w:r>
                </w:p>
              </w:tc>
              <w:tc>
                <w:tcPr>
                  <w:tcW w:w="601"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颗粒物</w:t>
                  </w:r>
                </w:p>
              </w:tc>
              <w:tc>
                <w:tcPr>
                  <w:tcW w:w="826"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颗粒物</w:t>
                  </w:r>
                </w:p>
              </w:tc>
              <w:tc>
                <w:tcPr>
                  <w:tcW w:w="819"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Style w:val="35"/>
                      <w:rFonts w:hint="eastAsia"/>
                      <w:color w:val="000000" w:themeColor="text1"/>
                      <w14:textFill>
                        <w14:solidFill>
                          <w14:schemeClr w14:val="tx1"/>
                        </w14:solidFill>
                      </w14:textFill>
                    </w:rPr>
                    <w:t>（</w:t>
                  </w:r>
                  <w:r>
                    <w:rPr>
                      <w:rFonts w:hint="eastAsia"/>
                      <w:bCs/>
                      <w:color w:val="000000" w:themeColor="text1"/>
                      <w:sz w:val="21"/>
                      <w:szCs w:val="21"/>
                      <w14:textFill>
                        <w14:solidFill>
                          <w14:schemeClr w14:val="tx1"/>
                        </w14:solidFill>
                      </w14:textFill>
                    </w:rPr>
                    <w:t>（</w:t>
                  </w:r>
                  <w:r>
                    <w:rPr>
                      <w:bCs/>
                      <w:color w:val="000000" w:themeColor="text1"/>
                      <w:sz w:val="21"/>
                      <w:szCs w:val="21"/>
                      <w14:textFill>
                        <w14:solidFill>
                          <w14:schemeClr w14:val="tx1"/>
                        </w14:solidFill>
                      </w14:textFill>
                    </w:rPr>
                    <w:t>以</w:t>
                  </w:r>
                  <w:r>
                    <w:rPr>
                      <w:rFonts w:hint="eastAsia"/>
                      <w:bCs/>
                      <w:color w:val="000000" w:themeColor="text1"/>
                      <w:sz w:val="21"/>
                      <w:szCs w:val="21"/>
                      <w14:textFill>
                        <w14:solidFill>
                          <w14:schemeClr w14:val="tx1"/>
                        </w14:solidFill>
                      </w14:textFill>
                    </w:rPr>
                    <w:t>非甲烷总烃计</w:t>
                  </w:r>
                  <w:r>
                    <w:rPr>
                      <w:bCs/>
                      <w:color w:val="000000" w:themeColor="text1"/>
                      <w:sz w:val="21"/>
                      <w:szCs w:val="21"/>
                      <w14:textFill>
                        <w14:solidFill>
                          <w14:schemeClr w14:val="tx1"/>
                        </w14:solidFill>
                      </w14:textFill>
                    </w:rPr>
                    <w:t>）</w:t>
                  </w:r>
                  <w:r>
                    <w:rPr>
                      <w:rStyle w:val="35"/>
                      <w:rFonts w:hint="eastAsia"/>
                      <w:color w:val="000000" w:themeColor="text1"/>
                      <w14:textFill>
                        <w14:solidFill>
                          <w14:schemeClr w14:val="tx1"/>
                        </w14:solidFill>
                      </w14:textFill>
                    </w:rPr>
                    <w:t>）</w:t>
                  </w:r>
                </w:p>
              </w:tc>
              <w:tc>
                <w:tcPr>
                  <w:tcW w:w="503"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颗粒物</w:t>
                  </w:r>
                </w:p>
              </w:tc>
              <w:tc>
                <w:tcPr>
                  <w:tcW w:w="573"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r>
                    <w:rPr>
                      <w:bCs/>
                      <w:color w:val="000000" w:themeColor="text1"/>
                      <w:sz w:val="21"/>
                      <w:szCs w:val="21"/>
                      <w14:textFill>
                        <w14:solidFill>
                          <w14:schemeClr w14:val="tx1"/>
                        </w14:solidFill>
                      </w14:textFill>
                    </w:rPr>
                    <w:t>以</w:t>
                  </w:r>
                  <w:r>
                    <w:rPr>
                      <w:rFonts w:hint="eastAsia"/>
                      <w:bCs/>
                      <w:color w:val="000000" w:themeColor="text1"/>
                      <w:sz w:val="21"/>
                      <w:szCs w:val="21"/>
                      <w14:textFill>
                        <w14:solidFill>
                          <w14:schemeClr w14:val="tx1"/>
                        </w14:solidFill>
                      </w14:textFill>
                    </w:rPr>
                    <w:t>非甲烷总烃计</w:t>
                  </w:r>
                  <w:r>
                    <w:rPr>
                      <w:bCs/>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pct"/>
                  <w:gridSpan w:val="2"/>
                  <w:vAlign w:val="center"/>
                </w:tcPr>
                <w:p>
                  <w:pPr>
                    <w:pStyle w:val="22"/>
                    <w:adjustRightInd w:val="0"/>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污染物产生量（t/a）</w:t>
                  </w:r>
                </w:p>
              </w:tc>
              <w:tc>
                <w:tcPr>
                  <w:tcW w:w="703"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0.0029</w:t>
                  </w:r>
                </w:p>
              </w:tc>
              <w:tc>
                <w:tcPr>
                  <w:tcW w:w="601"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0.0006</w:t>
                  </w:r>
                </w:p>
              </w:tc>
              <w:tc>
                <w:tcPr>
                  <w:tcW w:w="826"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0.009</w:t>
                  </w:r>
                </w:p>
              </w:tc>
              <w:tc>
                <w:tcPr>
                  <w:tcW w:w="819"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0.03456</w:t>
                  </w:r>
                </w:p>
              </w:tc>
              <w:tc>
                <w:tcPr>
                  <w:tcW w:w="503"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0.045</w:t>
                  </w:r>
                </w:p>
              </w:tc>
              <w:tc>
                <w:tcPr>
                  <w:tcW w:w="573"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0.1728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pct"/>
                  <w:gridSpan w:val="2"/>
                  <w:vAlign w:val="center"/>
                </w:tcPr>
                <w:p>
                  <w:pPr>
                    <w:pStyle w:val="22"/>
                    <w:adjustRightInd w:val="0"/>
                    <w:spacing w:line="240" w:lineRule="auto"/>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产生速率（kg/h）</w:t>
                  </w:r>
                </w:p>
              </w:tc>
              <w:tc>
                <w:tcPr>
                  <w:tcW w:w="703"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0.0048</w:t>
                  </w:r>
                </w:p>
              </w:tc>
              <w:tc>
                <w:tcPr>
                  <w:tcW w:w="601"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p>
              </w:tc>
              <w:tc>
                <w:tcPr>
                  <w:tcW w:w="826"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0.01</w:t>
                  </w:r>
                </w:p>
              </w:tc>
              <w:tc>
                <w:tcPr>
                  <w:tcW w:w="819"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0.0144</w:t>
                  </w:r>
                </w:p>
              </w:tc>
              <w:tc>
                <w:tcPr>
                  <w:tcW w:w="503"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0.05</w:t>
                  </w:r>
                </w:p>
              </w:tc>
              <w:tc>
                <w:tcPr>
                  <w:tcW w:w="573"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pct"/>
                  <w:gridSpan w:val="2"/>
                  <w:vAlign w:val="center"/>
                </w:tcPr>
                <w:p>
                  <w:pPr>
                    <w:pStyle w:val="22"/>
                    <w:adjustRightInd w:val="0"/>
                    <w:spacing w:line="240" w:lineRule="auto"/>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废气量（万Nm</w:t>
                  </w:r>
                  <w:r>
                    <w:rPr>
                      <w:rFonts w:hint="eastAsia"/>
                      <w:b/>
                      <w:color w:val="000000" w:themeColor="text1"/>
                      <w:sz w:val="21"/>
                      <w:szCs w:val="21"/>
                      <w:vertAlign w:val="superscript"/>
                      <w14:textFill>
                        <w14:solidFill>
                          <w14:schemeClr w14:val="tx1"/>
                        </w14:solidFill>
                      </w14:textFill>
                    </w:rPr>
                    <w:t>3</w:t>
                  </w:r>
                  <w:r>
                    <w:rPr>
                      <w:rFonts w:hint="eastAsia"/>
                      <w:b/>
                      <w:color w:val="000000" w:themeColor="text1"/>
                      <w:sz w:val="21"/>
                      <w:szCs w:val="21"/>
                      <w14:textFill>
                        <w14:solidFill>
                          <w14:schemeClr w14:val="tx1"/>
                        </w14:solidFill>
                      </w14:textFill>
                    </w:rPr>
                    <w:t>/a）</w:t>
                  </w:r>
                </w:p>
              </w:tc>
              <w:tc>
                <w:tcPr>
                  <w:tcW w:w="703"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p>
              </w:tc>
              <w:tc>
                <w:tcPr>
                  <w:tcW w:w="601"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p>
              </w:tc>
              <w:tc>
                <w:tcPr>
                  <w:tcW w:w="826"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p>
              </w:tc>
              <w:tc>
                <w:tcPr>
                  <w:tcW w:w="819"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p>
              </w:tc>
              <w:tc>
                <w:tcPr>
                  <w:tcW w:w="1077" w:type="pct"/>
                  <w:gridSpan w:val="2"/>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pct"/>
                  <w:gridSpan w:val="2"/>
                  <w:vAlign w:val="center"/>
                </w:tcPr>
                <w:p>
                  <w:pPr>
                    <w:pStyle w:val="22"/>
                    <w:adjustRightInd w:val="0"/>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污染物产生浓度（mg/m</w:t>
                  </w:r>
                  <w:r>
                    <w:rPr>
                      <w:b/>
                      <w:color w:val="000000" w:themeColor="text1"/>
                      <w:sz w:val="21"/>
                      <w:szCs w:val="21"/>
                      <w:vertAlign w:val="superscript"/>
                      <w14:textFill>
                        <w14:solidFill>
                          <w14:schemeClr w14:val="tx1"/>
                        </w14:solidFill>
                      </w14:textFill>
                    </w:rPr>
                    <w:t>3</w:t>
                  </w:r>
                  <w:r>
                    <w:rPr>
                      <w:b/>
                      <w:color w:val="000000" w:themeColor="text1"/>
                      <w:sz w:val="21"/>
                      <w:szCs w:val="21"/>
                      <w14:textFill>
                        <w14:solidFill>
                          <w14:schemeClr w14:val="tx1"/>
                        </w14:solidFill>
                      </w14:textFill>
                    </w:rPr>
                    <w:t>）</w:t>
                  </w:r>
                </w:p>
              </w:tc>
              <w:tc>
                <w:tcPr>
                  <w:tcW w:w="703"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p>
              </w:tc>
              <w:tc>
                <w:tcPr>
                  <w:tcW w:w="601"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p>
              </w:tc>
              <w:tc>
                <w:tcPr>
                  <w:tcW w:w="826"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p>
              </w:tc>
              <w:tc>
                <w:tcPr>
                  <w:tcW w:w="819"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p>
              </w:tc>
              <w:tc>
                <w:tcPr>
                  <w:tcW w:w="503"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12.5</w:t>
                  </w:r>
                </w:p>
              </w:tc>
              <w:tc>
                <w:tcPr>
                  <w:tcW w:w="573"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pct"/>
                  <w:gridSpan w:val="2"/>
                  <w:vAlign w:val="center"/>
                </w:tcPr>
                <w:p>
                  <w:pPr>
                    <w:pStyle w:val="22"/>
                    <w:adjustRightInd w:val="0"/>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排放形式</w:t>
                  </w:r>
                </w:p>
              </w:tc>
              <w:tc>
                <w:tcPr>
                  <w:tcW w:w="703"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无组织</w:t>
                  </w:r>
                </w:p>
              </w:tc>
              <w:tc>
                <w:tcPr>
                  <w:tcW w:w="601"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无组织</w:t>
                  </w:r>
                </w:p>
              </w:tc>
              <w:tc>
                <w:tcPr>
                  <w:tcW w:w="826"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无组织</w:t>
                  </w:r>
                </w:p>
              </w:tc>
              <w:tc>
                <w:tcPr>
                  <w:tcW w:w="819"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无组织</w:t>
                  </w:r>
                </w:p>
              </w:tc>
              <w:tc>
                <w:tcPr>
                  <w:tcW w:w="1077" w:type="pct"/>
                  <w:gridSpan w:val="2"/>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0" w:type="pct"/>
                  <w:vMerge w:val="restart"/>
                  <w:vAlign w:val="center"/>
                </w:tcPr>
                <w:p>
                  <w:pPr>
                    <w:pStyle w:val="22"/>
                    <w:adjustRightInd w:val="0"/>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治理设施</w:t>
                  </w:r>
                </w:p>
              </w:tc>
              <w:tc>
                <w:tcPr>
                  <w:tcW w:w="700" w:type="pct"/>
                  <w:vAlign w:val="center"/>
                </w:tcPr>
                <w:p>
                  <w:pPr>
                    <w:pStyle w:val="22"/>
                    <w:adjustRightInd w:val="0"/>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名称</w:t>
                  </w:r>
                </w:p>
              </w:tc>
              <w:tc>
                <w:tcPr>
                  <w:tcW w:w="703"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移动式焊烟净化器</w:t>
                  </w:r>
                </w:p>
              </w:tc>
              <w:tc>
                <w:tcPr>
                  <w:tcW w:w="601"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p>
              </w:tc>
              <w:tc>
                <w:tcPr>
                  <w:tcW w:w="826"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p>
              </w:tc>
              <w:tc>
                <w:tcPr>
                  <w:tcW w:w="819"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p>
              </w:tc>
              <w:tc>
                <w:tcPr>
                  <w:tcW w:w="1077" w:type="pct"/>
                  <w:gridSpan w:val="2"/>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过滤棉+活性炭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0" w:type="pct"/>
                  <w:vMerge w:val="continue"/>
                  <w:vAlign w:val="center"/>
                </w:tcPr>
                <w:p>
                  <w:pPr>
                    <w:pStyle w:val="22"/>
                    <w:adjustRightInd w:val="0"/>
                    <w:spacing w:line="240" w:lineRule="auto"/>
                    <w:jc w:val="center"/>
                    <w:rPr>
                      <w:b/>
                      <w:color w:val="000000" w:themeColor="text1"/>
                      <w:sz w:val="21"/>
                      <w:szCs w:val="21"/>
                      <w14:textFill>
                        <w14:solidFill>
                          <w14:schemeClr w14:val="tx1"/>
                        </w14:solidFill>
                      </w14:textFill>
                    </w:rPr>
                  </w:pPr>
                </w:p>
              </w:tc>
              <w:tc>
                <w:tcPr>
                  <w:tcW w:w="700" w:type="pct"/>
                  <w:vAlign w:val="center"/>
                </w:tcPr>
                <w:p>
                  <w:pPr>
                    <w:pStyle w:val="22"/>
                    <w:adjustRightInd w:val="0"/>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处理能力</w:t>
                  </w:r>
                  <w:r>
                    <w:rPr>
                      <w:rFonts w:hint="eastAsia"/>
                      <w:b/>
                      <w:color w:val="000000" w:themeColor="text1"/>
                      <w:sz w:val="21"/>
                      <w:szCs w:val="21"/>
                      <w14:textFill>
                        <w14:solidFill>
                          <w14:schemeClr w14:val="tx1"/>
                        </w14:solidFill>
                      </w14:textFill>
                    </w:rPr>
                    <w:t>（m</w:t>
                  </w:r>
                  <w:r>
                    <w:rPr>
                      <w:rFonts w:hint="eastAsia"/>
                      <w:b/>
                      <w:color w:val="000000" w:themeColor="text1"/>
                      <w:sz w:val="21"/>
                      <w:szCs w:val="21"/>
                      <w:vertAlign w:val="superscript"/>
                      <w14:textFill>
                        <w14:solidFill>
                          <w14:schemeClr w14:val="tx1"/>
                        </w14:solidFill>
                      </w14:textFill>
                    </w:rPr>
                    <w:t>3</w:t>
                  </w:r>
                  <w:r>
                    <w:rPr>
                      <w:rFonts w:hint="eastAsia"/>
                      <w:b/>
                      <w:color w:val="000000" w:themeColor="text1"/>
                      <w:sz w:val="21"/>
                      <w:szCs w:val="21"/>
                      <w14:textFill>
                        <w14:solidFill>
                          <w14:schemeClr w14:val="tx1"/>
                        </w14:solidFill>
                      </w14:textFill>
                    </w:rPr>
                    <w:t>/h）</w:t>
                  </w:r>
                </w:p>
              </w:tc>
              <w:tc>
                <w:tcPr>
                  <w:tcW w:w="703"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p>
              </w:tc>
              <w:tc>
                <w:tcPr>
                  <w:tcW w:w="601"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p>
              </w:tc>
              <w:tc>
                <w:tcPr>
                  <w:tcW w:w="826"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p>
              </w:tc>
              <w:tc>
                <w:tcPr>
                  <w:tcW w:w="819"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p>
              </w:tc>
              <w:tc>
                <w:tcPr>
                  <w:tcW w:w="1077" w:type="pct"/>
                  <w:gridSpan w:val="2"/>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0" w:type="pct"/>
                  <w:vMerge w:val="continue"/>
                  <w:vAlign w:val="center"/>
                </w:tcPr>
                <w:p>
                  <w:pPr>
                    <w:pStyle w:val="22"/>
                    <w:adjustRightInd w:val="0"/>
                    <w:spacing w:line="240" w:lineRule="auto"/>
                    <w:jc w:val="center"/>
                    <w:rPr>
                      <w:b/>
                      <w:color w:val="000000" w:themeColor="text1"/>
                      <w:sz w:val="21"/>
                      <w:szCs w:val="21"/>
                      <w14:textFill>
                        <w14:solidFill>
                          <w14:schemeClr w14:val="tx1"/>
                        </w14:solidFill>
                      </w14:textFill>
                    </w:rPr>
                  </w:pPr>
                </w:p>
              </w:tc>
              <w:tc>
                <w:tcPr>
                  <w:tcW w:w="700" w:type="pct"/>
                  <w:vAlign w:val="center"/>
                </w:tcPr>
                <w:p>
                  <w:pPr>
                    <w:pStyle w:val="22"/>
                    <w:adjustRightInd w:val="0"/>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收集效率</w:t>
                  </w:r>
                </w:p>
              </w:tc>
              <w:tc>
                <w:tcPr>
                  <w:tcW w:w="703"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80%</w:t>
                  </w:r>
                </w:p>
              </w:tc>
              <w:tc>
                <w:tcPr>
                  <w:tcW w:w="601"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p>
              </w:tc>
              <w:tc>
                <w:tcPr>
                  <w:tcW w:w="826"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p>
              </w:tc>
              <w:tc>
                <w:tcPr>
                  <w:tcW w:w="819"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p>
              </w:tc>
              <w:tc>
                <w:tcPr>
                  <w:tcW w:w="503"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85%</w:t>
                  </w:r>
                </w:p>
              </w:tc>
              <w:tc>
                <w:tcPr>
                  <w:tcW w:w="573"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0" w:type="pct"/>
                  <w:vMerge w:val="continue"/>
                  <w:vAlign w:val="center"/>
                </w:tcPr>
                <w:p>
                  <w:pPr>
                    <w:pStyle w:val="22"/>
                    <w:adjustRightInd w:val="0"/>
                    <w:spacing w:line="240" w:lineRule="auto"/>
                    <w:jc w:val="center"/>
                    <w:rPr>
                      <w:b/>
                      <w:color w:val="000000" w:themeColor="text1"/>
                      <w:sz w:val="21"/>
                      <w:szCs w:val="21"/>
                      <w14:textFill>
                        <w14:solidFill>
                          <w14:schemeClr w14:val="tx1"/>
                        </w14:solidFill>
                      </w14:textFill>
                    </w:rPr>
                  </w:pPr>
                </w:p>
              </w:tc>
              <w:tc>
                <w:tcPr>
                  <w:tcW w:w="700" w:type="pct"/>
                  <w:vAlign w:val="center"/>
                </w:tcPr>
                <w:p>
                  <w:pPr>
                    <w:pStyle w:val="22"/>
                    <w:adjustRightInd w:val="0"/>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去除</w:t>
                  </w:r>
                  <w:r>
                    <w:rPr>
                      <w:rFonts w:hint="eastAsia"/>
                      <w:b/>
                      <w:color w:val="000000" w:themeColor="text1"/>
                      <w:sz w:val="21"/>
                      <w:szCs w:val="21"/>
                      <w14:textFill>
                        <w14:solidFill>
                          <w14:schemeClr w14:val="tx1"/>
                        </w14:solidFill>
                      </w14:textFill>
                    </w:rPr>
                    <w:t>效</w:t>
                  </w:r>
                  <w:r>
                    <w:rPr>
                      <w:b/>
                      <w:color w:val="000000" w:themeColor="text1"/>
                      <w:sz w:val="21"/>
                      <w:szCs w:val="21"/>
                      <w14:textFill>
                        <w14:solidFill>
                          <w14:schemeClr w14:val="tx1"/>
                        </w14:solidFill>
                      </w14:textFill>
                    </w:rPr>
                    <w:t>率</w:t>
                  </w:r>
                </w:p>
              </w:tc>
              <w:tc>
                <w:tcPr>
                  <w:tcW w:w="703"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85%</w:t>
                  </w:r>
                </w:p>
              </w:tc>
              <w:tc>
                <w:tcPr>
                  <w:tcW w:w="601"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p>
              </w:tc>
              <w:tc>
                <w:tcPr>
                  <w:tcW w:w="826"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p>
              </w:tc>
              <w:tc>
                <w:tcPr>
                  <w:tcW w:w="819"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p>
              </w:tc>
              <w:tc>
                <w:tcPr>
                  <w:tcW w:w="503"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80%</w:t>
                  </w:r>
                </w:p>
              </w:tc>
              <w:tc>
                <w:tcPr>
                  <w:tcW w:w="573"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0" w:type="pct"/>
                  <w:vMerge w:val="continue"/>
                  <w:vAlign w:val="center"/>
                </w:tcPr>
                <w:p>
                  <w:pPr>
                    <w:pStyle w:val="22"/>
                    <w:adjustRightInd w:val="0"/>
                    <w:spacing w:line="240" w:lineRule="auto"/>
                    <w:jc w:val="center"/>
                    <w:rPr>
                      <w:b/>
                      <w:color w:val="000000" w:themeColor="text1"/>
                      <w:sz w:val="21"/>
                      <w:szCs w:val="21"/>
                      <w14:textFill>
                        <w14:solidFill>
                          <w14:schemeClr w14:val="tx1"/>
                        </w14:solidFill>
                      </w14:textFill>
                    </w:rPr>
                  </w:pPr>
                </w:p>
              </w:tc>
              <w:tc>
                <w:tcPr>
                  <w:tcW w:w="700" w:type="pct"/>
                  <w:vAlign w:val="center"/>
                </w:tcPr>
                <w:p>
                  <w:pPr>
                    <w:pStyle w:val="22"/>
                    <w:adjustRightInd w:val="0"/>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是否为可行技术</w:t>
                  </w:r>
                </w:p>
              </w:tc>
              <w:tc>
                <w:tcPr>
                  <w:tcW w:w="703"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是</w:t>
                  </w:r>
                </w:p>
              </w:tc>
              <w:tc>
                <w:tcPr>
                  <w:tcW w:w="601"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是</w:t>
                  </w:r>
                </w:p>
              </w:tc>
              <w:tc>
                <w:tcPr>
                  <w:tcW w:w="826"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p>
              </w:tc>
              <w:tc>
                <w:tcPr>
                  <w:tcW w:w="819"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p>
              </w:tc>
              <w:tc>
                <w:tcPr>
                  <w:tcW w:w="503"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是</w:t>
                  </w:r>
                </w:p>
              </w:tc>
              <w:tc>
                <w:tcPr>
                  <w:tcW w:w="573"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pct"/>
                  <w:gridSpan w:val="2"/>
                  <w:vAlign w:val="center"/>
                </w:tcPr>
                <w:p>
                  <w:pPr>
                    <w:pStyle w:val="22"/>
                    <w:adjustRightInd w:val="0"/>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污染物排放浓度（mg/m</w:t>
                  </w:r>
                  <w:r>
                    <w:rPr>
                      <w:b/>
                      <w:color w:val="000000" w:themeColor="text1"/>
                      <w:sz w:val="21"/>
                      <w:szCs w:val="21"/>
                      <w:vertAlign w:val="superscript"/>
                      <w14:textFill>
                        <w14:solidFill>
                          <w14:schemeClr w14:val="tx1"/>
                        </w14:solidFill>
                      </w14:textFill>
                    </w:rPr>
                    <w:t>3</w:t>
                  </w:r>
                  <w:r>
                    <w:rPr>
                      <w:b/>
                      <w:color w:val="000000" w:themeColor="text1"/>
                      <w:sz w:val="21"/>
                      <w:szCs w:val="21"/>
                      <w14:textFill>
                        <w14:solidFill>
                          <w14:schemeClr w14:val="tx1"/>
                        </w14:solidFill>
                      </w14:textFill>
                    </w:rPr>
                    <w:t>）</w:t>
                  </w:r>
                </w:p>
              </w:tc>
              <w:tc>
                <w:tcPr>
                  <w:tcW w:w="703"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p>
              </w:tc>
              <w:tc>
                <w:tcPr>
                  <w:tcW w:w="601"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p>
              </w:tc>
              <w:tc>
                <w:tcPr>
                  <w:tcW w:w="826"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p>
              </w:tc>
              <w:tc>
                <w:tcPr>
                  <w:tcW w:w="819"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p>
              </w:tc>
              <w:tc>
                <w:tcPr>
                  <w:tcW w:w="503"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w:t>
                  </w:r>
                </w:p>
              </w:tc>
              <w:tc>
                <w:tcPr>
                  <w:tcW w:w="573"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11.75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pct"/>
                  <w:gridSpan w:val="2"/>
                  <w:vAlign w:val="center"/>
                </w:tcPr>
                <w:p>
                  <w:pPr>
                    <w:pStyle w:val="22"/>
                    <w:adjustRightInd w:val="0"/>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污染物排放速率（kg/h）</w:t>
                  </w:r>
                </w:p>
              </w:tc>
              <w:tc>
                <w:tcPr>
                  <w:tcW w:w="703"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0.0016</w:t>
                  </w:r>
                </w:p>
              </w:tc>
              <w:tc>
                <w:tcPr>
                  <w:tcW w:w="601"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p>
              </w:tc>
              <w:tc>
                <w:tcPr>
                  <w:tcW w:w="826"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0.01</w:t>
                  </w:r>
                </w:p>
              </w:tc>
              <w:tc>
                <w:tcPr>
                  <w:tcW w:w="819"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0.0144</w:t>
                  </w:r>
                </w:p>
              </w:tc>
              <w:tc>
                <w:tcPr>
                  <w:tcW w:w="503"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0.008</w:t>
                  </w:r>
                </w:p>
              </w:tc>
              <w:tc>
                <w:tcPr>
                  <w:tcW w:w="573"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pct"/>
                  <w:gridSpan w:val="2"/>
                  <w:vAlign w:val="center"/>
                </w:tcPr>
                <w:p>
                  <w:pPr>
                    <w:pStyle w:val="22"/>
                    <w:adjustRightInd w:val="0"/>
                    <w:spacing w:line="240" w:lineRule="auto"/>
                    <w:jc w:val="center"/>
                    <w:rPr>
                      <w:b/>
                      <w:color w:val="000000" w:themeColor="text1"/>
                      <w:sz w:val="21"/>
                      <w:szCs w:val="21"/>
                      <w14:textFill>
                        <w14:solidFill>
                          <w14:schemeClr w14:val="tx1"/>
                        </w14:solidFill>
                      </w14:textFill>
                    </w:rPr>
                  </w:pPr>
                  <w:bookmarkStart w:id="20" w:name="OLE_LINK2" w:colFirst="1" w:colLast="4"/>
                  <w:r>
                    <w:rPr>
                      <w:b/>
                      <w:color w:val="000000" w:themeColor="text1"/>
                      <w:sz w:val="21"/>
                      <w:szCs w:val="21"/>
                      <w14:textFill>
                        <w14:solidFill>
                          <w14:schemeClr w14:val="tx1"/>
                        </w14:solidFill>
                      </w14:textFill>
                    </w:rPr>
                    <w:t>污染物排放量（t/a）</w:t>
                  </w:r>
                </w:p>
              </w:tc>
              <w:tc>
                <w:tcPr>
                  <w:tcW w:w="703"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0.0009</w:t>
                  </w:r>
                </w:p>
              </w:tc>
              <w:tc>
                <w:tcPr>
                  <w:tcW w:w="601"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0.0006</w:t>
                  </w:r>
                </w:p>
              </w:tc>
              <w:tc>
                <w:tcPr>
                  <w:tcW w:w="826"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0.009</w:t>
                  </w:r>
                </w:p>
              </w:tc>
              <w:tc>
                <w:tcPr>
                  <w:tcW w:w="819"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0.03456</w:t>
                  </w:r>
                </w:p>
              </w:tc>
              <w:tc>
                <w:tcPr>
                  <w:tcW w:w="503"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0.0072</w:t>
                  </w:r>
                </w:p>
              </w:tc>
              <w:tc>
                <w:tcPr>
                  <w:tcW w:w="573"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0.1134</w:t>
                  </w:r>
                </w:p>
              </w:tc>
            </w:tr>
            <w:bookmarkEnd w:id="2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0" w:type="pct"/>
                  <w:vMerge w:val="restart"/>
                  <w:vAlign w:val="center"/>
                </w:tcPr>
                <w:p>
                  <w:pPr>
                    <w:pStyle w:val="22"/>
                    <w:adjustRightInd w:val="0"/>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排放口基本情况</w:t>
                  </w:r>
                </w:p>
              </w:tc>
              <w:tc>
                <w:tcPr>
                  <w:tcW w:w="700" w:type="pct"/>
                  <w:vAlign w:val="center"/>
                </w:tcPr>
                <w:p>
                  <w:pPr>
                    <w:pStyle w:val="22"/>
                    <w:adjustRightInd w:val="0"/>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高度（m）</w:t>
                  </w:r>
                </w:p>
              </w:tc>
              <w:tc>
                <w:tcPr>
                  <w:tcW w:w="703"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p>
              </w:tc>
              <w:tc>
                <w:tcPr>
                  <w:tcW w:w="601"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p>
              </w:tc>
              <w:tc>
                <w:tcPr>
                  <w:tcW w:w="826"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p>
              </w:tc>
              <w:tc>
                <w:tcPr>
                  <w:tcW w:w="819"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p>
              </w:tc>
              <w:tc>
                <w:tcPr>
                  <w:tcW w:w="1077" w:type="pct"/>
                  <w:gridSpan w:val="2"/>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0" w:type="pct"/>
                  <w:vMerge w:val="continue"/>
                  <w:vAlign w:val="center"/>
                </w:tcPr>
                <w:p>
                  <w:pPr>
                    <w:pStyle w:val="22"/>
                    <w:adjustRightInd w:val="0"/>
                    <w:spacing w:line="240" w:lineRule="auto"/>
                    <w:jc w:val="center"/>
                    <w:rPr>
                      <w:b/>
                      <w:color w:val="000000" w:themeColor="text1"/>
                      <w:sz w:val="21"/>
                      <w:szCs w:val="21"/>
                      <w14:textFill>
                        <w14:solidFill>
                          <w14:schemeClr w14:val="tx1"/>
                        </w14:solidFill>
                      </w14:textFill>
                    </w:rPr>
                  </w:pPr>
                </w:p>
              </w:tc>
              <w:tc>
                <w:tcPr>
                  <w:tcW w:w="700" w:type="pct"/>
                  <w:vAlign w:val="center"/>
                </w:tcPr>
                <w:p>
                  <w:pPr>
                    <w:pStyle w:val="22"/>
                    <w:adjustRightInd w:val="0"/>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排气筒内径（m）</w:t>
                  </w:r>
                </w:p>
              </w:tc>
              <w:tc>
                <w:tcPr>
                  <w:tcW w:w="703"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p>
              </w:tc>
              <w:tc>
                <w:tcPr>
                  <w:tcW w:w="601"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p>
              </w:tc>
              <w:tc>
                <w:tcPr>
                  <w:tcW w:w="826"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p>
              </w:tc>
              <w:tc>
                <w:tcPr>
                  <w:tcW w:w="819"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p>
              </w:tc>
              <w:tc>
                <w:tcPr>
                  <w:tcW w:w="1077" w:type="pct"/>
                  <w:gridSpan w:val="2"/>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0" w:type="pct"/>
                  <w:vMerge w:val="continue"/>
                  <w:vAlign w:val="center"/>
                </w:tcPr>
                <w:p>
                  <w:pPr>
                    <w:pStyle w:val="22"/>
                    <w:adjustRightInd w:val="0"/>
                    <w:spacing w:line="240" w:lineRule="auto"/>
                    <w:jc w:val="center"/>
                    <w:rPr>
                      <w:b/>
                      <w:color w:val="000000" w:themeColor="text1"/>
                      <w:sz w:val="21"/>
                      <w:szCs w:val="21"/>
                      <w14:textFill>
                        <w14:solidFill>
                          <w14:schemeClr w14:val="tx1"/>
                        </w14:solidFill>
                      </w14:textFill>
                    </w:rPr>
                  </w:pPr>
                </w:p>
              </w:tc>
              <w:tc>
                <w:tcPr>
                  <w:tcW w:w="700" w:type="pct"/>
                  <w:vAlign w:val="center"/>
                </w:tcPr>
                <w:p>
                  <w:pPr>
                    <w:pStyle w:val="22"/>
                    <w:adjustRightInd w:val="0"/>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温度（℃）</w:t>
                  </w:r>
                </w:p>
              </w:tc>
              <w:tc>
                <w:tcPr>
                  <w:tcW w:w="1305" w:type="pct"/>
                  <w:gridSpan w:val="2"/>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p>
              </w:tc>
              <w:tc>
                <w:tcPr>
                  <w:tcW w:w="826"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p>
              </w:tc>
              <w:tc>
                <w:tcPr>
                  <w:tcW w:w="819"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p>
              </w:tc>
              <w:tc>
                <w:tcPr>
                  <w:tcW w:w="1077" w:type="pct"/>
                  <w:gridSpan w:val="2"/>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0" w:type="pct"/>
                  <w:vMerge w:val="continue"/>
                  <w:vAlign w:val="center"/>
                </w:tcPr>
                <w:p>
                  <w:pPr>
                    <w:pStyle w:val="22"/>
                    <w:adjustRightInd w:val="0"/>
                    <w:spacing w:line="240" w:lineRule="auto"/>
                    <w:jc w:val="center"/>
                    <w:rPr>
                      <w:b/>
                      <w:color w:val="000000" w:themeColor="text1"/>
                      <w:sz w:val="21"/>
                      <w:szCs w:val="21"/>
                      <w14:textFill>
                        <w14:solidFill>
                          <w14:schemeClr w14:val="tx1"/>
                        </w14:solidFill>
                      </w14:textFill>
                    </w:rPr>
                  </w:pPr>
                </w:p>
              </w:tc>
              <w:tc>
                <w:tcPr>
                  <w:tcW w:w="700" w:type="pct"/>
                  <w:vAlign w:val="center"/>
                </w:tcPr>
                <w:p>
                  <w:pPr>
                    <w:pStyle w:val="22"/>
                    <w:adjustRightInd w:val="0"/>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编号及名称</w:t>
                  </w:r>
                </w:p>
              </w:tc>
              <w:tc>
                <w:tcPr>
                  <w:tcW w:w="1305" w:type="pct"/>
                  <w:gridSpan w:val="2"/>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p>
              </w:tc>
              <w:tc>
                <w:tcPr>
                  <w:tcW w:w="826"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p>
              </w:tc>
              <w:tc>
                <w:tcPr>
                  <w:tcW w:w="819"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p>
              </w:tc>
              <w:tc>
                <w:tcPr>
                  <w:tcW w:w="1077" w:type="pct"/>
                  <w:gridSpan w:val="2"/>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喷漆废气排气筒（DA001）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0" w:type="pct"/>
                  <w:vMerge w:val="continue"/>
                  <w:vAlign w:val="center"/>
                </w:tcPr>
                <w:p>
                  <w:pPr>
                    <w:pStyle w:val="22"/>
                    <w:adjustRightInd w:val="0"/>
                    <w:spacing w:line="240" w:lineRule="auto"/>
                    <w:jc w:val="center"/>
                    <w:rPr>
                      <w:b/>
                      <w:color w:val="000000" w:themeColor="text1"/>
                      <w:sz w:val="21"/>
                      <w:szCs w:val="21"/>
                      <w14:textFill>
                        <w14:solidFill>
                          <w14:schemeClr w14:val="tx1"/>
                        </w14:solidFill>
                      </w14:textFill>
                    </w:rPr>
                  </w:pPr>
                </w:p>
              </w:tc>
              <w:tc>
                <w:tcPr>
                  <w:tcW w:w="700" w:type="pct"/>
                  <w:vAlign w:val="center"/>
                </w:tcPr>
                <w:p>
                  <w:pPr>
                    <w:pStyle w:val="22"/>
                    <w:adjustRightInd w:val="0"/>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类型</w:t>
                  </w:r>
                </w:p>
              </w:tc>
              <w:tc>
                <w:tcPr>
                  <w:tcW w:w="1305" w:type="pct"/>
                  <w:gridSpan w:val="2"/>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p>
              </w:tc>
              <w:tc>
                <w:tcPr>
                  <w:tcW w:w="826"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p>
              </w:tc>
              <w:tc>
                <w:tcPr>
                  <w:tcW w:w="819"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p>
              </w:tc>
              <w:tc>
                <w:tcPr>
                  <w:tcW w:w="1077" w:type="pct"/>
                  <w:gridSpan w:val="2"/>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0" w:type="pct"/>
                  <w:vMerge w:val="continue"/>
                  <w:vAlign w:val="center"/>
                </w:tcPr>
                <w:p>
                  <w:pPr>
                    <w:pStyle w:val="22"/>
                    <w:adjustRightInd w:val="0"/>
                    <w:spacing w:line="240" w:lineRule="auto"/>
                    <w:jc w:val="center"/>
                    <w:rPr>
                      <w:b/>
                      <w:color w:val="000000" w:themeColor="text1"/>
                      <w:sz w:val="21"/>
                      <w:szCs w:val="21"/>
                      <w14:textFill>
                        <w14:solidFill>
                          <w14:schemeClr w14:val="tx1"/>
                        </w14:solidFill>
                      </w14:textFill>
                    </w:rPr>
                  </w:pPr>
                </w:p>
              </w:tc>
              <w:tc>
                <w:tcPr>
                  <w:tcW w:w="700" w:type="pct"/>
                  <w:vAlign w:val="center"/>
                </w:tcPr>
                <w:p>
                  <w:pPr>
                    <w:pStyle w:val="22"/>
                    <w:adjustRightInd w:val="0"/>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地理坐标</w:t>
                  </w:r>
                </w:p>
              </w:tc>
              <w:tc>
                <w:tcPr>
                  <w:tcW w:w="1305" w:type="pct"/>
                  <w:gridSpan w:val="2"/>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p>
              </w:tc>
              <w:tc>
                <w:tcPr>
                  <w:tcW w:w="826"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p>
              </w:tc>
              <w:tc>
                <w:tcPr>
                  <w:tcW w:w="819"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w:t>
                  </w:r>
                </w:p>
              </w:tc>
              <w:tc>
                <w:tcPr>
                  <w:tcW w:w="1077" w:type="pct"/>
                  <w:gridSpan w:val="2"/>
                  <w:vAlign w:val="center"/>
                </w:tcPr>
                <w:p>
                  <w:pPr>
                    <w:pStyle w:val="22"/>
                    <w:adjustRightInd w:val="0"/>
                    <w:spacing w:line="240" w:lineRule="auto"/>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E：102°34′</w:t>
                  </w:r>
                  <w:r>
                    <w:rPr>
                      <w:rFonts w:hint="eastAsia"/>
                      <w:bCs/>
                      <w:color w:val="000000" w:themeColor="text1"/>
                      <w:sz w:val="21"/>
                      <w:szCs w:val="21"/>
                      <w14:textFill>
                        <w14:solidFill>
                          <w14:schemeClr w14:val="tx1"/>
                        </w14:solidFill>
                      </w14:textFill>
                    </w:rPr>
                    <w:t>27.044</w:t>
                  </w:r>
                  <w:r>
                    <w:rPr>
                      <w:bCs/>
                      <w:color w:val="000000" w:themeColor="text1"/>
                      <w:sz w:val="21"/>
                      <w:szCs w:val="21"/>
                      <w14:textFill>
                        <w14:solidFill>
                          <w14:schemeClr w14:val="tx1"/>
                        </w14:solidFill>
                      </w14:textFill>
                    </w:rPr>
                    <w:t>″</w:t>
                  </w:r>
                </w:p>
                <w:p>
                  <w:pPr>
                    <w:pStyle w:val="22"/>
                    <w:adjustRightInd w:val="0"/>
                    <w:spacing w:line="240" w:lineRule="auto"/>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N：24°42′</w:t>
                  </w:r>
                  <w:r>
                    <w:rPr>
                      <w:rFonts w:hint="eastAsia"/>
                      <w:bCs/>
                      <w:color w:val="000000" w:themeColor="text1"/>
                      <w:sz w:val="21"/>
                      <w:szCs w:val="21"/>
                      <w14:textFill>
                        <w14:solidFill>
                          <w14:schemeClr w14:val="tx1"/>
                        </w14:solidFill>
                      </w14:textFill>
                    </w:rPr>
                    <w:t>55.375</w:t>
                  </w:r>
                  <w:r>
                    <w:rPr>
                      <w:bCs/>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pct"/>
                  <w:gridSpan w:val="2"/>
                  <w:vAlign w:val="center"/>
                </w:tcPr>
                <w:p>
                  <w:pPr>
                    <w:pStyle w:val="22"/>
                    <w:adjustRightInd w:val="0"/>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排放标准</w:t>
                  </w:r>
                </w:p>
              </w:tc>
              <w:tc>
                <w:tcPr>
                  <w:tcW w:w="2951" w:type="pct"/>
                  <w:gridSpan w:val="4"/>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GB16297-1996表2无组织限值； GB14554-93厂界二级排放限值、GB37822-2019）附录A中表A.1限值要求</w:t>
                  </w:r>
                </w:p>
              </w:tc>
              <w:tc>
                <w:tcPr>
                  <w:tcW w:w="1077" w:type="pct"/>
                  <w:gridSpan w:val="2"/>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GB16297-1996表2有组织限值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0" w:type="pct"/>
                  <w:vMerge w:val="restart"/>
                  <w:vAlign w:val="center"/>
                </w:tcPr>
                <w:p>
                  <w:pPr>
                    <w:pStyle w:val="22"/>
                    <w:adjustRightInd w:val="0"/>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监测要求</w:t>
                  </w:r>
                </w:p>
              </w:tc>
              <w:tc>
                <w:tcPr>
                  <w:tcW w:w="700" w:type="pct"/>
                  <w:vAlign w:val="center"/>
                </w:tcPr>
                <w:p>
                  <w:pPr>
                    <w:pStyle w:val="22"/>
                    <w:adjustRightInd w:val="0"/>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监测点位</w:t>
                  </w:r>
                </w:p>
              </w:tc>
              <w:tc>
                <w:tcPr>
                  <w:tcW w:w="2951" w:type="pct"/>
                  <w:gridSpan w:val="4"/>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上风向1个，下风向3个</w:t>
                  </w:r>
                </w:p>
              </w:tc>
              <w:tc>
                <w:tcPr>
                  <w:tcW w:w="1077" w:type="pct"/>
                  <w:gridSpan w:val="2"/>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排气筒取样口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0" w:type="pct"/>
                  <w:vMerge w:val="continue"/>
                  <w:vAlign w:val="center"/>
                </w:tcPr>
                <w:p>
                  <w:pPr>
                    <w:pStyle w:val="22"/>
                    <w:adjustRightInd w:val="0"/>
                    <w:spacing w:line="240" w:lineRule="auto"/>
                    <w:jc w:val="center"/>
                    <w:rPr>
                      <w:b/>
                      <w:color w:val="000000" w:themeColor="text1"/>
                      <w:sz w:val="21"/>
                      <w:szCs w:val="21"/>
                      <w14:textFill>
                        <w14:solidFill>
                          <w14:schemeClr w14:val="tx1"/>
                        </w14:solidFill>
                      </w14:textFill>
                    </w:rPr>
                  </w:pPr>
                </w:p>
              </w:tc>
              <w:tc>
                <w:tcPr>
                  <w:tcW w:w="700" w:type="pct"/>
                  <w:vAlign w:val="center"/>
                </w:tcPr>
                <w:p>
                  <w:pPr>
                    <w:pStyle w:val="22"/>
                    <w:adjustRightInd w:val="0"/>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监测因子</w:t>
                  </w:r>
                </w:p>
              </w:tc>
              <w:tc>
                <w:tcPr>
                  <w:tcW w:w="2951" w:type="pct"/>
                  <w:gridSpan w:val="4"/>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颗粒物、挥发性有机物（</w:t>
                  </w:r>
                  <w:r>
                    <w:rPr>
                      <w:bCs/>
                      <w:color w:val="000000" w:themeColor="text1"/>
                      <w:sz w:val="21"/>
                      <w:szCs w:val="21"/>
                      <w14:textFill>
                        <w14:solidFill>
                          <w14:schemeClr w14:val="tx1"/>
                        </w14:solidFill>
                      </w14:textFill>
                    </w:rPr>
                    <w:t>以</w:t>
                  </w:r>
                  <w:r>
                    <w:rPr>
                      <w:rFonts w:hint="eastAsia"/>
                      <w:bCs/>
                      <w:color w:val="000000" w:themeColor="text1"/>
                      <w:sz w:val="21"/>
                      <w:szCs w:val="21"/>
                      <w14:textFill>
                        <w14:solidFill>
                          <w14:schemeClr w14:val="tx1"/>
                        </w14:solidFill>
                      </w14:textFill>
                    </w:rPr>
                    <w:t>非甲烷总烃计</w:t>
                  </w:r>
                  <w:r>
                    <w:rPr>
                      <w:bCs/>
                      <w:color w:val="000000" w:themeColor="text1"/>
                      <w:sz w:val="21"/>
                      <w:szCs w:val="21"/>
                      <w14:textFill>
                        <w14:solidFill>
                          <w14:schemeClr w14:val="tx1"/>
                        </w14:solidFill>
                      </w14:textFill>
                    </w:rPr>
                    <w:t>）</w:t>
                  </w:r>
                </w:p>
              </w:tc>
              <w:tc>
                <w:tcPr>
                  <w:tcW w:w="1077" w:type="pct"/>
                  <w:gridSpan w:val="2"/>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颗粒物、挥发性有机物（</w:t>
                  </w:r>
                  <w:r>
                    <w:rPr>
                      <w:bCs/>
                      <w:color w:val="000000" w:themeColor="text1"/>
                      <w:sz w:val="21"/>
                      <w:szCs w:val="21"/>
                      <w14:textFill>
                        <w14:solidFill>
                          <w14:schemeClr w14:val="tx1"/>
                        </w14:solidFill>
                      </w14:textFill>
                    </w:rPr>
                    <w:t>以</w:t>
                  </w:r>
                  <w:r>
                    <w:rPr>
                      <w:rFonts w:hint="eastAsia"/>
                      <w:bCs/>
                      <w:color w:val="000000" w:themeColor="text1"/>
                      <w:sz w:val="21"/>
                      <w:szCs w:val="21"/>
                      <w14:textFill>
                        <w14:solidFill>
                          <w14:schemeClr w14:val="tx1"/>
                        </w14:solidFill>
                      </w14:textFill>
                    </w:rPr>
                    <w:t>非甲烷总烃计</w:t>
                  </w:r>
                  <w:r>
                    <w:rPr>
                      <w:bCs/>
                      <w:color w:val="000000" w:themeColor="text1"/>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0" w:type="pct"/>
                  <w:vMerge w:val="continue"/>
                  <w:vAlign w:val="center"/>
                </w:tcPr>
                <w:p>
                  <w:pPr>
                    <w:pStyle w:val="22"/>
                    <w:adjustRightInd w:val="0"/>
                    <w:spacing w:line="240" w:lineRule="auto"/>
                    <w:jc w:val="center"/>
                    <w:rPr>
                      <w:b/>
                      <w:color w:val="000000" w:themeColor="text1"/>
                      <w:sz w:val="21"/>
                      <w:szCs w:val="21"/>
                      <w14:textFill>
                        <w14:solidFill>
                          <w14:schemeClr w14:val="tx1"/>
                        </w14:solidFill>
                      </w14:textFill>
                    </w:rPr>
                  </w:pPr>
                </w:p>
              </w:tc>
              <w:tc>
                <w:tcPr>
                  <w:tcW w:w="700" w:type="pct"/>
                  <w:vAlign w:val="center"/>
                </w:tcPr>
                <w:p>
                  <w:pPr>
                    <w:pStyle w:val="22"/>
                    <w:adjustRightInd w:val="0"/>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监测频次</w:t>
                  </w:r>
                </w:p>
              </w:tc>
              <w:tc>
                <w:tcPr>
                  <w:tcW w:w="2951" w:type="pct"/>
                  <w:gridSpan w:val="4"/>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1次/半年</w:t>
                  </w:r>
                </w:p>
              </w:tc>
              <w:tc>
                <w:tcPr>
                  <w:tcW w:w="1077" w:type="pct"/>
                  <w:gridSpan w:val="2"/>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0" w:type="pct"/>
                  <w:vMerge w:val="continue"/>
                  <w:vAlign w:val="center"/>
                </w:tcPr>
                <w:p>
                  <w:pPr>
                    <w:pStyle w:val="22"/>
                    <w:adjustRightInd w:val="0"/>
                    <w:spacing w:line="240" w:lineRule="auto"/>
                    <w:jc w:val="center"/>
                    <w:rPr>
                      <w:b/>
                      <w:color w:val="000000" w:themeColor="text1"/>
                      <w:sz w:val="21"/>
                      <w:szCs w:val="21"/>
                      <w14:textFill>
                        <w14:solidFill>
                          <w14:schemeClr w14:val="tx1"/>
                        </w14:solidFill>
                      </w14:textFill>
                    </w:rPr>
                  </w:pPr>
                </w:p>
              </w:tc>
              <w:tc>
                <w:tcPr>
                  <w:tcW w:w="4729" w:type="pct"/>
                  <w:gridSpan w:val="7"/>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因无行业自行监测技术指南，监测要求参照</w:t>
                  </w:r>
                  <w:r>
                    <w:rPr>
                      <w:rFonts w:hint="eastAsia"/>
                      <w:color w:val="000000" w:themeColor="text1"/>
                      <w:sz w:val="21"/>
                      <w:szCs w:val="21"/>
                      <w14:textFill>
                        <w14:solidFill>
                          <w14:schemeClr w14:val="tx1"/>
                        </w14:solidFill>
                      </w14:textFill>
                    </w:rPr>
                    <w:t>《排污单位自行监测技术指南 涂装》（HJ1086-2020）确定。</w:t>
                  </w:r>
                </w:p>
              </w:tc>
            </w:tr>
          </w:tbl>
          <w:p>
            <w:pPr>
              <w:pStyle w:val="22"/>
              <w:adjustRightInd w:val="0"/>
              <w:ind w:firstLine="480" w:firstLineChars="200"/>
              <w:jc w:val="both"/>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项目排气筒颗粒物、挥发性有机物（</w:t>
            </w:r>
            <w:r>
              <w:rPr>
                <w:bCs/>
                <w:color w:val="000000" w:themeColor="text1"/>
                <w:sz w:val="24"/>
                <w:szCs w:val="24"/>
                <w14:textFill>
                  <w14:solidFill>
                    <w14:schemeClr w14:val="tx1"/>
                  </w14:solidFill>
                </w14:textFill>
              </w:rPr>
              <w:t>以</w:t>
            </w:r>
            <w:r>
              <w:rPr>
                <w:rFonts w:hint="eastAsia"/>
                <w:bCs/>
                <w:color w:val="000000" w:themeColor="text1"/>
                <w:sz w:val="24"/>
                <w:szCs w:val="24"/>
                <w14:textFill>
                  <w14:solidFill>
                    <w14:schemeClr w14:val="tx1"/>
                  </w14:solidFill>
                </w14:textFill>
              </w:rPr>
              <w:t>非甲烷总烃计</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两者排放浓度、排放速率均满足《大气污染物综合排放标准》（GB16297-1996）表2中有组织排放标准限值要求，排放浓度：颗粒物≤120mg/m³，非甲烷总烃≤120mg/m³，排放速率严格50%执行，即颗粒物≤1.75kg/h，非甲烷总烃≤5.0kg/h。无组织颗粒物、挥发性有机物（</w:t>
            </w:r>
            <w:r>
              <w:rPr>
                <w:bCs/>
                <w:color w:val="000000" w:themeColor="text1"/>
                <w:sz w:val="24"/>
                <w:szCs w:val="24"/>
                <w14:textFill>
                  <w14:solidFill>
                    <w14:schemeClr w14:val="tx1"/>
                  </w14:solidFill>
                </w14:textFill>
              </w:rPr>
              <w:t>以</w:t>
            </w:r>
            <w:r>
              <w:rPr>
                <w:rFonts w:hint="eastAsia"/>
                <w:bCs/>
                <w:color w:val="000000" w:themeColor="text1"/>
                <w:sz w:val="24"/>
                <w:szCs w:val="24"/>
                <w14:textFill>
                  <w14:solidFill>
                    <w14:schemeClr w14:val="tx1"/>
                  </w14:solidFill>
                </w14:textFill>
              </w:rPr>
              <w:t>非甲烷总烃计</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排放浓度满足《大气污染物综合排放标准》（GB16297-1996）表2中无组织排放标准限值要求，即：颗粒物≤1.0mg/m</w:t>
            </w:r>
            <w:r>
              <w:rPr>
                <w:rFonts w:hint="eastAsia"/>
                <w:bCs/>
                <w:color w:val="000000" w:themeColor="text1"/>
                <w:sz w:val="24"/>
                <w:szCs w:val="24"/>
                <w:vertAlign w:val="superscript"/>
                <w14:textFill>
                  <w14:solidFill>
                    <w14:schemeClr w14:val="tx1"/>
                  </w14:solidFill>
                </w14:textFill>
              </w:rPr>
              <w:t>3</w:t>
            </w:r>
            <w:r>
              <w:rPr>
                <w:rFonts w:hint="eastAsia"/>
                <w:bCs/>
                <w:color w:val="000000" w:themeColor="text1"/>
                <w:sz w:val="24"/>
                <w:szCs w:val="24"/>
                <w14:textFill>
                  <w14:solidFill>
                    <w14:schemeClr w14:val="tx1"/>
                  </w14:solidFill>
                </w14:textFill>
              </w:rPr>
              <w:t>，非甲烷总烃≤4.0mg/m³，且非甲烷总烃排放浓度满足《挥发性有机物无组织排放控制标准》（GB37822-2019）中表A.1要求，即监控点处1h平均浓度≦10mg/m³、监控点处任意一次浓度≦30mg/m³。</w:t>
            </w:r>
          </w:p>
          <w:p>
            <w:pPr>
              <w:pStyle w:val="22"/>
              <w:numPr>
                <w:ilvl w:val="0"/>
                <w:numId w:val="17"/>
              </w:numPr>
              <w:adjustRightInd w:val="0"/>
              <w:ind w:firstLine="482" w:firstLineChars="200"/>
              <w:jc w:val="both"/>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食堂油烟</w:t>
            </w:r>
          </w:p>
          <w:p>
            <w:pPr>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项目运营期设置食堂，设置</w:t>
            </w:r>
            <w:r>
              <w:rPr>
                <w:rFonts w:hint="eastAsia"/>
                <w:color w:val="000000" w:themeColor="text1"/>
                <w:kern w:val="0"/>
                <w14:textFill>
                  <w14:solidFill>
                    <w14:schemeClr w14:val="tx1"/>
                  </w14:solidFill>
                </w14:textFill>
              </w:rPr>
              <w:t>1</w:t>
            </w:r>
            <w:r>
              <w:rPr>
                <w:color w:val="000000" w:themeColor="text1"/>
                <w:kern w:val="0"/>
                <w14:textFill>
                  <w14:solidFill>
                    <w14:schemeClr w14:val="tx1"/>
                  </w14:solidFill>
                </w14:textFill>
              </w:rPr>
              <w:t>个灶头，食堂使用电能，为清洁能源，平均每天约有</w:t>
            </w:r>
            <w:r>
              <w:rPr>
                <w:rFonts w:hint="eastAsia"/>
                <w:color w:val="000000" w:themeColor="text1"/>
                <w:kern w:val="0"/>
                <w14:textFill>
                  <w14:solidFill>
                    <w14:schemeClr w14:val="tx1"/>
                  </w14:solidFill>
                </w14:textFill>
              </w:rPr>
              <w:t>4</w:t>
            </w:r>
            <w:r>
              <w:rPr>
                <w:color w:val="000000" w:themeColor="text1"/>
                <w:kern w:val="0"/>
                <w14:textFill>
                  <w14:solidFill>
                    <w14:schemeClr w14:val="tx1"/>
                  </w14:solidFill>
                </w14:textFill>
              </w:rPr>
              <w:t>0名员工在项目内用餐。人均用油量以30g/d计，则日耗油量为1.</w:t>
            </w:r>
            <w:r>
              <w:rPr>
                <w:rFonts w:hint="eastAsia"/>
                <w:color w:val="000000" w:themeColor="text1"/>
                <w:kern w:val="0"/>
                <w14:textFill>
                  <w14:solidFill>
                    <w14:schemeClr w14:val="tx1"/>
                  </w14:solidFill>
                </w14:textFill>
              </w:rPr>
              <w:t>2</w:t>
            </w:r>
            <w:r>
              <w:rPr>
                <w:color w:val="000000" w:themeColor="text1"/>
                <w:kern w:val="0"/>
                <w14:textFill>
                  <w14:solidFill>
                    <w14:schemeClr w14:val="tx1"/>
                  </w14:solidFill>
                </w14:textFill>
              </w:rPr>
              <w:t>kg，年耗油量为</w:t>
            </w:r>
            <w:r>
              <w:rPr>
                <w:rFonts w:hint="eastAsia"/>
                <w:color w:val="000000" w:themeColor="text1"/>
                <w:kern w:val="0"/>
                <w14:textFill>
                  <w14:solidFill>
                    <w14:schemeClr w14:val="tx1"/>
                  </w14:solidFill>
                </w14:textFill>
              </w:rPr>
              <w:t>36</w:t>
            </w:r>
            <w:r>
              <w:rPr>
                <w:color w:val="000000" w:themeColor="text1"/>
                <w:kern w:val="0"/>
                <w14:textFill>
                  <w14:solidFill>
                    <w14:schemeClr w14:val="tx1"/>
                  </w14:solidFill>
                </w14:textFill>
              </w:rPr>
              <w:t>0kg。油的平均挥发量为总耗油量的2%~3%，本次环评取2.83%，则日产生油烟量0.0</w:t>
            </w:r>
            <w:r>
              <w:rPr>
                <w:rFonts w:hint="eastAsia"/>
                <w:color w:val="000000" w:themeColor="text1"/>
                <w:kern w:val="0"/>
                <w14:textFill>
                  <w14:solidFill>
                    <w14:schemeClr w14:val="tx1"/>
                  </w14:solidFill>
                </w14:textFill>
              </w:rPr>
              <w:t>3</w:t>
            </w:r>
            <w:r>
              <w:rPr>
                <w:color w:val="000000" w:themeColor="text1"/>
                <w:kern w:val="0"/>
                <w14:textFill>
                  <w14:solidFill>
                    <w14:schemeClr w14:val="tx1"/>
                  </w14:solidFill>
                </w14:textFill>
              </w:rPr>
              <w:t>4kg/d，年产生量为0.01t。烹饪时间按5小时/日计，则项目油烟产生速率为0.006kg/h，产生浓度为1.5mg/m</w:t>
            </w:r>
            <w:r>
              <w:rPr>
                <w:color w:val="000000" w:themeColor="text1"/>
                <w:kern w:val="0"/>
                <w:vertAlign w:val="superscript"/>
                <w14:textFill>
                  <w14:solidFill>
                    <w14:schemeClr w14:val="tx1"/>
                  </w14:solidFill>
                </w14:textFill>
              </w:rPr>
              <w:t>3</w:t>
            </w:r>
            <w:r>
              <w:rPr>
                <w:color w:val="000000" w:themeColor="text1"/>
                <w:kern w:val="0"/>
                <w14:textFill>
                  <w14:solidFill>
                    <w14:schemeClr w14:val="tx1"/>
                  </w14:solidFill>
                </w14:textFill>
              </w:rPr>
              <w:t>。</w:t>
            </w:r>
          </w:p>
          <w:p>
            <w:pPr>
              <w:pStyle w:val="22"/>
              <w:adjustRightInd w:val="0"/>
              <w:ind w:firstLine="480" w:firstLineChars="200"/>
              <w:jc w:val="both"/>
              <w:rPr>
                <w:b/>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由于本项目食堂油烟产生量较少，环评要求采用一台净化效率为60%的油烟净化器处理食堂油烟，风量为4000m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/h，则油烟排放浓度为0.6mg/m</w:t>
            </w:r>
            <w:r>
              <w:rPr>
                <w:color w:val="000000" w:themeColor="text1"/>
                <w:sz w:val="24"/>
                <w:szCs w:val="24"/>
                <w:vertAlign w:val="superscript"/>
                <w14:textFill>
                  <w14:solidFill>
                    <w14:schemeClr w14:val="tx1"/>
                  </w14:solidFill>
                </w14:textFill>
              </w:rPr>
              <w:t>3</w:t>
            </w:r>
            <w:r>
              <w:rPr>
                <w:color w:val="000000" w:themeColor="text1"/>
                <w:sz w:val="24"/>
                <w:szCs w:val="24"/>
                <w14:textFill>
                  <w14:solidFill>
                    <w14:schemeClr w14:val="tx1"/>
                  </w14:solidFill>
                </w14:textFill>
              </w:rPr>
              <w:t>，排放速率为0.0024kg/h，排放量为0.004t/a。能够达到《饮食业油烟排放标准》（GB18483-2001）中的小型规模标准要求。</w:t>
            </w:r>
          </w:p>
          <w:p>
            <w:pPr>
              <w:pStyle w:val="22"/>
              <w:adjustRightInd w:val="0"/>
              <w:ind w:firstLine="482" w:firstLineChars="200"/>
              <w:jc w:val="both"/>
              <w:rPr>
                <w:bCs/>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2、达标分析</w:t>
            </w:r>
          </w:p>
          <w:p>
            <w:pPr>
              <w:ind w:firstLine="482" w:firstLineChars="200"/>
              <w:rPr>
                <w:color w:val="000000" w:themeColor="text1"/>
                <w:kern w:val="0"/>
                <w14:textFill>
                  <w14:solidFill>
                    <w14:schemeClr w14:val="tx1"/>
                  </w14:solidFill>
                </w14:textFill>
              </w:rPr>
            </w:pPr>
            <w:r>
              <w:rPr>
                <w:b/>
                <w:bCs/>
                <w:color w:val="000000" w:themeColor="text1"/>
                <w:kern w:val="0"/>
                <w14:textFill>
                  <w14:solidFill>
                    <w14:schemeClr w14:val="tx1"/>
                  </w14:solidFill>
                </w14:textFill>
              </w:rPr>
              <w:t>（</w:t>
            </w:r>
            <w:r>
              <w:rPr>
                <w:rFonts w:hint="eastAsia"/>
                <w:b/>
                <w:bCs/>
                <w:color w:val="000000" w:themeColor="text1"/>
                <w:kern w:val="0"/>
                <w14:textFill>
                  <w14:solidFill>
                    <w14:schemeClr w14:val="tx1"/>
                  </w14:solidFill>
                </w14:textFill>
              </w:rPr>
              <w:t>1</w:t>
            </w:r>
            <w:r>
              <w:rPr>
                <w:b/>
                <w:bCs/>
                <w:color w:val="000000" w:themeColor="text1"/>
                <w:kern w:val="0"/>
                <w14:textFill>
                  <w14:solidFill>
                    <w14:schemeClr w14:val="tx1"/>
                  </w14:solidFill>
                </w14:textFill>
              </w:rPr>
              <w:t>）</w:t>
            </w:r>
            <w:r>
              <w:rPr>
                <w:rFonts w:hint="eastAsia"/>
                <w:b/>
                <w:bCs/>
                <w:color w:val="000000" w:themeColor="text1"/>
                <w:kern w:val="0"/>
                <w14:textFill>
                  <w14:solidFill>
                    <w14:schemeClr w14:val="tx1"/>
                  </w14:solidFill>
                </w14:textFill>
              </w:rPr>
              <w:t>有组织</w:t>
            </w:r>
            <w:r>
              <w:rPr>
                <w:b/>
                <w:bCs/>
                <w:color w:val="000000" w:themeColor="text1"/>
                <w:kern w:val="0"/>
                <w14:textFill>
                  <w14:solidFill>
                    <w14:schemeClr w14:val="tx1"/>
                  </w14:solidFill>
                </w14:textFill>
              </w:rPr>
              <w:t>排放废气达标分析</w:t>
            </w:r>
          </w:p>
          <w:p>
            <w:pPr>
              <w:pStyle w:val="22"/>
              <w:adjustRightInd w:val="0"/>
              <w:ind w:firstLine="480" w:firstLineChars="200"/>
              <w:rPr>
                <w:color w:val="000000" w:themeColor="text1"/>
                <w:sz w:val="24"/>
                <w14:textFill>
                  <w14:solidFill>
                    <w14:schemeClr w14:val="tx1"/>
                  </w14:solidFill>
                </w14:textFill>
              </w:rPr>
            </w:pPr>
            <w:r>
              <w:rPr>
                <w:rFonts w:hint="eastAsia"/>
                <w:bCs/>
                <w:color w:val="000000" w:themeColor="text1"/>
                <w:sz w:val="24"/>
                <w:szCs w:val="24"/>
                <w14:textFill>
                  <w14:solidFill>
                    <w14:schemeClr w14:val="tx1"/>
                  </w14:solidFill>
                </w14:textFill>
              </w:rPr>
              <w:t>项目有组织废气为喷漆废气，排放执行</w:t>
            </w:r>
            <w:r>
              <w:rPr>
                <w:rFonts w:hint="eastAsia"/>
                <w:color w:val="000000" w:themeColor="text1"/>
                <w:sz w:val="24"/>
                <w:szCs w:val="24"/>
                <w14:textFill>
                  <w14:solidFill>
                    <w14:schemeClr w14:val="tx1"/>
                  </w14:solidFill>
                </w14:textFill>
              </w:rPr>
              <w:t>《大气污染物综合排放标准》（GB16297-1996）</w:t>
            </w:r>
            <w:r>
              <w:rPr>
                <w:color w:val="000000" w:themeColor="text1"/>
                <w:sz w:val="24"/>
                <w14:textFill>
                  <w14:solidFill>
                    <w14:schemeClr w14:val="tx1"/>
                  </w14:solidFill>
                </w14:textFill>
              </w:rPr>
              <w:t>表2中</w:t>
            </w:r>
            <w:r>
              <w:rPr>
                <w:rFonts w:hint="eastAsia"/>
                <w:color w:val="000000" w:themeColor="text1"/>
                <w:sz w:val="24"/>
                <w14:textFill>
                  <w14:solidFill>
                    <w14:schemeClr w14:val="tx1"/>
                  </w14:solidFill>
                </w14:textFill>
              </w:rPr>
              <w:t>有</w:t>
            </w:r>
            <w:r>
              <w:rPr>
                <w:color w:val="000000" w:themeColor="text1"/>
                <w:sz w:val="24"/>
                <w14:textFill>
                  <w14:solidFill>
                    <w14:schemeClr w14:val="tx1"/>
                  </w14:solidFill>
                </w14:textFill>
              </w:rPr>
              <w:t>组织排放标准限值要求</w:t>
            </w:r>
            <w:r>
              <w:rPr>
                <w:rFonts w:hint="eastAsia"/>
                <w:color w:val="000000" w:themeColor="text1"/>
                <w:sz w:val="24"/>
                <w14:textFill>
                  <w14:solidFill>
                    <w14:schemeClr w14:val="tx1"/>
                  </w14:solidFill>
                </w14:textFill>
              </w:rPr>
              <w:t>。</w:t>
            </w:r>
          </w:p>
          <w:p>
            <w:pPr>
              <w:pStyle w:val="22"/>
              <w:adjustRightInd w:val="0"/>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项目位于晋宁工业园区内，本项目周围200米内，最高建筑物为云南宇恬防雷材料研究所，约为30m，</w:t>
            </w:r>
            <w:r>
              <w:rPr>
                <w:rFonts w:hint="eastAsia"/>
                <w:bCs/>
                <w:color w:val="000000" w:themeColor="text1"/>
                <w:sz w:val="24"/>
                <w:szCs w:val="24"/>
                <w14:textFill>
                  <w14:solidFill>
                    <w14:schemeClr w14:val="tx1"/>
                  </w14:solidFill>
                </w14:textFill>
              </w:rPr>
              <w:t>根据</w:t>
            </w:r>
            <w:r>
              <w:rPr>
                <w:rFonts w:hint="eastAsia"/>
                <w:color w:val="000000" w:themeColor="text1"/>
                <w:sz w:val="24"/>
                <w:szCs w:val="24"/>
                <w14:textFill>
                  <w14:solidFill>
                    <w14:schemeClr w14:val="tx1"/>
                  </w14:solidFill>
                </w14:textFill>
              </w:rPr>
              <w:t>《大气污染物综合排放标准》（GB16297-1996）第7.1~7.4章节：“新污染源的排气筒一般不应低于15m，应高于周围200m半径范围内的建筑5m以上，不能达到该要求的排气筒，应按其高度对应的表列排放速率标准值严格50%执行（节选）。”</w:t>
            </w:r>
          </w:p>
          <w:p>
            <w:pPr>
              <w:pStyle w:val="22"/>
              <w:adjustRightInd w:val="0"/>
              <w:ind w:firstLine="480" w:firstLineChars="200"/>
              <w:rPr>
                <w:b/>
                <w:color w:val="000000" w:themeColor="text1"/>
                <w14:textFill>
                  <w14:solidFill>
                    <w14:schemeClr w14:val="tx1"/>
                  </w14:solidFill>
                </w14:textFill>
              </w:rPr>
            </w:pPr>
            <w:r>
              <w:rPr>
                <w:rFonts w:hint="eastAsia"/>
                <w:color w:val="000000" w:themeColor="text1"/>
                <w:sz w:val="24"/>
                <w14:textFill>
                  <w14:solidFill>
                    <w14:schemeClr w14:val="tx1"/>
                  </w14:solidFill>
                </w14:textFill>
              </w:rPr>
              <w:t>项目在采取上述措施情况下，有组织废气排放可满足标准要求，具体情况如下。</w:t>
            </w:r>
          </w:p>
          <w:p>
            <w:pPr>
              <w:jc w:val="center"/>
              <w:rPr>
                <w:b/>
                <w:color w:val="000000" w:themeColor="text1"/>
                <w:kern w:val="0"/>
                <w14:textFill>
                  <w14:solidFill>
                    <w14:schemeClr w14:val="tx1"/>
                  </w14:solidFill>
                </w14:textFill>
              </w:rPr>
            </w:pPr>
            <w:r>
              <w:rPr>
                <w:rFonts w:hint="eastAsia"/>
                <w:b/>
                <w:color w:val="000000" w:themeColor="text1"/>
                <w:kern w:val="0"/>
                <w14:textFill>
                  <w14:solidFill>
                    <w14:schemeClr w14:val="tx1"/>
                  </w14:solidFill>
                </w14:textFill>
              </w:rPr>
              <w:t>表4-2   喷漆废气达标分析表</w:t>
            </w:r>
          </w:p>
          <w:tbl>
            <w:tblPr>
              <w:tblStyle w:val="28"/>
              <w:tblW w:w="481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1670"/>
              <w:gridCol w:w="1035"/>
              <w:gridCol w:w="677"/>
              <w:gridCol w:w="1256"/>
              <w:gridCol w:w="1257"/>
              <w:gridCol w:w="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trPr>
              <w:tc>
                <w:tcPr>
                  <w:tcW w:w="619" w:type="pct"/>
                  <w:vAlign w:val="center"/>
                </w:tcPr>
                <w:p>
                  <w:pPr>
                    <w:spacing w:line="240" w:lineRule="auto"/>
                    <w:jc w:val="center"/>
                    <w:rPr>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污染因子</w:t>
                  </w:r>
                </w:p>
              </w:tc>
              <w:tc>
                <w:tcPr>
                  <w:tcW w:w="1090" w:type="pct"/>
                  <w:vAlign w:val="center"/>
                </w:tcPr>
                <w:p>
                  <w:pPr>
                    <w:spacing w:line="240" w:lineRule="auto"/>
                    <w:jc w:val="center"/>
                    <w:rPr>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最高允许排放速率（kg/h）</w:t>
                  </w:r>
                  <w:r>
                    <w:rPr>
                      <w:rFonts w:hint="eastAsia"/>
                      <w:b/>
                      <w:bCs/>
                      <w:color w:val="000000" w:themeColor="text1"/>
                      <w:spacing w:val="-2"/>
                      <w:sz w:val="21"/>
                      <w:szCs w:val="21"/>
                      <w14:textFill>
                        <w14:solidFill>
                          <w14:schemeClr w14:val="tx1"/>
                        </w14:solidFill>
                      </w14:textFill>
                    </w:rPr>
                    <w:t>（严格50%执行）</w:t>
                  </w:r>
                </w:p>
              </w:tc>
              <w:tc>
                <w:tcPr>
                  <w:tcW w:w="676" w:type="pct"/>
                  <w:vAlign w:val="center"/>
                </w:tcPr>
                <w:p>
                  <w:pPr>
                    <w:spacing w:line="240" w:lineRule="auto"/>
                    <w:jc w:val="center"/>
                    <w:rPr>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本项目排放速率（kg/h）</w:t>
                  </w:r>
                </w:p>
              </w:tc>
              <w:tc>
                <w:tcPr>
                  <w:tcW w:w="442" w:type="pct"/>
                  <w:vAlign w:val="center"/>
                </w:tcPr>
                <w:p>
                  <w:pPr>
                    <w:spacing w:line="240" w:lineRule="auto"/>
                    <w:jc w:val="center"/>
                    <w:rPr>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达标情况</w:t>
                  </w:r>
                </w:p>
              </w:tc>
              <w:tc>
                <w:tcPr>
                  <w:tcW w:w="821" w:type="pct"/>
                  <w:vAlign w:val="center"/>
                </w:tcPr>
                <w:p>
                  <w:pPr>
                    <w:spacing w:line="240" w:lineRule="auto"/>
                    <w:jc w:val="center"/>
                    <w:rPr>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最高允许排放速率（mg/m³）</w:t>
                  </w:r>
                </w:p>
              </w:tc>
              <w:tc>
                <w:tcPr>
                  <w:tcW w:w="822" w:type="pct"/>
                  <w:vAlign w:val="center"/>
                </w:tcPr>
                <w:p>
                  <w:pPr>
                    <w:spacing w:line="240" w:lineRule="auto"/>
                    <w:jc w:val="center"/>
                    <w:rPr>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本项目排放浓度（mg/m³）</w:t>
                  </w:r>
                </w:p>
              </w:tc>
              <w:tc>
                <w:tcPr>
                  <w:tcW w:w="527" w:type="pct"/>
                  <w:vAlign w:val="center"/>
                </w:tcPr>
                <w:p>
                  <w:pPr>
                    <w:spacing w:line="240" w:lineRule="auto"/>
                    <w:jc w:val="center"/>
                    <w:rPr>
                      <w:b/>
                      <w:bCs/>
                      <w:color w:val="000000" w:themeColor="text1"/>
                      <w:kern w:val="0"/>
                      <w:sz w:val="21"/>
                      <w:szCs w:val="21"/>
                      <w14:textFill>
                        <w14:solidFill>
                          <w14:schemeClr w14:val="tx1"/>
                        </w14:solidFill>
                      </w14:textFill>
                    </w:rPr>
                  </w:pPr>
                  <w:r>
                    <w:rPr>
                      <w:rFonts w:hint="eastAsia"/>
                      <w:b/>
                      <w:bCs/>
                      <w:color w:val="000000" w:themeColor="text1"/>
                      <w:kern w:val="0"/>
                      <w:sz w:val="21"/>
                      <w:szCs w:val="21"/>
                      <w14:textFill>
                        <w14:solidFill>
                          <w14:schemeClr w14:val="tx1"/>
                        </w14:solidFill>
                      </w14:textFill>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9" w:type="pct"/>
                  <w:vAlign w:val="center"/>
                </w:tcPr>
                <w:p>
                  <w:pPr>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颗粒物</w:t>
                  </w:r>
                </w:p>
              </w:tc>
              <w:tc>
                <w:tcPr>
                  <w:tcW w:w="1090" w:type="pct"/>
                  <w:vAlign w:val="center"/>
                </w:tcPr>
                <w:p>
                  <w:pPr>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1.75</w:t>
                  </w:r>
                </w:p>
              </w:tc>
              <w:tc>
                <w:tcPr>
                  <w:tcW w:w="676" w:type="pct"/>
                  <w:vAlign w:val="center"/>
                </w:tcPr>
                <w:p>
                  <w:pPr>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0.008</w:t>
                  </w:r>
                </w:p>
              </w:tc>
              <w:tc>
                <w:tcPr>
                  <w:tcW w:w="442" w:type="pct"/>
                  <w:vAlign w:val="center"/>
                </w:tcPr>
                <w:p>
                  <w:pPr>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达标</w:t>
                  </w:r>
                </w:p>
              </w:tc>
              <w:tc>
                <w:tcPr>
                  <w:tcW w:w="821" w:type="pct"/>
                  <w:vAlign w:val="center"/>
                </w:tcPr>
                <w:p>
                  <w:pPr>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120</w:t>
                  </w:r>
                </w:p>
              </w:tc>
              <w:tc>
                <w:tcPr>
                  <w:tcW w:w="822" w:type="pct"/>
                  <w:vAlign w:val="center"/>
                </w:tcPr>
                <w:p>
                  <w:pPr>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2</w:t>
                  </w:r>
                </w:p>
              </w:tc>
              <w:tc>
                <w:tcPr>
                  <w:tcW w:w="527" w:type="pct"/>
                  <w:vAlign w:val="center"/>
                </w:tcPr>
                <w:p>
                  <w:pPr>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9" w:type="pct"/>
                  <w:vAlign w:val="center"/>
                </w:tcPr>
                <w:p>
                  <w:pPr>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挥发性有机物（以非甲烷总烃计）</w:t>
                  </w:r>
                </w:p>
              </w:tc>
              <w:tc>
                <w:tcPr>
                  <w:tcW w:w="1090" w:type="pct"/>
                  <w:vAlign w:val="center"/>
                </w:tcPr>
                <w:p>
                  <w:pPr>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5.0</w:t>
                  </w:r>
                </w:p>
              </w:tc>
              <w:tc>
                <w:tcPr>
                  <w:tcW w:w="676" w:type="pct"/>
                  <w:vAlign w:val="center"/>
                </w:tcPr>
                <w:p>
                  <w:pPr>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0.047</w:t>
                  </w:r>
                </w:p>
              </w:tc>
              <w:tc>
                <w:tcPr>
                  <w:tcW w:w="442" w:type="pct"/>
                  <w:vAlign w:val="center"/>
                </w:tcPr>
                <w:p>
                  <w:pPr>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达标</w:t>
                  </w:r>
                </w:p>
              </w:tc>
              <w:tc>
                <w:tcPr>
                  <w:tcW w:w="821" w:type="pct"/>
                  <w:vAlign w:val="center"/>
                </w:tcPr>
                <w:p>
                  <w:pPr>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120</w:t>
                  </w:r>
                </w:p>
              </w:tc>
              <w:tc>
                <w:tcPr>
                  <w:tcW w:w="822" w:type="pct"/>
                  <w:vAlign w:val="center"/>
                </w:tcPr>
                <w:p>
                  <w:pPr>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11.75</w:t>
                  </w:r>
                </w:p>
              </w:tc>
              <w:tc>
                <w:tcPr>
                  <w:tcW w:w="527" w:type="pct"/>
                  <w:vAlign w:val="center"/>
                </w:tcPr>
                <w:p>
                  <w:pPr>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达标</w:t>
                  </w:r>
                </w:p>
              </w:tc>
            </w:tr>
          </w:tbl>
          <w:p>
            <w:pPr>
              <w:ind w:firstLine="482" w:firstLineChars="200"/>
              <w:rPr>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（2）无组织排放废气达标分析</w:t>
            </w:r>
          </w:p>
          <w:p>
            <w:pPr>
              <w:pStyle w:val="22"/>
              <w:adjustRightInd w:val="0"/>
              <w:ind w:firstLine="480" w:firstLineChars="200"/>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本项目无组织废气主要为颗粒物和挥发性有机物（以非甲烷总烃计），排放执行</w:t>
            </w:r>
            <w:r>
              <w:rPr>
                <w:rFonts w:hint="eastAsia"/>
                <w:color w:val="000000" w:themeColor="text1"/>
                <w:sz w:val="24"/>
                <w:szCs w:val="24"/>
                <w14:textFill>
                  <w14:solidFill>
                    <w14:schemeClr w14:val="tx1"/>
                  </w14:solidFill>
                </w14:textFill>
              </w:rPr>
              <w:t>《大气污染物综合排放标准》（GB16297-1996）</w:t>
            </w:r>
            <w:r>
              <w:rPr>
                <w:color w:val="000000" w:themeColor="text1"/>
                <w:sz w:val="24"/>
                <w14:textFill>
                  <w14:solidFill>
                    <w14:schemeClr w14:val="tx1"/>
                  </w14:solidFill>
                </w14:textFill>
              </w:rPr>
              <w:t>表2中无组织排放标准限值要求</w:t>
            </w:r>
            <w:r>
              <w:rPr>
                <w:rFonts w:hint="eastAsia"/>
                <w:color w:val="000000" w:themeColor="text1"/>
                <w:sz w:val="24"/>
                <w14:textFill>
                  <w14:solidFill>
                    <w14:schemeClr w14:val="tx1"/>
                  </w14:solidFill>
                </w14:textFill>
              </w:rPr>
              <w:t>和《挥发性有机物无组织排放控制标准》（GB37822-2019）中相关要求。</w:t>
            </w:r>
          </w:p>
          <w:p>
            <w:pPr>
              <w:pStyle w:val="22"/>
              <w:adjustRightInd w:val="0"/>
              <w:ind w:firstLine="480" w:firstLineChars="200"/>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项目使用水性漆，物料使用密闭容积储存，产生的废气设置了末端治理设施，符合</w:t>
            </w:r>
            <w:r>
              <w:rPr>
                <w:rFonts w:hint="eastAsia"/>
                <w:color w:val="000000" w:themeColor="text1"/>
                <w:sz w:val="24"/>
                <w14:textFill>
                  <w14:solidFill>
                    <w14:schemeClr w14:val="tx1"/>
                  </w14:solidFill>
                </w14:textFill>
              </w:rPr>
              <w:t>《挥发性有机物无组织排放控制标准》（GB37822-2019）中对VOCs物料“储存、使用”的要求。</w:t>
            </w:r>
          </w:p>
          <w:p>
            <w:pPr>
              <w:pStyle w:val="22"/>
              <w:adjustRightInd w:val="0"/>
              <w:ind w:firstLine="480" w:firstLineChars="200"/>
              <w:jc w:val="both"/>
              <w:rPr>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根据</w:t>
            </w:r>
            <w:r>
              <w:rPr>
                <w:rFonts w:hint="eastAsia"/>
                <w:color w:val="000000" w:themeColor="text1"/>
                <w:sz w:val="24"/>
                <w:szCs w:val="24"/>
                <w14:textFill>
                  <w14:solidFill>
                    <w14:schemeClr w14:val="tx1"/>
                  </w14:solidFill>
                </w14:textFill>
              </w:rPr>
              <w:t>《大气污染物综合排放标准》（GB16297-1996）第7.1~7.4章节：“新污染源的排气筒一般不应低于15m，应高于周围200m半径范围内的建筑5m以上等（节选）。”本项目位于工业园区内，厂房高12米，排气筒设置15米，不能达到该要求的排气筒，应按其高度对应的表列排放速率标准值严格50%执行（节选），符合《大气污染物综合排放标准》（GB16297-1996）要求。</w:t>
            </w:r>
          </w:p>
          <w:p>
            <w:pPr>
              <w:pStyle w:val="22"/>
              <w:adjustRightInd w:val="0"/>
              <w:ind w:left="480" w:leftChars="200"/>
              <w:jc w:val="both"/>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3、非正常工况</w:t>
            </w:r>
          </w:p>
          <w:p>
            <w:pPr>
              <w:ind w:firstLine="480" w:firstLineChars="200"/>
              <w:rPr>
                <w:color w:val="000000" w:themeColor="text1"/>
                <w:kern w:val="0"/>
                <w14:textFill>
                  <w14:solidFill>
                    <w14:schemeClr w14:val="tx1"/>
                  </w14:solidFill>
                </w14:textFill>
              </w:rPr>
            </w:pPr>
            <w:r>
              <w:rPr>
                <w:bCs/>
                <w:color w:val="000000" w:themeColor="text1"/>
                <w:kern w:val="0"/>
                <w14:textFill>
                  <w14:solidFill>
                    <w14:schemeClr w14:val="tx1"/>
                  </w14:solidFill>
                </w14:textFill>
              </w:rPr>
              <w:t>本项目非正常工况主要为</w:t>
            </w:r>
            <w:r>
              <w:rPr>
                <w:rFonts w:hint="eastAsia"/>
                <w:bCs/>
                <w:color w:val="000000" w:themeColor="text1"/>
                <w:kern w:val="0"/>
                <w14:textFill>
                  <w14:solidFill>
                    <w14:schemeClr w14:val="tx1"/>
                  </w14:solidFill>
                </w14:textFill>
              </w:rPr>
              <w:t>喷漆废气处理设施故障或检修</w:t>
            </w:r>
            <w:r>
              <w:rPr>
                <w:bCs/>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失去处理能力，按效率为0计，</w:t>
            </w:r>
            <w:r>
              <w:rPr>
                <w:color w:val="000000" w:themeColor="text1"/>
                <w:kern w:val="0"/>
                <w14:textFill>
                  <w14:solidFill>
                    <w14:schemeClr w14:val="tx1"/>
                  </w14:solidFill>
                </w14:textFill>
              </w:rPr>
              <w:t>则项目非正常情况下</w:t>
            </w:r>
            <w:r>
              <w:rPr>
                <w:rFonts w:hint="eastAsia"/>
                <w:color w:val="000000" w:themeColor="text1"/>
                <w:kern w:val="0"/>
                <w14:textFill>
                  <w14:solidFill>
                    <w14:schemeClr w14:val="tx1"/>
                  </w14:solidFill>
                </w14:textFill>
              </w:rPr>
              <w:t>喷涂工段颗粒物</w:t>
            </w:r>
            <w:r>
              <w:rPr>
                <w:color w:val="000000" w:themeColor="text1"/>
                <w:kern w:val="0"/>
                <w14:textFill>
                  <w14:solidFill>
                    <w14:schemeClr w14:val="tx1"/>
                  </w14:solidFill>
                </w14:textFill>
              </w:rPr>
              <w:t>排放</w:t>
            </w:r>
            <w:r>
              <w:rPr>
                <w:rFonts w:hint="eastAsia"/>
                <w:color w:val="000000" w:themeColor="text1"/>
                <w:kern w:val="0"/>
                <w14:textFill>
                  <w14:solidFill>
                    <w14:schemeClr w14:val="tx1"/>
                  </w14:solidFill>
                </w14:textFill>
              </w:rPr>
              <w:t>速率</w:t>
            </w:r>
            <w:r>
              <w:rPr>
                <w:color w:val="000000" w:themeColor="text1"/>
                <w:kern w:val="0"/>
                <w14:textFill>
                  <w14:solidFill>
                    <w14:schemeClr w14:val="tx1"/>
                  </w14:solidFill>
                </w14:textFill>
              </w:rPr>
              <w:t>为</w:t>
            </w:r>
            <w:r>
              <w:rPr>
                <w:rFonts w:hint="eastAsia"/>
                <w:color w:val="000000" w:themeColor="text1"/>
                <w:kern w:val="0"/>
                <w14:textFill>
                  <w14:solidFill>
                    <w14:schemeClr w14:val="tx1"/>
                  </w14:solidFill>
                </w14:textFill>
              </w:rPr>
              <w:t>0.05</w:t>
            </w:r>
            <w:r>
              <w:rPr>
                <w:color w:val="000000" w:themeColor="text1"/>
                <w:kern w:val="0"/>
                <w14:textFill>
                  <w14:solidFill>
                    <w14:schemeClr w14:val="tx1"/>
                  </w14:solidFill>
                </w14:textFill>
              </w:rPr>
              <w:t>kg/h</w:t>
            </w:r>
            <w:r>
              <w:rPr>
                <w:rFonts w:hint="eastAsia"/>
                <w:color w:val="000000" w:themeColor="text1"/>
                <w:kern w:val="0"/>
                <w14:textFill>
                  <w14:solidFill>
                    <w14:schemeClr w14:val="tx1"/>
                  </w14:solidFill>
                </w14:textFill>
              </w:rPr>
              <w:t>，</w:t>
            </w:r>
            <w:r>
              <w:rPr>
                <w:rFonts w:hint="eastAsia"/>
                <w:bCs/>
                <w:color w:val="000000" w:themeColor="text1"/>
                <w14:textFill>
                  <w14:solidFill>
                    <w14:schemeClr w14:val="tx1"/>
                  </w14:solidFill>
                </w14:textFill>
              </w:rPr>
              <w:t>挥发性有机物（以非甲烷总烃计）</w:t>
            </w:r>
            <w:r>
              <w:rPr>
                <w:rFonts w:hint="eastAsia"/>
                <w:color w:val="000000" w:themeColor="text1"/>
                <w:kern w:val="0"/>
                <w14:textFill>
                  <w14:solidFill>
                    <w14:schemeClr w14:val="tx1"/>
                  </w14:solidFill>
                </w14:textFill>
              </w:rPr>
              <w:t>排放速率为0.072kg/h</w:t>
            </w:r>
            <w:r>
              <w:rPr>
                <w:color w:val="000000" w:themeColor="text1"/>
                <w:kern w:val="0"/>
                <w14:textFill>
                  <w14:solidFill>
                    <w14:schemeClr w14:val="tx1"/>
                  </w14:solidFill>
                </w14:textFill>
              </w:rPr>
              <w:t>。</w:t>
            </w:r>
          </w:p>
          <w:p>
            <w:pPr>
              <w:ind w:firstLine="480" w:firstLineChars="200"/>
              <w:rPr>
                <w:b/>
                <w:color w:val="000000" w:themeColor="text1"/>
                <w:kern w:val="0"/>
                <w14:textFill>
                  <w14:solidFill>
                    <w14:schemeClr w14:val="tx1"/>
                  </w14:solidFill>
                </w14:textFill>
              </w:rPr>
            </w:pPr>
            <w:r>
              <w:rPr>
                <w:color w:val="000000" w:themeColor="text1"/>
                <w:kern w:val="0"/>
                <w14:textFill>
                  <w14:solidFill>
                    <w14:schemeClr w14:val="tx1"/>
                  </w14:solidFill>
                </w14:textFill>
              </w:rPr>
              <w:t>有组织</w:t>
            </w:r>
            <w:r>
              <w:rPr>
                <w:rFonts w:hint="eastAsia"/>
                <w:color w:val="000000" w:themeColor="text1"/>
                <w:kern w:val="0"/>
                <w14:textFill>
                  <w14:solidFill>
                    <w14:schemeClr w14:val="tx1"/>
                  </w14:solidFill>
                </w14:textFill>
              </w:rPr>
              <w:t>废气</w:t>
            </w:r>
            <w:r>
              <w:rPr>
                <w:color w:val="000000" w:themeColor="text1"/>
                <w:kern w:val="0"/>
                <w14:textFill>
                  <w14:solidFill>
                    <w14:schemeClr w14:val="tx1"/>
                  </w14:solidFill>
                </w14:textFill>
              </w:rPr>
              <w:t>非正常排放</w:t>
            </w:r>
            <w:r>
              <w:rPr>
                <w:rFonts w:hint="eastAsia"/>
                <w:color w:val="000000" w:themeColor="text1"/>
                <w:kern w:val="0"/>
                <w14:textFill>
                  <w14:solidFill>
                    <w14:schemeClr w14:val="tx1"/>
                  </w14:solidFill>
                </w14:textFill>
              </w:rPr>
              <w:t>虽满足</w:t>
            </w:r>
            <w:r>
              <w:rPr>
                <w:color w:val="000000" w:themeColor="text1"/>
                <w:kern w:val="0"/>
                <w14:textFill>
                  <w14:solidFill>
                    <w14:schemeClr w14:val="tx1"/>
                  </w14:solidFill>
                </w14:textFill>
              </w:rPr>
              <w:t>《大气污染物综合排放标准》(GB16297-1996)中二级标准要求，</w:t>
            </w:r>
            <w:r>
              <w:rPr>
                <w:rFonts w:hint="eastAsia"/>
                <w:color w:val="000000" w:themeColor="text1"/>
                <w:kern w:val="0"/>
                <w14:textFill>
                  <w14:solidFill>
                    <w14:schemeClr w14:val="tx1"/>
                  </w14:solidFill>
                </w14:textFill>
              </w:rPr>
              <w:t>但会加大对周围环境的影响，项目应</w:t>
            </w:r>
            <w:r>
              <w:rPr>
                <w:color w:val="000000" w:themeColor="text1"/>
                <w:kern w:val="0"/>
                <w14:textFill>
                  <w14:solidFill>
                    <w14:schemeClr w14:val="tx1"/>
                  </w14:solidFill>
                </w14:textFill>
              </w:rPr>
              <w:t>杜绝非正常排放，定期</w:t>
            </w:r>
            <w:r>
              <w:rPr>
                <w:rFonts w:hint="eastAsia"/>
                <w:color w:val="000000" w:themeColor="text1"/>
                <w:kern w:val="0"/>
                <w14:textFill>
                  <w14:solidFill>
                    <w14:schemeClr w14:val="tx1"/>
                  </w14:solidFill>
                </w14:textFill>
              </w:rPr>
              <w:t>排查故障</w:t>
            </w:r>
            <w:r>
              <w:rPr>
                <w:color w:val="000000" w:themeColor="text1"/>
                <w:kern w:val="0"/>
                <w14:textFill>
                  <w14:solidFill>
                    <w14:schemeClr w14:val="tx1"/>
                  </w14:solidFill>
                </w14:textFill>
              </w:rPr>
              <w:t>，如遇</w:t>
            </w:r>
            <w:r>
              <w:rPr>
                <w:rFonts w:hint="eastAsia"/>
                <w:color w:val="000000" w:themeColor="text1"/>
                <w:kern w:val="0"/>
                <w14:textFill>
                  <w14:solidFill>
                    <w14:schemeClr w14:val="tx1"/>
                  </w14:solidFill>
                </w14:textFill>
              </w:rPr>
              <w:t>设施</w:t>
            </w:r>
            <w:r>
              <w:rPr>
                <w:color w:val="000000" w:themeColor="text1"/>
                <w:kern w:val="0"/>
                <w14:textFill>
                  <w14:solidFill>
                    <w14:schemeClr w14:val="tx1"/>
                  </w14:solidFill>
                </w14:textFill>
              </w:rPr>
              <w:t>损坏，则立即停产检修</w:t>
            </w:r>
            <w:r>
              <w:rPr>
                <w:rFonts w:hint="eastAsia"/>
                <w:color w:val="000000" w:themeColor="text1"/>
                <w:kern w:val="0"/>
                <w14:textFill>
                  <w14:solidFill>
                    <w14:schemeClr w14:val="tx1"/>
                  </w14:solidFill>
                </w14:textFill>
              </w:rPr>
              <w:t>。</w:t>
            </w:r>
          </w:p>
          <w:p>
            <w:pPr>
              <w:tabs>
                <w:tab w:val="left" w:pos="540"/>
                <w:tab w:val="left" w:pos="851"/>
                <w:tab w:val="left" w:pos="994"/>
                <w:tab w:val="left" w:pos="1260"/>
                <w:tab w:val="left" w:pos="3108"/>
                <w:tab w:val="left" w:pos="3150"/>
              </w:tabs>
              <w:jc w:val="center"/>
              <w:rPr>
                <w:color w:val="000000" w:themeColor="text1"/>
                <w:kern w:val="0"/>
                <w14:textFill>
                  <w14:solidFill>
                    <w14:schemeClr w14:val="tx1"/>
                  </w14:solidFill>
                </w14:textFill>
              </w:rPr>
            </w:pPr>
            <w:r>
              <w:rPr>
                <w:b/>
                <w:color w:val="000000" w:themeColor="text1"/>
                <w:kern w:val="0"/>
                <w14:textFill>
                  <w14:solidFill>
                    <w14:schemeClr w14:val="tx1"/>
                  </w14:solidFill>
                </w14:textFill>
              </w:rPr>
              <w:t>表</w:t>
            </w:r>
            <w:r>
              <w:rPr>
                <w:rFonts w:hint="eastAsia"/>
                <w:b/>
                <w:color w:val="000000" w:themeColor="text1"/>
                <w:kern w:val="0"/>
                <w14:textFill>
                  <w14:solidFill>
                    <w14:schemeClr w14:val="tx1"/>
                  </w14:solidFill>
                </w14:textFill>
              </w:rPr>
              <w:t xml:space="preserve">4-3 </w:t>
            </w:r>
            <w:r>
              <w:rPr>
                <w:b/>
                <w:color w:val="000000" w:themeColor="text1"/>
                <w:kern w:val="0"/>
                <w14:textFill>
                  <w14:solidFill>
                    <w14:schemeClr w14:val="tx1"/>
                  </w14:solidFill>
                </w14:textFill>
              </w:rPr>
              <w:t xml:space="preserve">  项目</w:t>
            </w:r>
            <w:r>
              <w:rPr>
                <w:rFonts w:hint="eastAsia"/>
                <w:b/>
                <w:color w:val="000000" w:themeColor="text1"/>
                <w:kern w:val="0"/>
                <w14:textFill>
                  <w14:solidFill>
                    <w14:schemeClr w14:val="tx1"/>
                  </w14:solidFill>
                </w14:textFill>
              </w:rPr>
              <w:t>非正常排放情况</w:t>
            </w:r>
            <w:r>
              <w:rPr>
                <w:b/>
                <w:color w:val="000000" w:themeColor="text1"/>
                <w:kern w:val="0"/>
                <w14:textFill>
                  <w14:solidFill>
                    <w14:schemeClr w14:val="tx1"/>
                  </w14:solidFill>
                </w14:textFill>
              </w:rPr>
              <w:t>表</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9"/>
              <w:gridCol w:w="1418"/>
              <w:gridCol w:w="1071"/>
              <w:gridCol w:w="942"/>
              <w:gridCol w:w="868"/>
              <w:gridCol w:w="1061"/>
              <w:gridCol w:w="1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943" w:type="pct"/>
                  <w:vAlign w:val="center"/>
                </w:tcPr>
                <w:p>
                  <w:pPr>
                    <w:tabs>
                      <w:tab w:val="left" w:pos="540"/>
                      <w:tab w:val="left" w:pos="851"/>
                      <w:tab w:val="left" w:pos="994"/>
                      <w:tab w:val="left" w:pos="1260"/>
                      <w:tab w:val="left" w:pos="3108"/>
                      <w:tab w:val="left" w:pos="3150"/>
                    </w:tabs>
                    <w:adjustRightInd w:val="0"/>
                    <w:snapToGrid w:val="0"/>
                    <w:spacing w:line="240" w:lineRule="auto"/>
                    <w:jc w:val="center"/>
                    <w:rPr>
                      <w:b/>
                      <w:color w:val="000000" w:themeColor="text1"/>
                      <w:kern w:val="0"/>
                      <w:sz w:val="18"/>
                      <w:szCs w:val="18"/>
                      <w14:textFill>
                        <w14:solidFill>
                          <w14:schemeClr w14:val="tx1"/>
                        </w14:solidFill>
                      </w14:textFill>
                    </w:rPr>
                  </w:pPr>
                  <w:r>
                    <w:rPr>
                      <w:rFonts w:hint="eastAsia"/>
                      <w:b/>
                      <w:color w:val="000000" w:themeColor="text1"/>
                      <w:kern w:val="0"/>
                      <w:sz w:val="18"/>
                      <w:szCs w:val="18"/>
                      <w14:textFill>
                        <w14:solidFill>
                          <w14:schemeClr w14:val="tx1"/>
                        </w14:solidFill>
                      </w14:textFill>
                    </w:rPr>
                    <w:t>非正常排放源</w:t>
                  </w:r>
                </w:p>
              </w:tc>
              <w:tc>
                <w:tcPr>
                  <w:tcW w:w="892" w:type="pct"/>
                  <w:vAlign w:val="center"/>
                </w:tcPr>
                <w:p>
                  <w:pPr>
                    <w:tabs>
                      <w:tab w:val="left" w:pos="540"/>
                      <w:tab w:val="left" w:pos="851"/>
                      <w:tab w:val="left" w:pos="994"/>
                      <w:tab w:val="left" w:pos="1260"/>
                      <w:tab w:val="left" w:pos="3108"/>
                      <w:tab w:val="left" w:pos="3150"/>
                    </w:tabs>
                    <w:adjustRightInd w:val="0"/>
                    <w:snapToGrid w:val="0"/>
                    <w:spacing w:line="240" w:lineRule="auto"/>
                    <w:jc w:val="center"/>
                    <w:rPr>
                      <w:b/>
                      <w:color w:val="000000" w:themeColor="text1"/>
                      <w:kern w:val="0"/>
                      <w:sz w:val="18"/>
                      <w:szCs w:val="18"/>
                      <w14:textFill>
                        <w14:solidFill>
                          <w14:schemeClr w14:val="tx1"/>
                        </w14:solidFill>
                      </w14:textFill>
                    </w:rPr>
                  </w:pPr>
                  <w:r>
                    <w:rPr>
                      <w:rFonts w:hint="eastAsia"/>
                      <w:b/>
                      <w:color w:val="000000" w:themeColor="text1"/>
                      <w:kern w:val="0"/>
                      <w:sz w:val="18"/>
                      <w:szCs w:val="18"/>
                      <w14:textFill>
                        <w14:solidFill>
                          <w14:schemeClr w14:val="tx1"/>
                        </w14:solidFill>
                      </w14:textFill>
                    </w:rPr>
                    <w:t>非正常排放原因</w:t>
                  </w:r>
                </w:p>
              </w:tc>
              <w:tc>
                <w:tcPr>
                  <w:tcW w:w="675" w:type="pct"/>
                  <w:vAlign w:val="center"/>
                </w:tcPr>
                <w:p>
                  <w:pPr>
                    <w:tabs>
                      <w:tab w:val="left" w:pos="540"/>
                      <w:tab w:val="left" w:pos="851"/>
                      <w:tab w:val="left" w:pos="994"/>
                      <w:tab w:val="left" w:pos="1260"/>
                      <w:tab w:val="left" w:pos="3108"/>
                      <w:tab w:val="left" w:pos="3150"/>
                    </w:tabs>
                    <w:adjustRightInd w:val="0"/>
                    <w:snapToGrid w:val="0"/>
                    <w:spacing w:line="240" w:lineRule="auto"/>
                    <w:jc w:val="center"/>
                    <w:rPr>
                      <w:b/>
                      <w:color w:val="000000" w:themeColor="text1"/>
                      <w:kern w:val="0"/>
                      <w:sz w:val="18"/>
                      <w:szCs w:val="18"/>
                      <w14:textFill>
                        <w14:solidFill>
                          <w14:schemeClr w14:val="tx1"/>
                        </w14:solidFill>
                      </w14:textFill>
                    </w:rPr>
                  </w:pPr>
                  <w:r>
                    <w:rPr>
                      <w:rFonts w:hint="eastAsia"/>
                      <w:b/>
                      <w:color w:val="000000" w:themeColor="text1"/>
                      <w:kern w:val="0"/>
                      <w:sz w:val="18"/>
                      <w:szCs w:val="18"/>
                      <w14:textFill>
                        <w14:solidFill>
                          <w14:schemeClr w14:val="tx1"/>
                        </w14:solidFill>
                      </w14:textFill>
                    </w:rPr>
                    <w:t>污染物</w:t>
                  </w:r>
                </w:p>
              </w:tc>
              <w:tc>
                <w:tcPr>
                  <w:tcW w:w="594" w:type="pct"/>
                  <w:vAlign w:val="center"/>
                </w:tcPr>
                <w:p>
                  <w:pPr>
                    <w:tabs>
                      <w:tab w:val="left" w:pos="540"/>
                      <w:tab w:val="left" w:pos="851"/>
                      <w:tab w:val="left" w:pos="994"/>
                      <w:tab w:val="left" w:pos="1260"/>
                      <w:tab w:val="left" w:pos="3108"/>
                      <w:tab w:val="left" w:pos="3150"/>
                    </w:tabs>
                    <w:adjustRightInd w:val="0"/>
                    <w:snapToGrid w:val="0"/>
                    <w:spacing w:line="240" w:lineRule="auto"/>
                    <w:jc w:val="center"/>
                    <w:rPr>
                      <w:b/>
                      <w:color w:val="000000" w:themeColor="text1"/>
                      <w:kern w:val="0"/>
                      <w:sz w:val="18"/>
                      <w:szCs w:val="18"/>
                      <w14:textFill>
                        <w14:solidFill>
                          <w14:schemeClr w14:val="tx1"/>
                        </w14:solidFill>
                      </w14:textFill>
                    </w:rPr>
                  </w:pPr>
                  <w:r>
                    <w:rPr>
                      <w:rFonts w:hint="eastAsia"/>
                      <w:b/>
                      <w:color w:val="000000" w:themeColor="text1"/>
                      <w:kern w:val="0"/>
                      <w:sz w:val="18"/>
                      <w:szCs w:val="18"/>
                      <w14:textFill>
                        <w14:solidFill>
                          <w14:schemeClr w14:val="tx1"/>
                        </w14:solidFill>
                      </w14:textFill>
                    </w:rPr>
                    <w:t>单次持续时间</w:t>
                  </w:r>
                </w:p>
              </w:tc>
              <w:tc>
                <w:tcPr>
                  <w:tcW w:w="547" w:type="pct"/>
                  <w:vAlign w:val="center"/>
                </w:tcPr>
                <w:p>
                  <w:pPr>
                    <w:tabs>
                      <w:tab w:val="left" w:pos="540"/>
                      <w:tab w:val="left" w:pos="851"/>
                      <w:tab w:val="left" w:pos="994"/>
                      <w:tab w:val="left" w:pos="1260"/>
                      <w:tab w:val="left" w:pos="3108"/>
                      <w:tab w:val="left" w:pos="3150"/>
                    </w:tabs>
                    <w:adjustRightInd w:val="0"/>
                    <w:snapToGrid w:val="0"/>
                    <w:spacing w:line="240" w:lineRule="auto"/>
                    <w:jc w:val="center"/>
                    <w:rPr>
                      <w:b/>
                      <w:bCs/>
                      <w:color w:val="000000" w:themeColor="text1"/>
                      <w:kern w:val="0"/>
                      <w:sz w:val="18"/>
                      <w:szCs w:val="18"/>
                      <w14:textFill>
                        <w14:solidFill>
                          <w14:schemeClr w14:val="tx1"/>
                        </w14:solidFill>
                      </w14:textFill>
                    </w:rPr>
                  </w:pPr>
                  <w:r>
                    <w:rPr>
                      <w:rFonts w:hint="eastAsia"/>
                      <w:b/>
                      <w:bCs/>
                      <w:color w:val="000000" w:themeColor="text1"/>
                      <w:kern w:val="0"/>
                      <w:sz w:val="18"/>
                      <w:szCs w:val="18"/>
                      <w14:textFill>
                        <w14:solidFill>
                          <w14:schemeClr w14:val="tx1"/>
                        </w14:solidFill>
                      </w14:textFill>
                    </w:rPr>
                    <w:t>排放量（t）</w:t>
                  </w:r>
                </w:p>
              </w:tc>
              <w:tc>
                <w:tcPr>
                  <w:tcW w:w="669" w:type="pct"/>
                  <w:vAlign w:val="center"/>
                </w:tcPr>
                <w:p>
                  <w:pPr>
                    <w:tabs>
                      <w:tab w:val="left" w:pos="540"/>
                      <w:tab w:val="left" w:pos="851"/>
                      <w:tab w:val="left" w:pos="994"/>
                      <w:tab w:val="left" w:pos="1260"/>
                      <w:tab w:val="left" w:pos="3108"/>
                      <w:tab w:val="left" w:pos="3150"/>
                    </w:tabs>
                    <w:adjustRightInd w:val="0"/>
                    <w:snapToGrid w:val="0"/>
                    <w:spacing w:line="240" w:lineRule="auto"/>
                    <w:jc w:val="center"/>
                    <w:rPr>
                      <w:b/>
                      <w:bCs/>
                      <w:color w:val="000000" w:themeColor="text1"/>
                      <w:kern w:val="0"/>
                      <w:sz w:val="18"/>
                      <w:szCs w:val="18"/>
                      <w14:textFill>
                        <w14:solidFill>
                          <w14:schemeClr w14:val="tx1"/>
                        </w14:solidFill>
                      </w14:textFill>
                    </w:rPr>
                  </w:pPr>
                  <w:r>
                    <w:rPr>
                      <w:rFonts w:hint="eastAsia"/>
                      <w:b/>
                      <w:bCs/>
                      <w:color w:val="000000" w:themeColor="text1"/>
                      <w:kern w:val="0"/>
                      <w:sz w:val="18"/>
                      <w:szCs w:val="18"/>
                      <w14:textFill>
                        <w14:solidFill>
                          <w14:schemeClr w14:val="tx1"/>
                        </w14:solidFill>
                      </w14:textFill>
                    </w:rPr>
                    <w:t>发生频次</w:t>
                  </w:r>
                </w:p>
              </w:tc>
              <w:tc>
                <w:tcPr>
                  <w:tcW w:w="677" w:type="pct"/>
                  <w:vAlign w:val="center"/>
                </w:tcPr>
                <w:p>
                  <w:pPr>
                    <w:tabs>
                      <w:tab w:val="left" w:pos="540"/>
                      <w:tab w:val="left" w:pos="851"/>
                      <w:tab w:val="left" w:pos="994"/>
                      <w:tab w:val="left" w:pos="1260"/>
                      <w:tab w:val="left" w:pos="3108"/>
                      <w:tab w:val="left" w:pos="3150"/>
                    </w:tabs>
                    <w:adjustRightInd w:val="0"/>
                    <w:snapToGrid w:val="0"/>
                    <w:spacing w:line="240" w:lineRule="auto"/>
                    <w:jc w:val="center"/>
                    <w:rPr>
                      <w:b/>
                      <w:bCs/>
                      <w:color w:val="000000" w:themeColor="text1"/>
                      <w:kern w:val="0"/>
                      <w:sz w:val="18"/>
                      <w:szCs w:val="18"/>
                      <w14:textFill>
                        <w14:solidFill>
                          <w14:schemeClr w14:val="tx1"/>
                        </w14:solidFill>
                      </w14:textFill>
                    </w:rPr>
                  </w:pPr>
                  <w:r>
                    <w:rPr>
                      <w:rFonts w:hint="eastAsia"/>
                      <w:b/>
                      <w:bCs/>
                      <w:color w:val="000000" w:themeColor="text1"/>
                      <w:kern w:val="0"/>
                      <w:sz w:val="18"/>
                      <w:szCs w:val="18"/>
                      <w14:textFill>
                        <w14:solidFill>
                          <w14:schemeClr w14:val="tx1"/>
                        </w14:solidFill>
                      </w14:textFill>
                    </w:rPr>
                    <w:t>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943" w:type="pct"/>
                  <w:vMerge w:val="restart"/>
                  <w:vAlign w:val="center"/>
                </w:tcPr>
                <w:p>
                  <w:pPr>
                    <w:tabs>
                      <w:tab w:val="left" w:pos="540"/>
                      <w:tab w:val="left" w:pos="851"/>
                      <w:tab w:val="left" w:pos="994"/>
                      <w:tab w:val="left" w:pos="1260"/>
                      <w:tab w:val="left" w:pos="3108"/>
                      <w:tab w:val="left" w:pos="3150"/>
                    </w:tabs>
                    <w:adjustRightInd w:val="0"/>
                    <w:snapToGrid w:val="0"/>
                    <w:spacing w:line="240" w:lineRule="auto"/>
                    <w:jc w:val="center"/>
                    <w:rPr>
                      <w:bCs/>
                      <w:color w:val="000000" w:themeColor="text1"/>
                      <w:kern w:val="0"/>
                      <w:sz w:val="18"/>
                      <w:szCs w:val="18"/>
                      <w14:textFill>
                        <w14:solidFill>
                          <w14:schemeClr w14:val="tx1"/>
                        </w14:solidFill>
                      </w14:textFill>
                    </w:rPr>
                  </w:pPr>
                  <w:r>
                    <w:rPr>
                      <w:rFonts w:hint="eastAsia"/>
                      <w:bCs/>
                      <w:color w:val="000000" w:themeColor="text1"/>
                      <w:kern w:val="0"/>
                      <w:sz w:val="18"/>
                      <w:szCs w:val="18"/>
                      <w14:textFill>
                        <w14:solidFill>
                          <w14:schemeClr w14:val="tx1"/>
                        </w14:solidFill>
                      </w14:textFill>
                    </w:rPr>
                    <w:t>喷漆废气处理设施排气筒（DA001）</w:t>
                  </w:r>
                </w:p>
              </w:tc>
              <w:tc>
                <w:tcPr>
                  <w:tcW w:w="892" w:type="pct"/>
                  <w:vMerge w:val="restart"/>
                  <w:vAlign w:val="center"/>
                </w:tcPr>
                <w:p>
                  <w:pPr>
                    <w:tabs>
                      <w:tab w:val="left" w:pos="540"/>
                      <w:tab w:val="left" w:pos="851"/>
                      <w:tab w:val="left" w:pos="994"/>
                      <w:tab w:val="left" w:pos="1260"/>
                      <w:tab w:val="left" w:pos="3108"/>
                      <w:tab w:val="left" w:pos="3150"/>
                    </w:tabs>
                    <w:adjustRightInd w:val="0"/>
                    <w:snapToGrid w:val="0"/>
                    <w:spacing w:line="240" w:lineRule="auto"/>
                    <w:jc w:val="center"/>
                    <w:rPr>
                      <w:bCs/>
                      <w:color w:val="000000" w:themeColor="text1"/>
                      <w:kern w:val="0"/>
                      <w:sz w:val="18"/>
                      <w:szCs w:val="18"/>
                      <w14:textFill>
                        <w14:solidFill>
                          <w14:schemeClr w14:val="tx1"/>
                        </w14:solidFill>
                      </w14:textFill>
                    </w:rPr>
                  </w:pPr>
                  <w:r>
                    <w:rPr>
                      <w:rFonts w:hint="eastAsia"/>
                      <w:bCs/>
                      <w:color w:val="000000" w:themeColor="text1"/>
                      <w:kern w:val="0"/>
                      <w:sz w:val="18"/>
                      <w:szCs w:val="18"/>
                      <w14:textFill>
                        <w14:solidFill>
                          <w14:schemeClr w14:val="tx1"/>
                        </w14:solidFill>
                      </w14:textFill>
                    </w:rPr>
                    <w:t>设施故障、检修等</w:t>
                  </w:r>
                </w:p>
              </w:tc>
              <w:tc>
                <w:tcPr>
                  <w:tcW w:w="675" w:type="pct"/>
                  <w:vAlign w:val="center"/>
                </w:tcPr>
                <w:p>
                  <w:pPr>
                    <w:tabs>
                      <w:tab w:val="left" w:pos="540"/>
                      <w:tab w:val="left" w:pos="851"/>
                      <w:tab w:val="left" w:pos="994"/>
                      <w:tab w:val="left" w:pos="1260"/>
                      <w:tab w:val="left" w:pos="3108"/>
                      <w:tab w:val="left" w:pos="3150"/>
                    </w:tabs>
                    <w:adjustRightInd w:val="0"/>
                    <w:snapToGrid w:val="0"/>
                    <w:spacing w:line="240" w:lineRule="auto"/>
                    <w:jc w:val="center"/>
                    <w:rPr>
                      <w:bCs/>
                      <w:color w:val="000000" w:themeColor="text1"/>
                      <w:kern w:val="0"/>
                      <w:sz w:val="18"/>
                      <w:szCs w:val="18"/>
                      <w14:textFill>
                        <w14:solidFill>
                          <w14:schemeClr w14:val="tx1"/>
                        </w14:solidFill>
                      </w14:textFill>
                    </w:rPr>
                  </w:pPr>
                  <w:r>
                    <w:rPr>
                      <w:rFonts w:hint="eastAsia"/>
                      <w:bCs/>
                      <w:color w:val="000000" w:themeColor="text1"/>
                      <w:kern w:val="0"/>
                      <w:sz w:val="18"/>
                      <w:szCs w:val="18"/>
                      <w14:textFill>
                        <w14:solidFill>
                          <w14:schemeClr w14:val="tx1"/>
                        </w14:solidFill>
                      </w14:textFill>
                    </w:rPr>
                    <w:t>颗粒物</w:t>
                  </w:r>
                </w:p>
              </w:tc>
              <w:tc>
                <w:tcPr>
                  <w:tcW w:w="594" w:type="pct"/>
                  <w:vAlign w:val="center"/>
                </w:tcPr>
                <w:p>
                  <w:pPr>
                    <w:tabs>
                      <w:tab w:val="left" w:pos="540"/>
                      <w:tab w:val="left" w:pos="851"/>
                      <w:tab w:val="left" w:pos="994"/>
                      <w:tab w:val="left" w:pos="1260"/>
                      <w:tab w:val="left" w:pos="3108"/>
                      <w:tab w:val="left" w:pos="3150"/>
                    </w:tabs>
                    <w:adjustRightInd w:val="0"/>
                    <w:snapToGrid w:val="0"/>
                    <w:spacing w:line="240" w:lineRule="auto"/>
                    <w:jc w:val="center"/>
                    <w:rPr>
                      <w:bCs/>
                      <w:color w:val="000000" w:themeColor="text1"/>
                      <w:kern w:val="0"/>
                      <w:sz w:val="18"/>
                      <w:szCs w:val="18"/>
                      <w14:textFill>
                        <w14:solidFill>
                          <w14:schemeClr w14:val="tx1"/>
                        </w14:solidFill>
                      </w14:textFill>
                    </w:rPr>
                  </w:pPr>
                  <w:r>
                    <w:rPr>
                      <w:rFonts w:hint="eastAsia"/>
                      <w:bCs/>
                      <w:color w:val="000000" w:themeColor="text1"/>
                      <w:kern w:val="0"/>
                      <w:sz w:val="18"/>
                      <w:szCs w:val="18"/>
                      <w14:textFill>
                        <w14:solidFill>
                          <w14:schemeClr w14:val="tx1"/>
                        </w14:solidFill>
                      </w14:textFill>
                    </w:rPr>
                    <w:t>8h</w:t>
                  </w:r>
                </w:p>
              </w:tc>
              <w:tc>
                <w:tcPr>
                  <w:tcW w:w="547" w:type="pct"/>
                  <w:vAlign w:val="center"/>
                </w:tcPr>
                <w:p>
                  <w:pPr>
                    <w:tabs>
                      <w:tab w:val="left" w:pos="540"/>
                      <w:tab w:val="left" w:pos="851"/>
                      <w:tab w:val="left" w:pos="994"/>
                      <w:tab w:val="left" w:pos="1260"/>
                      <w:tab w:val="left" w:pos="3108"/>
                      <w:tab w:val="left" w:pos="3150"/>
                    </w:tabs>
                    <w:adjustRightInd w:val="0"/>
                    <w:snapToGrid w:val="0"/>
                    <w:spacing w:line="240" w:lineRule="auto"/>
                    <w:jc w:val="center"/>
                    <w:rPr>
                      <w:bCs/>
                      <w:color w:val="000000" w:themeColor="text1"/>
                      <w:kern w:val="0"/>
                      <w:sz w:val="18"/>
                      <w:szCs w:val="18"/>
                      <w14:textFill>
                        <w14:solidFill>
                          <w14:schemeClr w14:val="tx1"/>
                        </w14:solidFill>
                      </w14:textFill>
                    </w:rPr>
                  </w:pPr>
                  <w:r>
                    <w:rPr>
                      <w:rFonts w:hint="eastAsia"/>
                      <w:bCs/>
                      <w:color w:val="000000" w:themeColor="text1"/>
                      <w:kern w:val="0"/>
                      <w:sz w:val="18"/>
                      <w:szCs w:val="18"/>
                      <w14:textFill>
                        <w14:solidFill>
                          <w14:schemeClr w14:val="tx1"/>
                        </w14:solidFill>
                      </w14:textFill>
                    </w:rPr>
                    <w:t>0.0072</w:t>
                  </w:r>
                </w:p>
              </w:tc>
              <w:tc>
                <w:tcPr>
                  <w:tcW w:w="669" w:type="pct"/>
                  <w:vAlign w:val="center"/>
                </w:tcPr>
                <w:p>
                  <w:pPr>
                    <w:tabs>
                      <w:tab w:val="left" w:pos="540"/>
                      <w:tab w:val="left" w:pos="851"/>
                      <w:tab w:val="left" w:pos="994"/>
                      <w:tab w:val="left" w:pos="1260"/>
                      <w:tab w:val="left" w:pos="3108"/>
                      <w:tab w:val="left" w:pos="3150"/>
                    </w:tabs>
                    <w:adjustRightInd w:val="0"/>
                    <w:snapToGrid w:val="0"/>
                    <w:spacing w:line="240" w:lineRule="auto"/>
                    <w:jc w:val="center"/>
                    <w:rPr>
                      <w:bCs/>
                      <w:color w:val="000000" w:themeColor="text1"/>
                      <w:kern w:val="0"/>
                      <w:sz w:val="18"/>
                      <w:szCs w:val="18"/>
                      <w14:textFill>
                        <w14:solidFill>
                          <w14:schemeClr w14:val="tx1"/>
                        </w14:solidFill>
                      </w14:textFill>
                    </w:rPr>
                  </w:pPr>
                  <w:r>
                    <w:rPr>
                      <w:rFonts w:hint="eastAsia"/>
                      <w:bCs/>
                      <w:color w:val="000000" w:themeColor="text1"/>
                      <w:kern w:val="0"/>
                      <w:sz w:val="18"/>
                      <w:szCs w:val="18"/>
                      <w14:textFill>
                        <w14:solidFill>
                          <w14:schemeClr w14:val="tx1"/>
                        </w14:solidFill>
                      </w14:textFill>
                    </w:rPr>
                    <w:t>1~2次/年</w:t>
                  </w:r>
                </w:p>
              </w:tc>
              <w:tc>
                <w:tcPr>
                  <w:tcW w:w="677" w:type="pct"/>
                  <w:vAlign w:val="center"/>
                </w:tcPr>
                <w:p>
                  <w:pPr>
                    <w:tabs>
                      <w:tab w:val="left" w:pos="540"/>
                      <w:tab w:val="left" w:pos="851"/>
                      <w:tab w:val="left" w:pos="994"/>
                      <w:tab w:val="left" w:pos="1260"/>
                      <w:tab w:val="left" w:pos="3108"/>
                      <w:tab w:val="left" w:pos="3150"/>
                    </w:tabs>
                    <w:adjustRightInd w:val="0"/>
                    <w:snapToGrid w:val="0"/>
                    <w:spacing w:line="240" w:lineRule="auto"/>
                    <w:jc w:val="center"/>
                    <w:rPr>
                      <w:bCs/>
                      <w:color w:val="000000" w:themeColor="text1"/>
                      <w:kern w:val="0"/>
                      <w:sz w:val="18"/>
                      <w:szCs w:val="18"/>
                      <w14:textFill>
                        <w14:solidFill>
                          <w14:schemeClr w14:val="tx1"/>
                        </w14:solidFill>
                      </w14:textFill>
                    </w:rPr>
                  </w:pPr>
                  <w:r>
                    <w:rPr>
                      <w:rFonts w:hint="eastAsia"/>
                      <w:bCs/>
                      <w:color w:val="000000" w:themeColor="text1"/>
                      <w:kern w:val="0"/>
                      <w:sz w:val="18"/>
                      <w:szCs w:val="18"/>
                      <w14:textFill>
                        <w14:solidFill>
                          <w14:schemeClr w14:val="tx1"/>
                        </w14:solidFill>
                      </w14:textFill>
                    </w:rPr>
                    <w:t>停产检修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943" w:type="pct"/>
                  <w:vMerge w:val="continue"/>
                  <w:vAlign w:val="center"/>
                </w:tcPr>
                <w:p>
                  <w:pPr>
                    <w:tabs>
                      <w:tab w:val="left" w:pos="540"/>
                      <w:tab w:val="left" w:pos="851"/>
                      <w:tab w:val="left" w:pos="994"/>
                      <w:tab w:val="left" w:pos="1260"/>
                      <w:tab w:val="left" w:pos="3108"/>
                      <w:tab w:val="left" w:pos="3150"/>
                    </w:tabs>
                    <w:adjustRightInd w:val="0"/>
                    <w:snapToGrid w:val="0"/>
                    <w:spacing w:line="240" w:lineRule="auto"/>
                    <w:jc w:val="center"/>
                    <w:rPr>
                      <w:bCs/>
                      <w:color w:val="000000" w:themeColor="text1"/>
                      <w:kern w:val="0"/>
                      <w:sz w:val="18"/>
                      <w:szCs w:val="18"/>
                      <w14:textFill>
                        <w14:solidFill>
                          <w14:schemeClr w14:val="tx1"/>
                        </w14:solidFill>
                      </w14:textFill>
                    </w:rPr>
                  </w:pPr>
                </w:p>
              </w:tc>
              <w:tc>
                <w:tcPr>
                  <w:tcW w:w="892" w:type="pct"/>
                  <w:vMerge w:val="continue"/>
                  <w:vAlign w:val="center"/>
                </w:tcPr>
                <w:p>
                  <w:pPr>
                    <w:tabs>
                      <w:tab w:val="left" w:pos="540"/>
                      <w:tab w:val="left" w:pos="851"/>
                      <w:tab w:val="left" w:pos="994"/>
                      <w:tab w:val="left" w:pos="1260"/>
                      <w:tab w:val="left" w:pos="3108"/>
                      <w:tab w:val="left" w:pos="3150"/>
                    </w:tabs>
                    <w:adjustRightInd w:val="0"/>
                    <w:snapToGrid w:val="0"/>
                    <w:spacing w:line="240" w:lineRule="auto"/>
                    <w:jc w:val="center"/>
                    <w:rPr>
                      <w:bCs/>
                      <w:color w:val="000000" w:themeColor="text1"/>
                      <w:kern w:val="0"/>
                      <w:sz w:val="18"/>
                      <w:szCs w:val="18"/>
                      <w14:textFill>
                        <w14:solidFill>
                          <w14:schemeClr w14:val="tx1"/>
                        </w14:solidFill>
                      </w14:textFill>
                    </w:rPr>
                  </w:pPr>
                </w:p>
              </w:tc>
              <w:tc>
                <w:tcPr>
                  <w:tcW w:w="675" w:type="pct"/>
                  <w:vAlign w:val="center"/>
                </w:tcPr>
                <w:p>
                  <w:pPr>
                    <w:tabs>
                      <w:tab w:val="left" w:pos="540"/>
                      <w:tab w:val="left" w:pos="851"/>
                      <w:tab w:val="left" w:pos="994"/>
                      <w:tab w:val="left" w:pos="1260"/>
                      <w:tab w:val="left" w:pos="3108"/>
                      <w:tab w:val="left" w:pos="3150"/>
                    </w:tabs>
                    <w:adjustRightInd w:val="0"/>
                    <w:snapToGrid w:val="0"/>
                    <w:spacing w:line="240" w:lineRule="auto"/>
                    <w:jc w:val="center"/>
                    <w:rPr>
                      <w:bCs/>
                      <w:color w:val="000000" w:themeColor="text1"/>
                      <w:kern w:val="0"/>
                      <w:sz w:val="18"/>
                      <w:szCs w:val="18"/>
                      <w14:textFill>
                        <w14:solidFill>
                          <w14:schemeClr w14:val="tx1"/>
                        </w14:solidFill>
                      </w14:textFill>
                    </w:rPr>
                  </w:pPr>
                  <w:r>
                    <w:rPr>
                      <w:rFonts w:hint="eastAsia"/>
                      <w:bCs/>
                      <w:color w:val="000000" w:themeColor="text1"/>
                      <w:kern w:val="0"/>
                      <w:sz w:val="18"/>
                      <w:szCs w:val="18"/>
                      <w14:textFill>
                        <w14:solidFill>
                          <w14:schemeClr w14:val="tx1"/>
                        </w14:solidFill>
                      </w14:textFill>
                    </w:rPr>
                    <w:t>挥发性有机物（以非甲烷总烃计）</w:t>
                  </w:r>
                </w:p>
              </w:tc>
              <w:tc>
                <w:tcPr>
                  <w:tcW w:w="594" w:type="pct"/>
                  <w:vAlign w:val="center"/>
                </w:tcPr>
                <w:p>
                  <w:pPr>
                    <w:tabs>
                      <w:tab w:val="left" w:pos="540"/>
                      <w:tab w:val="left" w:pos="851"/>
                      <w:tab w:val="left" w:pos="994"/>
                      <w:tab w:val="left" w:pos="1260"/>
                      <w:tab w:val="left" w:pos="3108"/>
                      <w:tab w:val="left" w:pos="3150"/>
                    </w:tabs>
                    <w:adjustRightInd w:val="0"/>
                    <w:snapToGrid w:val="0"/>
                    <w:spacing w:line="240" w:lineRule="auto"/>
                    <w:jc w:val="center"/>
                    <w:rPr>
                      <w:bCs/>
                      <w:color w:val="000000" w:themeColor="text1"/>
                      <w:kern w:val="0"/>
                      <w:sz w:val="18"/>
                      <w:szCs w:val="18"/>
                      <w14:textFill>
                        <w14:solidFill>
                          <w14:schemeClr w14:val="tx1"/>
                        </w14:solidFill>
                      </w14:textFill>
                    </w:rPr>
                  </w:pPr>
                  <w:r>
                    <w:rPr>
                      <w:rFonts w:hint="eastAsia"/>
                      <w:bCs/>
                      <w:color w:val="000000" w:themeColor="text1"/>
                      <w:kern w:val="0"/>
                      <w:sz w:val="18"/>
                      <w:szCs w:val="18"/>
                      <w14:textFill>
                        <w14:solidFill>
                          <w14:schemeClr w14:val="tx1"/>
                        </w14:solidFill>
                      </w14:textFill>
                    </w:rPr>
                    <w:t>8h</w:t>
                  </w:r>
                </w:p>
              </w:tc>
              <w:tc>
                <w:tcPr>
                  <w:tcW w:w="547" w:type="pct"/>
                  <w:vAlign w:val="center"/>
                </w:tcPr>
                <w:p>
                  <w:pPr>
                    <w:tabs>
                      <w:tab w:val="left" w:pos="540"/>
                      <w:tab w:val="left" w:pos="851"/>
                      <w:tab w:val="left" w:pos="994"/>
                      <w:tab w:val="left" w:pos="1260"/>
                      <w:tab w:val="left" w:pos="3108"/>
                      <w:tab w:val="left" w:pos="3150"/>
                    </w:tabs>
                    <w:adjustRightInd w:val="0"/>
                    <w:snapToGrid w:val="0"/>
                    <w:spacing w:line="240" w:lineRule="auto"/>
                    <w:jc w:val="center"/>
                    <w:rPr>
                      <w:bCs/>
                      <w:color w:val="000000" w:themeColor="text1"/>
                      <w:kern w:val="0"/>
                      <w:sz w:val="18"/>
                      <w:szCs w:val="18"/>
                      <w14:textFill>
                        <w14:solidFill>
                          <w14:schemeClr w14:val="tx1"/>
                        </w14:solidFill>
                      </w14:textFill>
                    </w:rPr>
                  </w:pPr>
                  <w:r>
                    <w:rPr>
                      <w:rFonts w:hint="eastAsia"/>
                      <w:bCs/>
                      <w:color w:val="000000" w:themeColor="text1"/>
                      <w:kern w:val="0"/>
                      <w:sz w:val="18"/>
                      <w:szCs w:val="18"/>
                      <w14:textFill>
                        <w14:solidFill>
                          <w14:schemeClr w14:val="tx1"/>
                        </w14:solidFill>
                      </w14:textFill>
                    </w:rPr>
                    <w:t>0.1134</w:t>
                  </w:r>
                </w:p>
              </w:tc>
              <w:tc>
                <w:tcPr>
                  <w:tcW w:w="669" w:type="pct"/>
                  <w:vAlign w:val="center"/>
                </w:tcPr>
                <w:p>
                  <w:pPr>
                    <w:tabs>
                      <w:tab w:val="left" w:pos="540"/>
                      <w:tab w:val="left" w:pos="851"/>
                      <w:tab w:val="left" w:pos="994"/>
                      <w:tab w:val="left" w:pos="1260"/>
                      <w:tab w:val="left" w:pos="3108"/>
                      <w:tab w:val="left" w:pos="3150"/>
                    </w:tabs>
                    <w:adjustRightInd w:val="0"/>
                    <w:snapToGrid w:val="0"/>
                    <w:spacing w:line="240" w:lineRule="auto"/>
                    <w:jc w:val="center"/>
                    <w:rPr>
                      <w:bCs/>
                      <w:color w:val="000000" w:themeColor="text1"/>
                      <w:kern w:val="0"/>
                      <w:sz w:val="18"/>
                      <w:szCs w:val="18"/>
                      <w14:textFill>
                        <w14:solidFill>
                          <w14:schemeClr w14:val="tx1"/>
                        </w14:solidFill>
                      </w14:textFill>
                    </w:rPr>
                  </w:pPr>
                  <w:r>
                    <w:rPr>
                      <w:rFonts w:hint="eastAsia"/>
                      <w:bCs/>
                      <w:color w:val="000000" w:themeColor="text1"/>
                      <w:kern w:val="0"/>
                      <w:sz w:val="18"/>
                      <w:szCs w:val="18"/>
                      <w14:textFill>
                        <w14:solidFill>
                          <w14:schemeClr w14:val="tx1"/>
                        </w14:solidFill>
                      </w14:textFill>
                    </w:rPr>
                    <w:t>1~2次/年</w:t>
                  </w:r>
                </w:p>
              </w:tc>
              <w:tc>
                <w:tcPr>
                  <w:tcW w:w="677" w:type="pct"/>
                  <w:vAlign w:val="center"/>
                </w:tcPr>
                <w:p>
                  <w:pPr>
                    <w:tabs>
                      <w:tab w:val="left" w:pos="540"/>
                      <w:tab w:val="left" w:pos="851"/>
                      <w:tab w:val="left" w:pos="994"/>
                      <w:tab w:val="left" w:pos="1260"/>
                      <w:tab w:val="left" w:pos="3108"/>
                      <w:tab w:val="left" w:pos="3150"/>
                    </w:tabs>
                    <w:adjustRightInd w:val="0"/>
                    <w:snapToGrid w:val="0"/>
                    <w:spacing w:line="240" w:lineRule="auto"/>
                    <w:jc w:val="center"/>
                    <w:rPr>
                      <w:bCs/>
                      <w:color w:val="000000" w:themeColor="text1"/>
                      <w:kern w:val="0"/>
                      <w:sz w:val="18"/>
                      <w:szCs w:val="18"/>
                      <w14:textFill>
                        <w14:solidFill>
                          <w14:schemeClr w14:val="tx1"/>
                        </w14:solidFill>
                      </w14:textFill>
                    </w:rPr>
                  </w:pPr>
                  <w:r>
                    <w:rPr>
                      <w:rFonts w:hint="eastAsia"/>
                      <w:bCs/>
                      <w:color w:val="000000" w:themeColor="text1"/>
                      <w:kern w:val="0"/>
                      <w:sz w:val="18"/>
                      <w:szCs w:val="18"/>
                      <w14:textFill>
                        <w14:solidFill>
                          <w14:schemeClr w14:val="tx1"/>
                        </w14:solidFill>
                      </w14:textFill>
                    </w:rPr>
                    <w:t>停产检修</w:t>
                  </w:r>
                </w:p>
              </w:tc>
            </w:tr>
          </w:tbl>
          <w:p>
            <w:pPr>
              <w:pStyle w:val="22"/>
              <w:adjustRightInd w:val="0"/>
              <w:ind w:left="480" w:leftChars="200"/>
              <w:jc w:val="both"/>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4、废气环境影响分析</w:t>
            </w:r>
          </w:p>
          <w:p>
            <w:pPr>
              <w:pStyle w:val="22"/>
              <w:adjustRightInd w:val="0"/>
              <w:ind w:firstLine="480" w:firstLineChars="200"/>
              <w:jc w:val="both"/>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项目区域属于空气质量达标区，项目区颗粒物、挥发性有机物存在一定的大气环境容量，项目大气污染物在采取环评提出的环保措施后，均可达标排放，并且排放强度远小于标准限值。</w:t>
            </w:r>
          </w:p>
          <w:p>
            <w:pPr>
              <w:pStyle w:val="22"/>
              <w:adjustRightInd w:val="0"/>
              <w:ind w:firstLine="480" w:firstLineChars="200"/>
              <w:jc w:val="both"/>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项目大气环境保护目标为北面40m处的汉营村、西北42m处的梅树村，项目区常年主导风向为西南风，2个敏感点均在项目的侧风向。虽然距离项目较近，但项目区空气扩散条件也较好，污染物不会形成聚集污染，加之，梅树村、汉营村与项目之间还有绿化带、围墙阻隔，排放的污染物在经植被吸收、围墙阻隔后，不会对汉营村、梅树村造成大的影响。</w:t>
            </w:r>
          </w:p>
          <w:p>
            <w:pPr>
              <w:pStyle w:val="22"/>
              <w:adjustRightInd w:val="0"/>
              <w:ind w:firstLine="480" w:firstLineChars="200"/>
              <w:jc w:val="both"/>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此外，项目挥发性有机物的排放还会伴随异味的影响，但本项目使用的涂料为油漆，挥发性有机物含量少，并且在最终设置了末端治理设施进行处理，无组织排放量极少，在经空气稀释扩散后对周围环境影响小。</w:t>
            </w:r>
          </w:p>
          <w:p>
            <w:pPr>
              <w:pStyle w:val="22"/>
              <w:adjustRightInd w:val="0"/>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二、废水</w:t>
            </w:r>
          </w:p>
          <w:p>
            <w:pPr>
              <w:pStyle w:val="22"/>
              <w:numPr>
                <w:ilvl w:val="0"/>
                <w:numId w:val="18"/>
              </w:numPr>
              <w:adjustRightInd w:val="0"/>
              <w:ind w:firstLine="482" w:firstLineChars="200"/>
              <w:jc w:val="both"/>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废水产排情况核算</w:t>
            </w:r>
          </w:p>
          <w:p>
            <w:pPr>
              <w:pStyle w:val="22"/>
              <w:adjustRightInd w:val="0"/>
              <w:ind w:firstLine="480" w:firstLineChars="200"/>
              <w:jc w:val="both"/>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本项目产生的废水仅</w:t>
            </w:r>
            <w:r>
              <w:rPr>
                <w:rFonts w:hint="eastAsia"/>
                <w:bCs/>
                <w:color w:val="000000" w:themeColor="text1"/>
                <w:sz w:val="24"/>
                <w:szCs w:val="24"/>
                <w14:textFill>
                  <w14:solidFill>
                    <w14:schemeClr w14:val="tx1"/>
                  </w14:solidFill>
                </w14:textFill>
              </w:rPr>
              <w:t>为</w:t>
            </w:r>
            <w:r>
              <w:rPr>
                <w:bCs/>
                <w:color w:val="000000" w:themeColor="text1"/>
                <w:sz w:val="24"/>
                <w:szCs w:val="24"/>
                <w14:textFill>
                  <w14:solidFill>
                    <w14:schemeClr w14:val="tx1"/>
                  </w14:solidFill>
                </w14:textFill>
              </w:rPr>
              <w:t>员工生活废水，无生产废水产生。</w:t>
            </w:r>
          </w:p>
          <w:p>
            <w:pPr>
              <w:tabs>
                <w:tab w:val="left" w:pos="540"/>
                <w:tab w:val="left" w:pos="851"/>
                <w:tab w:val="left" w:pos="994"/>
                <w:tab w:val="left" w:pos="1260"/>
                <w:tab w:val="left" w:pos="3108"/>
                <w:tab w:val="left" w:pos="3150"/>
              </w:tabs>
              <w:adjustRightInd w:val="0"/>
              <w:snapToGrid w:val="0"/>
              <w:ind w:firstLine="480" w:firstLineChars="200"/>
              <w:rPr>
                <w:color w:val="000000" w:themeColor="text1"/>
                <w:kern w:val="0"/>
                <w14:textFill>
                  <w14:solidFill>
                    <w14:schemeClr w14:val="tx1"/>
                  </w14:solidFill>
                </w14:textFill>
              </w:rPr>
            </w:pPr>
            <w:r>
              <w:rPr>
                <w:bCs/>
                <w:color w:val="000000" w:themeColor="text1"/>
                <w:kern w:val="0"/>
                <w14:textFill>
                  <w14:solidFill>
                    <w14:schemeClr w14:val="tx1"/>
                  </w14:solidFill>
                </w14:textFill>
              </w:rPr>
              <w:t>项目共有员工</w:t>
            </w:r>
            <w:r>
              <w:rPr>
                <w:rFonts w:hint="eastAsia"/>
                <w:bCs/>
                <w:color w:val="000000" w:themeColor="text1"/>
                <w:kern w:val="0"/>
                <w14:textFill>
                  <w14:solidFill>
                    <w14:schemeClr w14:val="tx1"/>
                  </w14:solidFill>
                </w14:textFill>
              </w:rPr>
              <w:t>40</w:t>
            </w:r>
            <w:r>
              <w:rPr>
                <w:bCs/>
                <w:color w:val="000000" w:themeColor="text1"/>
                <w:kern w:val="0"/>
                <w14:textFill>
                  <w14:solidFill>
                    <w14:schemeClr w14:val="tx1"/>
                  </w14:solidFill>
                </w14:textFill>
              </w:rPr>
              <w:t>名，</w:t>
            </w:r>
            <w:r>
              <w:rPr>
                <w:rFonts w:hint="eastAsia"/>
                <w:bCs/>
                <w:color w:val="000000" w:themeColor="text1"/>
                <w:kern w:val="0"/>
                <w14:textFill>
                  <w14:solidFill>
                    <w14:schemeClr w14:val="tx1"/>
                  </w14:solidFill>
                </w14:textFill>
              </w:rPr>
              <w:t>仅在厂区内</w:t>
            </w:r>
            <w:r>
              <w:rPr>
                <w:bCs/>
                <w:color w:val="000000" w:themeColor="text1"/>
                <w:kern w:val="0"/>
                <w14:textFill>
                  <w14:solidFill>
                    <w14:schemeClr w14:val="tx1"/>
                  </w14:solidFill>
                </w14:textFill>
              </w:rPr>
              <w:t>用餐，不住宿。</w:t>
            </w:r>
            <w:r>
              <w:rPr>
                <w:color w:val="000000" w:themeColor="text1"/>
                <w:kern w:val="0"/>
                <w14:textFill>
                  <w14:solidFill>
                    <w14:schemeClr w14:val="tx1"/>
                  </w14:solidFill>
                </w14:textFill>
              </w:rPr>
              <w:t>参考《云南省地方标准  用水定额》（DB53/T168-2019），不住宿人员用水定额取50L/人·d，则项目生活用水量约为</w:t>
            </w:r>
            <w:r>
              <w:rPr>
                <w:rFonts w:hint="eastAsia"/>
                <w:color w:val="000000" w:themeColor="text1"/>
                <w:kern w:val="0"/>
                <w14:textFill>
                  <w14:solidFill>
                    <w14:schemeClr w14:val="tx1"/>
                  </w14:solidFill>
                </w14:textFill>
              </w:rPr>
              <w:t>2.0</w:t>
            </w:r>
            <w:r>
              <w:rPr>
                <w:color w:val="000000" w:themeColor="text1"/>
                <w:kern w:val="0"/>
                <w14:textFill>
                  <w14:solidFill>
                    <w14:schemeClr w14:val="tx1"/>
                  </w14:solidFill>
                </w14:textFill>
              </w:rPr>
              <w:t>m</w:t>
            </w:r>
            <w:r>
              <w:rPr>
                <w:color w:val="000000" w:themeColor="text1"/>
                <w:kern w:val="0"/>
                <w:vertAlign w:val="superscript"/>
                <w14:textFill>
                  <w14:solidFill>
                    <w14:schemeClr w14:val="tx1"/>
                  </w14:solidFill>
                </w14:textFill>
              </w:rPr>
              <w:t>3</w:t>
            </w:r>
            <w:r>
              <w:rPr>
                <w:color w:val="000000" w:themeColor="text1"/>
                <w:kern w:val="0"/>
                <w14:textFill>
                  <w14:solidFill>
                    <w14:schemeClr w14:val="tx1"/>
                  </w14:solidFill>
                </w14:textFill>
              </w:rPr>
              <w:t>/d，</w:t>
            </w:r>
            <w:r>
              <w:rPr>
                <w:rFonts w:hint="eastAsia"/>
                <w:color w:val="000000" w:themeColor="text1"/>
                <w:kern w:val="0"/>
                <w14:textFill>
                  <w14:solidFill>
                    <w14:schemeClr w14:val="tx1"/>
                  </w14:solidFill>
                </w14:textFill>
              </w:rPr>
              <w:t>600</w:t>
            </w:r>
            <w:r>
              <w:rPr>
                <w:color w:val="000000" w:themeColor="text1"/>
                <w:kern w:val="0"/>
                <w14:textFill>
                  <w14:solidFill>
                    <w14:schemeClr w14:val="tx1"/>
                  </w14:solidFill>
                </w14:textFill>
              </w:rPr>
              <w:t>.0m</w:t>
            </w:r>
            <w:r>
              <w:rPr>
                <w:color w:val="000000" w:themeColor="text1"/>
                <w:kern w:val="0"/>
                <w:vertAlign w:val="superscript"/>
                <w14:textFill>
                  <w14:solidFill>
                    <w14:schemeClr w14:val="tx1"/>
                  </w14:solidFill>
                </w14:textFill>
              </w:rPr>
              <w:t>3</w:t>
            </w:r>
            <w:r>
              <w:rPr>
                <w:color w:val="000000" w:themeColor="text1"/>
                <w:kern w:val="0"/>
                <w14:textFill>
                  <w14:solidFill>
                    <w14:schemeClr w14:val="tx1"/>
                  </w14:solidFill>
                </w14:textFill>
              </w:rPr>
              <w:t>/a，废水产生系数按0.8计，则项目废水量约为</w:t>
            </w:r>
            <w:r>
              <w:rPr>
                <w:rFonts w:hint="eastAsia"/>
                <w:color w:val="000000" w:themeColor="text1"/>
                <w:kern w:val="0"/>
                <w14:textFill>
                  <w14:solidFill>
                    <w14:schemeClr w14:val="tx1"/>
                  </w14:solidFill>
                </w14:textFill>
              </w:rPr>
              <w:t>1.6</w:t>
            </w:r>
            <w:r>
              <w:rPr>
                <w:color w:val="000000" w:themeColor="text1"/>
                <w:kern w:val="0"/>
                <w14:textFill>
                  <w14:solidFill>
                    <w14:schemeClr w14:val="tx1"/>
                  </w14:solidFill>
                </w14:textFill>
              </w:rPr>
              <w:t>m</w:t>
            </w:r>
            <w:r>
              <w:rPr>
                <w:color w:val="000000" w:themeColor="text1"/>
                <w:kern w:val="0"/>
                <w:vertAlign w:val="superscript"/>
                <w14:textFill>
                  <w14:solidFill>
                    <w14:schemeClr w14:val="tx1"/>
                  </w14:solidFill>
                </w14:textFill>
              </w:rPr>
              <w:t>3</w:t>
            </w:r>
            <w:r>
              <w:rPr>
                <w:color w:val="000000" w:themeColor="text1"/>
                <w:kern w:val="0"/>
                <w14:textFill>
                  <w14:solidFill>
                    <w14:schemeClr w14:val="tx1"/>
                  </w14:solidFill>
                </w14:textFill>
              </w:rPr>
              <w:t>/d，</w:t>
            </w:r>
            <w:r>
              <w:rPr>
                <w:rFonts w:hint="eastAsia"/>
                <w:color w:val="000000" w:themeColor="text1"/>
                <w:kern w:val="0"/>
                <w14:textFill>
                  <w14:solidFill>
                    <w14:schemeClr w14:val="tx1"/>
                  </w14:solidFill>
                </w14:textFill>
              </w:rPr>
              <w:t>480</w:t>
            </w:r>
            <w:r>
              <w:rPr>
                <w:color w:val="000000" w:themeColor="text1"/>
                <w:kern w:val="0"/>
                <w14:textFill>
                  <w14:solidFill>
                    <w14:schemeClr w14:val="tx1"/>
                  </w14:solidFill>
                </w14:textFill>
              </w:rPr>
              <w:t>.0m</w:t>
            </w:r>
            <w:r>
              <w:rPr>
                <w:color w:val="000000" w:themeColor="text1"/>
                <w:kern w:val="0"/>
                <w:vertAlign w:val="superscript"/>
                <w14:textFill>
                  <w14:solidFill>
                    <w14:schemeClr w14:val="tx1"/>
                  </w14:solidFill>
                </w14:textFill>
              </w:rPr>
              <w:t>3</w:t>
            </w:r>
            <w:r>
              <w:rPr>
                <w:color w:val="000000" w:themeColor="text1"/>
                <w:kern w:val="0"/>
                <w14:textFill>
                  <w14:solidFill>
                    <w14:schemeClr w14:val="tx1"/>
                  </w14:solidFill>
                </w14:textFill>
              </w:rPr>
              <w:t>/a。</w:t>
            </w:r>
          </w:p>
          <w:p>
            <w:pPr>
              <w:pStyle w:val="22"/>
              <w:numPr>
                <w:ilvl w:val="0"/>
                <w:numId w:val="18"/>
              </w:numPr>
              <w:adjustRightInd w:val="0"/>
              <w:ind w:firstLine="482" w:firstLineChars="200"/>
              <w:jc w:val="both"/>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废水污染物产排情况及达标分析</w:t>
            </w:r>
          </w:p>
          <w:p>
            <w:pPr>
              <w:pStyle w:val="22"/>
              <w:adjustRightInd w:val="0"/>
              <w:ind w:firstLine="480" w:firstLineChars="200"/>
              <w:jc w:val="both"/>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本项目位于云南省昆明市晋宁工业园区，本项目产生的废水仅生活废水，使用化粪池进行处理，经处理后可满足</w:t>
            </w:r>
            <w:r>
              <w:rPr>
                <w:color w:val="000000" w:themeColor="text1"/>
                <w:sz w:val="24"/>
                <w14:textFill>
                  <w14:solidFill>
                    <w14:schemeClr w14:val="tx1"/>
                  </w14:solidFill>
                </w14:textFill>
              </w:rPr>
              <w:t>《污水排入城镇下水道水质标准》（GB/T31962-2015）表1中A级标准</w:t>
            </w:r>
            <w:r>
              <w:rPr>
                <w:bCs/>
                <w:color w:val="000000" w:themeColor="text1"/>
                <w:sz w:val="24"/>
                <w:szCs w:val="24"/>
                <w14:textFill>
                  <w14:solidFill>
                    <w14:schemeClr w14:val="tx1"/>
                  </w14:solidFill>
                </w14:textFill>
              </w:rPr>
              <w:t>。</w:t>
            </w:r>
          </w:p>
          <w:p>
            <w:pPr>
              <w:pStyle w:val="22"/>
              <w:adjustRightInd w:val="0"/>
              <w:ind w:firstLine="480" w:firstLineChars="200"/>
              <w:jc w:val="both"/>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根据《全国第二次污染源普查生活源产排污系数手册》（2019年4月）中的：第一分册 城镇生活源水污染物产污校核系数，昆明为六区较发达城市，根据六区城镇生活源水污染产污校核系数表，本项目废水产生、处理、排放达标情况见表4-</w:t>
            </w:r>
            <w:r>
              <w:rPr>
                <w:rFonts w:hint="eastAsia"/>
                <w:bCs/>
                <w:color w:val="000000" w:themeColor="text1"/>
                <w:sz w:val="24"/>
                <w:szCs w:val="24"/>
                <w14:textFill>
                  <w14:solidFill>
                    <w14:schemeClr w14:val="tx1"/>
                  </w14:solidFill>
                </w14:textFill>
              </w:rPr>
              <w:t>4</w:t>
            </w:r>
            <w:r>
              <w:rPr>
                <w:bCs/>
                <w:color w:val="000000" w:themeColor="text1"/>
                <w:sz w:val="24"/>
                <w:szCs w:val="24"/>
                <w14:textFill>
                  <w14:solidFill>
                    <w14:schemeClr w14:val="tx1"/>
                  </w14:solidFill>
                </w14:textFill>
              </w:rPr>
              <w:t>。</w:t>
            </w:r>
          </w:p>
          <w:p>
            <w:pPr>
              <w:spacing w:line="240" w:lineRule="auto"/>
              <w:jc w:val="center"/>
              <w:rPr>
                <w:b/>
                <w:color w:val="000000" w:themeColor="text1"/>
                <w:kern w:val="0"/>
                <w14:textFill>
                  <w14:solidFill>
                    <w14:schemeClr w14:val="tx1"/>
                  </w14:solidFill>
                </w14:textFill>
              </w:rPr>
            </w:pPr>
            <w:bookmarkStart w:id="21" w:name="OLE_LINK7"/>
            <w:r>
              <w:rPr>
                <w:b/>
                <w:color w:val="000000" w:themeColor="text1"/>
                <w:kern w:val="0"/>
                <w14:textFill>
                  <w14:solidFill>
                    <w14:schemeClr w14:val="tx1"/>
                  </w14:solidFill>
                </w14:textFill>
              </w:rPr>
              <w:t>表4-</w:t>
            </w:r>
            <w:r>
              <w:rPr>
                <w:rFonts w:hint="eastAsia"/>
                <w:b/>
                <w:color w:val="000000" w:themeColor="text1"/>
                <w:kern w:val="0"/>
                <w14:textFill>
                  <w14:solidFill>
                    <w14:schemeClr w14:val="tx1"/>
                  </w14:solidFill>
                </w14:textFill>
              </w:rPr>
              <w:t>4</w:t>
            </w:r>
            <w:r>
              <w:rPr>
                <w:b/>
                <w:color w:val="000000" w:themeColor="text1"/>
                <w:kern w:val="0"/>
                <w14:textFill>
                  <w14:solidFill>
                    <w14:schemeClr w14:val="tx1"/>
                  </w14:solidFill>
                </w14:textFill>
              </w:rPr>
              <w:t xml:space="preserve">   项目生活废水产生、处理及达标情况一览表</w:t>
            </w:r>
          </w:p>
          <w:tbl>
            <w:tblPr>
              <w:tblStyle w:val="28"/>
              <w:tblW w:w="7775" w:type="dxa"/>
              <w:tblInd w:w="0" w:type="dxa"/>
              <w:tblLayout w:type="fixed"/>
              <w:tblCellMar>
                <w:top w:w="0" w:type="dxa"/>
                <w:left w:w="108" w:type="dxa"/>
                <w:bottom w:w="0" w:type="dxa"/>
                <w:right w:w="108" w:type="dxa"/>
              </w:tblCellMar>
            </w:tblPr>
            <w:tblGrid>
              <w:gridCol w:w="328"/>
              <w:gridCol w:w="1523"/>
              <w:gridCol w:w="450"/>
              <w:gridCol w:w="946"/>
              <w:gridCol w:w="959"/>
              <w:gridCol w:w="889"/>
              <w:gridCol w:w="889"/>
              <w:gridCol w:w="860"/>
              <w:gridCol w:w="931"/>
            </w:tblGrid>
            <w:tr>
              <w:trPr>
                <w:trHeight w:val="695" w:hRule="atLeast"/>
              </w:trPr>
              <w:tc>
                <w:tcPr>
                  <w:tcW w:w="1189" w:type="pct"/>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b/>
                      <w:bCs/>
                      <w:color w:val="000000" w:themeColor="text1"/>
                      <w:sz w:val="18"/>
                      <w:szCs w:val="18"/>
                      <w14:textFill>
                        <w14:solidFill>
                          <w14:schemeClr w14:val="tx1"/>
                        </w14:solidFill>
                      </w14:textFill>
                    </w:rPr>
                  </w:pPr>
                  <w:r>
                    <w:rPr>
                      <w:b/>
                      <w:bCs/>
                      <w:color w:val="000000" w:themeColor="text1"/>
                      <w:kern w:val="0"/>
                      <w:sz w:val="18"/>
                      <w:szCs w:val="18"/>
                      <w:lang w:bidi="ar"/>
                      <w14:textFill>
                        <w14:solidFill>
                          <w14:schemeClr w14:val="tx1"/>
                        </w14:solidFill>
                      </w14:textFill>
                    </w:rPr>
                    <w:t>项目</w:t>
                  </w:r>
                </w:p>
              </w:tc>
              <w:tc>
                <w:tcPr>
                  <w:tcW w:w="289" w:type="pct"/>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b/>
                      <w:bCs/>
                      <w:color w:val="000000" w:themeColor="text1"/>
                      <w:sz w:val="18"/>
                      <w:szCs w:val="18"/>
                      <w14:textFill>
                        <w14:solidFill>
                          <w14:schemeClr w14:val="tx1"/>
                        </w14:solidFill>
                      </w14:textFill>
                    </w:rPr>
                  </w:pPr>
                  <w:r>
                    <w:rPr>
                      <w:b/>
                      <w:bCs/>
                      <w:color w:val="000000" w:themeColor="text1"/>
                      <w:kern w:val="0"/>
                      <w:sz w:val="18"/>
                      <w:szCs w:val="18"/>
                      <w:lang w:bidi="ar"/>
                      <w14:textFill>
                        <w14:solidFill>
                          <w14:schemeClr w14:val="tx1"/>
                        </w14:solidFill>
                      </w14:textFill>
                    </w:rPr>
                    <w:t>废水</w:t>
                  </w:r>
                </w:p>
              </w:tc>
              <w:tc>
                <w:tcPr>
                  <w:tcW w:w="608" w:type="pct"/>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b/>
                      <w:bCs/>
                      <w:color w:val="000000" w:themeColor="text1"/>
                      <w:sz w:val="18"/>
                      <w:szCs w:val="18"/>
                      <w14:textFill>
                        <w14:solidFill>
                          <w14:schemeClr w14:val="tx1"/>
                        </w14:solidFill>
                      </w14:textFill>
                    </w:rPr>
                  </w:pPr>
                  <w:r>
                    <w:rPr>
                      <w:b/>
                      <w:bCs/>
                      <w:color w:val="000000" w:themeColor="text1"/>
                      <w:kern w:val="0"/>
                      <w:sz w:val="18"/>
                      <w:szCs w:val="18"/>
                      <w:lang w:bidi="ar"/>
                      <w14:textFill>
                        <w14:solidFill>
                          <w14:schemeClr w14:val="tx1"/>
                        </w14:solidFill>
                      </w14:textFill>
                    </w:rPr>
                    <w:t>COD</w:t>
                  </w:r>
                </w:p>
              </w:tc>
              <w:tc>
                <w:tcPr>
                  <w:tcW w:w="617" w:type="pct"/>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b/>
                      <w:bCs/>
                      <w:color w:val="000000" w:themeColor="text1"/>
                      <w:sz w:val="18"/>
                      <w:szCs w:val="18"/>
                      <w14:textFill>
                        <w14:solidFill>
                          <w14:schemeClr w14:val="tx1"/>
                        </w14:solidFill>
                      </w14:textFill>
                    </w:rPr>
                  </w:pPr>
                  <w:r>
                    <w:rPr>
                      <w:b/>
                      <w:bCs/>
                      <w:color w:val="000000" w:themeColor="text1"/>
                      <w:kern w:val="0"/>
                      <w:sz w:val="18"/>
                      <w:szCs w:val="18"/>
                      <w:lang w:bidi="ar"/>
                      <w14:textFill>
                        <w14:solidFill>
                          <w14:schemeClr w14:val="tx1"/>
                        </w14:solidFill>
                      </w14:textFill>
                    </w:rPr>
                    <w:t>BOD</w:t>
                  </w:r>
                  <w:r>
                    <w:rPr>
                      <w:b/>
                      <w:bCs/>
                      <w:color w:val="000000" w:themeColor="text1"/>
                      <w:kern w:val="0"/>
                      <w:sz w:val="18"/>
                      <w:szCs w:val="18"/>
                      <w:vertAlign w:val="subscript"/>
                      <w:lang w:bidi="ar"/>
                      <w14:textFill>
                        <w14:solidFill>
                          <w14:schemeClr w14:val="tx1"/>
                        </w14:solidFill>
                      </w14:textFill>
                    </w:rPr>
                    <w:t>5</w:t>
                  </w:r>
                </w:p>
              </w:tc>
              <w:tc>
                <w:tcPr>
                  <w:tcW w:w="572" w:type="pct"/>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b/>
                      <w:bCs/>
                      <w:color w:val="000000" w:themeColor="text1"/>
                      <w:sz w:val="18"/>
                      <w:szCs w:val="18"/>
                      <w:highlight w:val="yellow"/>
                      <w14:textFill>
                        <w14:solidFill>
                          <w14:schemeClr w14:val="tx1"/>
                        </w14:solidFill>
                      </w14:textFill>
                    </w:rPr>
                  </w:pPr>
                  <w:r>
                    <w:rPr>
                      <w:b/>
                      <w:bCs/>
                      <w:color w:val="000000" w:themeColor="text1"/>
                      <w:kern w:val="0"/>
                      <w:sz w:val="18"/>
                      <w:szCs w:val="18"/>
                      <w:lang w:bidi="ar"/>
                      <w14:textFill>
                        <w14:solidFill>
                          <w14:schemeClr w14:val="tx1"/>
                        </w14:solidFill>
                      </w14:textFill>
                    </w:rPr>
                    <w:t>TN</w:t>
                  </w:r>
                </w:p>
              </w:tc>
              <w:tc>
                <w:tcPr>
                  <w:tcW w:w="572" w:type="pct"/>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b/>
                      <w:bCs/>
                      <w:color w:val="000000" w:themeColor="text1"/>
                      <w:sz w:val="18"/>
                      <w:szCs w:val="18"/>
                      <w:highlight w:val="yellow"/>
                      <w14:textFill>
                        <w14:solidFill>
                          <w14:schemeClr w14:val="tx1"/>
                        </w14:solidFill>
                      </w14:textFill>
                    </w:rPr>
                  </w:pPr>
                  <w:r>
                    <w:rPr>
                      <w:b/>
                      <w:bCs/>
                      <w:color w:val="000000" w:themeColor="text1"/>
                      <w:kern w:val="0"/>
                      <w:sz w:val="18"/>
                      <w:szCs w:val="18"/>
                      <w:lang w:bidi="ar"/>
                      <w14:textFill>
                        <w14:solidFill>
                          <w14:schemeClr w14:val="tx1"/>
                        </w14:solidFill>
                      </w14:textFill>
                    </w:rPr>
                    <w:t>NH</w:t>
                  </w:r>
                  <w:r>
                    <w:rPr>
                      <w:b/>
                      <w:bCs/>
                      <w:color w:val="000000" w:themeColor="text1"/>
                      <w:kern w:val="0"/>
                      <w:sz w:val="18"/>
                      <w:szCs w:val="18"/>
                      <w:vertAlign w:val="subscript"/>
                      <w:lang w:bidi="ar"/>
                      <w14:textFill>
                        <w14:solidFill>
                          <w14:schemeClr w14:val="tx1"/>
                        </w14:solidFill>
                      </w14:textFill>
                    </w:rPr>
                    <w:t>3</w:t>
                  </w:r>
                  <w:r>
                    <w:rPr>
                      <w:rStyle w:val="86"/>
                      <w:color w:val="000000" w:themeColor="text1"/>
                      <w:lang w:bidi="ar"/>
                      <w14:textFill>
                        <w14:solidFill>
                          <w14:schemeClr w14:val="tx1"/>
                        </w14:solidFill>
                      </w14:textFill>
                    </w:rPr>
                    <w:t>-N</w:t>
                  </w:r>
                </w:p>
              </w:tc>
              <w:tc>
                <w:tcPr>
                  <w:tcW w:w="553" w:type="pct"/>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b/>
                      <w:bCs/>
                      <w:color w:val="000000" w:themeColor="text1"/>
                      <w:sz w:val="18"/>
                      <w:szCs w:val="18"/>
                      <w14:textFill>
                        <w14:solidFill>
                          <w14:schemeClr w14:val="tx1"/>
                        </w14:solidFill>
                      </w14:textFill>
                    </w:rPr>
                  </w:pPr>
                  <w:r>
                    <w:rPr>
                      <w:b/>
                      <w:bCs/>
                      <w:color w:val="000000" w:themeColor="text1"/>
                      <w:kern w:val="0"/>
                      <w:sz w:val="18"/>
                      <w:szCs w:val="18"/>
                      <w:lang w:bidi="ar"/>
                      <w14:textFill>
                        <w14:solidFill>
                          <w14:schemeClr w14:val="tx1"/>
                        </w14:solidFill>
                      </w14:textFill>
                    </w:rPr>
                    <w:t>TP</w:t>
                  </w:r>
                </w:p>
              </w:tc>
              <w:tc>
                <w:tcPr>
                  <w:tcW w:w="597" w:type="pct"/>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b/>
                      <w:bCs/>
                      <w:color w:val="000000" w:themeColor="text1"/>
                      <w:sz w:val="18"/>
                      <w:szCs w:val="18"/>
                      <w14:textFill>
                        <w14:solidFill>
                          <w14:schemeClr w14:val="tx1"/>
                        </w14:solidFill>
                      </w14:textFill>
                    </w:rPr>
                  </w:pPr>
                  <w:r>
                    <w:rPr>
                      <w:b/>
                      <w:bCs/>
                      <w:color w:val="000000" w:themeColor="text1"/>
                      <w:kern w:val="0"/>
                      <w:sz w:val="18"/>
                      <w:szCs w:val="18"/>
                      <w:lang w:bidi="ar"/>
                      <w14:textFill>
                        <w14:solidFill>
                          <w14:schemeClr w14:val="tx1"/>
                        </w14:solidFill>
                      </w14:textFill>
                    </w:rPr>
                    <w:t>动植物油</w:t>
                  </w:r>
                </w:p>
              </w:tc>
            </w:tr>
            <w:tr>
              <w:tblPrEx>
                <w:tblCellMar>
                  <w:top w:w="0" w:type="dxa"/>
                  <w:left w:w="108" w:type="dxa"/>
                  <w:bottom w:w="0" w:type="dxa"/>
                  <w:right w:w="108" w:type="dxa"/>
                </w:tblCellMar>
              </w:tblPrEx>
              <w:trPr>
                <w:trHeight w:val="483" w:hRule="atLeast"/>
              </w:trPr>
              <w:tc>
                <w:tcPr>
                  <w:tcW w:w="210"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生活废水</w:t>
                  </w:r>
                </w:p>
              </w:tc>
              <w:tc>
                <w:tcPr>
                  <w:tcW w:w="979" w:type="pct"/>
                  <w:tcBorders>
                    <w:top w:val="nil"/>
                    <w:left w:val="nil"/>
                    <w:bottom w:val="single" w:color="000000" w:sz="8" w:space="0"/>
                    <w:right w:val="single" w:color="000000" w:sz="8"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产生浓度（mg/L</w:t>
                  </w:r>
                  <w:r>
                    <w:rPr>
                      <w:rFonts w:hint="eastAsia" w:ascii="宋体" w:hAnsi="宋体" w:cs="宋体"/>
                      <w:color w:val="000000" w:themeColor="text1"/>
                      <w:kern w:val="0"/>
                      <w:sz w:val="18"/>
                      <w:szCs w:val="18"/>
                      <w:lang w:bidi="ar"/>
                      <w14:textFill>
                        <w14:solidFill>
                          <w14:schemeClr w14:val="tx1"/>
                        </w14:solidFill>
                      </w14:textFill>
                    </w:rPr>
                    <w:t>）</w:t>
                  </w:r>
                </w:p>
              </w:tc>
              <w:tc>
                <w:tcPr>
                  <w:tcW w:w="289" w:type="pct"/>
                  <w:tcBorders>
                    <w:top w:val="nil"/>
                    <w:left w:val="nil"/>
                    <w:bottom w:val="single" w:color="000000" w:sz="8" w:space="0"/>
                    <w:right w:val="single" w:color="000000" w:sz="8"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w:t>
                  </w:r>
                </w:p>
              </w:tc>
              <w:tc>
                <w:tcPr>
                  <w:tcW w:w="608" w:type="pct"/>
                  <w:tcBorders>
                    <w:top w:val="nil"/>
                    <w:left w:val="nil"/>
                    <w:bottom w:val="single" w:color="000000" w:sz="8" w:space="0"/>
                    <w:right w:val="single" w:color="000000" w:sz="8"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504</w:t>
                  </w:r>
                </w:p>
              </w:tc>
              <w:tc>
                <w:tcPr>
                  <w:tcW w:w="617" w:type="pct"/>
                  <w:tcBorders>
                    <w:top w:val="nil"/>
                    <w:left w:val="nil"/>
                    <w:bottom w:val="single" w:color="000000" w:sz="8" w:space="0"/>
                    <w:right w:val="single" w:color="000000" w:sz="8"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220</w:t>
                  </w:r>
                </w:p>
              </w:tc>
              <w:tc>
                <w:tcPr>
                  <w:tcW w:w="572" w:type="pct"/>
                  <w:tcBorders>
                    <w:top w:val="nil"/>
                    <w:left w:val="nil"/>
                    <w:bottom w:val="single" w:color="000000" w:sz="8" w:space="0"/>
                    <w:right w:val="single" w:color="000000" w:sz="8"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66.9</w:t>
                  </w:r>
                </w:p>
              </w:tc>
              <w:tc>
                <w:tcPr>
                  <w:tcW w:w="572" w:type="pct"/>
                  <w:tcBorders>
                    <w:top w:val="nil"/>
                    <w:left w:val="nil"/>
                    <w:bottom w:val="single" w:color="000000" w:sz="8" w:space="0"/>
                    <w:right w:val="single" w:color="000000" w:sz="8"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50.7</w:t>
                  </w:r>
                </w:p>
              </w:tc>
              <w:tc>
                <w:tcPr>
                  <w:tcW w:w="553" w:type="pct"/>
                  <w:tcBorders>
                    <w:top w:val="nil"/>
                    <w:left w:val="nil"/>
                    <w:bottom w:val="single" w:color="000000" w:sz="8" w:space="0"/>
                    <w:right w:val="single" w:color="000000" w:sz="8"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6.96</w:t>
                  </w:r>
                </w:p>
              </w:tc>
              <w:tc>
                <w:tcPr>
                  <w:tcW w:w="597" w:type="pct"/>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10.7</w:t>
                  </w:r>
                </w:p>
              </w:tc>
            </w:tr>
            <w:tr>
              <w:tblPrEx>
                <w:tblCellMar>
                  <w:top w:w="0" w:type="dxa"/>
                  <w:left w:w="108" w:type="dxa"/>
                  <w:bottom w:w="0" w:type="dxa"/>
                  <w:right w:w="108" w:type="dxa"/>
                </w:tblCellMar>
              </w:tblPrEx>
              <w:trPr>
                <w:trHeight w:val="512" w:hRule="atLeast"/>
              </w:trPr>
              <w:tc>
                <w:tcPr>
                  <w:tcW w:w="210"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color w:val="000000" w:themeColor="text1"/>
                      <w:sz w:val="18"/>
                      <w:szCs w:val="18"/>
                      <w14:textFill>
                        <w14:solidFill>
                          <w14:schemeClr w14:val="tx1"/>
                        </w14:solidFill>
                      </w14:textFill>
                    </w:rPr>
                  </w:pPr>
                </w:p>
              </w:tc>
              <w:tc>
                <w:tcPr>
                  <w:tcW w:w="979" w:type="pct"/>
                  <w:tcBorders>
                    <w:top w:val="nil"/>
                    <w:left w:val="nil"/>
                    <w:bottom w:val="single" w:color="000000" w:sz="8" w:space="0"/>
                    <w:right w:val="single" w:color="000000" w:sz="8" w:space="0"/>
                  </w:tcBorders>
                  <w:shd w:val="clear" w:color="auto" w:fill="auto"/>
                  <w:vAlign w:val="center"/>
                </w:tcPr>
                <w:p>
                  <w:pPr>
                    <w:widowControl/>
                    <w:jc w:val="center"/>
                    <w:textAlignment w:val="center"/>
                    <w:rPr>
                      <w:color w:val="000000" w:themeColor="text1"/>
                      <w:sz w:val="18"/>
                      <w:szCs w:val="18"/>
                      <w:highlight w:val="yellow"/>
                      <w14:textFill>
                        <w14:solidFill>
                          <w14:schemeClr w14:val="tx1"/>
                        </w14:solidFill>
                      </w14:textFill>
                    </w:rPr>
                  </w:pPr>
                  <w:r>
                    <w:rPr>
                      <w:color w:val="000000" w:themeColor="text1"/>
                      <w:kern w:val="0"/>
                      <w:sz w:val="18"/>
                      <w:szCs w:val="18"/>
                      <w:lang w:bidi="ar"/>
                      <w14:textFill>
                        <w14:solidFill>
                          <w14:schemeClr w14:val="tx1"/>
                        </w14:solidFill>
                      </w14:textFill>
                    </w:rPr>
                    <w:t>产生量</w:t>
                  </w:r>
                  <w:r>
                    <w:rPr>
                      <w:bCs/>
                      <w:color w:val="000000" w:themeColor="text1"/>
                      <w:sz w:val="21"/>
                      <w:szCs w:val="21"/>
                      <w14:textFill>
                        <w14:solidFill>
                          <w14:schemeClr w14:val="tx1"/>
                        </w14:solidFill>
                      </w14:textFill>
                    </w:rPr>
                    <w:t>（t/a）</w:t>
                  </w:r>
                </w:p>
              </w:tc>
              <w:tc>
                <w:tcPr>
                  <w:tcW w:w="289" w:type="pct"/>
                  <w:tcBorders>
                    <w:top w:val="nil"/>
                    <w:left w:val="nil"/>
                    <w:bottom w:val="single" w:color="000000" w:sz="8" w:space="0"/>
                    <w:right w:val="single" w:color="000000" w:sz="8" w:space="0"/>
                  </w:tcBorders>
                  <w:shd w:val="clear" w:color="auto" w:fill="auto"/>
                  <w:vAlign w:val="center"/>
                </w:tcPr>
                <w:p>
                  <w:pPr>
                    <w:widowControl/>
                    <w:jc w:val="center"/>
                    <w:textAlignment w:val="center"/>
                    <w:rPr>
                      <w:color w:val="000000" w:themeColor="text1"/>
                      <w:sz w:val="18"/>
                      <w:szCs w:val="18"/>
                      <w:highlight w:val="yellow"/>
                      <w14:textFill>
                        <w14:solidFill>
                          <w14:schemeClr w14:val="tx1"/>
                        </w14:solidFill>
                      </w14:textFill>
                    </w:rPr>
                  </w:pPr>
                  <w:r>
                    <w:rPr>
                      <w:color w:val="000000" w:themeColor="text1"/>
                      <w:kern w:val="0"/>
                      <w:sz w:val="18"/>
                      <w:szCs w:val="18"/>
                      <w:lang w:bidi="ar"/>
                      <w14:textFill>
                        <w14:solidFill>
                          <w14:schemeClr w14:val="tx1"/>
                        </w14:solidFill>
                      </w14:textFill>
                    </w:rPr>
                    <w:t>480（m</w:t>
                  </w:r>
                  <w:r>
                    <w:rPr>
                      <w:color w:val="000000" w:themeColor="text1"/>
                      <w:kern w:val="0"/>
                      <w:sz w:val="18"/>
                      <w:szCs w:val="18"/>
                      <w:vertAlign w:val="superscript"/>
                      <w:lang w:bidi="ar"/>
                      <w14:textFill>
                        <w14:solidFill>
                          <w14:schemeClr w14:val="tx1"/>
                        </w14:solidFill>
                      </w14:textFill>
                    </w:rPr>
                    <w:t>3</w:t>
                  </w:r>
                  <w:r>
                    <w:rPr>
                      <w:color w:val="000000" w:themeColor="text1"/>
                      <w:kern w:val="0"/>
                      <w:sz w:val="18"/>
                      <w:szCs w:val="18"/>
                      <w:lang w:bidi="ar"/>
                      <w14:textFill>
                        <w14:solidFill>
                          <w14:schemeClr w14:val="tx1"/>
                        </w14:solidFill>
                      </w14:textFill>
                    </w:rPr>
                    <w:t>/a</w:t>
                  </w:r>
                  <w:r>
                    <w:rPr>
                      <w:rFonts w:hint="eastAsia" w:ascii="宋体" w:hAnsi="宋体" w:cs="宋体"/>
                      <w:color w:val="000000" w:themeColor="text1"/>
                      <w:kern w:val="0"/>
                      <w:sz w:val="18"/>
                      <w:szCs w:val="18"/>
                      <w:lang w:bidi="ar"/>
                      <w14:textFill>
                        <w14:solidFill>
                          <w14:schemeClr w14:val="tx1"/>
                        </w14:solidFill>
                      </w14:textFill>
                    </w:rPr>
                    <w:t>）</w:t>
                  </w:r>
                </w:p>
              </w:tc>
              <w:tc>
                <w:tcPr>
                  <w:tcW w:w="608" w:type="pct"/>
                  <w:tcBorders>
                    <w:top w:val="nil"/>
                    <w:left w:val="nil"/>
                    <w:bottom w:val="single" w:color="000000" w:sz="8" w:space="0"/>
                    <w:right w:val="single" w:color="000000" w:sz="8" w:space="0"/>
                  </w:tcBorders>
                  <w:shd w:val="clear" w:color="auto" w:fill="auto"/>
                  <w:vAlign w:val="center"/>
                </w:tcPr>
                <w:p>
                  <w:pPr>
                    <w:widowControl/>
                    <w:textAlignment w:val="center"/>
                    <w:rPr>
                      <w:color w:val="000000" w:themeColor="text1"/>
                      <w:sz w:val="18"/>
                      <w:szCs w:val="18"/>
                      <w:highlight w:val="yellow"/>
                      <w14:textFill>
                        <w14:solidFill>
                          <w14:schemeClr w14:val="tx1"/>
                        </w14:solidFill>
                      </w14:textFill>
                    </w:rPr>
                  </w:pPr>
                  <w:r>
                    <w:rPr>
                      <w:rFonts w:hint="eastAsia"/>
                      <w:color w:val="000000" w:themeColor="text1"/>
                      <w:kern w:val="0"/>
                      <w:sz w:val="18"/>
                      <w:szCs w:val="18"/>
                      <w:lang w:bidi="ar"/>
                      <w14:textFill>
                        <w14:solidFill>
                          <w14:schemeClr w14:val="tx1"/>
                        </w14:solidFill>
                      </w14:textFill>
                    </w:rPr>
                    <w:t>0.2419</w:t>
                  </w:r>
                </w:p>
              </w:tc>
              <w:tc>
                <w:tcPr>
                  <w:tcW w:w="617" w:type="pct"/>
                  <w:tcBorders>
                    <w:top w:val="nil"/>
                    <w:left w:val="nil"/>
                    <w:bottom w:val="single" w:color="000000" w:sz="8" w:space="0"/>
                    <w:right w:val="single" w:color="000000" w:sz="8" w:space="0"/>
                  </w:tcBorders>
                  <w:shd w:val="clear" w:color="auto" w:fill="auto"/>
                  <w:vAlign w:val="center"/>
                </w:tcPr>
                <w:p>
                  <w:pPr>
                    <w:widowControl/>
                    <w:jc w:val="center"/>
                    <w:textAlignment w:val="center"/>
                    <w:rPr>
                      <w:color w:val="000000" w:themeColor="text1"/>
                      <w:sz w:val="18"/>
                      <w:szCs w:val="18"/>
                      <w:highlight w:val="yellow"/>
                      <w14:textFill>
                        <w14:solidFill>
                          <w14:schemeClr w14:val="tx1"/>
                        </w14:solidFill>
                      </w14:textFill>
                    </w:rPr>
                  </w:pPr>
                  <w:r>
                    <w:rPr>
                      <w:rFonts w:hint="eastAsia"/>
                      <w:color w:val="000000" w:themeColor="text1"/>
                      <w:sz w:val="18"/>
                      <w:szCs w:val="18"/>
                      <w14:textFill>
                        <w14:solidFill>
                          <w14:schemeClr w14:val="tx1"/>
                        </w14:solidFill>
                      </w14:textFill>
                    </w:rPr>
                    <w:t>0.1056</w:t>
                  </w:r>
                </w:p>
              </w:tc>
              <w:tc>
                <w:tcPr>
                  <w:tcW w:w="572" w:type="pct"/>
                  <w:tcBorders>
                    <w:top w:val="nil"/>
                    <w:left w:val="nil"/>
                    <w:bottom w:val="single" w:color="000000" w:sz="8" w:space="0"/>
                    <w:right w:val="single" w:color="000000" w:sz="8" w:space="0"/>
                  </w:tcBorders>
                  <w:shd w:val="clear" w:color="auto" w:fill="auto"/>
                  <w:vAlign w:val="center"/>
                </w:tcPr>
                <w:p>
                  <w:pPr>
                    <w:widowControl/>
                    <w:jc w:val="center"/>
                    <w:textAlignment w:val="center"/>
                    <w:rPr>
                      <w:color w:val="000000" w:themeColor="text1"/>
                      <w:sz w:val="18"/>
                      <w:szCs w:val="18"/>
                      <w:highlight w:val="yellow"/>
                      <w14:textFill>
                        <w14:solidFill>
                          <w14:schemeClr w14:val="tx1"/>
                        </w14:solidFill>
                      </w14:textFill>
                    </w:rPr>
                  </w:pPr>
                  <w:r>
                    <w:rPr>
                      <w:rFonts w:hint="eastAsia"/>
                      <w:color w:val="000000" w:themeColor="text1"/>
                      <w:sz w:val="18"/>
                      <w:szCs w:val="18"/>
                      <w14:textFill>
                        <w14:solidFill>
                          <w14:schemeClr w14:val="tx1"/>
                        </w14:solidFill>
                      </w14:textFill>
                    </w:rPr>
                    <w:t>0.0321</w:t>
                  </w:r>
                </w:p>
              </w:tc>
              <w:tc>
                <w:tcPr>
                  <w:tcW w:w="572" w:type="pct"/>
                  <w:tcBorders>
                    <w:top w:val="nil"/>
                    <w:left w:val="nil"/>
                    <w:bottom w:val="single" w:color="000000" w:sz="8" w:space="0"/>
                    <w:right w:val="single" w:color="000000" w:sz="8" w:space="0"/>
                  </w:tcBorders>
                  <w:shd w:val="clear" w:color="auto" w:fill="auto"/>
                  <w:vAlign w:val="center"/>
                </w:tcPr>
                <w:p>
                  <w:pPr>
                    <w:widowControl/>
                    <w:jc w:val="center"/>
                    <w:textAlignment w:val="center"/>
                    <w:rPr>
                      <w:color w:val="000000" w:themeColor="text1"/>
                      <w:sz w:val="18"/>
                      <w:szCs w:val="18"/>
                      <w:highlight w:val="yellow"/>
                      <w14:textFill>
                        <w14:solidFill>
                          <w14:schemeClr w14:val="tx1"/>
                        </w14:solidFill>
                      </w14:textFill>
                    </w:rPr>
                  </w:pPr>
                  <w:r>
                    <w:rPr>
                      <w:rFonts w:hint="eastAsia"/>
                      <w:color w:val="000000" w:themeColor="text1"/>
                      <w:sz w:val="18"/>
                      <w:szCs w:val="18"/>
                      <w14:textFill>
                        <w14:solidFill>
                          <w14:schemeClr w14:val="tx1"/>
                        </w14:solidFill>
                      </w14:textFill>
                    </w:rPr>
                    <w:t>0.0243</w:t>
                  </w:r>
                </w:p>
              </w:tc>
              <w:tc>
                <w:tcPr>
                  <w:tcW w:w="553" w:type="pct"/>
                  <w:tcBorders>
                    <w:top w:val="nil"/>
                    <w:left w:val="nil"/>
                    <w:bottom w:val="single" w:color="000000" w:sz="8" w:space="0"/>
                    <w:right w:val="single" w:color="000000" w:sz="8" w:space="0"/>
                  </w:tcBorders>
                  <w:shd w:val="clear" w:color="auto" w:fill="auto"/>
                  <w:vAlign w:val="center"/>
                </w:tcPr>
                <w:p>
                  <w:pPr>
                    <w:widowControl/>
                    <w:jc w:val="center"/>
                    <w:textAlignment w:val="center"/>
                    <w:rPr>
                      <w:color w:val="000000" w:themeColor="text1"/>
                      <w:sz w:val="18"/>
                      <w:szCs w:val="18"/>
                      <w:highlight w:val="yellow"/>
                      <w14:textFill>
                        <w14:solidFill>
                          <w14:schemeClr w14:val="tx1"/>
                        </w14:solidFill>
                      </w14:textFill>
                    </w:rPr>
                  </w:pPr>
                  <w:r>
                    <w:rPr>
                      <w:rFonts w:hint="eastAsia"/>
                      <w:color w:val="000000" w:themeColor="text1"/>
                      <w:sz w:val="18"/>
                      <w:szCs w:val="18"/>
                      <w14:textFill>
                        <w14:solidFill>
                          <w14:schemeClr w14:val="tx1"/>
                        </w14:solidFill>
                      </w14:textFill>
                    </w:rPr>
                    <w:t>0.0033</w:t>
                  </w:r>
                </w:p>
              </w:tc>
              <w:tc>
                <w:tcPr>
                  <w:tcW w:w="597" w:type="pct"/>
                  <w:tcBorders>
                    <w:top w:val="nil"/>
                    <w:left w:val="nil"/>
                    <w:bottom w:val="single" w:color="000000" w:sz="8" w:space="0"/>
                    <w:right w:val="single" w:color="000000" w:sz="8" w:space="0"/>
                  </w:tcBorders>
                  <w:shd w:val="clear" w:color="auto" w:fill="auto"/>
                  <w:vAlign w:val="center"/>
                </w:tcPr>
                <w:p>
                  <w:pPr>
                    <w:widowControl/>
                    <w:jc w:val="center"/>
                    <w:textAlignment w:val="center"/>
                    <w:rPr>
                      <w:color w:val="000000" w:themeColor="text1"/>
                      <w:sz w:val="18"/>
                      <w:szCs w:val="18"/>
                      <w:highlight w:val="yellow"/>
                      <w14:textFill>
                        <w14:solidFill>
                          <w14:schemeClr w14:val="tx1"/>
                        </w14:solidFill>
                      </w14:textFill>
                    </w:rPr>
                  </w:pPr>
                  <w:r>
                    <w:rPr>
                      <w:rFonts w:hint="eastAsia"/>
                      <w:color w:val="000000" w:themeColor="text1"/>
                      <w:sz w:val="18"/>
                      <w:szCs w:val="18"/>
                      <w14:textFill>
                        <w14:solidFill>
                          <w14:schemeClr w14:val="tx1"/>
                        </w14:solidFill>
                      </w14:textFill>
                    </w:rPr>
                    <w:t>0.0051</w:t>
                  </w:r>
                </w:p>
              </w:tc>
            </w:tr>
            <w:tr>
              <w:tblPrEx>
                <w:tblCellMar>
                  <w:top w:w="0" w:type="dxa"/>
                  <w:left w:w="108" w:type="dxa"/>
                  <w:bottom w:w="0" w:type="dxa"/>
                  <w:right w:w="108" w:type="dxa"/>
                </w:tblCellMar>
              </w:tblPrEx>
              <w:trPr>
                <w:trHeight w:val="357" w:hRule="atLeast"/>
              </w:trPr>
              <w:tc>
                <w:tcPr>
                  <w:tcW w:w="210"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color w:val="000000" w:themeColor="text1"/>
                      <w:sz w:val="18"/>
                      <w:szCs w:val="18"/>
                      <w14:textFill>
                        <w14:solidFill>
                          <w14:schemeClr w14:val="tx1"/>
                        </w14:solidFill>
                      </w14:textFill>
                    </w:rPr>
                  </w:pPr>
                </w:p>
              </w:tc>
              <w:tc>
                <w:tcPr>
                  <w:tcW w:w="979" w:type="pct"/>
                  <w:tcBorders>
                    <w:top w:val="nil"/>
                    <w:left w:val="nil"/>
                    <w:bottom w:val="single" w:color="000000" w:sz="8" w:space="0"/>
                    <w:right w:val="single" w:color="000000" w:sz="8"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处理设施</w:t>
                  </w:r>
                </w:p>
              </w:tc>
              <w:tc>
                <w:tcPr>
                  <w:tcW w:w="3810" w:type="pct"/>
                  <w:gridSpan w:val="7"/>
                  <w:tcBorders>
                    <w:top w:val="nil"/>
                    <w:left w:val="nil"/>
                    <w:bottom w:val="single" w:color="000000" w:sz="8" w:space="0"/>
                    <w:right w:val="single" w:color="000000" w:sz="8" w:space="0"/>
                  </w:tcBorders>
                  <w:shd w:val="clear" w:color="auto" w:fill="auto"/>
                  <w:vAlign w:val="center"/>
                </w:tcPr>
                <w:p>
                  <w:pPr>
                    <w:widowControl/>
                    <w:ind w:firstLine="1440" w:firstLineChars="800"/>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隔油池、化粪池</w:t>
                  </w:r>
                </w:p>
              </w:tc>
            </w:tr>
            <w:tr>
              <w:tblPrEx>
                <w:tblCellMar>
                  <w:top w:w="0" w:type="dxa"/>
                  <w:left w:w="108" w:type="dxa"/>
                  <w:bottom w:w="0" w:type="dxa"/>
                  <w:right w:w="108" w:type="dxa"/>
                </w:tblCellMar>
              </w:tblPrEx>
              <w:trPr>
                <w:trHeight w:val="497" w:hRule="atLeast"/>
              </w:trPr>
              <w:tc>
                <w:tcPr>
                  <w:tcW w:w="210"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color w:val="000000" w:themeColor="text1"/>
                      <w:sz w:val="18"/>
                      <w:szCs w:val="18"/>
                      <w14:textFill>
                        <w14:solidFill>
                          <w14:schemeClr w14:val="tx1"/>
                        </w14:solidFill>
                      </w14:textFill>
                    </w:rPr>
                  </w:pPr>
                </w:p>
              </w:tc>
              <w:tc>
                <w:tcPr>
                  <w:tcW w:w="979" w:type="pct"/>
                  <w:tcBorders>
                    <w:top w:val="nil"/>
                    <w:left w:val="nil"/>
                    <w:bottom w:val="single" w:color="000000" w:sz="8" w:space="0"/>
                    <w:right w:val="single" w:color="000000" w:sz="8"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处理效率（%</w:t>
                  </w:r>
                  <w:r>
                    <w:rPr>
                      <w:rFonts w:hint="eastAsia" w:ascii="宋体" w:hAnsi="宋体" w:cs="宋体"/>
                      <w:color w:val="000000" w:themeColor="text1"/>
                      <w:kern w:val="0"/>
                      <w:sz w:val="18"/>
                      <w:szCs w:val="18"/>
                      <w:lang w:bidi="ar"/>
                      <w14:textFill>
                        <w14:solidFill>
                          <w14:schemeClr w14:val="tx1"/>
                        </w14:solidFill>
                      </w14:textFill>
                    </w:rPr>
                    <w:t>）</w:t>
                  </w:r>
                </w:p>
              </w:tc>
              <w:tc>
                <w:tcPr>
                  <w:tcW w:w="289" w:type="pct"/>
                  <w:tcBorders>
                    <w:top w:val="nil"/>
                    <w:left w:val="nil"/>
                    <w:bottom w:val="single" w:color="000000" w:sz="8" w:space="0"/>
                    <w:right w:val="single" w:color="000000" w:sz="8"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w:t>
                  </w:r>
                </w:p>
              </w:tc>
              <w:tc>
                <w:tcPr>
                  <w:tcW w:w="608" w:type="pct"/>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16.8</w:t>
                  </w:r>
                </w:p>
              </w:tc>
              <w:tc>
                <w:tcPr>
                  <w:tcW w:w="617" w:type="pct"/>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15.5</w:t>
                  </w:r>
                </w:p>
              </w:tc>
              <w:tc>
                <w:tcPr>
                  <w:tcW w:w="572" w:type="pct"/>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34.8</w:t>
                  </w:r>
                </w:p>
              </w:tc>
              <w:tc>
                <w:tcPr>
                  <w:tcW w:w="572" w:type="pct"/>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10.2</w:t>
                  </w:r>
                </w:p>
              </w:tc>
              <w:tc>
                <w:tcPr>
                  <w:tcW w:w="553" w:type="pct"/>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10.7</w:t>
                  </w:r>
                </w:p>
              </w:tc>
              <w:tc>
                <w:tcPr>
                  <w:tcW w:w="597" w:type="pct"/>
                  <w:tcBorders>
                    <w:top w:val="single" w:color="000000" w:sz="8" w:space="0"/>
                    <w:left w:val="nil"/>
                    <w:bottom w:val="single" w:color="000000" w:sz="8" w:space="0"/>
                    <w:right w:val="single" w:color="000000" w:sz="8"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15.3</w:t>
                  </w:r>
                </w:p>
              </w:tc>
            </w:tr>
            <w:tr>
              <w:tblPrEx>
                <w:tblCellMar>
                  <w:top w:w="0" w:type="dxa"/>
                  <w:left w:w="108" w:type="dxa"/>
                  <w:bottom w:w="0" w:type="dxa"/>
                  <w:right w:w="108" w:type="dxa"/>
                </w:tblCellMar>
              </w:tblPrEx>
              <w:trPr>
                <w:trHeight w:val="483" w:hRule="atLeast"/>
              </w:trPr>
              <w:tc>
                <w:tcPr>
                  <w:tcW w:w="210"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color w:val="000000" w:themeColor="text1"/>
                      <w:sz w:val="18"/>
                      <w:szCs w:val="18"/>
                      <w14:textFill>
                        <w14:solidFill>
                          <w14:schemeClr w14:val="tx1"/>
                        </w14:solidFill>
                      </w14:textFill>
                    </w:rPr>
                  </w:pPr>
                </w:p>
              </w:tc>
              <w:tc>
                <w:tcPr>
                  <w:tcW w:w="979" w:type="pct"/>
                  <w:tcBorders>
                    <w:top w:val="nil"/>
                    <w:left w:val="nil"/>
                    <w:bottom w:val="single" w:color="000000" w:sz="8" w:space="0"/>
                    <w:right w:val="single" w:color="000000" w:sz="8"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排放浓度（mg/L</w:t>
                  </w:r>
                  <w:r>
                    <w:rPr>
                      <w:rFonts w:hint="eastAsia" w:ascii="宋体" w:hAnsi="宋体" w:cs="宋体"/>
                      <w:color w:val="000000" w:themeColor="text1"/>
                      <w:kern w:val="0"/>
                      <w:sz w:val="18"/>
                      <w:szCs w:val="18"/>
                      <w:lang w:bidi="ar"/>
                      <w14:textFill>
                        <w14:solidFill>
                          <w14:schemeClr w14:val="tx1"/>
                        </w14:solidFill>
                      </w14:textFill>
                    </w:rPr>
                    <w:t>）</w:t>
                  </w:r>
                </w:p>
              </w:tc>
              <w:tc>
                <w:tcPr>
                  <w:tcW w:w="289" w:type="pct"/>
                  <w:tcBorders>
                    <w:top w:val="nil"/>
                    <w:left w:val="nil"/>
                    <w:bottom w:val="single" w:color="000000" w:sz="8" w:space="0"/>
                    <w:right w:val="single" w:color="000000" w:sz="8"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w:t>
                  </w:r>
                </w:p>
              </w:tc>
              <w:tc>
                <w:tcPr>
                  <w:tcW w:w="608" w:type="pct"/>
                  <w:tcBorders>
                    <w:top w:val="nil"/>
                    <w:left w:val="nil"/>
                    <w:bottom w:val="single" w:color="000000" w:sz="8" w:space="0"/>
                    <w:right w:val="single" w:color="000000" w:sz="8"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419</w:t>
                  </w:r>
                </w:p>
              </w:tc>
              <w:tc>
                <w:tcPr>
                  <w:tcW w:w="617" w:type="pct"/>
                  <w:tcBorders>
                    <w:top w:val="nil"/>
                    <w:left w:val="nil"/>
                    <w:bottom w:val="single" w:color="000000" w:sz="8" w:space="0"/>
                    <w:right w:val="single" w:color="000000" w:sz="8"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186</w:t>
                  </w:r>
                </w:p>
              </w:tc>
              <w:tc>
                <w:tcPr>
                  <w:tcW w:w="572" w:type="pct"/>
                  <w:tcBorders>
                    <w:top w:val="nil"/>
                    <w:left w:val="nil"/>
                    <w:bottom w:val="single" w:color="000000" w:sz="8" w:space="0"/>
                    <w:right w:val="single" w:color="000000" w:sz="8"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43.6</w:t>
                  </w:r>
                </w:p>
              </w:tc>
              <w:tc>
                <w:tcPr>
                  <w:tcW w:w="572" w:type="pct"/>
                  <w:tcBorders>
                    <w:top w:val="nil"/>
                    <w:left w:val="nil"/>
                    <w:bottom w:val="single" w:color="000000" w:sz="8" w:space="0"/>
                    <w:right w:val="single" w:color="000000" w:sz="8"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45.6</w:t>
                  </w:r>
                </w:p>
              </w:tc>
              <w:tc>
                <w:tcPr>
                  <w:tcW w:w="553" w:type="pct"/>
                  <w:tcBorders>
                    <w:top w:val="nil"/>
                    <w:left w:val="nil"/>
                    <w:bottom w:val="single" w:color="000000" w:sz="8" w:space="0"/>
                    <w:right w:val="single" w:color="000000" w:sz="8"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6.22</w:t>
                  </w:r>
                </w:p>
              </w:tc>
              <w:tc>
                <w:tcPr>
                  <w:tcW w:w="597" w:type="pct"/>
                  <w:tcBorders>
                    <w:top w:val="nil"/>
                    <w:left w:val="nil"/>
                    <w:bottom w:val="single" w:color="000000" w:sz="8" w:space="0"/>
                    <w:right w:val="single" w:color="000000" w:sz="8"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9.6</w:t>
                  </w:r>
                </w:p>
              </w:tc>
            </w:tr>
            <w:tr>
              <w:tblPrEx>
                <w:tblCellMar>
                  <w:top w:w="0" w:type="dxa"/>
                  <w:left w:w="108" w:type="dxa"/>
                  <w:bottom w:w="0" w:type="dxa"/>
                  <w:right w:w="108" w:type="dxa"/>
                </w:tblCellMar>
              </w:tblPrEx>
              <w:trPr>
                <w:trHeight w:val="512" w:hRule="atLeast"/>
              </w:trPr>
              <w:tc>
                <w:tcPr>
                  <w:tcW w:w="210" w:type="pct"/>
                  <w:vMerge w:val="continue"/>
                  <w:tcBorders>
                    <w:top w:val="nil"/>
                    <w:left w:val="single" w:color="000000" w:sz="8" w:space="0"/>
                    <w:bottom w:val="single" w:color="000000" w:sz="8" w:space="0"/>
                    <w:right w:val="single" w:color="000000" w:sz="8" w:space="0"/>
                  </w:tcBorders>
                  <w:shd w:val="clear" w:color="auto" w:fill="auto"/>
                  <w:vAlign w:val="center"/>
                </w:tcPr>
                <w:p>
                  <w:pPr>
                    <w:jc w:val="center"/>
                    <w:rPr>
                      <w:color w:val="000000" w:themeColor="text1"/>
                      <w:sz w:val="18"/>
                      <w:szCs w:val="18"/>
                      <w14:textFill>
                        <w14:solidFill>
                          <w14:schemeClr w14:val="tx1"/>
                        </w14:solidFill>
                      </w14:textFill>
                    </w:rPr>
                  </w:pPr>
                </w:p>
              </w:tc>
              <w:tc>
                <w:tcPr>
                  <w:tcW w:w="979" w:type="pct"/>
                  <w:tcBorders>
                    <w:top w:val="nil"/>
                    <w:left w:val="nil"/>
                    <w:bottom w:val="single" w:color="000000" w:sz="8" w:space="0"/>
                    <w:right w:val="single" w:color="000000" w:sz="8"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排放量</w:t>
                  </w:r>
                  <w:r>
                    <w:rPr>
                      <w:bCs/>
                      <w:color w:val="000000" w:themeColor="text1"/>
                      <w:sz w:val="21"/>
                      <w:szCs w:val="21"/>
                      <w14:textFill>
                        <w14:solidFill>
                          <w14:schemeClr w14:val="tx1"/>
                        </w14:solidFill>
                      </w14:textFill>
                    </w:rPr>
                    <w:t>（t/a）</w:t>
                  </w:r>
                  <w:r>
                    <w:rPr>
                      <w:color w:val="000000" w:themeColor="text1"/>
                      <w:kern w:val="0"/>
                      <w:sz w:val="18"/>
                      <w:szCs w:val="18"/>
                      <w:lang w:bidi="ar"/>
                      <w14:textFill>
                        <w14:solidFill>
                          <w14:schemeClr w14:val="tx1"/>
                        </w14:solidFill>
                      </w14:textFill>
                    </w:rPr>
                    <w:t>（m</w:t>
                  </w:r>
                  <w:r>
                    <w:rPr>
                      <w:color w:val="000000" w:themeColor="text1"/>
                      <w:kern w:val="0"/>
                      <w:sz w:val="18"/>
                      <w:szCs w:val="18"/>
                      <w:vertAlign w:val="superscript"/>
                      <w:lang w:bidi="ar"/>
                      <w14:textFill>
                        <w14:solidFill>
                          <w14:schemeClr w14:val="tx1"/>
                        </w14:solidFill>
                      </w14:textFill>
                    </w:rPr>
                    <w:t>3</w:t>
                  </w:r>
                  <w:r>
                    <w:rPr>
                      <w:color w:val="000000" w:themeColor="text1"/>
                      <w:kern w:val="0"/>
                      <w:sz w:val="18"/>
                      <w:szCs w:val="18"/>
                      <w:lang w:bidi="ar"/>
                      <w14:textFill>
                        <w14:solidFill>
                          <w14:schemeClr w14:val="tx1"/>
                        </w14:solidFill>
                      </w14:textFill>
                    </w:rPr>
                    <w:t>/a</w:t>
                  </w:r>
                  <w:r>
                    <w:rPr>
                      <w:rFonts w:hint="eastAsia" w:ascii="宋体" w:hAnsi="宋体" w:cs="宋体"/>
                      <w:color w:val="000000" w:themeColor="text1"/>
                      <w:kern w:val="0"/>
                      <w:sz w:val="18"/>
                      <w:szCs w:val="18"/>
                      <w:lang w:bidi="ar"/>
                      <w14:textFill>
                        <w14:solidFill>
                          <w14:schemeClr w14:val="tx1"/>
                        </w14:solidFill>
                      </w14:textFill>
                    </w:rPr>
                    <w:t>）</w:t>
                  </w:r>
                </w:p>
              </w:tc>
              <w:tc>
                <w:tcPr>
                  <w:tcW w:w="289" w:type="pct"/>
                  <w:tcBorders>
                    <w:top w:val="nil"/>
                    <w:left w:val="nil"/>
                    <w:bottom w:val="single" w:color="000000" w:sz="8" w:space="0"/>
                    <w:right w:val="single" w:color="000000" w:sz="8"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480（m</w:t>
                  </w:r>
                  <w:r>
                    <w:rPr>
                      <w:color w:val="000000" w:themeColor="text1"/>
                      <w:kern w:val="0"/>
                      <w:sz w:val="18"/>
                      <w:szCs w:val="18"/>
                      <w:vertAlign w:val="superscript"/>
                      <w:lang w:bidi="ar"/>
                      <w14:textFill>
                        <w14:solidFill>
                          <w14:schemeClr w14:val="tx1"/>
                        </w14:solidFill>
                      </w14:textFill>
                    </w:rPr>
                    <w:t>3</w:t>
                  </w:r>
                  <w:r>
                    <w:rPr>
                      <w:color w:val="000000" w:themeColor="text1"/>
                      <w:kern w:val="0"/>
                      <w:sz w:val="18"/>
                      <w:szCs w:val="18"/>
                      <w:lang w:bidi="ar"/>
                      <w14:textFill>
                        <w14:solidFill>
                          <w14:schemeClr w14:val="tx1"/>
                        </w14:solidFill>
                      </w14:textFill>
                    </w:rPr>
                    <w:t>/a</w:t>
                  </w:r>
                  <w:r>
                    <w:rPr>
                      <w:rFonts w:hint="eastAsia" w:ascii="宋体" w:hAnsi="宋体" w:cs="宋体"/>
                      <w:color w:val="000000" w:themeColor="text1"/>
                      <w:kern w:val="0"/>
                      <w:sz w:val="18"/>
                      <w:szCs w:val="18"/>
                      <w:lang w:bidi="ar"/>
                      <w14:textFill>
                        <w14:solidFill>
                          <w14:schemeClr w14:val="tx1"/>
                        </w14:solidFill>
                      </w14:textFill>
                    </w:rPr>
                    <w:t>）</w:t>
                  </w:r>
                </w:p>
              </w:tc>
              <w:tc>
                <w:tcPr>
                  <w:tcW w:w="608" w:type="pct"/>
                  <w:tcBorders>
                    <w:top w:val="nil"/>
                    <w:left w:val="nil"/>
                    <w:bottom w:val="single" w:color="000000" w:sz="8" w:space="0"/>
                    <w:right w:val="single" w:color="000000" w:sz="8"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0.2013</w:t>
                  </w:r>
                </w:p>
              </w:tc>
              <w:tc>
                <w:tcPr>
                  <w:tcW w:w="617" w:type="pct"/>
                  <w:tcBorders>
                    <w:top w:val="nil"/>
                    <w:left w:val="nil"/>
                    <w:bottom w:val="single" w:color="000000" w:sz="8" w:space="0"/>
                    <w:right w:val="single" w:color="000000" w:sz="8"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0.0892</w:t>
                  </w:r>
                </w:p>
              </w:tc>
              <w:tc>
                <w:tcPr>
                  <w:tcW w:w="572" w:type="pct"/>
                  <w:tcBorders>
                    <w:top w:val="nil"/>
                    <w:left w:val="nil"/>
                    <w:bottom w:val="single" w:color="000000" w:sz="8" w:space="0"/>
                    <w:right w:val="single" w:color="000000" w:sz="8"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0.0209</w:t>
                  </w:r>
                </w:p>
              </w:tc>
              <w:tc>
                <w:tcPr>
                  <w:tcW w:w="572" w:type="pct"/>
                  <w:tcBorders>
                    <w:top w:val="nil"/>
                    <w:left w:val="nil"/>
                    <w:bottom w:val="single" w:color="000000" w:sz="8" w:space="0"/>
                    <w:right w:val="single" w:color="000000" w:sz="8"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0.0022</w:t>
                  </w:r>
                </w:p>
              </w:tc>
              <w:tc>
                <w:tcPr>
                  <w:tcW w:w="553" w:type="pct"/>
                  <w:tcBorders>
                    <w:top w:val="nil"/>
                    <w:left w:val="nil"/>
                    <w:bottom w:val="single" w:color="000000" w:sz="8" w:space="0"/>
                    <w:right w:val="single" w:color="000000" w:sz="8"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0.0029</w:t>
                  </w:r>
                </w:p>
              </w:tc>
              <w:tc>
                <w:tcPr>
                  <w:tcW w:w="597" w:type="pct"/>
                  <w:tcBorders>
                    <w:top w:val="nil"/>
                    <w:left w:val="nil"/>
                    <w:bottom w:val="single" w:color="000000" w:sz="8" w:space="0"/>
                    <w:right w:val="single" w:color="000000" w:sz="8"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0.0043</w:t>
                  </w:r>
                </w:p>
              </w:tc>
            </w:tr>
            <w:tr>
              <w:tblPrEx>
                <w:tblCellMar>
                  <w:top w:w="0" w:type="dxa"/>
                  <w:left w:w="108" w:type="dxa"/>
                  <w:bottom w:w="0" w:type="dxa"/>
                  <w:right w:w="108" w:type="dxa"/>
                </w:tblCellMar>
              </w:tblPrEx>
              <w:trPr>
                <w:trHeight w:val="357" w:hRule="atLeast"/>
              </w:trPr>
              <w:tc>
                <w:tcPr>
                  <w:tcW w:w="1189" w:type="pct"/>
                  <w:gridSpan w:val="2"/>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标准限值</w:t>
                  </w:r>
                </w:p>
              </w:tc>
              <w:tc>
                <w:tcPr>
                  <w:tcW w:w="289" w:type="pct"/>
                  <w:tcBorders>
                    <w:top w:val="nil"/>
                    <w:left w:val="nil"/>
                    <w:bottom w:val="single" w:color="000000" w:sz="8" w:space="0"/>
                    <w:right w:val="single" w:color="000000" w:sz="8"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w:t>
                  </w:r>
                </w:p>
              </w:tc>
              <w:tc>
                <w:tcPr>
                  <w:tcW w:w="608" w:type="pct"/>
                  <w:tcBorders>
                    <w:top w:val="nil"/>
                    <w:left w:val="nil"/>
                    <w:bottom w:val="single" w:color="000000" w:sz="8" w:space="0"/>
                    <w:right w:val="single" w:color="000000" w:sz="8"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500</w:t>
                  </w:r>
                </w:p>
              </w:tc>
              <w:tc>
                <w:tcPr>
                  <w:tcW w:w="617" w:type="pct"/>
                  <w:tcBorders>
                    <w:top w:val="nil"/>
                    <w:left w:val="nil"/>
                    <w:bottom w:val="single" w:color="000000" w:sz="8" w:space="0"/>
                    <w:right w:val="single" w:color="000000" w:sz="8"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350</w:t>
                  </w:r>
                </w:p>
              </w:tc>
              <w:tc>
                <w:tcPr>
                  <w:tcW w:w="572" w:type="pct"/>
                  <w:tcBorders>
                    <w:top w:val="nil"/>
                    <w:left w:val="nil"/>
                    <w:bottom w:val="single" w:color="000000" w:sz="8" w:space="0"/>
                    <w:right w:val="single" w:color="000000" w:sz="8"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45</w:t>
                  </w:r>
                </w:p>
              </w:tc>
              <w:tc>
                <w:tcPr>
                  <w:tcW w:w="572" w:type="pct"/>
                  <w:tcBorders>
                    <w:top w:val="nil"/>
                    <w:left w:val="nil"/>
                    <w:bottom w:val="single" w:color="000000" w:sz="8" w:space="0"/>
                    <w:right w:val="single" w:color="000000" w:sz="8"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70</w:t>
                  </w:r>
                </w:p>
              </w:tc>
              <w:tc>
                <w:tcPr>
                  <w:tcW w:w="553" w:type="pct"/>
                  <w:tcBorders>
                    <w:top w:val="nil"/>
                    <w:left w:val="nil"/>
                    <w:bottom w:val="single" w:color="000000" w:sz="8" w:space="0"/>
                    <w:right w:val="single" w:color="000000" w:sz="8"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8</w:t>
                  </w:r>
                </w:p>
              </w:tc>
              <w:tc>
                <w:tcPr>
                  <w:tcW w:w="597" w:type="pct"/>
                  <w:tcBorders>
                    <w:top w:val="nil"/>
                    <w:left w:val="nil"/>
                    <w:bottom w:val="single" w:color="000000" w:sz="8" w:space="0"/>
                    <w:right w:val="single" w:color="000000" w:sz="8"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100</w:t>
                  </w:r>
                </w:p>
              </w:tc>
            </w:tr>
            <w:tr>
              <w:tblPrEx>
                <w:tblCellMar>
                  <w:top w:w="0" w:type="dxa"/>
                  <w:left w:w="108" w:type="dxa"/>
                  <w:bottom w:w="0" w:type="dxa"/>
                  <w:right w:w="108" w:type="dxa"/>
                </w:tblCellMar>
              </w:tblPrEx>
              <w:trPr>
                <w:trHeight w:val="377" w:hRule="atLeast"/>
              </w:trPr>
              <w:tc>
                <w:tcPr>
                  <w:tcW w:w="1189" w:type="pct"/>
                  <w:gridSpan w:val="2"/>
                  <w:tcBorders>
                    <w:top w:val="nil"/>
                    <w:left w:val="single" w:color="000000" w:sz="8" w:space="0"/>
                    <w:bottom w:val="single" w:color="000000" w:sz="8" w:space="0"/>
                    <w:right w:val="single" w:color="000000" w:sz="8"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达标情况</w:t>
                  </w:r>
                </w:p>
              </w:tc>
              <w:tc>
                <w:tcPr>
                  <w:tcW w:w="289" w:type="pct"/>
                  <w:tcBorders>
                    <w:top w:val="nil"/>
                    <w:left w:val="nil"/>
                    <w:bottom w:val="single" w:color="000000" w:sz="8" w:space="0"/>
                    <w:right w:val="single" w:color="000000" w:sz="8"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w:t>
                  </w:r>
                </w:p>
              </w:tc>
              <w:tc>
                <w:tcPr>
                  <w:tcW w:w="608" w:type="pct"/>
                  <w:tcBorders>
                    <w:top w:val="nil"/>
                    <w:left w:val="nil"/>
                    <w:bottom w:val="single" w:color="000000" w:sz="8" w:space="0"/>
                    <w:right w:val="single" w:color="000000" w:sz="8"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达标</w:t>
                  </w:r>
                </w:p>
              </w:tc>
              <w:tc>
                <w:tcPr>
                  <w:tcW w:w="617" w:type="pct"/>
                  <w:tcBorders>
                    <w:top w:val="nil"/>
                    <w:left w:val="nil"/>
                    <w:bottom w:val="single" w:color="000000" w:sz="8" w:space="0"/>
                    <w:right w:val="single" w:color="000000" w:sz="8"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达标</w:t>
                  </w:r>
                </w:p>
              </w:tc>
              <w:tc>
                <w:tcPr>
                  <w:tcW w:w="572" w:type="pct"/>
                  <w:tcBorders>
                    <w:top w:val="nil"/>
                    <w:left w:val="nil"/>
                    <w:bottom w:val="single" w:color="000000" w:sz="8" w:space="0"/>
                    <w:right w:val="single" w:color="000000" w:sz="8"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达标</w:t>
                  </w:r>
                </w:p>
              </w:tc>
              <w:tc>
                <w:tcPr>
                  <w:tcW w:w="572" w:type="pct"/>
                  <w:tcBorders>
                    <w:top w:val="nil"/>
                    <w:left w:val="nil"/>
                    <w:bottom w:val="single" w:color="000000" w:sz="8" w:space="0"/>
                    <w:right w:val="single" w:color="000000" w:sz="8"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达标</w:t>
                  </w:r>
                </w:p>
              </w:tc>
              <w:tc>
                <w:tcPr>
                  <w:tcW w:w="553" w:type="pct"/>
                  <w:tcBorders>
                    <w:top w:val="nil"/>
                    <w:left w:val="nil"/>
                    <w:bottom w:val="single" w:color="000000" w:sz="8" w:space="0"/>
                    <w:right w:val="single" w:color="000000" w:sz="8"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达标</w:t>
                  </w:r>
                </w:p>
              </w:tc>
              <w:tc>
                <w:tcPr>
                  <w:tcW w:w="597" w:type="pct"/>
                  <w:tcBorders>
                    <w:top w:val="nil"/>
                    <w:left w:val="nil"/>
                    <w:bottom w:val="single" w:color="000000" w:sz="8" w:space="0"/>
                    <w:right w:val="single" w:color="000000" w:sz="8" w:space="0"/>
                  </w:tcBorders>
                  <w:shd w:val="clear" w:color="auto" w:fill="auto"/>
                  <w:vAlign w:val="center"/>
                </w:tcPr>
                <w:p>
                  <w:pPr>
                    <w:widowControl/>
                    <w:jc w:val="center"/>
                    <w:textAlignment w:val="center"/>
                    <w:rPr>
                      <w:color w:val="000000" w:themeColor="text1"/>
                      <w:sz w:val="18"/>
                      <w:szCs w:val="18"/>
                      <w14:textFill>
                        <w14:solidFill>
                          <w14:schemeClr w14:val="tx1"/>
                        </w14:solidFill>
                      </w14:textFill>
                    </w:rPr>
                  </w:pPr>
                  <w:r>
                    <w:rPr>
                      <w:color w:val="000000" w:themeColor="text1"/>
                      <w:kern w:val="0"/>
                      <w:sz w:val="18"/>
                      <w:szCs w:val="18"/>
                      <w:lang w:bidi="ar"/>
                      <w14:textFill>
                        <w14:solidFill>
                          <w14:schemeClr w14:val="tx1"/>
                        </w14:solidFill>
                      </w14:textFill>
                    </w:rPr>
                    <w:t>达标</w:t>
                  </w:r>
                </w:p>
              </w:tc>
            </w:tr>
          </w:tbl>
          <w:p>
            <w:pPr>
              <w:spacing w:line="240" w:lineRule="auto"/>
              <w:jc w:val="center"/>
              <w:rPr>
                <w:b/>
                <w:color w:val="000000" w:themeColor="text1"/>
                <w:kern w:val="0"/>
                <w14:textFill>
                  <w14:solidFill>
                    <w14:schemeClr w14:val="tx1"/>
                  </w14:solidFill>
                </w14:textFill>
              </w:rPr>
            </w:pPr>
          </w:p>
          <w:bookmarkEnd w:id="21"/>
          <w:p>
            <w:pPr>
              <w:pStyle w:val="22"/>
              <w:numPr>
                <w:ilvl w:val="0"/>
                <w:numId w:val="18"/>
              </w:numPr>
              <w:adjustRightInd w:val="0"/>
              <w:ind w:firstLine="482" w:firstLineChars="200"/>
              <w:jc w:val="both"/>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项目废水产排情况统计表</w:t>
            </w:r>
          </w:p>
          <w:p>
            <w:pPr>
              <w:pStyle w:val="22"/>
              <w:adjustRightInd w:val="0"/>
              <w:ind w:firstLine="480" w:firstLineChars="200"/>
              <w:rPr>
                <w:b/>
                <w:color w:val="000000" w:themeColor="text1"/>
                <w14:textFill>
                  <w14:solidFill>
                    <w14:schemeClr w14:val="tx1"/>
                  </w14:solidFill>
                </w14:textFill>
              </w:rPr>
            </w:pPr>
            <w:r>
              <w:rPr>
                <w:bCs/>
                <w:color w:val="000000" w:themeColor="text1"/>
                <w:sz w:val="24"/>
                <w:szCs w:val="24"/>
                <w14:textFill>
                  <w14:solidFill>
                    <w14:schemeClr w14:val="tx1"/>
                  </w14:solidFill>
                </w14:textFill>
              </w:rPr>
              <w:t>本项目废水产排情况统计详见下表。</w:t>
            </w:r>
          </w:p>
          <w:p>
            <w:pPr>
              <w:spacing w:line="240" w:lineRule="auto"/>
              <w:jc w:val="center"/>
              <w:rPr>
                <w:b/>
                <w:color w:val="000000" w:themeColor="text1"/>
                <w:kern w:val="0"/>
                <w14:textFill>
                  <w14:solidFill>
                    <w14:schemeClr w14:val="tx1"/>
                  </w14:solidFill>
                </w14:textFill>
              </w:rPr>
            </w:pPr>
            <w:r>
              <w:rPr>
                <w:b/>
                <w:color w:val="000000" w:themeColor="text1"/>
                <w:kern w:val="0"/>
                <w14:textFill>
                  <w14:solidFill>
                    <w14:schemeClr w14:val="tx1"/>
                  </w14:solidFill>
                </w14:textFill>
              </w:rPr>
              <w:t>表4-</w:t>
            </w:r>
            <w:r>
              <w:rPr>
                <w:rFonts w:hint="eastAsia"/>
                <w:b/>
                <w:color w:val="000000" w:themeColor="text1"/>
                <w:kern w:val="0"/>
                <w14:textFill>
                  <w14:solidFill>
                    <w14:schemeClr w14:val="tx1"/>
                  </w14:solidFill>
                </w14:textFill>
              </w:rPr>
              <w:t>5</w:t>
            </w:r>
            <w:r>
              <w:rPr>
                <w:b/>
                <w:color w:val="000000" w:themeColor="text1"/>
                <w:kern w:val="0"/>
                <w14:textFill>
                  <w14:solidFill>
                    <w14:schemeClr w14:val="tx1"/>
                  </w14:solidFill>
                </w14:textFill>
              </w:rPr>
              <w:t xml:space="preserve">  废水产排请统计表</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916"/>
              <w:gridCol w:w="1212"/>
              <w:gridCol w:w="1045"/>
              <w:gridCol w:w="1031"/>
              <w:gridCol w:w="992"/>
              <w:gridCol w:w="992"/>
              <w:gridCol w:w="1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7" w:type="dxa"/>
                  <w:gridSpan w:val="2"/>
                  <w:vAlign w:val="center"/>
                </w:tcPr>
                <w:p>
                  <w:pPr>
                    <w:pStyle w:val="22"/>
                    <w:adjustRightInd w:val="0"/>
                    <w:spacing w:line="240" w:lineRule="auto"/>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产排污环节</w:t>
                  </w:r>
                </w:p>
              </w:tc>
              <w:tc>
                <w:tcPr>
                  <w:tcW w:w="6289" w:type="dxa"/>
                  <w:gridSpan w:val="6"/>
                  <w:vAlign w:val="center"/>
                </w:tcPr>
                <w:p>
                  <w:pPr>
                    <w:pStyle w:val="22"/>
                    <w:adjustRightInd w:val="0"/>
                    <w:spacing w:line="240" w:lineRule="auto"/>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员工生活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7" w:type="dxa"/>
                  <w:gridSpan w:val="2"/>
                  <w:vAlign w:val="center"/>
                </w:tcPr>
                <w:p>
                  <w:pPr>
                    <w:pStyle w:val="22"/>
                    <w:adjustRightInd w:val="0"/>
                    <w:spacing w:line="240" w:lineRule="auto"/>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类别</w:t>
                  </w:r>
                </w:p>
              </w:tc>
              <w:tc>
                <w:tcPr>
                  <w:tcW w:w="6289" w:type="dxa"/>
                  <w:gridSpan w:val="6"/>
                  <w:vAlign w:val="center"/>
                </w:tcPr>
                <w:p>
                  <w:pPr>
                    <w:pStyle w:val="22"/>
                    <w:adjustRightInd w:val="0"/>
                    <w:spacing w:line="240" w:lineRule="auto"/>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生活污水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7" w:type="dxa"/>
                  <w:gridSpan w:val="2"/>
                  <w:vAlign w:val="center"/>
                </w:tcPr>
                <w:p>
                  <w:pPr>
                    <w:pStyle w:val="22"/>
                    <w:adjustRightInd w:val="0"/>
                    <w:spacing w:line="240" w:lineRule="auto"/>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废水产生量（m</w:t>
                  </w:r>
                  <w:r>
                    <w:rPr>
                      <w:bCs/>
                      <w:color w:val="000000" w:themeColor="text1"/>
                      <w:sz w:val="21"/>
                      <w:szCs w:val="21"/>
                      <w:vertAlign w:val="superscript"/>
                      <w14:textFill>
                        <w14:solidFill>
                          <w14:schemeClr w14:val="tx1"/>
                        </w14:solidFill>
                      </w14:textFill>
                    </w:rPr>
                    <w:t>3</w:t>
                  </w:r>
                  <w:r>
                    <w:rPr>
                      <w:bCs/>
                      <w:color w:val="000000" w:themeColor="text1"/>
                      <w:sz w:val="21"/>
                      <w:szCs w:val="21"/>
                      <w14:textFill>
                        <w14:solidFill>
                          <w14:schemeClr w14:val="tx1"/>
                        </w14:solidFill>
                      </w14:textFill>
                    </w:rPr>
                    <w:t>/a）</w:t>
                  </w:r>
                </w:p>
              </w:tc>
              <w:tc>
                <w:tcPr>
                  <w:tcW w:w="6289" w:type="dxa"/>
                  <w:gridSpan w:val="6"/>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480</w:t>
                  </w:r>
                  <w:r>
                    <w:rPr>
                      <w:bCs/>
                      <w:color w:val="000000" w:themeColor="text1"/>
                      <w:sz w:val="21"/>
                      <w:szCs w:val="21"/>
                      <w14:textFill>
                        <w14:solidFill>
                          <w14:schemeClr w14:val="tx1"/>
                        </w14:solidFill>
                      </w14:textFill>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7" w:type="dxa"/>
                  <w:gridSpan w:val="2"/>
                  <w:vAlign w:val="center"/>
                </w:tcPr>
                <w:p>
                  <w:pPr>
                    <w:pStyle w:val="22"/>
                    <w:adjustRightInd w:val="0"/>
                    <w:spacing w:line="240" w:lineRule="auto"/>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污染物种类</w:t>
                  </w:r>
                </w:p>
              </w:tc>
              <w:tc>
                <w:tcPr>
                  <w:tcW w:w="1212" w:type="dxa"/>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COD</w:t>
                  </w:r>
                </w:p>
              </w:tc>
              <w:tc>
                <w:tcPr>
                  <w:tcW w:w="1045" w:type="dxa"/>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BOD</w:t>
                  </w:r>
                  <w:r>
                    <w:rPr>
                      <w:b/>
                      <w:color w:val="000000" w:themeColor="text1"/>
                      <w:kern w:val="0"/>
                      <w:sz w:val="21"/>
                      <w:szCs w:val="21"/>
                      <w:vertAlign w:val="subscript"/>
                      <w14:textFill>
                        <w14:solidFill>
                          <w14:schemeClr w14:val="tx1"/>
                        </w14:solidFill>
                      </w14:textFill>
                    </w:rPr>
                    <w:t>5</w:t>
                  </w:r>
                </w:p>
              </w:tc>
              <w:tc>
                <w:tcPr>
                  <w:tcW w:w="1031" w:type="dxa"/>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b/>
                      <w:color w:val="000000" w:themeColor="text1"/>
                      <w:kern w:val="0"/>
                      <w:sz w:val="21"/>
                      <w:szCs w:val="21"/>
                      <w14:textFill>
                        <w14:solidFill>
                          <w14:schemeClr w14:val="tx1"/>
                        </w14:solidFill>
                      </w14:textFill>
                    </w:rPr>
                  </w:pPr>
                  <w:r>
                    <w:rPr>
                      <w:b/>
                      <w:bCs/>
                      <w:color w:val="000000" w:themeColor="text1"/>
                      <w:kern w:val="0"/>
                      <w:sz w:val="18"/>
                      <w:szCs w:val="18"/>
                      <w:lang w:bidi="ar"/>
                      <w14:textFill>
                        <w14:solidFill>
                          <w14:schemeClr w14:val="tx1"/>
                        </w14:solidFill>
                      </w14:textFill>
                    </w:rPr>
                    <w:t>TN</w:t>
                  </w:r>
                </w:p>
              </w:tc>
              <w:tc>
                <w:tcPr>
                  <w:tcW w:w="992" w:type="dxa"/>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b/>
                      <w:color w:val="000000" w:themeColor="text1"/>
                      <w:kern w:val="0"/>
                      <w:sz w:val="21"/>
                      <w:szCs w:val="21"/>
                      <w14:textFill>
                        <w14:solidFill>
                          <w14:schemeClr w14:val="tx1"/>
                        </w14:solidFill>
                      </w14:textFill>
                    </w:rPr>
                  </w:pPr>
                  <w:r>
                    <w:rPr>
                      <w:b/>
                      <w:bCs/>
                      <w:color w:val="000000" w:themeColor="text1"/>
                      <w:kern w:val="0"/>
                      <w:sz w:val="18"/>
                      <w:szCs w:val="18"/>
                      <w:lang w:bidi="ar"/>
                      <w14:textFill>
                        <w14:solidFill>
                          <w14:schemeClr w14:val="tx1"/>
                        </w14:solidFill>
                      </w14:textFill>
                    </w:rPr>
                    <w:t>NH</w:t>
                  </w:r>
                  <w:r>
                    <w:rPr>
                      <w:b/>
                      <w:bCs/>
                      <w:color w:val="000000" w:themeColor="text1"/>
                      <w:kern w:val="0"/>
                      <w:sz w:val="18"/>
                      <w:szCs w:val="18"/>
                      <w:vertAlign w:val="subscript"/>
                      <w:lang w:bidi="ar"/>
                      <w14:textFill>
                        <w14:solidFill>
                          <w14:schemeClr w14:val="tx1"/>
                        </w14:solidFill>
                      </w14:textFill>
                    </w:rPr>
                    <w:t>3</w:t>
                  </w:r>
                  <w:r>
                    <w:rPr>
                      <w:rStyle w:val="86"/>
                      <w:color w:val="000000" w:themeColor="text1"/>
                      <w:lang w:bidi="ar"/>
                      <w14:textFill>
                        <w14:solidFill>
                          <w14:schemeClr w14:val="tx1"/>
                        </w14:solidFill>
                      </w14:textFill>
                    </w:rPr>
                    <w:t>-N</w:t>
                  </w:r>
                </w:p>
              </w:tc>
              <w:tc>
                <w:tcPr>
                  <w:tcW w:w="992" w:type="dxa"/>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TP</w:t>
                  </w:r>
                </w:p>
              </w:tc>
              <w:tc>
                <w:tcPr>
                  <w:tcW w:w="1017" w:type="dxa"/>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7" w:type="dxa"/>
                  <w:gridSpan w:val="2"/>
                  <w:vAlign w:val="center"/>
                </w:tcPr>
                <w:p>
                  <w:pPr>
                    <w:pStyle w:val="22"/>
                    <w:adjustRightInd w:val="0"/>
                    <w:spacing w:line="240" w:lineRule="auto"/>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污染物产生浓度（mg/m</w:t>
                  </w:r>
                  <w:r>
                    <w:rPr>
                      <w:bCs/>
                      <w:color w:val="000000" w:themeColor="text1"/>
                      <w:sz w:val="21"/>
                      <w:szCs w:val="21"/>
                      <w:vertAlign w:val="superscript"/>
                      <w14:textFill>
                        <w14:solidFill>
                          <w14:schemeClr w14:val="tx1"/>
                        </w14:solidFill>
                      </w14:textFill>
                    </w:rPr>
                    <w:t>3</w:t>
                  </w:r>
                  <w:r>
                    <w:rPr>
                      <w:bCs/>
                      <w:color w:val="000000" w:themeColor="text1"/>
                      <w:sz w:val="21"/>
                      <w:szCs w:val="21"/>
                      <w14:textFill>
                        <w14:solidFill>
                          <w14:schemeClr w14:val="tx1"/>
                        </w14:solidFill>
                      </w14:textFill>
                    </w:rPr>
                    <w:t>）</w:t>
                  </w:r>
                </w:p>
              </w:tc>
              <w:tc>
                <w:tcPr>
                  <w:tcW w:w="1212" w:type="dxa"/>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504</w:t>
                  </w:r>
                </w:p>
              </w:tc>
              <w:tc>
                <w:tcPr>
                  <w:tcW w:w="1045" w:type="dxa"/>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220</w:t>
                  </w:r>
                </w:p>
              </w:tc>
              <w:tc>
                <w:tcPr>
                  <w:tcW w:w="1031" w:type="dxa"/>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66.9</w:t>
                  </w:r>
                </w:p>
              </w:tc>
              <w:tc>
                <w:tcPr>
                  <w:tcW w:w="992" w:type="dxa"/>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50.7</w:t>
                  </w:r>
                </w:p>
              </w:tc>
              <w:tc>
                <w:tcPr>
                  <w:tcW w:w="992" w:type="dxa"/>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6.96</w:t>
                  </w:r>
                </w:p>
              </w:tc>
              <w:tc>
                <w:tcPr>
                  <w:tcW w:w="1017" w:type="dxa"/>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7" w:type="dxa"/>
                  <w:gridSpan w:val="2"/>
                  <w:vAlign w:val="center"/>
                </w:tcPr>
                <w:p>
                  <w:pPr>
                    <w:pStyle w:val="22"/>
                    <w:adjustRightInd w:val="0"/>
                    <w:spacing w:line="240" w:lineRule="auto"/>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污染物产生量（t/a）</w:t>
                  </w:r>
                </w:p>
              </w:tc>
              <w:tc>
                <w:tcPr>
                  <w:tcW w:w="1212" w:type="dxa"/>
                  <w:vAlign w:val="center"/>
                </w:tcPr>
                <w:p>
                  <w:pPr>
                    <w:widowControl/>
                    <w:adjustRightInd w:val="0"/>
                    <w:snapToGrid w:val="0"/>
                    <w:spacing w:line="240" w:lineRule="auto"/>
                    <w:jc w:val="center"/>
                    <w:textAlignment w:val="center"/>
                    <w:rPr>
                      <w:bCs/>
                      <w:color w:val="000000" w:themeColor="text1"/>
                      <w:kern w:val="0"/>
                      <w:sz w:val="21"/>
                      <w:szCs w:val="21"/>
                      <w14:textFill>
                        <w14:solidFill>
                          <w14:schemeClr w14:val="tx1"/>
                        </w14:solidFill>
                      </w14:textFill>
                    </w:rPr>
                  </w:pPr>
                  <w:r>
                    <w:rPr>
                      <w:rFonts w:hint="eastAsia"/>
                      <w:color w:val="000000" w:themeColor="text1"/>
                      <w:kern w:val="0"/>
                      <w:sz w:val="18"/>
                      <w:szCs w:val="18"/>
                      <w:lang w:bidi="ar"/>
                      <w14:textFill>
                        <w14:solidFill>
                          <w14:schemeClr w14:val="tx1"/>
                        </w14:solidFill>
                      </w14:textFill>
                    </w:rPr>
                    <w:t>0.2419</w:t>
                  </w:r>
                </w:p>
              </w:tc>
              <w:tc>
                <w:tcPr>
                  <w:tcW w:w="1045" w:type="dxa"/>
                  <w:vAlign w:val="center"/>
                </w:tcPr>
                <w:p>
                  <w:pPr>
                    <w:widowControl/>
                    <w:adjustRightInd w:val="0"/>
                    <w:snapToGrid w:val="0"/>
                    <w:spacing w:line="240" w:lineRule="auto"/>
                    <w:jc w:val="center"/>
                    <w:textAlignment w:val="center"/>
                    <w:rPr>
                      <w:bCs/>
                      <w:color w:val="000000" w:themeColor="text1"/>
                      <w:kern w:val="0"/>
                      <w:sz w:val="21"/>
                      <w:szCs w:val="21"/>
                      <w14:textFill>
                        <w14:solidFill>
                          <w14:schemeClr w14:val="tx1"/>
                        </w14:solidFill>
                      </w14:textFill>
                    </w:rPr>
                  </w:pPr>
                  <w:r>
                    <w:rPr>
                      <w:rFonts w:hint="eastAsia"/>
                      <w:color w:val="000000" w:themeColor="text1"/>
                      <w:sz w:val="18"/>
                      <w:szCs w:val="18"/>
                      <w14:textFill>
                        <w14:solidFill>
                          <w14:schemeClr w14:val="tx1"/>
                        </w14:solidFill>
                      </w14:textFill>
                    </w:rPr>
                    <w:t>0.1056</w:t>
                  </w:r>
                </w:p>
              </w:tc>
              <w:tc>
                <w:tcPr>
                  <w:tcW w:w="1031" w:type="dxa"/>
                  <w:vAlign w:val="center"/>
                </w:tcPr>
                <w:p>
                  <w:pPr>
                    <w:widowControl/>
                    <w:adjustRightInd w:val="0"/>
                    <w:snapToGrid w:val="0"/>
                    <w:spacing w:line="240" w:lineRule="auto"/>
                    <w:jc w:val="center"/>
                    <w:textAlignment w:val="center"/>
                    <w:rPr>
                      <w:bCs/>
                      <w:color w:val="000000" w:themeColor="text1"/>
                      <w:kern w:val="0"/>
                      <w:sz w:val="21"/>
                      <w:szCs w:val="21"/>
                      <w14:textFill>
                        <w14:solidFill>
                          <w14:schemeClr w14:val="tx1"/>
                        </w14:solidFill>
                      </w14:textFill>
                    </w:rPr>
                  </w:pPr>
                  <w:r>
                    <w:rPr>
                      <w:rFonts w:hint="eastAsia"/>
                      <w:color w:val="000000" w:themeColor="text1"/>
                      <w:sz w:val="18"/>
                      <w:szCs w:val="18"/>
                      <w14:textFill>
                        <w14:solidFill>
                          <w14:schemeClr w14:val="tx1"/>
                        </w14:solidFill>
                      </w14:textFill>
                    </w:rPr>
                    <w:t>0.0321</w:t>
                  </w:r>
                </w:p>
              </w:tc>
              <w:tc>
                <w:tcPr>
                  <w:tcW w:w="992" w:type="dxa"/>
                  <w:vAlign w:val="center"/>
                </w:tcPr>
                <w:p>
                  <w:pPr>
                    <w:widowControl/>
                    <w:adjustRightInd w:val="0"/>
                    <w:snapToGrid w:val="0"/>
                    <w:spacing w:line="240" w:lineRule="auto"/>
                    <w:jc w:val="center"/>
                    <w:textAlignment w:val="center"/>
                    <w:rPr>
                      <w:bCs/>
                      <w:color w:val="000000" w:themeColor="text1"/>
                      <w:kern w:val="0"/>
                      <w:sz w:val="21"/>
                      <w:szCs w:val="21"/>
                      <w14:textFill>
                        <w14:solidFill>
                          <w14:schemeClr w14:val="tx1"/>
                        </w14:solidFill>
                      </w14:textFill>
                    </w:rPr>
                  </w:pPr>
                  <w:r>
                    <w:rPr>
                      <w:rFonts w:hint="eastAsia"/>
                      <w:color w:val="000000" w:themeColor="text1"/>
                      <w:sz w:val="18"/>
                      <w:szCs w:val="18"/>
                      <w14:textFill>
                        <w14:solidFill>
                          <w14:schemeClr w14:val="tx1"/>
                        </w14:solidFill>
                      </w14:textFill>
                    </w:rPr>
                    <w:t>0.0243</w:t>
                  </w:r>
                </w:p>
              </w:tc>
              <w:tc>
                <w:tcPr>
                  <w:tcW w:w="992" w:type="dxa"/>
                  <w:vAlign w:val="center"/>
                </w:tcPr>
                <w:p>
                  <w:pPr>
                    <w:widowControl/>
                    <w:adjustRightInd w:val="0"/>
                    <w:snapToGrid w:val="0"/>
                    <w:spacing w:line="240" w:lineRule="auto"/>
                    <w:jc w:val="center"/>
                    <w:textAlignment w:val="center"/>
                    <w:rPr>
                      <w:bCs/>
                      <w:color w:val="000000" w:themeColor="text1"/>
                      <w:kern w:val="0"/>
                      <w:sz w:val="21"/>
                      <w:szCs w:val="21"/>
                      <w14:textFill>
                        <w14:solidFill>
                          <w14:schemeClr w14:val="tx1"/>
                        </w14:solidFill>
                      </w14:textFill>
                    </w:rPr>
                  </w:pPr>
                  <w:r>
                    <w:rPr>
                      <w:rFonts w:hint="eastAsia"/>
                      <w:color w:val="000000" w:themeColor="text1"/>
                      <w:sz w:val="18"/>
                      <w:szCs w:val="18"/>
                      <w14:textFill>
                        <w14:solidFill>
                          <w14:schemeClr w14:val="tx1"/>
                        </w14:solidFill>
                      </w14:textFill>
                    </w:rPr>
                    <w:t>0.0033</w:t>
                  </w:r>
                </w:p>
              </w:tc>
              <w:tc>
                <w:tcPr>
                  <w:tcW w:w="1017" w:type="dxa"/>
                  <w:vAlign w:val="center"/>
                </w:tcPr>
                <w:p>
                  <w:pPr>
                    <w:widowControl/>
                    <w:adjustRightInd w:val="0"/>
                    <w:snapToGrid w:val="0"/>
                    <w:spacing w:line="240" w:lineRule="auto"/>
                    <w:jc w:val="center"/>
                    <w:textAlignment w:val="center"/>
                    <w:rPr>
                      <w:bCs/>
                      <w:color w:val="000000" w:themeColor="text1"/>
                      <w:kern w:val="0"/>
                      <w:sz w:val="21"/>
                      <w:szCs w:val="21"/>
                      <w14:textFill>
                        <w14:solidFill>
                          <w14:schemeClr w14:val="tx1"/>
                        </w14:solidFill>
                      </w14:textFill>
                    </w:rPr>
                  </w:pPr>
                  <w:r>
                    <w:rPr>
                      <w:rFonts w:hint="eastAsia"/>
                      <w:color w:val="000000" w:themeColor="text1"/>
                      <w:sz w:val="18"/>
                      <w:szCs w:val="18"/>
                      <w14:textFill>
                        <w14:solidFill>
                          <w14:schemeClr w14:val="tx1"/>
                        </w14:solidFill>
                      </w14:textFill>
                    </w:rPr>
                    <w:t>0.0051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7" w:type="dxa"/>
                  <w:gridSpan w:val="2"/>
                  <w:vAlign w:val="center"/>
                </w:tcPr>
                <w:p>
                  <w:pPr>
                    <w:pStyle w:val="22"/>
                    <w:adjustRightInd w:val="0"/>
                    <w:spacing w:line="240" w:lineRule="auto"/>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废水排放量（m</w:t>
                  </w:r>
                  <w:r>
                    <w:rPr>
                      <w:bCs/>
                      <w:color w:val="000000" w:themeColor="text1"/>
                      <w:sz w:val="21"/>
                      <w:szCs w:val="21"/>
                      <w:vertAlign w:val="superscript"/>
                      <w14:textFill>
                        <w14:solidFill>
                          <w14:schemeClr w14:val="tx1"/>
                        </w14:solidFill>
                      </w14:textFill>
                    </w:rPr>
                    <w:t>3</w:t>
                  </w:r>
                  <w:r>
                    <w:rPr>
                      <w:bCs/>
                      <w:color w:val="000000" w:themeColor="text1"/>
                      <w:sz w:val="21"/>
                      <w:szCs w:val="21"/>
                      <w14:textFill>
                        <w14:solidFill>
                          <w14:schemeClr w14:val="tx1"/>
                        </w14:solidFill>
                      </w14:textFill>
                    </w:rPr>
                    <w:t>/a）</w:t>
                  </w:r>
                </w:p>
              </w:tc>
              <w:tc>
                <w:tcPr>
                  <w:tcW w:w="6289" w:type="dxa"/>
                  <w:gridSpan w:val="6"/>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bCs/>
                      <w:color w:val="000000" w:themeColor="text1"/>
                      <w:kern w:val="0"/>
                      <w:sz w:val="21"/>
                      <w:szCs w:val="21"/>
                      <w14:textFill>
                        <w14:solidFill>
                          <w14:schemeClr w14:val="tx1"/>
                        </w14:solidFill>
                      </w14:textFill>
                    </w:rPr>
                  </w:pPr>
                  <w:r>
                    <w:rPr>
                      <w:rFonts w:hint="eastAsia"/>
                      <w:bCs/>
                      <w:color w:val="000000" w:themeColor="text1"/>
                      <w:kern w:val="0"/>
                      <w:sz w:val="21"/>
                      <w:szCs w:val="21"/>
                      <w14:textFill>
                        <w14:solidFill>
                          <w14:schemeClr w14:val="tx1"/>
                        </w14:solidFill>
                      </w14:textFill>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7" w:type="dxa"/>
                  <w:gridSpan w:val="2"/>
                  <w:vAlign w:val="center"/>
                </w:tcPr>
                <w:p>
                  <w:pPr>
                    <w:pStyle w:val="22"/>
                    <w:adjustRightInd w:val="0"/>
                    <w:spacing w:line="240" w:lineRule="auto"/>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污染物排放浓度（mg/m</w:t>
                  </w:r>
                  <w:r>
                    <w:rPr>
                      <w:bCs/>
                      <w:color w:val="000000" w:themeColor="text1"/>
                      <w:sz w:val="21"/>
                      <w:szCs w:val="21"/>
                      <w:vertAlign w:val="superscript"/>
                      <w14:textFill>
                        <w14:solidFill>
                          <w14:schemeClr w14:val="tx1"/>
                        </w14:solidFill>
                      </w14:textFill>
                    </w:rPr>
                    <w:t>3</w:t>
                  </w:r>
                  <w:r>
                    <w:rPr>
                      <w:bCs/>
                      <w:color w:val="000000" w:themeColor="text1"/>
                      <w:sz w:val="21"/>
                      <w:szCs w:val="21"/>
                      <w14:textFill>
                        <w14:solidFill>
                          <w14:schemeClr w14:val="tx1"/>
                        </w14:solidFill>
                      </w14:textFill>
                    </w:rPr>
                    <w:t>）</w:t>
                  </w:r>
                </w:p>
              </w:tc>
              <w:tc>
                <w:tcPr>
                  <w:tcW w:w="1212" w:type="dxa"/>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419</w:t>
                  </w:r>
                </w:p>
              </w:tc>
              <w:tc>
                <w:tcPr>
                  <w:tcW w:w="1045" w:type="dxa"/>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186</w:t>
                  </w:r>
                </w:p>
              </w:tc>
              <w:tc>
                <w:tcPr>
                  <w:tcW w:w="1031" w:type="dxa"/>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43.6</w:t>
                  </w:r>
                </w:p>
              </w:tc>
              <w:tc>
                <w:tcPr>
                  <w:tcW w:w="992" w:type="dxa"/>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45.</w:t>
                  </w:r>
                  <w:r>
                    <w:rPr>
                      <w:rFonts w:hint="eastAsia"/>
                      <w:bCs/>
                      <w:color w:val="000000" w:themeColor="text1"/>
                      <w:kern w:val="0"/>
                      <w:sz w:val="21"/>
                      <w:szCs w:val="21"/>
                      <w14:textFill>
                        <w14:solidFill>
                          <w14:schemeClr w14:val="tx1"/>
                        </w14:solidFill>
                      </w14:textFill>
                    </w:rPr>
                    <w:t>6</w:t>
                  </w:r>
                </w:p>
              </w:tc>
              <w:tc>
                <w:tcPr>
                  <w:tcW w:w="992" w:type="dxa"/>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 xml:space="preserve">6.22 </w:t>
                  </w:r>
                </w:p>
              </w:tc>
              <w:tc>
                <w:tcPr>
                  <w:tcW w:w="1017" w:type="dxa"/>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9.</w:t>
                  </w:r>
                  <w:r>
                    <w:rPr>
                      <w:rFonts w:hint="eastAsia"/>
                      <w:bCs/>
                      <w:color w:val="000000" w:themeColor="text1"/>
                      <w:kern w:val="0"/>
                      <w:sz w:val="21"/>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7" w:type="dxa"/>
                  <w:gridSpan w:val="2"/>
                  <w:vAlign w:val="center"/>
                </w:tcPr>
                <w:p>
                  <w:pPr>
                    <w:pStyle w:val="22"/>
                    <w:adjustRightInd w:val="0"/>
                    <w:spacing w:line="240" w:lineRule="auto"/>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污染物排放量（t/a）</w:t>
                  </w:r>
                </w:p>
              </w:tc>
              <w:tc>
                <w:tcPr>
                  <w:tcW w:w="1212" w:type="dxa"/>
                  <w:vAlign w:val="center"/>
                </w:tcPr>
                <w:p>
                  <w:pPr>
                    <w:widowControl/>
                    <w:adjustRightInd w:val="0"/>
                    <w:snapToGrid w:val="0"/>
                    <w:spacing w:line="240" w:lineRule="auto"/>
                    <w:jc w:val="center"/>
                    <w:textAlignment w:val="center"/>
                    <w:rPr>
                      <w:bCs/>
                      <w:color w:val="000000" w:themeColor="text1"/>
                      <w:kern w:val="0"/>
                      <w:sz w:val="21"/>
                      <w:szCs w:val="21"/>
                      <w14:textFill>
                        <w14:solidFill>
                          <w14:schemeClr w14:val="tx1"/>
                        </w14:solidFill>
                      </w14:textFill>
                    </w:rPr>
                  </w:pPr>
                  <w:r>
                    <w:rPr>
                      <w:rFonts w:hint="eastAsia"/>
                      <w:color w:val="000000" w:themeColor="text1"/>
                      <w:sz w:val="18"/>
                      <w:szCs w:val="18"/>
                      <w14:textFill>
                        <w14:solidFill>
                          <w14:schemeClr w14:val="tx1"/>
                        </w14:solidFill>
                      </w14:textFill>
                    </w:rPr>
                    <w:t>0.2013</w:t>
                  </w:r>
                </w:p>
              </w:tc>
              <w:tc>
                <w:tcPr>
                  <w:tcW w:w="1045" w:type="dxa"/>
                  <w:vAlign w:val="center"/>
                </w:tcPr>
                <w:p>
                  <w:pPr>
                    <w:widowControl/>
                    <w:adjustRightInd w:val="0"/>
                    <w:snapToGrid w:val="0"/>
                    <w:spacing w:line="240" w:lineRule="auto"/>
                    <w:jc w:val="center"/>
                    <w:textAlignment w:val="center"/>
                    <w:rPr>
                      <w:bCs/>
                      <w:color w:val="000000" w:themeColor="text1"/>
                      <w:kern w:val="0"/>
                      <w:sz w:val="21"/>
                      <w:szCs w:val="21"/>
                      <w14:textFill>
                        <w14:solidFill>
                          <w14:schemeClr w14:val="tx1"/>
                        </w14:solidFill>
                      </w14:textFill>
                    </w:rPr>
                  </w:pPr>
                  <w:r>
                    <w:rPr>
                      <w:rFonts w:hint="eastAsia"/>
                      <w:color w:val="000000" w:themeColor="text1"/>
                      <w:sz w:val="18"/>
                      <w:szCs w:val="18"/>
                      <w14:textFill>
                        <w14:solidFill>
                          <w14:schemeClr w14:val="tx1"/>
                        </w14:solidFill>
                      </w14:textFill>
                    </w:rPr>
                    <w:t>0.0892</w:t>
                  </w:r>
                </w:p>
              </w:tc>
              <w:tc>
                <w:tcPr>
                  <w:tcW w:w="1031" w:type="dxa"/>
                  <w:vAlign w:val="center"/>
                </w:tcPr>
                <w:p>
                  <w:pPr>
                    <w:widowControl/>
                    <w:adjustRightInd w:val="0"/>
                    <w:snapToGrid w:val="0"/>
                    <w:spacing w:line="240" w:lineRule="auto"/>
                    <w:jc w:val="center"/>
                    <w:textAlignment w:val="center"/>
                    <w:rPr>
                      <w:bCs/>
                      <w:color w:val="000000" w:themeColor="text1"/>
                      <w:kern w:val="0"/>
                      <w:sz w:val="21"/>
                      <w:szCs w:val="21"/>
                      <w14:textFill>
                        <w14:solidFill>
                          <w14:schemeClr w14:val="tx1"/>
                        </w14:solidFill>
                      </w14:textFill>
                    </w:rPr>
                  </w:pPr>
                  <w:r>
                    <w:rPr>
                      <w:rFonts w:hint="eastAsia"/>
                      <w:color w:val="000000" w:themeColor="text1"/>
                      <w:sz w:val="18"/>
                      <w:szCs w:val="18"/>
                      <w14:textFill>
                        <w14:solidFill>
                          <w14:schemeClr w14:val="tx1"/>
                        </w14:solidFill>
                      </w14:textFill>
                    </w:rPr>
                    <w:t>0.0209</w:t>
                  </w:r>
                </w:p>
              </w:tc>
              <w:tc>
                <w:tcPr>
                  <w:tcW w:w="992" w:type="dxa"/>
                  <w:vAlign w:val="center"/>
                </w:tcPr>
                <w:p>
                  <w:pPr>
                    <w:widowControl/>
                    <w:adjustRightInd w:val="0"/>
                    <w:snapToGrid w:val="0"/>
                    <w:spacing w:line="240" w:lineRule="auto"/>
                    <w:jc w:val="center"/>
                    <w:textAlignment w:val="center"/>
                    <w:rPr>
                      <w:bCs/>
                      <w:color w:val="000000" w:themeColor="text1"/>
                      <w:kern w:val="0"/>
                      <w:sz w:val="21"/>
                      <w:szCs w:val="21"/>
                      <w14:textFill>
                        <w14:solidFill>
                          <w14:schemeClr w14:val="tx1"/>
                        </w14:solidFill>
                      </w14:textFill>
                    </w:rPr>
                  </w:pPr>
                  <w:r>
                    <w:rPr>
                      <w:rFonts w:hint="eastAsia"/>
                      <w:color w:val="000000" w:themeColor="text1"/>
                      <w:sz w:val="18"/>
                      <w:szCs w:val="18"/>
                      <w14:textFill>
                        <w14:solidFill>
                          <w14:schemeClr w14:val="tx1"/>
                        </w14:solidFill>
                      </w14:textFill>
                    </w:rPr>
                    <w:t>0.0022</w:t>
                  </w:r>
                </w:p>
              </w:tc>
              <w:tc>
                <w:tcPr>
                  <w:tcW w:w="992" w:type="dxa"/>
                  <w:vAlign w:val="center"/>
                </w:tcPr>
                <w:p>
                  <w:pPr>
                    <w:widowControl/>
                    <w:adjustRightInd w:val="0"/>
                    <w:snapToGrid w:val="0"/>
                    <w:spacing w:line="240" w:lineRule="auto"/>
                    <w:jc w:val="center"/>
                    <w:textAlignment w:val="center"/>
                    <w:rPr>
                      <w:bCs/>
                      <w:color w:val="000000" w:themeColor="text1"/>
                      <w:kern w:val="0"/>
                      <w:sz w:val="21"/>
                      <w:szCs w:val="21"/>
                      <w14:textFill>
                        <w14:solidFill>
                          <w14:schemeClr w14:val="tx1"/>
                        </w14:solidFill>
                      </w14:textFill>
                    </w:rPr>
                  </w:pPr>
                  <w:r>
                    <w:rPr>
                      <w:rFonts w:hint="eastAsia"/>
                      <w:color w:val="000000" w:themeColor="text1"/>
                      <w:sz w:val="18"/>
                      <w:szCs w:val="18"/>
                      <w14:textFill>
                        <w14:solidFill>
                          <w14:schemeClr w14:val="tx1"/>
                        </w14:solidFill>
                      </w14:textFill>
                    </w:rPr>
                    <w:t>0.0029</w:t>
                  </w:r>
                </w:p>
              </w:tc>
              <w:tc>
                <w:tcPr>
                  <w:tcW w:w="1017" w:type="dxa"/>
                  <w:vAlign w:val="center"/>
                </w:tcPr>
                <w:p>
                  <w:pPr>
                    <w:widowControl/>
                    <w:adjustRightInd w:val="0"/>
                    <w:snapToGrid w:val="0"/>
                    <w:spacing w:line="240" w:lineRule="auto"/>
                    <w:jc w:val="center"/>
                    <w:textAlignment w:val="center"/>
                    <w:rPr>
                      <w:bCs/>
                      <w:color w:val="000000" w:themeColor="text1"/>
                      <w:kern w:val="0"/>
                      <w:sz w:val="21"/>
                      <w:szCs w:val="21"/>
                      <w14:textFill>
                        <w14:solidFill>
                          <w14:schemeClr w14:val="tx1"/>
                        </w14:solidFill>
                      </w14:textFill>
                    </w:rPr>
                  </w:pPr>
                  <w:r>
                    <w:rPr>
                      <w:rFonts w:hint="eastAsia"/>
                      <w:color w:val="000000" w:themeColor="text1"/>
                      <w:sz w:val="18"/>
                      <w:szCs w:val="18"/>
                      <w14:textFill>
                        <w14:solidFill>
                          <w14:schemeClr w14:val="tx1"/>
                        </w14:solidFill>
                      </w14:textFill>
                    </w:rPr>
                    <w:t>0.0043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7" w:type="dxa"/>
                  <w:gridSpan w:val="2"/>
                  <w:vAlign w:val="center"/>
                </w:tcPr>
                <w:p>
                  <w:pPr>
                    <w:pStyle w:val="22"/>
                    <w:adjustRightInd w:val="0"/>
                    <w:spacing w:line="240" w:lineRule="auto"/>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排放方式</w:t>
                  </w:r>
                </w:p>
              </w:tc>
              <w:tc>
                <w:tcPr>
                  <w:tcW w:w="6289" w:type="dxa"/>
                  <w:gridSpan w:val="6"/>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间接排放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7" w:type="dxa"/>
                  <w:gridSpan w:val="2"/>
                  <w:vAlign w:val="center"/>
                </w:tcPr>
                <w:p>
                  <w:pPr>
                    <w:pStyle w:val="22"/>
                    <w:adjustRightInd w:val="0"/>
                    <w:spacing w:line="240" w:lineRule="auto"/>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排放去向</w:t>
                  </w:r>
                </w:p>
              </w:tc>
              <w:tc>
                <w:tcPr>
                  <w:tcW w:w="6289" w:type="dxa"/>
                  <w:gridSpan w:val="6"/>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园区污水管网，最终</w:t>
                  </w:r>
                  <w:r>
                    <w:rPr>
                      <w:rFonts w:hint="eastAsia"/>
                      <w:bCs/>
                      <w:color w:val="000000" w:themeColor="text1"/>
                      <w:kern w:val="0"/>
                      <w:sz w:val="21"/>
                      <w:szCs w:val="21"/>
                      <w14:textFill>
                        <w14:solidFill>
                          <w14:schemeClr w14:val="tx1"/>
                        </w14:solidFill>
                      </w14:textFill>
                    </w:rPr>
                    <w:t>进入环湖西岸污水处理厂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7" w:type="dxa"/>
                  <w:gridSpan w:val="2"/>
                  <w:vAlign w:val="center"/>
                </w:tcPr>
                <w:p>
                  <w:pPr>
                    <w:pStyle w:val="22"/>
                    <w:adjustRightInd w:val="0"/>
                    <w:spacing w:line="240" w:lineRule="auto"/>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排放规律</w:t>
                  </w:r>
                </w:p>
              </w:tc>
              <w:tc>
                <w:tcPr>
                  <w:tcW w:w="6289" w:type="dxa"/>
                  <w:gridSpan w:val="6"/>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bCs/>
                      <w:color w:val="000000" w:themeColor="text1"/>
                      <w:kern w:val="0"/>
                      <w:sz w:val="21"/>
                      <w:szCs w:val="21"/>
                      <w14:textFill>
                        <w14:solidFill>
                          <w14:schemeClr w14:val="tx1"/>
                        </w14:solidFill>
                      </w14:textFill>
                    </w:rPr>
                  </w:pPr>
                  <w:r>
                    <w:rPr>
                      <w:rFonts w:hint="eastAsia"/>
                      <w:bCs/>
                      <w:color w:val="000000" w:themeColor="text1"/>
                      <w:kern w:val="0"/>
                      <w:sz w:val="21"/>
                      <w:szCs w:val="21"/>
                      <w14:textFill>
                        <w14:solidFill>
                          <w14:schemeClr w14:val="tx1"/>
                        </w14:solidFill>
                      </w14:textFill>
                    </w:rPr>
                    <w:t>非</w:t>
                  </w:r>
                  <w:r>
                    <w:rPr>
                      <w:bCs/>
                      <w:color w:val="000000" w:themeColor="text1"/>
                      <w:kern w:val="0"/>
                      <w:sz w:val="21"/>
                      <w:szCs w:val="21"/>
                      <w14:textFill>
                        <w14:solidFill>
                          <w14:schemeClr w14:val="tx1"/>
                        </w14:solidFill>
                      </w14:textFill>
                    </w:rPr>
                    <w:t>连续排放，流量</w:t>
                  </w:r>
                  <w:r>
                    <w:rPr>
                      <w:rFonts w:hint="eastAsia"/>
                      <w:bCs/>
                      <w:color w:val="000000" w:themeColor="text1"/>
                      <w:kern w:val="0"/>
                      <w:sz w:val="21"/>
                      <w:szCs w:val="21"/>
                      <w14:textFill>
                        <w14:solidFill>
                          <w14:schemeClr w14:val="tx1"/>
                        </w14:solidFill>
                      </w14:textFill>
                    </w:rPr>
                    <w:t>不</w:t>
                  </w:r>
                  <w:r>
                    <w:rPr>
                      <w:bCs/>
                      <w:color w:val="000000" w:themeColor="text1"/>
                      <w:kern w:val="0"/>
                      <w:sz w:val="21"/>
                      <w:szCs w:val="21"/>
                      <w14:textFill>
                        <w14:solidFill>
                          <w14:schemeClr w14:val="tx1"/>
                        </w14:solidFill>
                      </w14:textFill>
                    </w:rPr>
                    <w:t>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7" w:type="dxa"/>
                  <w:gridSpan w:val="2"/>
                  <w:vAlign w:val="center"/>
                </w:tcPr>
                <w:p>
                  <w:pPr>
                    <w:pStyle w:val="22"/>
                    <w:adjustRightInd w:val="0"/>
                    <w:spacing w:line="240" w:lineRule="auto"/>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排放口基本情况</w:t>
                  </w:r>
                </w:p>
              </w:tc>
              <w:tc>
                <w:tcPr>
                  <w:tcW w:w="6289" w:type="dxa"/>
                  <w:gridSpan w:val="6"/>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本项目生活废水依托</w:t>
                  </w:r>
                  <w:r>
                    <w:rPr>
                      <w:rFonts w:hint="eastAsia"/>
                      <w:bCs/>
                      <w:color w:val="000000" w:themeColor="text1"/>
                      <w:kern w:val="0"/>
                      <w:sz w:val="21"/>
                      <w:szCs w:val="21"/>
                      <w14:textFill>
                        <w14:solidFill>
                          <w14:schemeClr w14:val="tx1"/>
                        </w14:solidFill>
                      </w14:textFill>
                    </w:rPr>
                    <w:t>晋宁志诚物流有限责任公司</w:t>
                  </w:r>
                  <w:r>
                    <w:rPr>
                      <w:bCs/>
                      <w:color w:val="000000" w:themeColor="text1"/>
                      <w:kern w:val="0"/>
                      <w:sz w:val="21"/>
                      <w:szCs w:val="21"/>
                      <w14:textFill>
                        <w14:solidFill>
                          <w14:schemeClr w14:val="tx1"/>
                        </w14:solidFill>
                      </w14:textFill>
                    </w:rPr>
                    <w:t>的化粪池处理之后，依托该公司废水排口排放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Merge w:val="restar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废水排口基本情况</w:t>
                  </w:r>
                </w:p>
              </w:tc>
              <w:tc>
                <w:tcPr>
                  <w:tcW w:w="916" w:type="dxa"/>
                  <w:vAlign w:val="center"/>
                </w:tcPr>
                <w:p>
                  <w:pPr>
                    <w:pStyle w:val="22"/>
                    <w:adjustRightInd w:val="0"/>
                    <w:spacing w:line="240" w:lineRule="auto"/>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编号及名称</w:t>
                  </w:r>
                </w:p>
              </w:tc>
              <w:tc>
                <w:tcPr>
                  <w:tcW w:w="6289" w:type="dxa"/>
                  <w:gridSpan w:val="6"/>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生活废水排口，DW001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Merge w:val="continue"/>
                  <w:vAlign w:val="center"/>
                </w:tcPr>
                <w:p>
                  <w:pPr>
                    <w:pStyle w:val="22"/>
                    <w:adjustRightInd w:val="0"/>
                    <w:spacing w:line="240" w:lineRule="auto"/>
                    <w:jc w:val="center"/>
                    <w:rPr>
                      <w:bCs/>
                      <w:color w:val="000000" w:themeColor="text1"/>
                      <w:sz w:val="21"/>
                      <w:szCs w:val="21"/>
                      <w14:textFill>
                        <w14:solidFill>
                          <w14:schemeClr w14:val="tx1"/>
                        </w14:solidFill>
                      </w14:textFill>
                    </w:rPr>
                  </w:pPr>
                </w:p>
              </w:tc>
              <w:tc>
                <w:tcPr>
                  <w:tcW w:w="916" w:type="dxa"/>
                  <w:vAlign w:val="center"/>
                </w:tcPr>
                <w:p>
                  <w:pPr>
                    <w:pStyle w:val="22"/>
                    <w:adjustRightInd w:val="0"/>
                    <w:spacing w:line="240" w:lineRule="auto"/>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类型</w:t>
                  </w:r>
                </w:p>
              </w:tc>
              <w:tc>
                <w:tcPr>
                  <w:tcW w:w="6289" w:type="dxa"/>
                  <w:gridSpan w:val="6"/>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1" w:type="dxa"/>
                  <w:vMerge w:val="continue"/>
                  <w:vAlign w:val="center"/>
                </w:tcPr>
                <w:p>
                  <w:pPr>
                    <w:pStyle w:val="22"/>
                    <w:adjustRightInd w:val="0"/>
                    <w:spacing w:line="240" w:lineRule="auto"/>
                    <w:jc w:val="center"/>
                    <w:rPr>
                      <w:bCs/>
                      <w:color w:val="000000" w:themeColor="text1"/>
                      <w:sz w:val="21"/>
                      <w:szCs w:val="21"/>
                      <w14:textFill>
                        <w14:solidFill>
                          <w14:schemeClr w14:val="tx1"/>
                        </w14:solidFill>
                      </w14:textFill>
                    </w:rPr>
                  </w:pPr>
                </w:p>
              </w:tc>
              <w:tc>
                <w:tcPr>
                  <w:tcW w:w="916" w:type="dxa"/>
                  <w:vAlign w:val="center"/>
                </w:tcPr>
                <w:p>
                  <w:pPr>
                    <w:pStyle w:val="22"/>
                    <w:adjustRightInd w:val="0"/>
                    <w:spacing w:line="240" w:lineRule="auto"/>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地理坐标</w:t>
                  </w:r>
                </w:p>
              </w:tc>
              <w:tc>
                <w:tcPr>
                  <w:tcW w:w="6289" w:type="dxa"/>
                  <w:gridSpan w:val="6"/>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E：102°3</w:t>
                  </w:r>
                  <w:r>
                    <w:rPr>
                      <w:rFonts w:hint="eastAsia"/>
                      <w:bCs/>
                      <w:color w:val="000000" w:themeColor="text1"/>
                      <w:kern w:val="0"/>
                      <w:sz w:val="21"/>
                      <w:szCs w:val="21"/>
                      <w14:textFill>
                        <w14:solidFill>
                          <w14:schemeClr w14:val="tx1"/>
                        </w14:solidFill>
                      </w14:textFill>
                    </w:rPr>
                    <w:t>4</w:t>
                  </w:r>
                  <w:r>
                    <w:rPr>
                      <w:bCs/>
                      <w:color w:val="000000" w:themeColor="text1"/>
                      <w:kern w:val="0"/>
                      <w:sz w:val="21"/>
                      <w:szCs w:val="21"/>
                      <w14:textFill>
                        <w14:solidFill>
                          <w14:schemeClr w14:val="tx1"/>
                        </w14:solidFill>
                      </w14:textFill>
                    </w:rPr>
                    <w:t>′</w:t>
                  </w:r>
                  <w:r>
                    <w:rPr>
                      <w:rFonts w:hint="eastAsia"/>
                      <w:bCs/>
                      <w:color w:val="000000" w:themeColor="text1"/>
                      <w:kern w:val="0"/>
                      <w:sz w:val="21"/>
                      <w:szCs w:val="21"/>
                      <w14:textFill>
                        <w14:solidFill>
                          <w14:schemeClr w14:val="tx1"/>
                        </w14:solidFill>
                      </w14:textFill>
                    </w:rPr>
                    <w:t>28.661</w:t>
                  </w:r>
                  <w:r>
                    <w:rPr>
                      <w:bCs/>
                      <w:color w:val="000000" w:themeColor="text1"/>
                      <w:kern w:val="0"/>
                      <w:sz w:val="21"/>
                      <w:szCs w:val="21"/>
                      <w14:textFill>
                        <w14:solidFill>
                          <w14:schemeClr w14:val="tx1"/>
                        </w14:solidFill>
                      </w14:textFill>
                    </w:rPr>
                    <w:t>″；N：24°4</w:t>
                  </w:r>
                  <w:r>
                    <w:rPr>
                      <w:rFonts w:hint="eastAsia"/>
                      <w:bCs/>
                      <w:color w:val="000000" w:themeColor="text1"/>
                      <w:kern w:val="0"/>
                      <w:sz w:val="21"/>
                      <w:szCs w:val="21"/>
                      <w14:textFill>
                        <w14:solidFill>
                          <w14:schemeClr w14:val="tx1"/>
                        </w14:solidFill>
                      </w14:textFill>
                    </w:rPr>
                    <w:t>2</w:t>
                  </w:r>
                  <w:r>
                    <w:rPr>
                      <w:bCs/>
                      <w:color w:val="000000" w:themeColor="text1"/>
                      <w:kern w:val="0"/>
                      <w:sz w:val="21"/>
                      <w:szCs w:val="21"/>
                      <w14:textFill>
                        <w14:solidFill>
                          <w14:schemeClr w14:val="tx1"/>
                        </w14:solidFill>
                      </w14:textFill>
                    </w:rPr>
                    <w:t>′</w:t>
                  </w:r>
                  <w:r>
                    <w:rPr>
                      <w:rFonts w:hint="eastAsia"/>
                      <w:bCs/>
                      <w:color w:val="000000" w:themeColor="text1"/>
                      <w:kern w:val="0"/>
                      <w:sz w:val="21"/>
                      <w:szCs w:val="21"/>
                      <w14:textFill>
                        <w14:solidFill>
                          <w14:schemeClr w14:val="tx1"/>
                        </w14:solidFill>
                      </w14:textFill>
                    </w:rPr>
                    <w:t>57.067</w:t>
                  </w:r>
                  <w:r>
                    <w:rPr>
                      <w:bCs/>
                      <w:color w:val="000000" w:themeColor="text1"/>
                      <w:kern w:val="0"/>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7" w:type="dxa"/>
                  <w:gridSpan w:val="2"/>
                  <w:vAlign w:val="center"/>
                </w:tcPr>
                <w:p>
                  <w:pPr>
                    <w:pStyle w:val="22"/>
                    <w:adjustRightInd w:val="0"/>
                    <w:spacing w:line="240" w:lineRule="auto"/>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排放标准</w:t>
                  </w:r>
                </w:p>
              </w:tc>
              <w:tc>
                <w:tcPr>
                  <w:tcW w:w="6289" w:type="dxa"/>
                  <w:gridSpan w:val="6"/>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《污水排入城镇下水道水质标准》（GB/T31962-2015）</w:t>
                  </w:r>
                  <w:r>
                    <w:rPr>
                      <w:rFonts w:hint="eastAsia"/>
                      <w:bCs/>
                      <w:color w:val="000000" w:themeColor="text1"/>
                      <w:kern w:val="0"/>
                      <w:sz w:val="21"/>
                      <w:szCs w:val="21"/>
                      <w14:textFill>
                        <w14:solidFill>
                          <w14:schemeClr w14:val="tx1"/>
                        </w14:solidFill>
                      </w14:textFill>
                    </w:rPr>
                    <w:t>表1</w:t>
                  </w:r>
                  <w:r>
                    <w:rPr>
                      <w:bCs/>
                      <w:color w:val="000000" w:themeColor="text1"/>
                      <w:kern w:val="0"/>
                      <w:sz w:val="21"/>
                      <w:szCs w:val="21"/>
                      <w14:textFill>
                        <w14:solidFill>
                          <w14:schemeClr w14:val="tx1"/>
                        </w14:solidFill>
                      </w14:textFill>
                    </w:rPr>
                    <w:t>A级标准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7" w:type="dxa"/>
                  <w:gridSpan w:val="2"/>
                  <w:vMerge w:val="restar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bCs/>
                      <w:color w:val="000000" w:themeColor="text1"/>
                      <w:sz w:val="21"/>
                      <w:szCs w:val="21"/>
                      <w14:textFill>
                        <w14:solidFill>
                          <w14:schemeClr w14:val="tx1"/>
                        </w14:solidFill>
                      </w14:textFill>
                    </w:rPr>
                    <w:t>监测要求</w:t>
                  </w:r>
                </w:p>
              </w:tc>
              <w:tc>
                <w:tcPr>
                  <w:tcW w:w="6289" w:type="dxa"/>
                  <w:gridSpan w:val="6"/>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left"/>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监测点位：化粪池总排口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7" w:type="dxa"/>
                  <w:gridSpan w:val="2"/>
                  <w:vMerge w:val="continue"/>
                  <w:vAlign w:val="center"/>
                </w:tcPr>
                <w:p>
                  <w:pPr>
                    <w:pStyle w:val="22"/>
                    <w:adjustRightInd w:val="0"/>
                    <w:spacing w:line="240" w:lineRule="auto"/>
                    <w:jc w:val="center"/>
                    <w:rPr>
                      <w:bCs/>
                      <w:color w:val="000000" w:themeColor="text1"/>
                      <w:sz w:val="21"/>
                      <w:szCs w:val="21"/>
                      <w14:textFill>
                        <w14:solidFill>
                          <w14:schemeClr w14:val="tx1"/>
                        </w14:solidFill>
                      </w14:textFill>
                    </w:rPr>
                  </w:pPr>
                </w:p>
              </w:tc>
              <w:tc>
                <w:tcPr>
                  <w:tcW w:w="6289" w:type="dxa"/>
                  <w:gridSpan w:val="6"/>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left"/>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监测因子：</w:t>
                  </w:r>
                  <w:r>
                    <w:rPr>
                      <w:rFonts w:hint="eastAsia"/>
                      <w:bCs/>
                      <w:color w:val="000000" w:themeColor="text1"/>
                      <w:kern w:val="0"/>
                      <w:sz w:val="21"/>
                      <w:szCs w:val="21"/>
                      <w14:textFill>
                        <w14:solidFill>
                          <w14:schemeClr w14:val="tx1"/>
                        </w14:solidFill>
                      </w14:textFill>
                    </w:rPr>
                    <w:t>流量、pH、</w:t>
                  </w:r>
                  <w:r>
                    <w:rPr>
                      <w:bCs/>
                      <w:color w:val="000000" w:themeColor="text1"/>
                      <w:kern w:val="0"/>
                      <w:sz w:val="21"/>
                      <w:szCs w:val="21"/>
                      <w14:textFill>
                        <w14:solidFill>
                          <w14:schemeClr w14:val="tx1"/>
                        </w14:solidFill>
                      </w14:textFill>
                    </w:rPr>
                    <w:t>COD、BOD</w:t>
                  </w:r>
                  <w:r>
                    <w:rPr>
                      <w:bCs/>
                      <w:color w:val="000000" w:themeColor="text1"/>
                      <w:kern w:val="0"/>
                      <w:sz w:val="21"/>
                      <w:szCs w:val="21"/>
                      <w:vertAlign w:val="subscript"/>
                      <w14:textFill>
                        <w14:solidFill>
                          <w14:schemeClr w14:val="tx1"/>
                        </w14:solidFill>
                      </w14:textFill>
                    </w:rPr>
                    <w:t>5</w:t>
                  </w:r>
                  <w:r>
                    <w:rPr>
                      <w:bCs/>
                      <w:color w:val="000000" w:themeColor="text1"/>
                      <w:kern w:val="0"/>
                      <w:sz w:val="21"/>
                      <w:szCs w:val="21"/>
                      <w14:textFill>
                        <w14:solidFill>
                          <w14:schemeClr w14:val="tx1"/>
                        </w14:solidFill>
                      </w14:textFill>
                    </w:rPr>
                    <w:t>、NH</w:t>
                  </w:r>
                  <w:r>
                    <w:rPr>
                      <w:bCs/>
                      <w:color w:val="000000" w:themeColor="text1"/>
                      <w:kern w:val="0"/>
                      <w:sz w:val="21"/>
                      <w:szCs w:val="21"/>
                      <w:vertAlign w:val="subscript"/>
                      <w14:textFill>
                        <w14:solidFill>
                          <w14:schemeClr w14:val="tx1"/>
                        </w14:solidFill>
                      </w14:textFill>
                    </w:rPr>
                    <w:t>3</w:t>
                  </w:r>
                  <w:r>
                    <w:rPr>
                      <w:bCs/>
                      <w:color w:val="000000" w:themeColor="text1"/>
                      <w:kern w:val="0"/>
                      <w:sz w:val="21"/>
                      <w:szCs w:val="21"/>
                      <w14:textFill>
                        <w14:solidFill>
                          <w14:schemeClr w14:val="tx1"/>
                        </w14:solidFill>
                      </w14:textFill>
                    </w:rPr>
                    <w:t>-N、TN、TP、动植物油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47" w:type="dxa"/>
                  <w:gridSpan w:val="2"/>
                  <w:vMerge w:val="continue"/>
                  <w:vAlign w:val="center"/>
                </w:tcPr>
                <w:p>
                  <w:pPr>
                    <w:pStyle w:val="22"/>
                    <w:adjustRightInd w:val="0"/>
                    <w:spacing w:line="240" w:lineRule="auto"/>
                    <w:jc w:val="center"/>
                    <w:rPr>
                      <w:bCs/>
                      <w:color w:val="000000" w:themeColor="text1"/>
                      <w:sz w:val="21"/>
                      <w:szCs w:val="21"/>
                      <w14:textFill>
                        <w14:solidFill>
                          <w14:schemeClr w14:val="tx1"/>
                        </w14:solidFill>
                      </w14:textFill>
                    </w:rPr>
                  </w:pPr>
                </w:p>
              </w:tc>
              <w:tc>
                <w:tcPr>
                  <w:tcW w:w="6289" w:type="dxa"/>
                  <w:gridSpan w:val="6"/>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left"/>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监测频次：</w:t>
                  </w:r>
                  <w:r>
                    <w:rPr>
                      <w:bCs/>
                      <w:color w:val="000000" w:themeColor="text1"/>
                      <w:spacing w:val="-10"/>
                      <w:sz w:val="21"/>
                      <w:szCs w:val="21"/>
                      <w14:textFill>
                        <w14:solidFill>
                          <w14:schemeClr w14:val="tx1"/>
                        </w14:solidFill>
                      </w14:textFill>
                    </w:rPr>
                    <w:t>1次/</w:t>
                  </w:r>
                  <w:r>
                    <w:rPr>
                      <w:rFonts w:hint="eastAsia"/>
                      <w:bCs/>
                      <w:color w:val="000000" w:themeColor="text1"/>
                      <w:spacing w:val="-10"/>
                      <w:sz w:val="21"/>
                      <w:szCs w:val="21"/>
                      <w14:textFill>
                        <w14:solidFill>
                          <w14:schemeClr w14:val="tx1"/>
                        </w14:solidFill>
                      </w14:textFill>
                    </w:rPr>
                    <w:t>月</w:t>
                  </w:r>
                </w:p>
              </w:tc>
            </w:tr>
          </w:tbl>
          <w:p>
            <w:pPr>
              <w:pStyle w:val="22"/>
              <w:numPr>
                <w:ilvl w:val="0"/>
                <w:numId w:val="18"/>
              </w:numPr>
              <w:adjustRightInd w:val="0"/>
              <w:ind w:firstLine="482" w:firstLineChars="200"/>
              <w:jc w:val="both"/>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项目废水依托</w:t>
            </w:r>
            <w:r>
              <w:rPr>
                <w:rFonts w:hint="eastAsia"/>
                <w:b/>
                <w:color w:val="000000" w:themeColor="text1"/>
                <w:sz w:val="24"/>
                <w:szCs w:val="24"/>
                <w14:textFill>
                  <w14:solidFill>
                    <w14:schemeClr w14:val="tx1"/>
                  </w14:solidFill>
                </w14:textFill>
              </w:rPr>
              <w:t>晋宁志诚物流有限责任公司</w:t>
            </w:r>
            <w:r>
              <w:rPr>
                <w:b/>
                <w:color w:val="000000" w:themeColor="text1"/>
                <w:sz w:val="24"/>
                <w:szCs w:val="24"/>
                <w14:textFill>
                  <w14:solidFill>
                    <w14:schemeClr w14:val="tx1"/>
                  </w14:solidFill>
                </w14:textFill>
              </w:rPr>
              <w:t>化粪池处理的可行性</w:t>
            </w:r>
          </w:p>
          <w:p>
            <w:pPr>
              <w:pStyle w:val="22"/>
              <w:adjustRightInd w:val="0"/>
              <w:ind w:firstLine="480" w:firstLineChars="200"/>
              <w:jc w:val="both"/>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本项目租用</w:t>
            </w:r>
            <w:r>
              <w:rPr>
                <w:rFonts w:hint="eastAsia"/>
                <w:bCs/>
                <w:color w:val="000000" w:themeColor="text1"/>
                <w:sz w:val="24"/>
                <w:szCs w:val="24"/>
                <w14:textFill>
                  <w14:solidFill>
                    <w14:schemeClr w14:val="tx1"/>
                  </w14:solidFill>
                </w14:textFill>
              </w:rPr>
              <w:t>晋宁志诚物流有限责任公司</w:t>
            </w:r>
            <w:r>
              <w:rPr>
                <w:bCs/>
                <w:color w:val="000000" w:themeColor="text1"/>
                <w:sz w:val="24"/>
                <w:szCs w:val="24"/>
                <w14:textFill>
                  <w14:solidFill>
                    <w14:schemeClr w14:val="tx1"/>
                  </w14:solidFill>
                </w14:textFill>
              </w:rPr>
              <w:t>的厂房、办公楼等进行生产使用，废水仅为生活废水，主要在</w:t>
            </w:r>
            <w:r>
              <w:rPr>
                <w:rFonts w:hint="eastAsia"/>
                <w:bCs/>
                <w:color w:val="000000" w:themeColor="text1"/>
                <w:sz w:val="24"/>
                <w:szCs w:val="24"/>
                <w14:textFill>
                  <w14:solidFill>
                    <w14:schemeClr w14:val="tx1"/>
                  </w14:solidFill>
                </w14:textFill>
              </w:rPr>
              <w:t>晋宁志诚物流有限责任公司</w:t>
            </w:r>
            <w:r>
              <w:rPr>
                <w:bCs/>
                <w:color w:val="000000" w:themeColor="text1"/>
                <w:sz w:val="24"/>
                <w:szCs w:val="24"/>
                <w14:textFill>
                  <w14:solidFill>
                    <w14:schemeClr w14:val="tx1"/>
                  </w14:solidFill>
                </w14:textFill>
              </w:rPr>
              <w:t>办公楼产生，废水收集管道已在建设时统一布设，不能单独收集。依托的化粪池为整个厂区内公司共同使用，根据调查其容积为</w:t>
            </w:r>
            <w:r>
              <w:rPr>
                <w:rFonts w:hint="eastAsia"/>
                <w:bCs/>
                <w:color w:val="000000" w:themeColor="text1"/>
                <w:sz w:val="24"/>
                <w:szCs w:val="24"/>
                <w14:textFill>
                  <w14:solidFill>
                    <w14:schemeClr w14:val="tx1"/>
                  </w14:solidFill>
                </w14:textFill>
              </w:rPr>
              <w:t>5</w:t>
            </w:r>
            <w:r>
              <w:rPr>
                <w:bCs/>
                <w:color w:val="000000" w:themeColor="text1"/>
                <w:sz w:val="24"/>
                <w:szCs w:val="24"/>
                <w14:textFill>
                  <w14:solidFill>
                    <w14:schemeClr w14:val="tx1"/>
                  </w14:solidFill>
                </w14:textFill>
              </w:rPr>
              <w:t>m</w:t>
            </w:r>
            <w:r>
              <w:rPr>
                <w:bCs/>
                <w:color w:val="000000" w:themeColor="text1"/>
                <w:sz w:val="24"/>
                <w:szCs w:val="24"/>
                <w:vertAlign w:val="superscript"/>
                <w14:textFill>
                  <w14:solidFill>
                    <w14:schemeClr w14:val="tx1"/>
                  </w14:solidFill>
                </w14:textFill>
              </w:rPr>
              <w:t>3</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晋宁志诚物流有限责任公司现产生污水量约为1.2m³/d，</w:t>
            </w:r>
            <w:r>
              <w:rPr>
                <w:bCs/>
                <w:color w:val="000000" w:themeColor="text1"/>
                <w:sz w:val="24"/>
                <w:szCs w:val="24"/>
                <w14:textFill>
                  <w14:solidFill>
                    <w14:schemeClr w14:val="tx1"/>
                  </w14:solidFill>
                </w14:textFill>
              </w:rPr>
              <w:t>本项目废水量约为</w:t>
            </w:r>
            <w:r>
              <w:rPr>
                <w:rFonts w:hint="eastAsia"/>
                <w:bCs/>
                <w:color w:val="000000" w:themeColor="text1"/>
                <w:sz w:val="24"/>
                <w:szCs w:val="24"/>
                <w14:textFill>
                  <w14:solidFill>
                    <w14:schemeClr w14:val="tx1"/>
                  </w14:solidFill>
                </w14:textFill>
              </w:rPr>
              <w:t>1.6</w:t>
            </w:r>
            <w:r>
              <w:rPr>
                <w:bCs/>
                <w:color w:val="000000" w:themeColor="text1"/>
                <w:sz w:val="24"/>
                <w:szCs w:val="24"/>
                <w14:textFill>
                  <w14:solidFill>
                    <w14:schemeClr w14:val="tx1"/>
                  </w14:solidFill>
                </w14:textFill>
              </w:rPr>
              <w:t>m</w:t>
            </w:r>
            <w:r>
              <w:rPr>
                <w:bCs/>
                <w:color w:val="000000" w:themeColor="text1"/>
                <w:sz w:val="24"/>
                <w:szCs w:val="24"/>
                <w:vertAlign w:val="superscript"/>
                <w14:textFill>
                  <w14:solidFill>
                    <w14:schemeClr w14:val="tx1"/>
                  </w14:solidFill>
                </w14:textFill>
              </w:rPr>
              <w:t>3</w:t>
            </w:r>
            <w:r>
              <w:rPr>
                <w:bCs/>
                <w:color w:val="000000" w:themeColor="text1"/>
                <w:sz w:val="24"/>
                <w:szCs w:val="24"/>
                <w14:textFill>
                  <w14:solidFill>
                    <w14:schemeClr w14:val="tx1"/>
                  </w14:solidFill>
                </w14:textFill>
              </w:rPr>
              <w:t>/d，远小于其规模</w:t>
            </w:r>
            <w:r>
              <w:rPr>
                <w:rFonts w:hint="eastAsia"/>
                <w:bCs/>
                <w:color w:val="000000" w:themeColor="text1"/>
                <w:sz w:val="24"/>
                <w:szCs w:val="24"/>
                <w14:textFill>
                  <w14:solidFill>
                    <w14:schemeClr w14:val="tx1"/>
                  </w14:solidFill>
                </w14:textFill>
              </w:rPr>
              <w:t>，化粪池容积</w:t>
            </w:r>
            <w:r>
              <w:rPr>
                <w:bCs/>
                <w:color w:val="000000" w:themeColor="text1"/>
                <w:sz w:val="24"/>
                <w:szCs w:val="24"/>
                <w14:textFill>
                  <w14:solidFill>
                    <w14:schemeClr w14:val="tx1"/>
                  </w14:solidFill>
                </w14:textFill>
              </w:rPr>
              <w:t>满足</w:t>
            </w:r>
            <w:r>
              <w:rPr>
                <w:rFonts w:hint="eastAsia"/>
                <w:bCs/>
                <w:color w:val="000000" w:themeColor="text1"/>
                <w:sz w:val="24"/>
                <w:szCs w:val="24"/>
                <w14:textFill>
                  <w14:solidFill>
                    <w14:schemeClr w14:val="tx1"/>
                  </w14:solidFill>
                </w14:textFill>
              </w:rPr>
              <w:t>废水</w:t>
            </w:r>
            <w:r>
              <w:rPr>
                <w:bCs/>
                <w:color w:val="000000" w:themeColor="text1"/>
                <w:sz w:val="24"/>
                <w:szCs w:val="24"/>
                <w14:textFill>
                  <w14:solidFill>
                    <w14:schemeClr w14:val="tx1"/>
                  </w14:solidFill>
                </w14:textFill>
              </w:rPr>
              <w:t>停留48小时</w:t>
            </w:r>
            <w:r>
              <w:rPr>
                <w:rFonts w:hint="eastAsia"/>
                <w:bCs/>
                <w:color w:val="000000" w:themeColor="text1"/>
                <w:sz w:val="24"/>
                <w:szCs w:val="24"/>
                <w14:textFill>
                  <w14:solidFill>
                    <w14:schemeClr w14:val="tx1"/>
                  </w14:solidFill>
                </w14:textFill>
              </w:rPr>
              <w:t>要求</w:t>
            </w:r>
            <w:r>
              <w:rPr>
                <w:bCs/>
                <w:color w:val="000000" w:themeColor="text1"/>
                <w:sz w:val="24"/>
                <w:szCs w:val="24"/>
                <w14:textFill>
                  <w14:solidFill>
                    <w14:schemeClr w14:val="tx1"/>
                  </w14:solidFill>
                </w14:textFill>
              </w:rPr>
              <w:t>。其次化粪池作为生活污水的常规处理设施，其处理工艺是可行的，根据以上分析，本项目废水经化粪池处理后可达标排放。</w:t>
            </w:r>
          </w:p>
          <w:p>
            <w:pPr>
              <w:pStyle w:val="22"/>
              <w:adjustRightInd w:val="0"/>
              <w:ind w:firstLine="480" w:firstLineChars="200"/>
              <w:jc w:val="both"/>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综上，无论从规模，还是工艺上，本项目废水依托</w:t>
            </w:r>
            <w:r>
              <w:rPr>
                <w:rFonts w:hint="eastAsia"/>
                <w:bCs/>
                <w:color w:val="000000" w:themeColor="text1"/>
                <w:sz w:val="24"/>
                <w:szCs w:val="24"/>
                <w14:textFill>
                  <w14:solidFill>
                    <w14:schemeClr w14:val="tx1"/>
                  </w14:solidFill>
                </w14:textFill>
              </w:rPr>
              <w:t>晋宁志诚物流有限责任公司</w:t>
            </w:r>
            <w:r>
              <w:rPr>
                <w:bCs/>
                <w:color w:val="000000" w:themeColor="text1"/>
                <w:sz w:val="24"/>
                <w:szCs w:val="24"/>
                <w14:textFill>
                  <w14:solidFill>
                    <w14:schemeClr w14:val="tx1"/>
                  </w14:solidFill>
                </w14:textFill>
              </w:rPr>
              <w:t>化粪池处理均是可行的。</w:t>
            </w:r>
          </w:p>
          <w:p>
            <w:pPr>
              <w:pStyle w:val="22"/>
              <w:numPr>
                <w:ilvl w:val="0"/>
                <w:numId w:val="18"/>
              </w:numPr>
              <w:adjustRightInd w:val="0"/>
              <w:ind w:firstLine="482" w:firstLineChars="200"/>
              <w:jc w:val="both"/>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项目废水进入环湖西岸污水处理厂处理的可行性</w:t>
            </w:r>
          </w:p>
          <w:p>
            <w:pPr>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根据《晋宁工业园区总体规划修编（2012-2030）环境影响报告书》及其审查意见：“青山工业基地内排水采用分流制排水体制。规划基地整体地势南高北低、东高西低，污水管沿规划道路布设，基地污水最终经下游市政污水干管排入位于基地西北侧的环湖西岸污水处理厂。环湖西岸污水处理厂设计规模近期3000立方米/天，远期6000立方米/天。污水处理工艺采用A/A/O工艺，深度处理工艺采用混凝沉淀过滤工艺，污泥处理采用带式浓缩一体机脱水后外运处置。于2013年已投入运行。”目前环湖西岸污水处理厂运行稳定，接纳范围包含本项目区域，规模可容纳本项目污水量，本项目仅产生生活废水，废水性质符合污水处理厂的接纳范围，</w:t>
            </w:r>
            <w:r>
              <w:rPr>
                <w:rFonts w:hint="eastAsia"/>
                <w:color w:val="000000" w:themeColor="text1"/>
                <w:kern w:val="0"/>
                <w14:textFill>
                  <w14:solidFill>
                    <w14:schemeClr w14:val="tx1"/>
                  </w14:solidFill>
                </w14:textFill>
              </w:rPr>
              <w:t>经化粪池处理后出水可达到</w:t>
            </w:r>
            <w:r>
              <w:rPr>
                <w:bCs/>
                <w:color w:val="000000" w:themeColor="text1"/>
                <w:kern w:val="0"/>
                <w14:textFill>
                  <w14:solidFill>
                    <w14:schemeClr w14:val="tx1"/>
                  </w14:solidFill>
                </w14:textFill>
              </w:rPr>
              <w:t>《污水排入城镇下水道水质标准》（GB/T31962-2015）A级标准</w:t>
            </w:r>
            <w:r>
              <w:rPr>
                <w:rFonts w:hint="eastAsia"/>
                <w:bCs/>
                <w:color w:val="000000" w:themeColor="text1"/>
                <w:kern w:val="0"/>
                <w14:textFill>
                  <w14:solidFill>
                    <w14:schemeClr w14:val="tx1"/>
                  </w14:solidFill>
                </w14:textFill>
              </w:rPr>
              <w:t>，满足污水处理厂进水水质要求，</w:t>
            </w:r>
            <w:r>
              <w:rPr>
                <w:color w:val="000000" w:themeColor="text1"/>
                <w:kern w:val="0"/>
                <w14:textFill>
                  <w14:solidFill>
                    <w14:schemeClr w14:val="tx1"/>
                  </w14:solidFill>
                </w14:textFill>
              </w:rPr>
              <w:t>项目废水排入环湖西岸污水处理厂具备可行性。根据现场勘查，园区内市政污水管网已建成，项目已实现与园区市政管网接管。</w:t>
            </w:r>
          </w:p>
          <w:p>
            <w:pPr>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综上所述，项目废水处理</w:t>
            </w:r>
            <w:r>
              <w:rPr>
                <w:rFonts w:hint="eastAsia"/>
                <w:color w:val="000000" w:themeColor="text1"/>
                <w:kern w:val="0"/>
                <w14:textFill>
                  <w14:solidFill>
                    <w14:schemeClr w14:val="tx1"/>
                  </w14:solidFill>
                </w14:textFill>
              </w:rPr>
              <w:t>进入环湖环湖西岸污水处理厂处理是可行的</w:t>
            </w:r>
            <w:r>
              <w:rPr>
                <w:color w:val="000000" w:themeColor="text1"/>
                <w:kern w:val="0"/>
                <w14:textFill>
                  <w14:solidFill>
                    <w14:schemeClr w14:val="tx1"/>
                  </w14:solidFill>
                </w14:textFill>
              </w:rPr>
              <w:t>。</w:t>
            </w:r>
          </w:p>
          <w:p>
            <w:pPr>
              <w:pStyle w:val="22"/>
              <w:adjustRightInd w:val="0"/>
              <w:jc w:val="both"/>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三、噪声</w:t>
            </w:r>
          </w:p>
          <w:p>
            <w:pPr>
              <w:pStyle w:val="22"/>
              <w:adjustRightInd w:val="0"/>
              <w:ind w:firstLine="482" w:firstLineChars="200"/>
              <w:jc w:val="both"/>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（1）污染源</w:t>
            </w:r>
          </w:p>
          <w:p>
            <w:pPr>
              <w:pStyle w:val="22"/>
              <w:adjustRightInd w:val="0"/>
              <w:ind w:firstLine="480" w:firstLineChars="200"/>
              <w:jc w:val="both"/>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项目运行期不设备用柴油发电机，</w:t>
            </w:r>
            <w:r>
              <w:rPr>
                <w:bCs/>
                <w:color w:val="000000" w:themeColor="text1"/>
                <w:sz w:val="24"/>
                <w:szCs w:val="24"/>
                <w14:textFill>
                  <w14:solidFill>
                    <w14:schemeClr w14:val="tx1"/>
                  </w14:solidFill>
                </w14:textFill>
              </w:rPr>
              <w:t>本项目噪声源统计详见下表。</w:t>
            </w:r>
          </w:p>
          <w:p>
            <w:pPr>
              <w:spacing w:line="240" w:lineRule="auto"/>
              <w:jc w:val="center"/>
              <w:rPr>
                <w:b/>
                <w:color w:val="000000" w:themeColor="text1"/>
                <w:kern w:val="0"/>
                <w14:textFill>
                  <w14:solidFill>
                    <w14:schemeClr w14:val="tx1"/>
                  </w14:solidFill>
                </w14:textFill>
              </w:rPr>
            </w:pPr>
            <w:r>
              <w:rPr>
                <w:b/>
                <w:color w:val="000000" w:themeColor="text1"/>
                <w:kern w:val="0"/>
                <w14:textFill>
                  <w14:solidFill>
                    <w14:schemeClr w14:val="tx1"/>
                  </w14:solidFill>
                </w14:textFill>
              </w:rPr>
              <w:t>表4-</w:t>
            </w:r>
            <w:r>
              <w:rPr>
                <w:rFonts w:hint="eastAsia"/>
                <w:b/>
                <w:color w:val="000000" w:themeColor="text1"/>
                <w:kern w:val="0"/>
                <w14:textFill>
                  <w14:solidFill>
                    <w14:schemeClr w14:val="tx1"/>
                  </w14:solidFill>
                </w14:textFill>
              </w:rPr>
              <w:t>6</w:t>
            </w:r>
            <w:r>
              <w:rPr>
                <w:b/>
                <w:color w:val="000000" w:themeColor="text1"/>
                <w:kern w:val="0"/>
                <w14:textFill>
                  <w14:solidFill>
                    <w14:schemeClr w14:val="tx1"/>
                  </w14:solidFill>
                </w14:textFill>
              </w:rPr>
              <w:t xml:space="preserve">   噪声源统计表</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1"/>
              <w:gridCol w:w="1707"/>
              <w:gridCol w:w="554"/>
              <w:gridCol w:w="1013"/>
              <w:gridCol w:w="699"/>
              <w:gridCol w:w="985"/>
              <w:gridCol w:w="985"/>
              <w:gridCol w:w="1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619" w:type="pct"/>
                  <w:vAlign w:val="center"/>
                </w:tcPr>
                <w:p>
                  <w:pPr>
                    <w:pStyle w:val="62"/>
                    <w:rPr>
                      <w:b/>
                      <w:bCs/>
                      <w:color w:val="000000" w:themeColor="text1"/>
                      <w:kern w:val="0"/>
                      <w:sz w:val="18"/>
                      <w:szCs w:val="18"/>
                      <w14:textFill>
                        <w14:solidFill>
                          <w14:schemeClr w14:val="tx1"/>
                        </w14:solidFill>
                      </w14:textFill>
                    </w:rPr>
                  </w:pPr>
                  <w:r>
                    <w:rPr>
                      <w:b/>
                      <w:bCs/>
                      <w:color w:val="000000" w:themeColor="text1"/>
                      <w:kern w:val="0"/>
                      <w:sz w:val="18"/>
                      <w:szCs w:val="18"/>
                      <w14:textFill>
                        <w14:solidFill>
                          <w14:schemeClr w14:val="tx1"/>
                        </w14:solidFill>
                      </w14:textFill>
                    </w:rPr>
                    <w:t>工段</w:t>
                  </w:r>
                </w:p>
              </w:tc>
              <w:tc>
                <w:tcPr>
                  <w:tcW w:w="1076" w:type="pct"/>
                  <w:vAlign w:val="center"/>
                </w:tcPr>
                <w:p>
                  <w:pPr>
                    <w:pStyle w:val="62"/>
                    <w:rPr>
                      <w:b/>
                      <w:bCs/>
                      <w:color w:val="000000" w:themeColor="text1"/>
                      <w:kern w:val="0"/>
                      <w:sz w:val="18"/>
                      <w:szCs w:val="18"/>
                      <w14:textFill>
                        <w14:solidFill>
                          <w14:schemeClr w14:val="tx1"/>
                        </w14:solidFill>
                      </w14:textFill>
                    </w:rPr>
                  </w:pPr>
                  <w:r>
                    <w:rPr>
                      <w:b/>
                      <w:bCs/>
                      <w:color w:val="000000" w:themeColor="text1"/>
                      <w:kern w:val="0"/>
                      <w:sz w:val="18"/>
                      <w:szCs w:val="18"/>
                      <w14:textFill>
                        <w14:solidFill>
                          <w14:schemeClr w14:val="tx1"/>
                        </w14:solidFill>
                      </w14:textFill>
                    </w:rPr>
                    <w:t>污染源</w:t>
                  </w:r>
                </w:p>
              </w:tc>
              <w:tc>
                <w:tcPr>
                  <w:tcW w:w="349" w:type="pct"/>
                  <w:vAlign w:val="center"/>
                </w:tcPr>
                <w:p>
                  <w:pPr>
                    <w:pStyle w:val="62"/>
                    <w:rPr>
                      <w:b/>
                      <w:bCs/>
                      <w:color w:val="000000" w:themeColor="text1"/>
                      <w:kern w:val="0"/>
                      <w:sz w:val="18"/>
                      <w:szCs w:val="18"/>
                      <w14:textFill>
                        <w14:solidFill>
                          <w14:schemeClr w14:val="tx1"/>
                        </w14:solidFill>
                      </w14:textFill>
                    </w:rPr>
                  </w:pPr>
                  <w:r>
                    <w:rPr>
                      <w:b/>
                      <w:bCs/>
                      <w:color w:val="000000" w:themeColor="text1"/>
                      <w:kern w:val="0"/>
                      <w:sz w:val="18"/>
                      <w:szCs w:val="18"/>
                      <w14:textFill>
                        <w14:solidFill>
                          <w14:schemeClr w14:val="tx1"/>
                        </w14:solidFill>
                      </w14:textFill>
                    </w:rPr>
                    <w:t>数量</w:t>
                  </w:r>
                </w:p>
              </w:tc>
              <w:tc>
                <w:tcPr>
                  <w:tcW w:w="639" w:type="pct"/>
                  <w:vAlign w:val="center"/>
                </w:tcPr>
                <w:p>
                  <w:pPr>
                    <w:pStyle w:val="62"/>
                    <w:snapToGrid w:val="0"/>
                    <w:rPr>
                      <w:b/>
                      <w:bCs/>
                      <w:color w:val="000000" w:themeColor="text1"/>
                      <w:kern w:val="0"/>
                      <w:sz w:val="18"/>
                      <w:szCs w:val="18"/>
                      <w14:textFill>
                        <w14:solidFill>
                          <w14:schemeClr w14:val="tx1"/>
                        </w14:solidFill>
                      </w14:textFill>
                    </w:rPr>
                  </w:pPr>
                  <w:r>
                    <w:rPr>
                      <w:b/>
                      <w:bCs/>
                      <w:color w:val="000000" w:themeColor="text1"/>
                      <w:kern w:val="0"/>
                      <w:sz w:val="18"/>
                      <w:szCs w:val="18"/>
                      <w14:textFill>
                        <w14:solidFill>
                          <w14:schemeClr w14:val="tx1"/>
                        </w14:solidFill>
                      </w14:textFill>
                    </w:rPr>
                    <w:t>产生强度</w:t>
                  </w:r>
                </w:p>
                <w:p>
                  <w:pPr>
                    <w:pStyle w:val="62"/>
                    <w:rPr>
                      <w:b/>
                      <w:bCs/>
                      <w:color w:val="000000" w:themeColor="text1"/>
                      <w:kern w:val="0"/>
                      <w:sz w:val="18"/>
                      <w:szCs w:val="18"/>
                      <w14:textFill>
                        <w14:solidFill>
                          <w14:schemeClr w14:val="tx1"/>
                        </w14:solidFill>
                      </w14:textFill>
                    </w:rPr>
                  </w:pPr>
                  <w:r>
                    <w:rPr>
                      <w:b/>
                      <w:bCs/>
                      <w:color w:val="000000" w:themeColor="text1"/>
                      <w:kern w:val="0"/>
                      <w:sz w:val="18"/>
                      <w:szCs w:val="18"/>
                      <w14:textFill>
                        <w14:solidFill>
                          <w14:schemeClr w14:val="tx1"/>
                        </w14:solidFill>
                      </w14:textFill>
                    </w:rPr>
                    <w:t>dB（A）</w:t>
                  </w:r>
                </w:p>
              </w:tc>
              <w:tc>
                <w:tcPr>
                  <w:tcW w:w="441" w:type="pct"/>
                  <w:vAlign w:val="center"/>
                </w:tcPr>
                <w:p>
                  <w:pPr>
                    <w:pStyle w:val="62"/>
                    <w:rPr>
                      <w:b/>
                      <w:bCs/>
                      <w:color w:val="000000" w:themeColor="text1"/>
                      <w:kern w:val="0"/>
                      <w:sz w:val="18"/>
                      <w:szCs w:val="18"/>
                      <w14:textFill>
                        <w14:solidFill>
                          <w14:schemeClr w14:val="tx1"/>
                        </w14:solidFill>
                      </w14:textFill>
                    </w:rPr>
                  </w:pPr>
                  <w:r>
                    <w:rPr>
                      <w:b/>
                      <w:bCs/>
                      <w:color w:val="000000" w:themeColor="text1"/>
                      <w:kern w:val="0"/>
                      <w:sz w:val="18"/>
                      <w:szCs w:val="18"/>
                      <w14:textFill>
                        <w14:solidFill>
                          <w14:schemeClr w14:val="tx1"/>
                        </w14:solidFill>
                      </w14:textFill>
                    </w:rPr>
                    <w:t>降噪措施</w:t>
                  </w:r>
                </w:p>
              </w:tc>
              <w:tc>
                <w:tcPr>
                  <w:tcW w:w="621" w:type="pct"/>
                  <w:vAlign w:val="center"/>
                </w:tcPr>
                <w:p>
                  <w:pPr>
                    <w:pStyle w:val="62"/>
                    <w:snapToGrid w:val="0"/>
                    <w:rPr>
                      <w:b/>
                      <w:bCs/>
                      <w:color w:val="000000" w:themeColor="text1"/>
                      <w:kern w:val="0"/>
                      <w:sz w:val="18"/>
                      <w:szCs w:val="18"/>
                      <w14:textFill>
                        <w14:solidFill>
                          <w14:schemeClr w14:val="tx1"/>
                        </w14:solidFill>
                      </w14:textFill>
                    </w:rPr>
                  </w:pPr>
                  <w:r>
                    <w:rPr>
                      <w:b/>
                      <w:bCs/>
                      <w:color w:val="000000" w:themeColor="text1"/>
                      <w:kern w:val="0"/>
                      <w:sz w:val="18"/>
                      <w:szCs w:val="18"/>
                      <w14:textFill>
                        <w14:solidFill>
                          <w14:schemeClr w14:val="tx1"/>
                        </w14:solidFill>
                      </w14:textFill>
                    </w:rPr>
                    <w:t>排放强度</w:t>
                  </w:r>
                </w:p>
                <w:p>
                  <w:pPr>
                    <w:pStyle w:val="62"/>
                    <w:rPr>
                      <w:b/>
                      <w:bCs/>
                      <w:color w:val="000000" w:themeColor="text1"/>
                      <w:kern w:val="0"/>
                      <w:sz w:val="18"/>
                      <w:szCs w:val="18"/>
                      <w14:textFill>
                        <w14:solidFill>
                          <w14:schemeClr w14:val="tx1"/>
                        </w14:solidFill>
                      </w14:textFill>
                    </w:rPr>
                  </w:pPr>
                  <w:r>
                    <w:rPr>
                      <w:b/>
                      <w:bCs/>
                      <w:color w:val="000000" w:themeColor="text1"/>
                      <w:kern w:val="0"/>
                      <w:sz w:val="18"/>
                      <w:szCs w:val="18"/>
                      <w14:textFill>
                        <w14:solidFill>
                          <w14:schemeClr w14:val="tx1"/>
                        </w14:solidFill>
                      </w14:textFill>
                    </w:rPr>
                    <w:t>dB（A）</w:t>
                  </w:r>
                </w:p>
              </w:tc>
              <w:tc>
                <w:tcPr>
                  <w:tcW w:w="621" w:type="pct"/>
                  <w:vAlign w:val="center"/>
                </w:tcPr>
                <w:p>
                  <w:pPr>
                    <w:pStyle w:val="62"/>
                    <w:snapToGrid w:val="0"/>
                    <w:rPr>
                      <w:b/>
                      <w:bCs/>
                      <w:color w:val="000000" w:themeColor="text1"/>
                      <w:kern w:val="0"/>
                      <w:sz w:val="18"/>
                      <w:szCs w:val="18"/>
                      <w14:textFill>
                        <w14:solidFill>
                          <w14:schemeClr w14:val="tx1"/>
                        </w14:solidFill>
                      </w14:textFill>
                    </w:rPr>
                  </w:pPr>
                  <w:r>
                    <w:rPr>
                      <w:b/>
                      <w:bCs/>
                      <w:color w:val="000000" w:themeColor="text1"/>
                      <w:kern w:val="0"/>
                      <w:sz w:val="18"/>
                      <w:szCs w:val="18"/>
                      <w14:textFill>
                        <w14:solidFill>
                          <w14:schemeClr w14:val="tx1"/>
                        </w14:solidFill>
                      </w14:textFill>
                    </w:rPr>
                    <w:t>叠加强度</w:t>
                  </w:r>
                </w:p>
                <w:p>
                  <w:pPr>
                    <w:pStyle w:val="62"/>
                    <w:rPr>
                      <w:b/>
                      <w:bCs/>
                      <w:color w:val="000000" w:themeColor="text1"/>
                      <w:kern w:val="0"/>
                      <w:sz w:val="18"/>
                      <w:szCs w:val="18"/>
                      <w14:textFill>
                        <w14:solidFill>
                          <w14:schemeClr w14:val="tx1"/>
                        </w14:solidFill>
                      </w14:textFill>
                    </w:rPr>
                  </w:pPr>
                  <w:r>
                    <w:rPr>
                      <w:b/>
                      <w:bCs/>
                      <w:color w:val="000000" w:themeColor="text1"/>
                      <w:kern w:val="0"/>
                      <w:sz w:val="18"/>
                      <w:szCs w:val="18"/>
                      <w14:textFill>
                        <w14:solidFill>
                          <w14:schemeClr w14:val="tx1"/>
                        </w14:solidFill>
                      </w14:textFill>
                    </w:rPr>
                    <w:t>dB（A）</w:t>
                  </w:r>
                </w:p>
              </w:tc>
              <w:tc>
                <w:tcPr>
                  <w:tcW w:w="631" w:type="pct"/>
                  <w:vAlign w:val="center"/>
                </w:tcPr>
                <w:p>
                  <w:pPr>
                    <w:pStyle w:val="62"/>
                    <w:snapToGrid w:val="0"/>
                    <w:rPr>
                      <w:b/>
                      <w:bCs/>
                      <w:color w:val="000000" w:themeColor="text1"/>
                      <w:kern w:val="0"/>
                      <w:sz w:val="18"/>
                      <w:szCs w:val="18"/>
                      <w14:textFill>
                        <w14:solidFill>
                          <w14:schemeClr w14:val="tx1"/>
                        </w14:solidFill>
                      </w14:textFill>
                    </w:rPr>
                  </w:pPr>
                  <w:r>
                    <w:rPr>
                      <w:b/>
                      <w:bCs/>
                      <w:color w:val="000000" w:themeColor="text1"/>
                      <w:kern w:val="0"/>
                      <w:sz w:val="18"/>
                      <w:szCs w:val="18"/>
                      <w14:textFill>
                        <w14:solidFill>
                          <w14:schemeClr w14:val="tx1"/>
                        </w14:solidFill>
                      </w14:textFill>
                    </w:rPr>
                    <w:t>持续时间</w:t>
                  </w:r>
                </w:p>
                <w:p>
                  <w:pPr>
                    <w:pStyle w:val="62"/>
                    <w:rPr>
                      <w:b/>
                      <w:bCs/>
                      <w:color w:val="000000" w:themeColor="text1"/>
                      <w:kern w:val="0"/>
                      <w:sz w:val="18"/>
                      <w:szCs w:val="18"/>
                      <w14:textFill>
                        <w14:solidFill>
                          <w14:schemeClr w14:val="tx1"/>
                        </w14:solidFill>
                      </w14:textFill>
                    </w:rPr>
                  </w:pPr>
                  <w:r>
                    <w:rPr>
                      <w:b/>
                      <w:bCs/>
                      <w:color w:val="000000" w:themeColor="text1"/>
                      <w:kern w:val="0"/>
                      <w:sz w:val="18"/>
                      <w:szCs w:val="18"/>
                      <w14:textFill>
                        <w14:solidFill>
                          <w14:schemeClr w14:val="tx1"/>
                        </w14:solidFill>
                      </w14:textFill>
                    </w:rPr>
                    <w:t>（h/d）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619" w:type="pct"/>
                  <w:vMerge w:val="restart"/>
                  <w:vAlign w:val="center"/>
                </w:tcPr>
                <w:p>
                  <w:pPr>
                    <w:pStyle w:val="62"/>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焊接工段</w:t>
                  </w:r>
                </w:p>
              </w:tc>
              <w:tc>
                <w:tcPr>
                  <w:tcW w:w="1076" w:type="pct"/>
                  <w:vAlign w:val="center"/>
                </w:tcPr>
                <w:p>
                  <w:pPr>
                    <w:pStyle w:val="24"/>
                    <w:shd w:val="clear" w:color="000000" w:fill="FFFFFF"/>
                    <w:spacing w:before="0" w:beforeAutospacing="0" w:after="0" w:afterAutospacing="0" w:line="240" w:lineRule="auto"/>
                    <w:jc w:val="center"/>
                    <w:rPr>
                      <w:rFonts w:ascii="Times New Roman" w:hAnsi="Times New Roman"/>
                      <w:color w:val="000000" w:themeColor="text1"/>
                      <w:sz w:val="18"/>
                      <w:szCs w:val="18"/>
                      <w14:textFill>
                        <w14:solidFill>
                          <w14:schemeClr w14:val="tx1"/>
                        </w14:solidFill>
                      </w14:textFill>
                    </w:rPr>
                  </w:pPr>
                  <w:r>
                    <w:rPr>
                      <w:rFonts w:ascii="Times New Roman" w:hAnsi="Times New Roman"/>
                      <w:color w:val="000000" w:themeColor="text1"/>
                      <w:sz w:val="18"/>
                      <w:szCs w:val="18"/>
                      <w14:textFill>
                        <w14:solidFill>
                          <w14:schemeClr w14:val="tx1"/>
                        </w14:solidFill>
                      </w14:textFill>
                    </w:rPr>
                    <w:t>二氧化碳保护焊机</w:t>
                  </w:r>
                </w:p>
              </w:tc>
              <w:tc>
                <w:tcPr>
                  <w:tcW w:w="349" w:type="pct"/>
                  <w:vAlign w:val="center"/>
                </w:tcPr>
                <w:p>
                  <w:pPr>
                    <w:pStyle w:val="62"/>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w:t>
                  </w:r>
                </w:p>
              </w:tc>
              <w:tc>
                <w:tcPr>
                  <w:tcW w:w="639" w:type="pct"/>
                  <w:vAlign w:val="center"/>
                </w:tcPr>
                <w:p>
                  <w:pPr>
                    <w:pStyle w:val="62"/>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70</w:t>
                  </w:r>
                </w:p>
              </w:tc>
              <w:tc>
                <w:tcPr>
                  <w:tcW w:w="441" w:type="pct"/>
                  <w:vMerge w:val="restart"/>
                  <w:vAlign w:val="center"/>
                </w:tcPr>
                <w:p>
                  <w:pPr>
                    <w:pStyle w:val="62"/>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厂房隔声</w:t>
                  </w:r>
                </w:p>
              </w:tc>
              <w:tc>
                <w:tcPr>
                  <w:tcW w:w="621" w:type="pct"/>
                  <w:vAlign w:val="center"/>
                </w:tcPr>
                <w:p>
                  <w:pPr>
                    <w:pStyle w:val="62"/>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60</w:t>
                  </w:r>
                </w:p>
              </w:tc>
              <w:tc>
                <w:tcPr>
                  <w:tcW w:w="621" w:type="pct"/>
                  <w:vMerge w:val="restart"/>
                  <w:vAlign w:val="center"/>
                </w:tcPr>
                <w:p>
                  <w:pPr>
                    <w:pStyle w:val="62"/>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79.2</w:t>
                  </w:r>
                </w:p>
              </w:tc>
              <w:tc>
                <w:tcPr>
                  <w:tcW w:w="631" w:type="pct"/>
                  <w:vAlign w:val="center"/>
                </w:tcPr>
                <w:p>
                  <w:pPr>
                    <w:pStyle w:val="62"/>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619" w:type="pct"/>
                  <w:vMerge w:val="continue"/>
                  <w:vAlign w:val="center"/>
                </w:tcPr>
                <w:p>
                  <w:pPr>
                    <w:pStyle w:val="62"/>
                    <w:rPr>
                      <w:color w:val="000000" w:themeColor="text1"/>
                      <w:kern w:val="0"/>
                      <w:sz w:val="18"/>
                      <w:szCs w:val="18"/>
                      <w14:textFill>
                        <w14:solidFill>
                          <w14:schemeClr w14:val="tx1"/>
                        </w14:solidFill>
                      </w14:textFill>
                    </w:rPr>
                  </w:pPr>
                </w:p>
              </w:tc>
              <w:tc>
                <w:tcPr>
                  <w:tcW w:w="1076" w:type="pct"/>
                  <w:vAlign w:val="center"/>
                </w:tcPr>
                <w:p>
                  <w:pPr>
                    <w:pStyle w:val="24"/>
                    <w:shd w:val="clear" w:color="000000" w:fill="FFFFFF"/>
                    <w:spacing w:before="0" w:beforeAutospacing="0" w:after="0" w:afterAutospacing="0" w:line="240" w:lineRule="auto"/>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直</w:t>
                  </w:r>
                  <w:r>
                    <w:rPr>
                      <w:rFonts w:ascii="Times New Roman" w:hAnsi="Times New Roman"/>
                      <w:color w:val="000000" w:themeColor="text1"/>
                      <w:sz w:val="18"/>
                      <w:szCs w:val="18"/>
                      <w14:textFill>
                        <w14:solidFill>
                          <w14:schemeClr w14:val="tx1"/>
                        </w14:solidFill>
                      </w14:textFill>
                    </w:rPr>
                    <w:t>流</w:t>
                  </w:r>
                  <w:r>
                    <w:rPr>
                      <w:rFonts w:hint="eastAsia" w:ascii="Times New Roman" w:hAnsi="Times New Roman"/>
                      <w:color w:val="000000" w:themeColor="text1"/>
                      <w:sz w:val="18"/>
                      <w:szCs w:val="18"/>
                      <w14:textFill>
                        <w14:solidFill>
                          <w14:schemeClr w14:val="tx1"/>
                        </w14:solidFill>
                      </w14:textFill>
                    </w:rPr>
                    <w:t>电</w:t>
                  </w:r>
                  <w:r>
                    <w:rPr>
                      <w:rFonts w:ascii="Times New Roman" w:hAnsi="Times New Roman"/>
                      <w:color w:val="000000" w:themeColor="text1"/>
                      <w:sz w:val="18"/>
                      <w:szCs w:val="18"/>
                      <w14:textFill>
                        <w14:solidFill>
                          <w14:schemeClr w14:val="tx1"/>
                        </w14:solidFill>
                      </w14:textFill>
                    </w:rPr>
                    <w:t>焊机</w:t>
                  </w:r>
                </w:p>
              </w:tc>
              <w:tc>
                <w:tcPr>
                  <w:tcW w:w="349" w:type="pct"/>
                  <w:vAlign w:val="center"/>
                </w:tcPr>
                <w:p>
                  <w:pPr>
                    <w:pStyle w:val="62"/>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w:t>
                  </w:r>
                </w:p>
              </w:tc>
              <w:tc>
                <w:tcPr>
                  <w:tcW w:w="639" w:type="pct"/>
                  <w:vAlign w:val="center"/>
                </w:tcPr>
                <w:p>
                  <w:pPr>
                    <w:pStyle w:val="62"/>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70</w:t>
                  </w:r>
                </w:p>
              </w:tc>
              <w:tc>
                <w:tcPr>
                  <w:tcW w:w="441" w:type="pct"/>
                  <w:vMerge w:val="continue"/>
                  <w:vAlign w:val="center"/>
                </w:tcPr>
                <w:p>
                  <w:pPr>
                    <w:pStyle w:val="62"/>
                    <w:rPr>
                      <w:color w:val="000000" w:themeColor="text1"/>
                      <w:kern w:val="0"/>
                      <w:sz w:val="18"/>
                      <w:szCs w:val="18"/>
                      <w14:textFill>
                        <w14:solidFill>
                          <w14:schemeClr w14:val="tx1"/>
                        </w14:solidFill>
                      </w14:textFill>
                    </w:rPr>
                  </w:pPr>
                </w:p>
              </w:tc>
              <w:tc>
                <w:tcPr>
                  <w:tcW w:w="621" w:type="pct"/>
                  <w:vAlign w:val="center"/>
                </w:tcPr>
                <w:p>
                  <w:pPr>
                    <w:pStyle w:val="62"/>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60</w:t>
                  </w:r>
                </w:p>
              </w:tc>
              <w:tc>
                <w:tcPr>
                  <w:tcW w:w="621" w:type="pct"/>
                  <w:vMerge w:val="continue"/>
                  <w:vAlign w:val="center"/>
                </w:tcPr>
                <w:p>
                  <w:pPr>
                    <w:pStyle w:val="62"/>
                    <w:rPr>
                      <w:color w:val="000000" w:themeColor="text1"/>
                      <w:kern w:val="0"/>
                      <w:sz w:val="18"/>
                      <w:szCs w:val="18"/>
                      <w14:textFill>
                        <w14:solidFill>
                          <w14:schemeClr w14:val="tx1"/>
                        </w14:solidFill>
                      </w14:textFill>
                    </w:rPr>
                  </w:pPr>
                </w:p>
              </w:tc>
              <w:tc>
                <w:tcPr>
                  <w:tcW w:w="631" w:type="pct"/>
                  <w:vAlign w:val="center"/>
                </w:tcPr>
                <w:p>
                  <w:pPr>
                    <w:pStyle w:val="62"/>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619" w:type="pct"/>
                  <w:vMerge w:val="continue"/>
                  <w:vAlign w:val="center"/>
                </w:tcPr>
                <w:p>
                  <w:pPr>
                    <w:pStyle w:val="62"/>
                    <w:rPr>
                      <w:color w:val="000000" w:themeColor="text1"/>
                      <w:kern w:val="0"/>
                      <w:sz w:val="18"/>
                      <w:szCs w:val="18"/>
                      <w14:textFill>
                        <w14:solidFill>
                          <w14:schemeClr w14:val="tx1"/>
                        </w14:solidFill>
                      </w14:textFill>
                    </w:rPr>
                  </w:pPr>
                </w:p>
              </w:tc>
              <w:tc>
                <w:tcPr>
                  <w:tcW w:w="1076" w:type="pct"/>
                  <w:vAlign w:val="center"/>
                </w:tcPr>
                <w:p>
                  <w:pPr>
                    <w:pStyle w:val="24"/>
                    <w:shd w:val="clear" w:color="000000" w:fill="FFFFFF"/>
                    <w:spacing w:before="0" w:beforeAutospacing="0" w:after="0" w:afterAutospacing="0" w:line="240" w:lineRule="auto"/>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氩</w:t>
                  </w:r>
                  <w:r>
                    <w:rPr>
                      <w:rFonts w:ascii="Times New Roman" w:hAnsi="Times New Roman"/>
                      <w:color w:val="000000" w:themeColor="text1"/>
                      <w:sz w:val="18"/>
                      <w:szCs w:val="18"/>
                      <w14:textFill>
                        <w14:solidFill>
                          <w14:schemeClr w14:val="tx1"/>
                        </w14:solidFill>
                      </w14:textFill>
                    </w:rPr>
                    <w:t>弧焊机</w:t>
                  </w:r>
                </w:p>
              </w:tc>
              <w:tc>
                <w:tcPr>
                  <w:tcW w:w="349" w:type="pct"/>
                  <w:vAlign w:val="center"/>
                </w:tcPr>
                <w:p>
                  <w:pPr>
                    <w:pStyle w:val="62"/>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1</w:t>
                  </w:r>
                </w:p>
              </w:tc>
              <w:tc>
                <w:tcPr>
                  <w:tcW w:w="639" w:type="pct"/>
                  <w:vAlign w:val="center"/>
                </w:tcPr>
                <w:p>
                  <w:pPr>
                    <w:pStyle w:val="62"/>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70</w:t>
                  </w:r>
                </w:p>
              </w:tc>
              <w:tc>
                <w:tcPr>
                  <w:tcW w:w="441" w:type="pct"/>
                  <w:vMerge w:val="continue"/>
                  <w:vAlign w:val="center"/>
                </w:tcPr>
                <w:p>
                  <w:pPr>
                    <w:pStyle w:val="62"/>
                    <w:rPr>
                      <w:color w:val="000000" w:themeColor="text1"/>
                      <w:kern w:val="0"/>
                      <w:sz w:val="18"/>
                      <w:szCs w:val="18"/>
                      <w14:textFill>
                        <w14:solidFill>
                          <w14:schemeClr w14:val="tx1"/>
                        </w14:solidFill>
                      </w14:textFill>
                    </w:rPr>
                  </w:pPr>
                </w:p>
              </w:tc>
              <w:tc>
                <w:tcPr>
                  <w:tcW w:w="621" w:type="pct"/>
                  <w:vAlign w:val="center"/>
                </w:tcPr>
                <w:p>
                  <w:pPr>
                    <w:pStyle w:val="62"/>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60</w:t>
                  </w:r>
                </w:p>
              </w:tc>
              <w:tc>
                <w:tcPr>
                  <w:tcW w:w="621" w:type="pct"/>
                  <w:vMerge w:val="continue"/>
                  <w:vAlign w:val="center"/>
                </w:tcPr>
                <w:p>
                  <w:pPr>
                    <w:pStyle w:val="62"/>
                    <w:rPr>
                      <w:color w:val="000000" w:themeColor="text1"/>
                      <w:kern w:val="0"/>
                      <w:sz w:val="18"/>
                      <w:szCs w:val="18"/>
                      <w14:textFill>
                        <w14:solidFill>
                          <w14:schemeClr w14:val="tx1"/>
                        </w14:solidFill>
                      </w14:textFill>
                    </w:rPr>
                  </w:pPr>
                </w:p>
              </w:tc>
              <w:tc>
                <w:tcPr>
                  <w:tcW w:w="631" w:type="pct"/>
                  <w:vAlign w:val="center"/>
                </w:tcPr>
                <w:p>
                  <w:pPr>
                    <w:pStyle w:val="62"/>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619" w:type="pct"/>
                  <w:vMerge w:val="restart"/>
                  <w:vAlign w:val="center"/>
                </w:tcPr>
                <w:p>
                  <w:pPr>
                    <w:pStyle w:val="62"/>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组装工段</w:t>
                  </w:r>
                </w:p>
              </w:tc>
              <w:tc>
                <w:tcPr>
                  <w:tcW w:w="1076" w:type="pct"/>
                  <w:vAlign w:val="center"/>
                </w:tcPr>
                <w:p>
                  <w:pPr>
                    <w:pStyle w:val="24"/>
                    <w:shd w:val="clear" w:color="000000" w:fill="FFFFFF"/>
                    <w:spacing w:before="0" w:beforeAutospacing="0" w:after="0" w:afterAutospacing="0" w:line="240" w:lineRule="auto"/>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空压机</w:t>
                  </w:r>
                </w:p>
              </w:tc>
              <w:tc>
                <w:tcPr>
                  <w:tcW w:w="349" w:type="pct"/>
                  <w:vAlign w:val="center"/>
                </w:tcPr>
                <w:p>
                  <w:pPr>
                    <w:pStyle w:val="62"/>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1</w:t>
                  </w:r>
                </w:p>
              </w:tc>
              <w:tc>
                <w:tcPr>
                  <w:tcW w:w="639" w:type="pct"/>
                  <w:vAlign w:val="center"/>
                </w:tcPr>
                <w:p>
                  <w:pPr>
                    <w:pStyle w:val="62"/>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65</w:t>
                  </w:r>
                </w:p>
              </w:tc>
              <w:tc>
                <w:tcPr>
                  <w:tcW w:w="441" w:type="pct"/>
                  <w:vMerge w:val="continue"/>
                  <w:vAlign w:val="center"/>
                </w:tcPr>
                <w:p>
                  <w:pPr>
                    <w:pStyle w:val="62"/>
                    <w:rPr>
                      <w:color w:val="000000" w:themeColor="text1"/>
                      <w:kern w:val="0"/>
                      <w:sz w:val="18"/>
                      <w:szCs w:val="18"/>
                      <w14:textFill>
                        <w14:solidFill>
                          <w14:schemeClr w14:val="tx1"/>
                        </w14:solidFill>
                      </w14:textFill>
                    </w:rPr>
                  </w:pPr>
                </w:p>
              </w:tc>
              <w:tc>
                <w:tcPr>
                  <w:tcW w:w="621" w:type="pct"/>
                  <w:vAlign w:val="center"/>
                </w:tcPr>
                <w:p>
                  <w:pPr>
                    <w:pStyle w:val="62"/>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55</w:t>
                  </w:r>
                </w:p>
              </w:tc>
              <w:tc>
                <w:tcPr>
                  <w:tcW w:w="621" w:type="pct"/>
                  <w:vMerge w:val="restart"/>
                  <w:vAlign w:val="center"/>
                </w:tcPr>
                <w:p>
                  <w:pPr>
                    <w:pStyle w:val="62"/>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63.5</w:t>
                  </w:r>
                </w:p>
              </w:tc>
              <w:tc>
                <w:tcPr>
                  <w:tcW w:w="631" w:type="pct"/>
                  <w:vAlign w:val="center"/>
                </w:tcPr>
                <w:p>
                  <w:pPr>
                    <w:pStyle w:val="62"/>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619" w:type="pct"/>
                  <w:vMerge w:val="continue"/>
                  <w:vAlign w:val="center"/>
                </w:tcPr>
                <w:p>
                  <w:pPr>
                    <w:pStyle w:val="62"/>
                    <w:rPr>
                      <w:color w:val="000000" w:themeColor="text1"/>
                      <w:kern w:val="0"/>
                      <w:sz w:val="18"/>
                      <w:szCs w:val="18"/>
                      <w14:textFill>
                        <w14:solidFill>
                          <w14:schemeClr w14:val="tx1"/>
                        </w14:solidFill>
                      </w14:textFill>
                    </w:rPr>
                  </w:pPr>
                </w:p>
              </w:tc>
              <w:tc>
                <w:tcPr>
                  <w:tcW w:w="1076" w:type="pct"/>
                  <w:vAlign w:val="bottom"/>
                </w:tcPr>
                <w:p>
                  <w:pPr>
                    <w:pStyle w:val="24"/>
                    <w:shd w:val="clear" w:color="000000" w:fill="FFFFFF"/>
                    <w:spacing w:before="0" w:beforeAutospacing="0" w:after="0" w:afterAutospacing="0" w:line="240" w:lineRule="auto"/>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电磁钻</w:t>
                  </w:r>
                </w:p>
              </w:tc>
              <w:tc>
                <w:tcPr>
                  <w:tcW w:w="349" w:type="pct"/>
                  <w:vAlign w:val="bottom"/>
                </w:tcPr>
                <w:p>
                  <w:pPr>
                    <w:pStyle w:val="24"/>
                    <w:shd w:val="clear" w:color="000000" w:fill="FFFFFF"/>
                    <w:spacing w:before="0" w:beforeAutospacing="0" w:after="0" w:afterAutospacing="0" w:line="240" w:lineRule="auto"/>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w:t>
                  </w:r>
                </w:p>
              </w:tc>
              <w:tc>
                <w:tcPr>
                  <w:tcW w:w="639" w:type="pct"/>
                  <w:vAlign w:val="bottom"/>
                </w:tcPr>
                <w:p>
                  <w:pPr>
                    <w:pStyle w:val="24"/>
                    <w:shd w:val="clear" w:color="000000" w:fill="FFFFFF"/>
                    <w:spacing w:before="0" w:beforeAutospacing="0" w:after="0" w:afterAutospacing="0" w:line="240" w:lineRule="auto"/>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80</w:t>
                  </w:r>
                </w:p>
              </w:tc>
              <w:tc>
                <w:tcPr>
                  <w:tcW w:w="441" w:type="pct"/>
                  <w:vMerge w:val="continue"/>
                  <w:vAlign w:val="bottom"/>
                </w:tcPr>
                <w:p>
                  <w:pPr>
                    <w:pStyle w:val="24"/>
                    <w:shd w:val="clear" w:color="000000" w:fill="FFFFFF"/>
                    <w:spacing w:before="0" w:beforeAutospacing="0" w:after="0" w:afterAutospacing="0" w:line="240" w:lineRule="auto"/>
                    <w:jc w:val="center"/>
                    <w:rPr>
                      <w:rFonts w:ascii="Times New Roman" w:hAnsi="Times New Roman"/>
                      <w:color w:val="000000" w:themeColor="text1"/>
                      <w:sz w:val="18"/>
                      <w:szCs w:val="18"/>
                      <w14:textFill>
                        <w14:solidFill>
                          <w14:schemeClr w14:val="tx1"/>
                        </w14:solidFill>
                      </w14:textFill>
                    </w:rPr>
                  </w:pPr>
                </w:p>
              </w:tc>
              <w:tc>
                <w:tcPr>
                  <w:tcW w:w="621" w:type="pct"/>
                  <w:vAlign w:val="bottom"/>
                </w:tcPr>
                <w:p>
                  <w:pPr>
                    <w:pStyle w:val="24"/>
                    <w:shd w:val="clear" w:color="000000" w:fill="FFFFFF"/>
                    <w:spacing w:before="0" w:beforeAutospacing="0" w:after="0" w:afterAutospacing="0" w:line="240" w:lineRule="auto"/>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72</w:t>
                  </w:r>
                </w:p>
              </w:tc>
              <w:tc>
                <w:tcPr>
                  <w:tcW w:w="621" w:type="pct"/>
                  <w:vMerge w:val="continue"/>
                  <w:vAlign w:val="bottom"/>
                </w:tcPr>
                <w:p>
                  <w:pPr>
                    <w:pStyle w:val="24"/>
                    <w:shd w:val="clear" w:color="000000" w:fill="FFFFFF"/>
                    <w:spacing w:before="0" w:beforeAutospacing="0" w:after="0" w:afterAutospacing="0" w:line="240" w:lineRule="auto"/>
                    <w:jc w:val="center"/>
                    <w:rPr>
                      <w:rFonts w:ascii="Times New Roman" w:hAnsi="Times New Roman"/>
                      <w:color w:val="000000" w:themeColor="text1"/>
                      <w:sz w:val="18"/>
                      <w:szCs w:val="18"/>
                      <w14:textFill>
                        <w14:solidFill>
                          <w14:schemeClr w14:val="tx1"/>
                        </w14:solidFill>
                      </w14:textFill>
                    </w:rPr>
                  </w:pPr>
                </w:p>
              </w:tc>
              <w:tc>
                <w:tcPr>
                  <w:tcW w:w="631" w:type="pct"/>
                  <w:vAlign w:val="bottom"/>
                </w:tcPr>
                <w:p>
                  <w:pPr>
                    <w:pStyle w:val="24"/>
                    <w:shd w:val="clear" w:color="000000" w:fill="FFFFFF"/>
                    <w:spacing w:before="0" w:beforeAutospacing="0" w:after="0" w:afterAutospacing="0" w:line="240" w:lineRule="auto"/>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619" w:type="pct"/>
                  <w:vAlign w:val="center"/>
                </w:tcPr>
                <w:p>
                  <w:pPr>
                    <w:pStyle w:val="62"/>
                    <w:rPr>
                      <w:color w:val="000000" w:themeColor="text1"/>
                      <w:kern w:val="0"/>
                      <w:sz w:val="18"/>
                      <w:szCs w:val="18"/>
                      <w14:textFill>
                        <w14:solidFill>
                          <w14:schemeClr w14:val="tx1"/>
                        </w14:solidFill>
                      </w14:textFill>
                    </w:rPr>
                  </w:pPr>
                  <w:r>
                    <w:rPr>
                      <w:rFonts w:hint="eastAsia"/>
                      <w:color w:val="000000" w:themeColor="text1"/>
                      <w:kern w:val="0"/>
                      <w:sz w:val="18"/>
                      <w:szCs w:val="18"/>
                      <w14:textFill>
                        <w14:solidFill>
                          <w14:schemeClr w14:val="tx1"/>
                        </w14:solidFill>
                      </w14:textFill>
                    </w:rPr>
                    <w:t>装油工段</w:t>
                  </w:r>
                </w:p>
              </w:tc>
              <w:tc>
                <w:tcPr>
                  <w:tcW w:w="1076" w:type="pct"/>
                  <w:vAlign w:val="bottom"/>
                </w:tcPr>
                <w:p>
                  <w:pPr>
                    <w:pStyle w:val="24"/>
                    <w:shd w:val="clear" w:color="000000" w:fill="FFFFFF"/>
                    <w:spacing w:before="0" w:beforeAutospacing="0" w:after="0" w:afterAutospacing="0" w:line="240" w:lineRule="auto"/>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液压泵站</w:t>
                  </w:r>
                </w:p>
              </w:tc>
              <w:tc>
                <w:tcPr>
                  <w:tcW w:w="349" w:type="pct"/>
                  <w:vAlign w:val="bottom"/>
                </w:tcPr>
                <w:p>
                  <w:pPr>
                    <w:pStyle w:val="24"/>
                    <w:shd w:val="clear" w:color="000000" w:fill="FFFFFF"/>
                    <w:spacing w:before="0" w:beforeAutospacing="0" w:after="0" w:afterAutospacing="0" w:line="240" w:lineRule="auto"/>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1</w:t>
                  </w:r>
                </w:p>
              </w:tc>
              <w:tc>
                <w:tcPr>
                  <w:tcW w:w="639" w:type="pct"/>
                  <w:vAlign w:val="bottom"/>
                </w:tcPr>
                <w:p>
                  <w:pPr>
                    <w:pStyle w:val="24"/>
                    <w:shd w:val="clear" w:color="000000" w:fill="FFFFFF"/>
                    <w:spacing w:before="0" w:beforeAutospacing="0" w:after="0" w:afterAutospacing="0" w:line="240" w:lineRule="auto"/>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65</w:t>
                  </w:r>
                </w:p>
              </w:tc>
              <w:tc>
                <w:tcPr>
                  <w:tcW w:w="441" w:type="pct"/>
                  <w:vMerge w:val="continue"/>
                  <w:vAlign w:val="bottom"/>
                </w:tcPr>
                <w:p>
                  <w:pPr>
                    <w:pStyle w:val="24"/>
                    <w:shd w:val="clear" w:color="000000" w:fill="FFFFFF"/>
                    <w:spacing w:before="0" w:beforeAutospacing="0" w:after="0" w:afterAutospacing="0" w:line="240" w:lineRule="auto"/>
                    <w:jc w:val="center"/>
                    <w:rPr>
                      <w:rFonts w:ascii="Times New Roman" w:hAnsi="Times New Roman"/>
                      <w:color w:val="000000" w:themeColor="text1"/>
                      <w:sz w:val="18"/>
                      <w:szCs w:val="18"/>
                      <w14:textFill>
                        <w14:solidFill>
                          <w14:schemeClr w14:val="tx1"/>
                        </w14:solidFill>
                      </w14:textFill>
                    </w:rPr>
                  </w:pPr>
                </w:p>
              </w:tc>
              <w:tc>
                <w:tcPr>
                  <w:tcW w:w="621" w:type="pct"/>
                  <w:vAlign w:val="bottom"/>
                </w:tcPr>
                <w:p>
                  <w:pPr>
                    <w:pStyle w:val="24"/>
                    <w:shd w:val="clear" w:color="000000" w:fill="FFFFFF"/>
                    <w:spacing w:before="0" w:beforeAutospacing="0" w:after="0" w:afterAutospacing="0" w:line="240" w:lineRule="auto"/>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55</w:t>
                  </w:r>
                </w:p>
              </w:tc>
              <w:tc>
                <w:tcPr>
                  <w:tcW w:w="621" w:type="pct"/>
                  <w:vAlign w:val="bottom"/>
                </w:tcPr>
                <w:p>
                  <w:pPr>
                    <w:pStyle w:val="24"/>
                    <w:shd w:val="clear" w:color="000000" w:fill="FFFFFF"/>
                    <w:spacing w:before="0" w:beforeAutospacing="0" w:after="0" w:afterAutospacing="0" w:line="240" w:lineRule="auto"/>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55</w:t>
                  </w:r>
                </w:p>
              </w:tc>
              <w:tc>
                <w:tcPr>
                  <w:tcW w:w="631" w:type="pct"/>
                  <w:vAlign w:val="bottom"/>
                </w:tcPr>
                <w:p>
                  <w:pPr>
                    <w:pStyle w:val="24"/>
                    <w:shd w:val="clear" w:color="000000" w:fill="FFFFFF"/>
                    <w:spacing w:before="0" w:beforeAutospacing="0" w:after="0" w:afterAutospacing="0" w:line="240" w:lineRule="auto"/>
                    <w:jc w:val="center"/>
                    <w:rPr>
                      <w:rFonts w:ascii="Times New Roman" w:hAnsi="Times New Roman"/>
                      <w:color w:val="000000" w:themeColor="text1"/>
                      <w:sz w:val="18"/>
                      <w:szCs w:val="18"/>
                      <w14:textFill>
                        <w14:solidFill>
                          <w14:schemeClr w14:val="tx1"/>
                        </w14:solidFill>
                      </w14:textFill>
                    </w:rPr>
                  </w:pPr>
                  <w:r>
                    <w:rPr>
                      <w:rFonts w:hint="eastAsia" w:ascii="Times New Roman" w:hAnsi="Times New Roman"/>
                      <w:color w:val="000000" w:themeColor="text1"/>
                      <w:sz w:val="18"/>
                      <w:szCs w:val="18"/>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5000" w:type="pct"/>
                  <w:gridSpan w:val="8"/>
                  <w:vAlign w:val="center"/>
                </w:tcPr>
                <w:p>
                  <w:pPr>
                    <w:pStyle w:val="62"/>
                    <w:snapToGrid w:val="0"/>
                    <w:jc w:val="left"/>
                    <w:rPr>
                      <w:color w:val="000000" w:themeColor="text1"/>
                      <w:kern w:val="0"/>
                      <w:sz w:val="18"/>
                      <w:szCs w:val="18"/>
                      <w14:textFill>
                        <w14:solidFill>
                          <w14:schemeClr w14:val="tx1"/>
                        </w14:solidFill>
                      </w14:textFill>
                    </w:rPr>
                  </w:pPr>
                  <w:r>
                    <w:rPr>
                      <w:color w:val="000000" w:themeColor="text1"/>
                      <w:kern w:val="0"/>
                      <w:sz w:val="18"/>
                      <w:szCs w:val="18"/>
                      <w14:textFill>
                        <w14:solidFill>
                          <w14:schemeClr w14:val="tx1"/>
                        </w14:solidFill>
                      </w14:textFill>
                    </w:rPr>
                    <w:t>注：厂房隔声降噪10dB（A），基础减震降噪10dB（A）。</w:t>
                  </w:r>
                </w:p>
              </w:tc>
            </w:tr>
          </w:tbl>
          <w:p>
            <w:pPr>
              <w:pStyle w:val="22"/>
              <w:adjustRightInd w:val="0"/>
              <w:ind w:firstLine="482" w:firstLineChars="200"/>
              <w:jc w:val="both"/>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（2）达标情况分析</w:t>
            </w:r>
          </w:p>
          <w:p>
            <w:pPr>
              <w:adjustRightInd w:val="0"/>
              <w:snapToGrid w:val="0"/>
              <w:ind w:firstLine="482" w:firstLineChars="200"/>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1）预测模式</w:t>
            </w:r>
          </w:p>
          <w:p>
            <w:pPr>
              <w:adjustRightInd w:val="0"/>
              <w:snapToGrid w:val="0"/>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在考虑噪声扩散衰减的情况下，声环境预测模式按点声源模式预测，预测模式如下：</w:t>
            </w:r>
          </w:p>
          <w:p>
            <w:pPr>
              <w:spacing w:before="10"/>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L</w:t>
            </w:r>
            <w:r>
              <w:rPr>
                <w:color w:val="000000" w:themeColor="text1"/>
                <w:kern w:val="0"/>
                <w:vertAlign w:val="subscript"/>
                <w14:textFill>
                  <w14:solidFill>
                    <w14:schemeClr w14:val="tx1"/>
                  </w14:solidFill>
                </w14:textFill>
              </w:rPr>
              <w:t>A</w:t>
            </w:r>
            <w:r>
              <w:rPr>
                <w:color w:val="000000" w:themeColor="text1"/>
                <w:kern w:val="0"/>
                <w14:textFill>
                  <w14:solidFill>
                    <w14:schemeClr w14:val="tx1"/>
                  </w14:solidFill>
                </w14:textFill>
              </w:rPr>
              <w:t>（r）＝L</w:t>
            </w:r>
            <w:r>
              <w:rPr>
                <w:color w:val="000000" w:themeColor="text1"/>
                <w:kern w:val="0"/>
                <w:vertAlign w:val="subscript"/>
                <w14:textFill>
                  <w14:solidFill>
                    <w14:schemeClr w14:val="tx1"/>
                  </w14:solidFill>
                </w14:textFill>
              </w:rPr>
              <w:t>Aref</w:t>
            </w:r>
            <w:r>
              <w:rPr>
                <w:color w:val="000000" w:themeColor="text1"/>
                <w:kern w:val="0"/>
                <w14:textFill>
                  <w14:solidFill>
                    <w14:schemeClr w14:val="tx1"/>
                  </w14:solidFill>
                </w14:textFill>
              </w:rPr>
              <w:t>（r</w:t>
            </w:r>
            <w:r>
              <w:rPr>
                <w:color w:val="000000" w:themeColor="text1"/>
                <w:kern w:val="0"/>
                <w:vertAlign w:val="subscript"/>
                <w14:textFill>
                  <w14:solidFill>
                    <w14:schemeClr w14:val="tx1"/>
                  </w14:solidFill>
                </w14:textFill>
              </w:rPr>
              <w:t>o</w:t>
            </w:r>
            <w:r>
              <w:rPr>
                <w:color w:val="000000" w:themeColor="text1"/>
                <w:kern w:val="0"/>
                <w14:textFill>
                  <w14:solidFill>
                    <w14:schemeClr w14:val="tx1"/>
                  </w14:solidFill>
                </w14:textFill>
              </w:rPr>
              <w:t>）－(A</w:t>
            </w:r>
            <w:r>
              <w:rPr>
                <w:color w:val="000000" w:themeColor="text1"/>
                <w:kern w:val="0"/>
                <w:vertAlign w:val="subscript"/>
                <w14:textFill>
                  <w14:solidFill>
                    <w14:schemeClr w14:val="tx1"/>
                  </w14:solidFill>
                </w14:textFill>
              </w:rPr>
              <w:t>div</w:t>
            </w:r>
            <w:r>
              <w:rPr>
                <w:color w:val="000000" w:themeColor="text1"/>
                <w:kern w:val="0"/>
                <w14:textFill>
                  <w14:solidFill>
                    <w14:schemeClr w14:val="tx1"/>
                  </w14:solidFill>
                </w14:textFill>
              </w:rPr>
              <w:t>+A</w:t>
            </w:r>
            <w:r>
              <w:rPr>
                <w:color w:val="000000" w:themeColor="text1"/>
                <w:kern w:val="0"/>
                <w:vertAlign w:val="subscript"/>
                <w14:textFill>
                  <w14:solidFill>
                    <w14:schemeClr w14:val="tx1"/>
                  </w14:solidFill>
                </w14:textFill>
              </w:rPr>
              <w:t>bar</w:t>
            </w:r>
            <w:r>
              <w:rPr>
                <w:color w:val="000000" w:themeColor="text1"/>
                <w:kern w:val="0"/>
                <w14:textFill>
                  <w14:solidFill>
                    <w14:schemeClr w14:val="tx1"/>
                  </w14:solidFill>
                </w14:textFill>
              </w:rPr>
              <w:t>+A</w:t>
            </w:r>
            <w:r>
              <w:rPr>
                <w:color w:val="000000" w:themeColor="text1"/>
                <w:kern w:val="0"/>
                <w:vertAlign w:val="subscript"/>
                <w14:textFill>
                  <w14:solidFill>
                    <w14:schemeClr w14:val="tx1"/>
                  </w14:solidFill>
                </w14:textFill>
              </w:rPr>
              <w:t>atm</w:t>
            </w:r>
            <w:r>
              <w:rPr>
                <w:color w:val="000000" w:themeColor="text1"/>
                <w:kern w:val="0"/>
                <w14:textFill>
                  <w14:solidFill>
                    <w14:schemeClr w14:val="tx1"/>
                  </w14:solidFill>
                </w14:textFill>
              </w:rPr>
              <w:t>+A</w:t>
            </w:r>
            <w:r>
              <w:rPr>
                <w:color w:val="000000" w:themeColor="text1"/>
                <w:kern w:val="0"/>
                <w:vertAlign w:val="subscript"/>
                <w14:textFill>
                  <w14:solidFill>
                    <w14:schemeClr w14:val="tx1"/>
                  </w14:solidFill>
                </w14:textFill>
              </w:rPr>
              <w:t>exc</w:t>
            </w:r>
            <w:r>
              <w:rPr>
                <w:color w:val="000000" w:themeColor="text1"/>
                <w:kern w:val="0"/>
                <w14:textFill>
                  <w14:solidFill>
                    <w14:schemeClr w14:val="tx1"/>
                  </w14:solidFill>
                </w14:textFill>
              </w:rPr>
              <w:t>)</w:t>
            </w:r>
          </w:p>
          <w:p>
            <w:pPr>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式中：L</w:t>
            </w:r>
            <w:r>
              <w:rPr>
                <w:color w:val="000000" w:themeColor="text1"/>
                <w:kern w:val="0"/>
                <w:vertAlign w:val="subscript"/>
                <w14:textFill>
                  <w14:solidFill>
                    <w14:schemeClr w14:val="tx1"/>
                  </w14:solidFill>
                </w14:textFill>
              </w:rPr>
              <w:t>A</w:t>
            </w:r>
            <w:r>
              <w:rPr>
                <w:color w:val="000000" w:themeColor="text1"/>
                <w:kern w:val="0"/>
                <w14:textFill>
                  <w14:solidFill>
                    <w14:schemeClr w14:val="tx1"/>
                  </w14:solidFill>
                </w14:textFill>
              </w:rPr>
              <w:t>（r）——距声源r处的A声级，dB；</w:t>
            </w:r>
          </w:p>
          <w:p>
            <w:pPr>
              <w:ind w:firstLine="1200" w:firstLineChars="500"/>
              <w:rPr>
                <w:color w:val="000000" w:themeColor="text1"/>
                <w:kern w:val="0"/>
                <w14:textFill>
                  <w14:solidFill>
                    <w14:schemeClr w14:val="tx1"/>
                  </w14:solidFill>
                </w14:textFill>
              </w:rPr>
            </w:pPr>
            <w:r>
              <w:rPr>
                <w:color w:val="000000" w:themeColor="text1"/>
                <w:kern w:val="0"/>
                <w14:textFill>
                  <w14:solidFill>
                    <w14:schemeClr w14:val="tx1"/>
                  </w14:solidFill>
                </w14:textFill>
              </w:rPr>
              <w:t>L</w:t>
            </w:r>
            <w:r>
              <w:rPr>
                <w:color w:val="000000" w:themeColor="text1"/>
                <w:kern w:val="0"/>
                <w:vertAlign w:val="subscript"/>
                <w14:textFill>
                  <w14:solidFill>
                    <w14:schemeClr w14:val="tx1"/>
                  </w14:solidFill>
                </w14:textFill>
              </w:rPr>
              <w:t>Aref</w:t>
            </w:r>
            <w:r>
              <w:rPr>
                <w:color w:val="000000" w:themeColor="text1"/>
                <w:kern w:val="0"/>
                <w14:textFill>
                  <w14:solidFill>
                    <w14:schemeClr w14:val="tx1"/>
                  </w14:solidFill>
                </w14:textFill>
              </w:rPr>
              <w:t>（r</w:t>
            </w:r>
            <w:r>
              <w:rPr>
                <w:color w:val="000000" w:themeColor="text1"/>
                <w:kern w:val="0"/>
                <w:vertAlign w:val="subscript"/>
                <w14:textFill>
                  <w14:solidFill>
                    <w14:schemeClr w14:val="tx1"/>
                  </w14:solidFill>
                </w14:textFill>
              </w:rPr>
              <w:t>o</w:t>
            </w:r>
            <w:r>
              <w:rPr>
                <w:color w:val="000000" w:themeColor="text1"/>
                <w:kern w:val="0"/>
                <w14:textFill>
                  <w14:solidFill>
                    <w14:schemeClr w14:val="tx1"/>
                  </w14:solidFill>
                </w14:textFill>
              </w:rPr>
              <w:t>）——参考位置r</w:t>
            </w:r>
            <w:r>
              <w:rPr>
                <w:color w:val="000000" w:themeColor="text1"/>
                <w:kern w:val="0"/>
                <w:vertAlign w:val="subscript"/>
                <w14:textFill>
                  <w14:solidFill>
                    <w14:schemeClr w14:val="tx1"/>
                  </w14:solidFill>
                </w14:textFill>
              </w:rPr>
              <w:t>o</w:t>
            </w:r>
            <w:r>
              <w:rPr>
                <w:color w:val="000000" w:themeColor="text1"/>
                <w:kern w:val="0"/>
                <w14:textFill>
                  <w14:solidFill>
                    <w14:schemeClr w14:val="tx1"/>
                  </w14:solidFill>
                </w14:textFill>
              </w:rPr>
              <w:t>处的A声级，dB；</w:t>
            </w:r>
          </w:p>
          <w:p>
            <w:pPr>
              <w:ind w:firstLine="1200" w:firstLineChars="500"/>
              <w:rPr>
                <w:color w:val="000000" w:themeColor="text1"/>
                <w:kern w:val="0"/>
                <w14:textFill>
                  <w14:solidFill>
                    <w14:schemeClr w14:val="tx1"/>
                  </w14:solidFill>
                </w14:textFill>
              </w:rPr>
            </w:pPr>
            <w:r>
              <w:rPr>
                <w:color w:val="000000" w:themeColor="text1"/>
                <w:kern w:val="0"/>
                <w14:textFill>
                  <w14:solidFill>
                    <w14:schemeClr w14:val="tx1"/>
                  </w14:solidFill>
                </w14:textFill>
              </w:rPr>
              <w:t>A</w:t>
            </w:r>
            <w:r>
              <w:rPr>
                <w:color w:val="000000" w:themeColor="text1"/>
                <w:kern w:val="0"/>
                <w:vertAlign w:val="subscript"/>
                <w14:textFill>
                  <w14:solidFill>
                    <w14:schemeClr w14:val="tx1"/>
                  </w14:solidFill>
                </w14:textFill>
              </w:rPr>
              <w:t>div</w:t>
            </w:r>
            <w:r>
              <w:rPr>
                <w:color w:val="000000" w:themeColor="text1"/>
                <w:kern w:val="0"/>
                <w14:textFill>
                  <w14:solidFill>
                    <w14:schemeClr w14:val="tx1"/>
                  </w14:solidFill>
                </w14:textFill>
              </w:rPr>
              <w:t>——声波几何发散引起的A声级衰减量dB，A</w:t>
            </w:r>
            <w:r>
              <w:rPr>
                <w:color w:val="000000" w:themeColor="text1"/>
                <w:kern w:val="0"/>
                <w:vertAlign w:val="subscript"/>
                <w14:textFill>
                  <w14:solidFill>
                    <w14:schemeClr w14:val="tx1"/>
                  </w14:solidFill>
                </w14:textFill>
              </w:rPr>
              <w:t>div</w:t>
            </w:r>
            <w:r>
              <w:rPr>
                <w:color w:val="000000" w:themeColor="text1"/>
                <w:kern w:val="0"/>
                <w14:textFill>
                  <w14:solidFill>
                    <w14:schemeClr w14:val="tx1"/>
                  </w14:solidFill>
                </w14:textFill>
              </w:rPr>
              <w:t>＝20lg（r/r</w:t>
            </w:r>
            <w:r>
              <w:rPr>
                <w:color w:val="000000" w:themeColor="text1"/>
                <w:kern w:val="0"/>
                <w:vertAlign w:val="subscript"/>
                <w14:textFill>
                  <w14:solidFill>
                    <w14:schemeClr w14:val="tx1"/>
                  </w14:solidFill>
                </w14:textFill>
              </w:rPr>
              <w:t>o</w:t>
            </w:r>
            <w:r>
              <w:rPr>
                <w:color w:val="000000" w:themeColor="text1"/>
                <w:kern w:val="0"/>
                <w14:textFill>
                  <w14:solidFill>
                    <w14:schemeClr w14:val="tx1"/>
                  </w14:solidFill>
                </w14:textFill>
              </w:rPr>
              <w:t>）；</w:t>
            </w:r>
          </w:p>
          <w:p>
            <w:pPr>
              <w:ind w:firstLine="1200" w:firstLineChars="500"/>
              <w:rPr>
                <w:color w:val="000000" w:themeColor="text1"/>
                <w:kern w:val="0"/>
                <w14:textFill>
                  <w14:solidFill>
                    <w14:schemeClr w14:val="tx1"/>
                  </w14:solidFill>
                </w14:textFill>
              </w:rPr>
            </w:pPr>
            <w:r>
              <w:rPr>
                <w:color w:val="000000" w:themeColor="text1"/>
                <w:kern w:val="0"/>
                <w14:textFill>
                  <w14:solidFill>
                    <w14:schemeClr w14:val="tx1"/>
                  </w14:solidFill>
                </w14:textFill>
              </w:rPr>
              <w:t>A</w:t>
            </w:r>
            <w:r>
              <w:rPr>
                <w:color w:val="000000" w:themeColor="text1"/>
                <w:kern w:val="0"/>
                <w:vertAlign w:val="subscript"/>
                <w14:textFill>
                  <w14:solidFill>
                    <w14:schemeClr w14:val="tx1"/>
                  </w14:solidFill>
                </w14:textFill>
              </w:rPr>
              <w:t>bar</w:t>
            </w:r>
            <w:r>
              <w:rPr>
                <w:color w:val="000000" w:themeColor="text1"/>
                <w:kern w:val="0"/>
                <w14:textFill>
                  <w14:solidFill>
                    <w14:schemeClr w14:val="tx1"/>
                  </w14:solidFill>
                </w14:textFill>
              </w:rPr>
              <w:t>——遮挡物引起的A声级衰减量dB；源强已考虑10dB（A）；</w:t>
            </w:r>
          </w:p>
          <w:p>
            <w:pPr>
              <w:ind w:left="960" w:leftChars="400" w:firstLine="240" w:firstLineChars="100"/>
              <w:rPr>
                <w:color w:val="000000" w:themeColor="text1"/>
                <w:kern w:val="0"/>
                <w14:textFill>
                  <w14:solidFill>
                    <w14:schemeClr w14:val="tx1"/>
                  </w14:solidFill>
                </w14:textFill>
              </w:rPr>
            </w:pPr>
            <w:r>
              <w:rPr>
                <w:color w:val="000000" w:themeColor="text1"/>
                <w:kern w:val="0"/>
                <w14:textFill>
                  <w14:solidFill>
                    <w14:schemeClr w14:val="tx1"/>
                  </w14:solidFill>
                </w14:textFill>
              </w:rPr>
              <w:t>A</w:t>
            </w:r>
            <w:r>
              <w:rPr>
                <w:color w:val="000000" w:themeColor="text1"/>
                <w:kern w:val="0"/>
                <w:vertAlign w:val="subscript"/>
                <w14:textFill>
                  <w14:solidFill>
                    <w14:schemeClr w14:val="tx1"/>
                  </w14:solidFill>
                </w14:textFill>
              </w:rPr>
              <w:t>atm</w:t>
            </w:r>
            <w:r>
              <w:rPr>
                <w:color w:val="000000" w:themeColor="text1"/>
                <w:kern w:val="0"/>
                <w14:textFill>
                  <w14:solidFill>
                    <w14:schemeClr w14:val="tx1"/>
                  </w14:solidFill>
                </w14:textFill>
              </w:rPr>
              <w:t>——空气吸收引起的A声级衰减量dB，A</w:t>
            </w:r>
            <w:r>
              <w:rPr>
                <w:color w:val="000000" w:themeColor="text1"/>
                <w:kern w:val="0"/>
                <w:vertAlign w:val="subscript"/>
                <w14:textFill>
                  <w14:solidFill>
                    <w14:schemeClr w14:val="tx1"/>
                  </w14:solidFill>
                </w14:textFill>
              </w:rPr>
              <w:t>atm</w:t>
            </w:r>
            <w:r>
              <w:rPr>
                <w:color w:val="000000" w:themeColor="text1"/>
                <w:kern w:val="0"/>
                <w14:textFill>
                  <w14:solidFill>
                    <w14:schemeClr w14:val="tx1"/>
                  </w14:solidFill>
                </w14:textFill>
              </w:rPr>
              <w:t>＝α(r/r</w:t>
            </w:r>
            <w:r>
              <w:rPr>
                <w:color w:val="000000" w:themeColor="text1"/>
                <w:kern w:val="0"/>
                <w:vertAlign w:val="subscript"/>
                <w14:textFill>
                  <w14:solidFill>
                    <w14:schemeClr w14:val="tx1"/>
                  </w14:solidFill>
                </w14:textFill>
              </w:rPr>
              <w:t>o</w:t>
            </w:r>
            <w:r>
              <w:rPr>
                <w:color w:val="000000" w:themeColor="text1"/>
                <w:kern w:val="0"/>
                <w14:textFill>
                  <w14:solidFill>
                    <w14:schemeClr w14:val="tx1"/>
                  </w14:solidFill>
                </w14:textFill>
              </w:rPr>
              <w:t>)/1000，查表取α为2.8；</w:t>
            </w:r>
          </w:p>
          <w:p>
            <w:pPr>
              <w:pStyle w:val="8"/>
              <w:spacing w:before="0"/>
              <w:ind w:firstLine="1200" w:firstLineChars="500"/>
              <w:rPr>
                <w:rFonts w:ascii="Times New Roman" w:hAnsi="Times New Roman" w:cs="Times New Roman"/>
                <w:color w:val="000000" w:themeColor="text1"/>
                <w:kern w:val="0"/>
                <w14:textFill>
                  <w14:solidFill>
                    <w14:schemeClr w14:val="tx1"/>
                  </w14:solidFill>
                </w14:textFill>
              </w:rPr>
            </w:pPr>
            <w:r>
              <w:rPr>
                <w:rFonts w:ascii="Times New Roman" w:hAnsi="Times New Roman" w:cs="Times New Roman"/>
                <w:color w:val="000000" w:themeColor="text1"/>
                <w:kern w:val="0"/>
                <w14:textFill>
                  <w14:solidFill>
                    <w14:schemeClr w14:val="tx1"/>
                  </w14:solidFill>
                </w14:textFill>
              </w:rPr>
              <w:t>A</w:t>
            </w:r>
            <w:r>
              <w:rPr>
                <w:rFonts w:ascii="Times New Roman" w:hAnsi="Times New Roman" w:cs="Times New Roman"/>
                <w:color w:val="000000" w:themeColor="text1"/>
                <w:kern w:val="0"/>
                <w:vertAlign w:val="subscript"/>
                <w14:textFill>
                  <w14:solidFill>
                    <w14:schemeClr w14:val="tx1"/>
                  </w14:solidFill>
                </w14:textFill>
              </w:rPr>
              <w:t>exc</w:t>
            </w:r>
            <w:r>
              <w:rPr>
                <w:rFonts w:ascii="Times New Roman" w:hAnsi="Times New Roman" w:cs="Times New Roman"/>
                <w:color w:val="000000" w:themeColor="text1"/>
                <w:kern w:val="0"/>
                <w14:textFill>
                  <w14:solidFill>
                    <w14:schemeClr w14:val="tx1"/>
                  </w14:solidFill>
                </w14:textFill>
              </w:rPr>
              <w:t>——附加A声级衰减量dB，A</w:t>
            </w:r>
            <w:r>
              <w:rPr>
                <w:rFonts w:ascii="Times New Roman" w:hAnsi="Times New Roman" w:cs="Times New Roman"/>
                <w:color w:val="000000" w:themeColor="text1"/>
                <w:kern w:val="0"/>
                <w:vertAlign w:val="subscript"/>
                <w14:textFill>
                  <w14:solidFill>
                    <w14:schemeClr w14:val="tx1"/>
                  </w14:solidFill>
                </w14:textFill>
              </w:rPr>
              <w:t>exc</w:t>
            </w:r>
            <w:r>
              <w:rPr>
                <w:rFonts w:ascii="Times New Roman" w:hAnsi="Times New Roman" w:cs="Times New Roman"/>
                <w:color w:val="000000" w:themeColor="text1"/>
                <w:kern w:val="0"/>
                <w14:textFill>
                  <w14:solidFill>
                    <w14:schemeClr w14:val="tx1"/>
                  </w14:solidFill>
                </w14:textFill>
              </w:rPr>
              <w:t>＝5lg(r/r</w:t>
            </w:r>
            <w:r>
              <w:rPr>
                <w:rFonts w:ascii="Times New Roman" w:hAnsi="Times New Roman" w:cs="Times New Roman"/>
                <w:color w:val="000000" w:themeColor="text1"/>
                <w:kern w:val="0"/>
                <w:vertAlign w:val="subscript"/>
                <w14:textFill>
                  <w14:solidFill>
                    <w14:schemeClr w14:val="tx1"/>
                  </w14:solidFill>
                </w14:textFill>
              </w:rPr>
              <w:t>o</w:t>
            </w:r>
            <w:r>
              <w:rPr>
                <w:rFonts w:ascii="Times New Roman" w:hAnsi="Times New Roman" w:cs="Times New Roman"/>
                <w:color w:val="000000" w:themeColor="text1"/>
                <w:kern w:val="0"/>
                <w14:textFill>
                  <w14:solidFill>
                    <w14:schemeClr w14:val="tx1"/>
                  </w14:solidFill>
                </w14:textFill>
              </w:rPr>
              <w:t>)。</w:t>
            </w:r>
          </w:p>
          <w:p>
            <w:pPr>
              <w:snapToGrid w:val="0"/>
              <w:ind w:firstLine="420"/>
              <w:rPr>
                <w:color w:val="000000" w:themeColor="text1"/>
                <w:kern w:val="0"/>
                <w14:textFill>
                  <w14:solidFill>
                    <w14:schemeClr w14:val="tx1"/>
                  </w14:solidFill>
                </w14:textFill>
              </w:rPr>
            </w:pPr>
            <w:r>
              <w:rPr>
                <w:color w:val="000000" w:themeColor="text1"/>
                <w:kern w:val="0"/>
                <w14:textFill>
                  <w14:solidFill>
                    <w14:schemeClr w14:val="tx1"/>
                  </w14:solidFill>
                </w14:textFill>
              </w:rPr>
              <w:t>根据噪声叠加公式：</w:t>
            </w:r>
          </w:p>
          <w:p>
            <w:pPr>
              <w:autoSpaceDE w:val="0"/>
              <w:autoSpaceDN w:val="0"/>
              <w:adjustRightInd w:val="0"/>
              <w:rPr>
                <w:color w:val="000000" w:themeColor="text1"/>
                <w:kern w:val="0"/>
                <w14:textFill>
                  <w14:solidFill>
                    <w14:schemeClr w14:val="tx1"/>
                  </w14:solidFill>
                </w14:textFill>
              </w:rPr>
            </w:pPr>
            <w:r>
              <w:rPr>
                <w:color w:val="000000" w:themeColor="text1"/>
                <w:kern w:val="0"/>
                <w14:textFill>
                  <w14:solidFill>
                    <w14:schemeClr w14:val="tx1"/>
                  </w14:solidFill>
                </w14:textFill>
              </w:rPr>
              <w:t xml:space="preserve">                Leq＝10lg∑（10</w:t>
            </w:r>
            <w:r>
              <w:rPr>
                <w:color w:val="000000" w:themeColor="text1"/>
                <w:kern w:val="0"/>
                <w:vertAlign w:val="superscript"/>
                <w14:textFill>
                  <w14:solidFill>
                    <w14:schemeClr w14:val="tx1"/>
                  </w14:solidFill>
                </w14:textFill>
              </w:rPr>
              <w:t>0.1L1</w:t>
            </w:r>
            <w:r>
              <w:rPr>
                <w:color w:val="000000" w:themeColor="text1"/>
                <w:kern w:val="0"/>
                <w14:textFill>
                  <w14:solidFill>
                    <w14:schemeClr w14:val="tx1"/>
                  </w14:solidFill>
                </w14:textFill>
              </w:rPr>
              <w:t>+10</w:t>
            </w:r>
            <w:r>
              <w:rPr>
                <w:color w:val="000000" w:themeColor="text1"/>
                <w:kern w:val="0"/>
                <w:vertAlign w:val="superscript"/>
                <w14:textFill>
                  <w14:solidFill>
                    <w14:schemeClr w14:val="tx1"/>
                  </w14:solidFill>
                </w14:textFill>
              </w:rPr>
              <w:t>0.1L2</w:t>
            </w:r>
            <w:r>
              <w:rPr>
                <w:color w:val="000000" w:themeColor="text1"/>
                <w:kern w:val="0"/>
                <w14:textFill>
                  <w14:solidFill>
                    <w14:schemeClr w14:val="tx1"/>
                  </w14:solidFill>
                </w14:textFill>
              </w:rPr>
              <w:t>+…10</w:t>
            </w:r>
            <w:r>
              <w:rPr>
                <w:color w:val="000000" w:themeColor="text1"/>
                <w:kern w:val="0"/>
                <w:vertAlign w:val="superscript"/>
                <w14:textFill>
                  <w14:solidFill>
                    <w14:schemeClr w14:val="tx1"/>
                  </w14:solidFill>
                </w14:textFill>
              </w:rPr>
              <w:t>0.1Lｉ</w:t>
            </w:r>
            <w:r>
              <w:rPr>
                <w:color w:val="000000" w:themeColor="text1"/>
                <w:kern w:val="0"/>
                <w14:textFill>
                  <w14:solidFill>
                    <w14:schemeClr w14:val="tx1"/>
                  </w14:solidFill>
                </w14:textFill>
              </w:rPr>
              <w:t>）</w:t>
            </w:r>
          </w:p>
          <w:p>
            <w:pPr>
              <w:autoSpaceDE w:val="0"/>
              <w:autoSpaceDN w:val="0"/>
              <w:adjustRightInd w:val="0"/>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 xml:space="preserve">          式中：Li——其中单个噪声源的声级数，dB（A）</w:t>
            </w:r>
          </w:p>
          <w:p>
            <w:pPr>
              <w:autoSpaceDE w:val="0"/>
              <w:autoSpaceDN w:val="0"/>
              <w:adjustRightInd w:val="0"/>
              <w:ind w:firstLine="1200" w:firstLineChars="500"/>
              <w:rPr>
                <w:color w:val="000000" w:themeColor="text1"/>
                <w:kern w:val="0"/>
                <w14:textFill>
                  <w14:solidFill>
                    <w14:schemeClr w14:val="tx1"/>
                  </w14:solidFill>
                </w14:textFill>
              </w:rPr>
            </w:pPr>
            <w:r>
              <w:rPr>
                <w:color w:val="000000" w:themeColor="text1"/>
                <w:kern w:val="0"/>
                <w14:textFill>
                  <w14:solidFill>
                    <w14:schemeClr w14:val="tx1"/>
                  </w14:solidFill>
                </w14:textFill>
              </w:rPr>
              <w:t xml:space="preserve">          Leq——噪声源叠加后的值</w:t>
            </w:r>
          </w:p>
          <w:p>
            <w:pPr>
              <w:adjustRightInd w:val="0"/>
              <w:snapToGrid w:val="0"/>
              <w:ind w:firstLine="482" w:firstLineChars="200"/>
              <w:rPr>
                <w:b/>
                <w:bCs/>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2）厂界达标分析</w:t>
            </w:r>
          </w:p>
          <w:p>
            <w:pPr>
              <w:pStyle w:val="56"/>
              <w:ind w:firstLine="480"/>
              <w:rPr>
                <w:color w:val="000000" w:themeColor="text1"/>
                <w:kern w:val="0"/>
                <w:sz w:val="24"/>
                <w14:textFill>
                  <w14:solidFill>
                    <w14:schemeClr w14:val="tx1"/>
                  </w14:solidFill>
                </w14:textFill>
              </w:rPr>
            </w:pPr>
            <w:r>
              <w:rPr>
                <w:rFonts w:hint="eastAsia"/>
                <w:color w:val="000000" w:themeColor="text1"/>
                <w:kern w:val="0"/>
                <w:sz w:val="24"/>
                <w:szCs w:val="24"/>
                <w14:textFill>
                  <w14:solidFill>
                    <w14:schemeClr w14:val="tx1"/>
                  </w14:solidFill>
                </w14:textFill>
              </w:rPr>
              <w:t>经预测，项目运营期厂界噪声贡献值为51.0~59.7dB（A），满足《工业企业厂界环境噪声排放标准》</w:t>
            </w:r>
            <w:r>
              <w:rPr>
                <w:color w:val="000000" w:themeColor="text1"/>
                <w:kern w:val="0"/>
                <w:sz w:val="24"/>
                <w14:textFill>
                  <w14:solidFill>
                    <w14:schemeClr w14:val="tx1"/>
                  </w14:solidFill>
                </w14:textFill>
              </w:rPr>
              <w:t>（GB1.2348-2008）3类标准。</w:t>
            </w:r>
            <w:r>
              <w:rPr>
                <w:rFonts w:hint="eastAsia"/>
                <w:color w:val="000000" w:themeColor="text1"/>
                <w:kern w:val="0"/>
                <w:sz w:val="24"/>
                <w14:textFill>
                  <w14:solidFill>
                    <w14:schemeClr w14:val="tx1"/>
                  </w14:solidFill>
                </w14:textFill>
              </w:rPr>
              <w:t>具体见表4-7。</w:t>
            </w:r>
          </w:p>
          <w:p>
            <w:pPr>
              <w:jc w:val="center"/>
              <w:rPr>
                <w:b/>
                <w:color w:val="000000" w:themeColor="text1"/>
                <w:kern w:val="0"/>
                <w14:textFill>
                  <w14:solidFill>
                    <w14:schemeClr w14:val="tx1"/>
                  </w14:solidFill>
                </w14:textFill>
              </w:rPr>
            </w:pPr>
            <w:r>
              <w:rPr>
                <w:b/>
                <w:color w:val="000000" w:themeColor="text1"/>
                <w:kern w:val="0"/>
                <w14:textFill>
                  <w14:solidFill>
                    <w14:schemeClr w14:val="tx1"/>
                  </w14:solidFill>
                </w14:textFill>
              </w:rPr>
              <w:t>表4</w:t>
            </w:r>
            <w:r>
              <w:rPr>
                <w:rFonts w:hint="eastAsia"/>
                <w:b/>
                <w:color w:val="000000" w:themeColor="text1"/>
                <w:kern w:val="0"/>
                <w14:textFill>
                  <w14:solidFill>
                    <w14:schemeClr w14:val="tx1"/>
                  </w14:solidFill>
                </w14:textFill>
              </w:rPr>
              <w:t>-7  厂界噪声预测一览表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4"/>
              <w:gridCol w:w="1324"/>
              <w:gridCol w:w="1324"/>
              <w:gridCol w:w="1324"/>
              <w:gridCol w:w="1324"/>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4" w:type="dxa"/>
                  <w:vAlign w:val="center"/>
                </w:tcPr>
                <w:p>
                  <w:pPr>
                    <w:pStyle w:val="62"/>
                    <w:snapToGrid w:val="0"/>
                    <w:rPr>
                      <w:b/>
                      <w:bCs/>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污染源</w:t>
                  </w:r>
                </w:p>
              </w:tc>
              <w:tc>
                <w:tcPr>
                  <w:tcW w:w="1324" w:type="dxa"/>
                  <w:vAlign w:val="center"/>
                </w:tcPr>
                <w:p>
                  <w:pPr>
                    <w:pStyle w:val="62"/>
                    <w:snapToGrid w:val="0"/>
                    <w:rPr>
                      <w:b/>
                      <w:bCs/>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源强dB（A）</w:t>
                  </w:r>
                </w:p>
              </w:tc>
              <w:tc>
                <w:tcPr>
                  <w:tcW w:w="1324" w:type="dxa"/>
                  <w:vAlign w:val="center"/>
                </w:tcPr>
                <w:p>
                  <w:pPr>
                    <w:pStyle w:val="62"/>
                    <w:snapToGrid w:val="0"/>
                    <w:rPr>
                      <w:b/>
                      <w:bCs/>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东厂界（m）</w:t>
                  </w:r>
                </w:p>
              </w:tc>
              <w:tc>
                <w:tcPr>
                  <w:tcW w:w="1324" w:type="dxa"/>
                  <w:vAlign w:val="center"/>
                </w:tcPr>
                <w:p>
                  <w:pPr>
                    <w:pStyle w:val="62"/>
                    <w:snapToGrid w:val="0"/>
                    <w:rPr>
                      <w:b/>
                      <w:bCs/>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南厂界（m）</w:t>
                  </w:r>
                </w:p>
              </w:tc>
              <w:tc>
                <w:tcPr>
                  <w:tcW w:w="1324" w:type="dxa"/>
                  <w:vAlign w:val="center"/>
                </w:tcPr>
                <w:p>
                  <w:pPr>
                    <w:pStyle w:val="62"/>
                    <w:snapToGrid w:val="0"/>
                    <w:rPr>
                      <w:b/>
                      <w:bCs/>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西厂界（m）</w:t>
                  </w:r>
                </w:p>
              </w:tc>
              <w:tc>
                <w:tcPr>
                  <w:tcW w:w="1326" w:type="dxa"/>
                  <w:vAlign w:val="center"/>
                </w:tcPr>
                <w:p>
                  <w:pPr>
                    <w:pStyle w:val="62"/>
                    <w:snapToGrid w:val="0"/>
                    <w:rPr>
                      <w:b/>
                      <w:bCs/>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北厂界（m）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4" w:type="dxa"/>
                  <w:vAlign w:val="center"/>
                </w:tcPr>
                <w:p>
                  <w:pPr>
                    <w:pStyle w:val="24"/>
                    <w:shd w:val="clear" w:color="000000" w:fill="FFFFFF"/>
                    <w:adjustRightInd w:val="0"/>
                    <w:snapToGrid w:val="0"/>
                    <w:spacing w:before="0" w:beforeAutospacing="0" w:after="0" w:afterAutospacing="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贡献值</w:t>
                  </w:r>
                </w:p>
                <w:p>
                  <w:pPr>
                    <w:pStyle w:val="24"/>
                    <w:shd w:val="clear" w:color="000000" w:fill="FFFFFF"/>
                    <w:adjustRightInd w:val="0"/>
                    <w:snapToGrid w:val="0"/>
                    <w:spacing w:before="0" w:beforeAutospacing="0" w:after="0" w:afterAutospacing="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dB（A）</w:t>
                  </w:r>
                </w:p>
              </w:tc>
              <w:tc>
                <w:tcPr>
                  <w:tcW w:w="1324" w:type="dxa"/>
                  <w:vAlign w:val="center"/>
                </w:tcPr>
                <w:p>
                  <w:pPr>
                    <w:pStyle w:val="62"/>
                    <w:snapToGrid w:val="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76.0</w:t>
                  </w:r>
                </w:p>
              </w:tc>
              <w:tc>
                <w:tcPr>
                  <w:tcW w:w="1324" w:type="dxa"/>
                  <w:vAlign w:val="center"/>
                </w:tcPr>
                <w:p>
                  <w:pPr>
                    <w:pStyle w:val="62"/>
                    <w:snapToGrid w:val="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59.7</w:t>
                  </w:r>
                </w:p>
              </w:tc>
              <w:tc>
                <w:tcPr>
                  <w:tcW w:w="1324" w:type="dxa"/>
                  <w:vAlign w:val="center"/>
                </w:tcPr>
                <w:p>
                  <w:pPr>
                    <w:pStyle w:val="62"/>
                    <w:snapToGrid w:val="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51.0</w:t>
                  </w:r>
                </w:p>
              </w:tc>
              <w:tc>
                <w:tcPr>
                  <w:tcW w:w="1324" w:type="dxa"/>
                  <w:vAlign w:val="center"/>
                </w:tcPr>
                <w:p>
                  <w:pPr>
                    <w:pStyle w:val="62"/>
                    <w:snapToGrid w:val="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53..4</w:t>
                  </w:r>
                </w:p>
              </w:tc>
              <w:tc>
                <w:tcPr>
                  <w:tcW w:w="1326" w:type="dxa"/>
                  <w:vAlign w:val="center"/>
                </w:tcPr>
                <w:p>
                  <w:pPr>
                    <w:pStyle w:val="62"/>
                    <w:snapToGrid w:val="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58.3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4" w:type="dxa"/>
                  <w:vAlign w:val="center"/>
                </w:tcPr>
                <w:p>
                  <w:pPr>
                    <w:pStyle w:val="24"/>
                    <w:shd w:val="clear" w:color="000000" w:fill="FFFFFF"/>
                    <w:adjustRightInd w:val="0"/>
                    <w:snapToGrid w:val="0"/>
                    <w:spacing w:before="0" w:beforeAutospacing="0" w:after="0" w:afterAutospacing="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标准限值</w:t>
                  </w:r>
                </w:p>
              </w:tc>
              <w:tc>
                <w:tcPr>
                  <w:tcW w:w="6622" w:type="dxa"/>
                  <w:gridSpan w:val="5"/>
                  <w:vAlign w:val="center"/>
                </w:tcPr>
                <w:p>
                  <w:pPr>
                    <w:pStyle w:val="62"/>
                    <w:snapToGrid w:val="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昼间≤65dB（A），夜间不生产。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14" w:type="dxa"/>
                  <w:vAlign w:val="center"/>
                </w:tcPr>
                <w:p>
                  <w:pPr>
                    <w:pStyle w:val="24"/>
                    <w:shd w:val="clear" w:color="000000" w:fill="FFFFFF"/>
                    <w:adjustRightInd w:val="0"/>
                    <w:snapToGrid w:val="0"/>
                    <w:spacing w:before="0" w:beforeAutospacing="0" w:after="0" w:afterAutospacing="0" w:line="240" w:lineRule="auto"/>
                    <w:jc w:val="center"/>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达标情况</w:t>
                  </w:r>
                </w:p>
              </w:tc>
              <w:tc>
                <w:tcPr>
                  <w:tcW w:w="1324" w:type="dxa"/>
                  <w:vAlign w:val="center"/>
                </w:tcPr>
                <w:p>
                  <w:pPr>
                    <w:pStyle w:val="62"/>
                    <w:snapToGrid w:val="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w:t>
                  </w:r>
                </w:p>
              </w:tc>
              <w:tc>
                <w:tcPr>
                  <w:tcW w:w="1324" w:type="dxa"/>
                  <w:vAlign w:val="center"/>
                </w:tcPr>
                <w:p>
                  <w:pPr>
                    <w:pStyle w:val="62"/>
                    <w:snapToGrid w:val="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达标</w:t>
                  </w:r>
                </w:p>
              </w:tc>
              <w:tc>
                <w:tcPr>
                  <w:tcW w:w="1324" w:type="dxa"/>
                  <w:vAlign w:val="center"/>
                </w:tcPr>
                <w:p>
                  <w:pPr>
                    <w:pStyle w:val="62"/>
                    <w:snapToGrid w:val="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达标</w:t>
                  </w:r>
                </w:p>
              </w:tc>
              <w:tc>
                <w:tcPr>
                  <w:tcW w:w="1324" w:type="dxa"/>
                  <w:vAlign w:val="center"/>
                </w:tcPr>
                <w:p>
                  <w:pPr>
                    <w:pStyle w:val="62"/>
                    <w:snapToGrid w:val="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达标</w:t>
                  </w:r>
                </w:p>
              </w:tc>
              <w:tc>
                <w:tcPr>
                  <w:tcW w:w="1326" w:type="dxa"/>
                  <w:vAlign w:val="center"/>
                </w:tcPr>
                <w:p>
                  <w:pPr>
                    <w:pStyle w:val="62"/>
                    <w:snapToGrid w:val="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达标</w:t>
                  </w:r>
                </w:p>
              </w:tc>
            </w:tr>
          </w:tbl>
          <w:p>
            <w:pPr>
              <w:adjustRightInd w:val="0"/>
              <w:snapToGrid w:val="0"/>
              <w:ind w:firstLine="482" w:firstLineChars="200"/>
              <w:rPr>
                <w:b/>
                <w:bCs/>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4）敏感点达标分析</w:t>
            </w:r>
          </w:p>
          <w:p>
            <w:pPr>
              <w:pStyle w:val="22"/>
              <w:adjustRightInd w:val="0"/>
              <w:ind w:firstLine="480" w:firstLineChars="200"/>
              <w:jc w:val="both"/>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项目声环境敏感点为项目北侧40m处的汉营村、西北处42m处梅树村，经预测，项目运营期噪声对汉营村、梅树村的噪声影响满足</w:t>
            </w:r>
            <w:r>
              <w:rPr>
                <w:color w:val="000000" w:themeColor="text1"/>
                <w:sz w:val="24"/>
                <w14:textFill>
                  <w14:solidFill>
                    <w14:schemeClr w14:val="tx1"/>
                  </w14:solidFill>
                </w14:textFill>
              </w:rPr>
              <w:t>《声环境质量标准》（GB3096-2008）2 类标准</w:t>
            </w:r>
            <w:r>
              <w:rPr>
                <w:rFonts w:hint="eastAsia"/>
                <w:color w:val="000000" w:themeColor="text1"/>
                <w:sz w:val="24"/>
                <w14:textFill>
                  <w14:solidFill>
                    <w14:schemeClr w14:val="tx1"/>
                  </w14:solidFill>
                </w14:textFill>
              </w:rPr>
              <w:t>要求，具体见表4-8。</w:t>
            </w:r>
          </w:p>
          <w:p>
            <w:pPr>
              <w:jc w:val="center"/>
              <w:rPr>
                <w:b/>
                <w:color w:val="000000" w:themeColor="text1"/>
                <w:kern w:val="0"/>
                <w14:textFill>
                  <w14:solidFill>
                    <w14:schemeClr w14:val="tx1"/>
                  </w14:solidFill>
                </w14:textFill>
              </w:rPr>
            </w:pPr>
            <w:r>
              <w:rPr>
                <w:b/>
                <w:color w:val="000000" w:themeColor="text1"/>
                <w:kern w:val="0"/>
                <w14:textFill>
                  <w14:solidFill>
                    <w14:schemeClr w14:val="tx1"/>
                  </w14:solidFill>
                </w14:textFill>
              </w:rPr>
              <w:t>表4-</w:t>
            </w:r>
            <w:r>
              <w:rPr>
                <w:rFonts w:hint="eastAsia"/>
                <w:b/>
                <w:color w:val="000000" w:themeColor="text1"/>
                <w:kern w:val="0"/>
                <w14:textFill>
                  <w14:solidFill>
                    <w14:schemeClr w14:val="tx1"/>
                  </w14:solidFill>
                </w14:textFill>
              </w:rPr>
              <w:t>8   敏感点处噪声预测一览表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55"/>
              <w:gridCol w:w="4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5" w:type="dxa"/>
                  <w:vAlign w:val="center"/>
                </w:tcPr>
                <w:p>
                  <w:pPr>
                    <w:pStyle w:val="62"/>
                    <w:snapToGrid w:val="0"/>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污染源</w:t>
                  </w:r>
                </w:p>
              </w:tc>
              <w:tc>
                <w:tcPr>
                  <w:tcW w:w="4381" w:type="dxa"/>
                  <w:vAlign w:val="center"/>
                </w:tcPr>
                <w:p>
                  <w:pPr>
                    <w:pStyle w:val="62"/>
                    <w:snapToGrid w:val="0"/>
                    <w:rPr>
                      <w:b/>
                      <w:bCs/>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湿喷台车组装生产、修理生产线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5" w:type="dxa"/>
                  <w:vAlign w:val="center"/>
                </w:tcPr>
                <w:p>
                  <w:pPr>
                    <w:pStyle w:val="24"/>
                    <w:shd w:val="clear" w:color="000000" w:fill="FFFFFF"/>
                    <w:adjustRightInd w:val="0"/>
                    <w:snapToGrid w:val="0"/>
                    <w:spacing w:before="0" w:beforeAutospacing="0" w:after="0" w:afterAutospacing="0" w:line="240" w:lineRule="auto"/>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源强dB（A）</w:t>
                  </w:r>
                </w:p>
              </w:tc>
              <w:tc>
                <w:tcPr>
                  <w:tcW w:w="4381" w:type="dxa"/>
                  <w:vAlign w:val="center"/>
                </w:tcPr>
                <w:p>
                  <w:pPr>
                    <w:pStyle w:val="62"/>
                    <w:snapToGrid w:val="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5" w:type="dxa"/>
                  <w:vAlign w:val="center"/>
                </w:tcPr>
                <w:p>
                  <w:pPr>
                    <w:pStyle w:val="24"/>
                    <w:shd w:val="clear" w:color="000000" w:fill="FFFFFF"/>
                    <w:adjustRightInd w:val="0"/>
                    <w:snapToGrid w:val="0"/>
                    <w:spacing w:before="0" w:beforeAutospacing="0" w:after="0" w:afterAutospacing="0" w:line="240" w:lineRule="auto"/>
                    <w:jc w:val="center"/>
                    <w:rPr>
                      <w:rFonts w:ascii="Times New Roman" w:hAnsi="Times New Roman"/>
                      <w:b/>
                      <w:bCs/>
                      <w:color w:val="000000" w:themeColor="text1"/>
                      <w:sz w:val="21"/>
                      <w:szCs w:val="21"/>
                      <w14:textFill>
                        <w14:solidFill>
                          <w14:schemeClr w14:val="tx1"/>
                        </w14:solidFill>
                      </w14:textFill>
                    </w:rPr>
                  </w:pPr>
                  <w:r>
                    <w:rPr>
                      <w:rFonts w:hint="eastAsia" w:ascii="Times New Roman" w:hAnsi="Times New Roman"/>
                      <w:b/>
                      <w:bCs/>
                      <w:color w:val="000000" w:themeColor="text1"/>
                      <w:sz w:val="21"/>
                      <w:szCs w:val="21"/>
                      <w14:textFill>
                        <w14:solidFill>
                          <w14:schemeClr w14:val="tx1"/>
                        </w14:solidFill>
                      </w14:textFill>
                    </w:rPr>
                    <w:t>汉营村、梅树村与噪声单元距离</w:t>
                  </w:r>
                  <w:r>
                    <w:rPr>
                      <w:rFonts w:ascii="Times New Roman" w:hAnsi="Times New Roman"/>
                      <w:b/>
                      <w:bCs/>
                      <w:color w:val="000000" w:themeColor="text1"/>
                      <w:sz w:val="21"/>
                      <w:szCs w:val="21"/>
                      <w14:textFill>
                        <w14:solidFill>
                          <w14:schemeClr w14:val="tx1"/>
                        </w14:solidFill>
                      </w14:textFill>
                    </w:rPr>
                    <w:t>（m）</w:t>
                  </w:r>
                </w:p>
              </w:tc>
              <w:tc>
                <w:tcPr>
                  <w:tcW w:w="4381" w:type="dxa"/>
                  <w:vAlign w:val="center"/>
                </w:tcPr>
                <w:p>
                  <w:pPr>
                    <w:pStyle w:val="62"/>
                    <w:snapToGrid w:val="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40/42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5" w:type="dxa"/>
                  <w:vAlign w:val="center"/>
                </w:tcPr>
                <w:p>
                  <w:pPr>
                    <w:pStyle w:val="24"/>
                    <w:shd w:val="clear" w:color="000000" w:fill="FFFFFF"/>
                    <w:adjustRightInd w:val="0"/>
                    <w:snapToGrid w:val="0"/>
                    <w:spacing w:before="0" w:beforeAutospacing="0" w:after="0" w:afterAutospacing="0" w:line="240" w:lineRule="auto"/>
                    <w:jc w:val="center"/>
                    <w:rPr>
                      <w:rFonts w:ascii="Times New Roman" w:hAnsi="Times New Roman"/>
                      <w:b/>
                      <w:bCs/>
                      <w:color w:val="000000" w:themeColor="text1"/>
                      <w:sz w:val="21"/>
                      <w:szCs w:val="21"/>
                      <w14:textFill>
                        <w14:solidFill>
                          <w14:schemeClr w14:val="tx1"/>
                        </w14:solidFill>
                      </w14:textFill>
                    </w:rPr>
                  </w:pPr>
                  <w:r>
                    <w:rPr>
                      <w:rFonts w:hint="eastAsia" w:ascii="Times New Roman" w:hAnsi="Times New Roman"/>
                      <w:b/>
                      <w:bCs/>
                      <w:color w:val="000000" w:themeColor="text1"/>
                      <w:sz w:val="21"/>
                      <w:szCs w:val="21"/>
                      <w14:textFill>
                        <w14:solidFill>
                          <w14:schemeClr w14:val="tx1"/>
                        </w14:solidFill>
                      </w14:textFill>
                    </w:rPr>
                    <w:t>贡献值</w:t>
                  </w:r>
                  <w:r>
                    <w:rPr>
                      <w:rFonts w:ascii="Times New Roman" w:hAnsi="Times New Roman"/>
                      <w:b/>
                      <w:bCs/>
                      <w:color w:val="000000" w:themeColor="text1"/>
                      <w:sz w:val="21"/>
                      <w:szCs w:val="21"/>
                      <w14:textFill>
                        <w14:solidFill>
                          <w14:schemeClr w14:val="tx1"/>
                        </w14:solidFill>
                      </w14:textFill>
                    </w:rPr>
                    <w:t>dB（A）</w:t>
                  </w:r>
                </w:p>
              </w:tc>
              <w:tc>
                <w:tcPr>
                  <w:tcW w:w="4381" w:type="dxa"/>
                  <w:vAlign w:val="center"/>
                </w:tcPr>
                <w:p>
                  <w:pPr>
                    <w:pStyle w:val="62"/>
                    <w:snapToGrid w:val="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5" w:type="dxa"/>
                  <w:vAlign w:val="center"/>
                </w:tcPr>
                <w:p>
                  <w:pPr>
                    <w:pStyle w:val="24"/>
                    <w:shd w:val="clear" w:color="000000" w:fill="FFFFFF"/>
                    <w:adjustRightInd w:val="0"/>
                    <w:snapToGrid w:val="0"/>
                    <w:spacing w:before="0" w:beforeAutospacing="0" w:after="0" w:afterAutospacing="0" w:line="240" w:lineRule="auto"/>
                    <w:jc w:val="center"/>
                    <w:rPr>
                      <w:rFonts w:ascii="Times New Roman" w:hAnsi="Times New Roman"/>
                      <w:b/>
                      <w:bCs/>
                      <w:color w:val="000000" w:themeColor="text1"/>
                      <w:sz w:val="21"/>
                      <w:szCs w:val="21"/>
                      <w14:textFill>
                        <w14:solidFill>
                          <w14:schemeClr w14:val="tx1"/>
                        </w14:solidFill>
                      </w14:textFill>
                    </w:rPr>
                  </w:pPr>
                  <w:r>
                    <w:rPr>
                      <w:rFonts w:hint="eastAsia" w:ascii="Times New Roman" w:hAnsi="Times New Roman"/>
                      <w:b/>
                      <w:bCs/>
                      <w:color w:val="000000" w:themeColor="text1"/>
                      <w:sz w:val="21"/>
                      <w:szCs w:val="21"/>
                      <w14:textFill>
                        <w14:solidFill>
                          <w14:schemeClr w14:val="tx1"/>
                        </w14:solidFill>
                      </w14:textFill>
                    </w:rPr>
                    <w:t>背景值</w:t>
                  </w:r>
                  <w:r>
                    <w:rPr>
                      <w:rFonts w:ascii="Times New Roman" w:hAnsi="Times New Roman"/>
                      <w:b/>
                      <w:bCs/>
                      <w:color w:val="000000" w:themeColor="text1"/>
                      <w:sz w:val="21"/>
                      <w:szCs w:val="21"/>
                      <w14:textFill>
                        <w14:solidFill>
                          <w14:schemeClr w14:val="tx1"/>
                        </w14:solidFill>
                      </w14:textFill>
                    </w:rPr>
                    <w:t>dB（A）</w:t>
                  </w:r>
                </w:p>
              </w:tc>
              <w:tc>
                <w:tcPr>
                  <w:tcW w:w="4381" w:type="dxa"/>
                  <w:vAlign w:val="center"/>
                </w:tcPr>
                <w:p>
                  <w:pPr>
                    <w:pStyle w:val="62"/>
                    <w:snapToGrid w:val="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52.3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5" w:type="dxa"/>
                  <w:vAlign w:val="center"/>
                </w:tcPr>
                <w:p>
                  <w:pPr>
                    <w:pStyle w:val="24"/>
                    <w:shd w:val="clear" w:color="000000" w:fill="FFFFFF"/>
                    <w:adjustRightInd w:val="0"/>
                    <w:snapToGrid w:val="0"/>
                    <w:spacing w:before="0" w:beforeAutospacing="0" w:after="0" w:afterAutospacing="0" w:line="240" w:lineRule="auto"/>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预测值dB（A）</w:t>
                  </w:r>
                </w:p>
              </w:tc>
              <w:tc>
                <w:tcPr>
                  <w:tcW w:w="4381" w:type="dxa"/>
                  <w:vAlign w:val="center"/>
                </w:tcPr>
                <w:p>
                  <w:pPr>
                    <w:pStyle w:val="62"/>
                    <w:snapToGrid w:val="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53.1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5" w:type="dxa"/>
                  <w:vAlign w:val="center"/>
                </w:tcPr>
                <w:p>
                  <w:pPr>
                    <w:pStyle w:val="24"/>
                    <w:shd w:val="clear" w:color="000000" w:fill="FFFFFF"/>
                    <w:adjustRightInd w:val="0"/>
                    <w:snapToGrid w:val="0"/>
                    <w:spacing w:before="0" w:beforeAutospacing="0" w:after="0" w:afterAutospacing="0" w:line="240" w:lineRule="auto"/>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标准限值</w:t>
                  </w:r>
                </w:p>
              </w:tc>
              <w:tc>
                <w:tcPr>
                  <w:tcW w:w="4381" w:type="dxa"/>
                  <w:vAlign w:val="center"/>
                </w:tcPr>
                <w:p>
                  <w:pPr>
                    <w:pStyle w:val="62"/>
                    <w:snapToGrid w:val="0"/>
                    <w:rPr>
                      <w:color w:val="000000" w:themeColor="text1"/>
                      <w:kern w:val="0"/>
                      <w14:textFill>
                        <w14:solidFill>
                          <w14:schemeClr w14:val="tx1"/>
                        </w14:solidFill>
                      </w14:textFill>
                    </w:rPr>
                  </w:pPr>
                  <w:r>
                    <w:rPr>
                      <w:color w:val="000000" w:themeColor="text1"/>
                      <w:kern w:val="0"/>
                      <w14:textFill>
                        <w14:solidFill>
                          <w14:schemeClr w14:val="tx1"/>
                        </w14:solidFill>
                      </w14:textFill>
                    </w:rPr>
                    <w:t>昼间≤6</w:t>
                  </w:r>
                  <w:r>
                    <w:rPr>
                      <w:rFonts w:hint="eastAsia"/>
                      <w:color w:val="000000" w:themeColor="text1"/>
                      <w:kern w:val="0"/>
                      <w14:textFill>
                        <w14:solidFill>
                          <w14:schemeClr w14:val="tx1"/>
                        </w14:solidFill>
                      </w14:textFill>
                    </w:rPr>
                    <w:t>0</w:t>
                  </w:r>
                  <w:r>
                    <w:rPr>
                      <w:color w:val="000000" w:themeColor="text1"/>
                      <w:kern w:val="0"/>
                      <w14:textFill>
                        <w14:solidFill>
                          <w14:schemeClr w14:val="tx1"/>
                        </w14:solidFill>
                      </w14:textFill>
                    </w:rPr>
                    <w:t>dB（A），夜间不生产。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5" w:type="dxa"/>
                  <w:vAlign w:val="center"/>
                </w:tcPr>
                <w:p>
                  <w:pPr>
                    <w:pStyle w:val="24"/>
                    <w:shd w:val="clear" w:color="000000" w:fill="FFFFFF"/>
                    <w:adjustRightInd w:val="0"/>
                    <w:snapToGrid w:val="0"/>
                    <w:spacing w:before="0" w:beforeAutospacing="0" w:after="0" w:afterAutospacing="0" w:line="240" w:lineRule="auto"/>
                    <w:jc w:val="center"/>
                    <w:rPr>
                      <w:rFonts w:ascii="Times New Roman" w:hAnsi="Times New Roman"/>
                      <w:b/>
                      <w:bCs/>
                      <w:color w:val="000000" w:themeColor="text1"/>
                      <w:sz w:val="21"/>
                      <w:szCs w:val="21"/>
                      <w14:textFill>
                        <w14:solidFill>
                          <w14:schemeClr w14:val="tx1"/>
                        </w14:solidFill>
                      </w14:textFill>
                    </w:rPr>
                  </w:pPr>
                  <w:r>
                    <w:rPr>
                      <w:rFonts w:ascii="Times New Roman" w:hAnsi="Times New Roman"/>
                      <w:b/>
                      <w:bCs/>
                      <w:color w:val="000000" w:themeColor="text1"/>
                      <w:sz w:val="21"/>
                      <w:szCs w:val="21"/>
                      <w14:textFill>
                        <w14:solidFill>
                          <w14:schemeClr w14:val="tx1"/>
                        </w14:solidFill>
                      </w14:textFill>
                    </w:rPr>
                    <w:t>达标情况</w:t>
                  </w:r>
                </w:p>
              </w:tc>
              <w:tc>
                <w:tcPr>
                  <w:tcW w:w="4381" w:type="dxa"/>
                  <w:vAlign w:val="center"/>
                </w:tcPr>
                <w:p>
                  <w:pPr>
                    <w:pStyle w:val="62"/>
                    <w:snapToGrid w:val="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达标</w:t>
                  </w:r>
                </w:p>
              </w:tc>
            </w:tr>
          </w:tbl>
          <w:p>
            <w:pPr>
              <w:pStyle w:val="22"/>
              <w:adjustRightInd w:val="0"/>
              <w:ind w:firstLine="482" w:firstLineChars="200"/>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（3）监测要求</w:t>
            </w:r>
          </w:p>
          <w:p>
            <w:pPr>
              <w:pStyle w:val="22"/>
              <w:adjustRightInd w:val="0"/>
              <w:ind w:firstLine="480" w:firstLineChars="200"/>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监测要求详见下表。</w:t>
            </w:r>
          </w:p>
          <w:p>
            <w:pPr>
              <w:jc w:val="center"/>
              <w:rPr>
                <w:b/>
                <w:color w:val="000000" w:themeColor="text1"/>
                <w:kern w:val="0"/>
                <w14:textFill>
                  <w14:solidFill>
                    <w14:schemeClr w14:val="tx1"/>
                  </w14:solidFill>
                </w14:textFill>
              </w:rPr>
            </w:pPr>
            <w:r>
              <w:rPr>
                <w:b/>
                <w:color w:val="000000" w:themeColor="text1"/>
                <w:kern w:val="0"/>
                <w14:textFill>
                  <w14:solidFill>
                    <w14:schemeClr w14:val="tx1"/>
                  </w14:solidFill>
                </w14:textFill>
              </w:rPr>
              <w:t>表4-</w:t>
            </w:r>
            <w:r>
              <w:rPr>
                <w:rFonts w:hint="eastAsia"/>
                <w:b/>
                <w:color w:val="000000" w:themeColor="text1"/>
                <w:kern w:val="0"/>
                <w14:textFill>
                  <w14:solidFill>
                    <w14:schemeClr w14:val="tx1"/>
                  </w14:solidFill>
                </w14:textFill>
              </w:rPr>
              <w:t xml:space="preserve">9   </w:t>
            </w:r>
            <w:r>
              <w:rPr>
                <w:b/>
                <w:color w:val="000000" w:themeColor="text1"/>
                <w:kern w:val="0"/>
                <w14:textFill>
                  <w14:solidFill>
                    <w14:schemeClr w14:val="tx1"/>
                  </w14:solidFill>
                </w14:textFill>
              </w:rPr>
              <w:t>噪声</w:t>
            </w:r>
            <w:r>
              <w:rPr>
                <w:rFonts w:hint="eastAsia"/>
                <w:b/>
                <w:color w:val="000000" w:themeColor="text1"/>
                <w:kern w:val="0"/>
                <w14:textFill>
                  <w14:solidFill>
                    <w14:schemeClr w14:val="tx1"/>
                  </w14:solidFill>
                </w14:textFill>
              </w:rPr>
              <w:t>自行</w:t>
            </w:r>
            <w:r>
              <w:rPr>
                <w:b/>
                <w:color w:val="000000" w:themeColor="text1"/>
                <w:kern w:val="0"/>
                <w14:textFill>
                  <w14:solidFill>
                    <w14:schemeClr w14:val="tx1"/>
                  </w14:solidFill>
                </w14:textFill>
              </w:rPr>
              <w:t>监测计划一览表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2989"/>
              <w:gridCol w:w="2138"/>
              <w:gridCol w:w="1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pct"/>
                  <w:vAlign w:val="center"/>
                </w:tcPr>
                <w:p>
                  <w:pPr>
                    <w:pStyle w:val="22"/>
                    <w:adjustRightInd w:val="0"/>
                    <w:spacing w:line="240" w:lineRule="auto"/>
                    <w:jc w:val="center"/>
                    <w:rPr>
                      <w:b/>
                      <w:color w:val="000000" w:themeColor="text1"/>
                      <w:sz w:val="21"/>
                      <w:szCs w:val="21"/>
                      <w14:textFill>
                        <w14:solidFill>
                          <w14:schemeClr w14:val="tx1"/>
                        </w14:solidFill>
                      </w14:textFill>
                    </w:rPr>
                  </w:pPr>
                  <w:r>
                    <w:rPr>
                      <w:rFonts w:hint="eastAsia"/>
                      <w:b/>
                      <w:color w:val="000000" w:themeColor="text1"/>
                      <w:sz w:val="21"/>
                      <w:szCs w:val="21"/>
                      <w14:textFill>
                        <w14:solidFill>
                          <w14:schemeClr w14:val="tx1"/>
                        </w14:solidFill>
                      </w14:textFill>
                    </w:rPr>
                    <w:t>类别</w:t>
                  </w:r>
                </w:p>
              </w:tc>
              <w:tc>
                <w:tcPr>
                  <w:tcW w:w="1883" w:type="pct"/>
                  <w:vAlign w:val="center"/>
                </w:tcPr>
                <w:p>
                  <w:pPr>
                    <w:pStyle w:val="22"/>
                    <w:adjustRightInd w:val="0"/>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监测点位</w:t>
                  </w:r>
                </w:p>
              </w:tc>
              <w:tc>
                <w:tcPr>
                  <w:tcW w:w="1347" w:type="pct"/>
                  <w:vAlign w:val="center"/>
                </w:tcPr>
                <w:p>
                  <w:pPr>
                    <w:pStyle w:val="22"/>
                    <w:adjustRightInd w:val="0"/>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监测项目</w:t>
                  </w:r>
                </w:p>
              </w:tc>
              <w:tc>
                <w:tcPr>
                  <w:tcW w:w="1105" w:type="pct"/>
                  <w:vAlign w:val="center"/>
                </w:tcPr>
                <w:p>
                  <w:pPr>
                    <w:pStyle w:val="22"/>
                    <w:adjustRightInd w:val="0"/>
                    <w:spacing w:line="240" w:lineRule="auto"/>
                    <w:jc w:val="center"/>
                    <w:rPr>
                      <w:b/>
                      <w:color w:val="000000" w:themeColor="text1"/>
                      <w:sz w:val="21"/>
                      <w:szCs w:val="21"/>
                      <w14:textFill>
                        <w14:solidFill>
                          <w14:schemeClr w14:val="tx1"/>
                        </w14:solidFill>
                      </w14:textFill>
                    </w:rPr>
                  </w:pPr>
                  <w:r>
                    <w:rPr>
                      <w:b/>
                      <w:color w:val="000000" w:themeColor="text1"/>
                      <w:sz w:val="21"/>
                      <w:szCs w:val="21"/>
                      <w14:textFill>
                        <w14:solidFill>
                          <w14:schemeClr w14:val="tx1"/>
                        </w14:solidFill>
                      </w14:textFill>
                    </w:rPr>
                    <w:t>时间、频次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噪声</w:t>
                  </w:r>
                </w:p>
              </w:tc>
              <w:tc>
                <w:tcPr>
                  <w:tcW w:w="1883" w:type="pct"/>
                  <w:vAlign w:val="center"/>
                </w:tcPr>
                <w:p>
                  <w:pPr>
                    <w:pStyle w:val="22"/>
                    <w:adjustRightIn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四厂界</w:t>
                  </w:r>
                  <w:r>
                    <w:rPr>
                      <w:color w:val="000000" w:themeColor="text1"/>
                      <w:sz w:val="21"/>
                      <w:szCs w:val="21"/>
                      <w14:textFill>
                        <w14:solidFill>
                          <w14:schemeClr w14:val="tx1"/>
                        </w14:solidFill>
                      </w14:textFill>
                    </w:rPr>
                    <w:t>外1m处布点监测</w:t>
                  </w:r>
                </w:p>
              </w:tc>
              <w:tc>
                <w:tcPr>
                  <w:tcW w:w="1347"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等效声级Leq(dB (A))</w:t>
                  </w:r>
                </w:p>
              </w:tc>
              <w:tc>
                <w:tcPr>
                  <w:tcW w:w="1105"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1次/季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pct"/>
                  <w:vAlign w:val="center"/>
                </w:tcPr>
                <w:p>
                  <w:pPr>
                    <w:pStyle w:val="22"/>
                    <w:adjustRightInd w:val="0"/>
                    <w:spacing w:line="240" w:lineRule="auto"/>
                    <w:jc w:val="center"/>
                    <w:rPr>
                      <w:bCs/>
                      <w:color w:val="000000" w:themeColor="text1"/>
                      <w:sz w:val="21"/>
                      <w:szCs w:val="21"/>
                      <w14:textFill>
                        <w14:solidFill>
                          <w14:schemeClr w14:val="tx1"/>
                        </w14:solidFill>
                      </w14:textFill>
                    </w:rPr>
                  </w:pPr>
                  <w:r>
                    <w:rPr>
                      <w:rFonts w:hint="eastAsia"/>
                      <w:bCs/>
                      <w:color w:val="000000" w:themeColor="text1"/>
                      <w:sz w:val="21"/>
                      <w:szCs w:val="21"/>
                      <w14:textFill>
                        <w14:solidFill>
                          <w14:schemeClr w14:val="tx1"/>
                        </w14:solidFill>
                      </w14:textFill>
                    </w:rPr>
                    <w:t>声环境</w:t>
                  </w:r>
                </w:p>
              </w:tc>
              <w:tc>
                <w:tcPr>
                  <w:tcW w:w="1883" w:type="pct"/>
                  <w:vAlign w:val="center"/>
                </w:tcPr>
                <w:p>
                  <w:pPr>
                    <w:pStyle w:val="22"/>
                    <w:adjustRightIn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梅树村、汉营村处设1个点</w:t>
                  </w:r>
                </w:p>
              </w:tc>
              <w:tc>
                <w:tcPr>
                  <w:tcW w:w="1347" w:type="pct"/>
                  <w:vAlign w:val="center"/>
                </w:tcPr>
                <w:p>
                  <w:pPr>
                    <w:pStyle w:val="22"/>
                    <w:adjustRightIn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等效声级Leq(dB (A))</w:t>
                  </w:r>
                </w:p>
              </w:tc>
              <w:tc>
                <w:tcPr>
                  <w:tcW w:w="1105" w:type="pct"/>
                  <w:vAlign w:val="center"/>
                </w:tcPr>
                <w:p>
                  <w:pPr>
                    <w:pStyle w:val="22"/>
                    <w:adjustRightIn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vAlign w:val="center"/>
                </w:tcPr>
                <w:p>
                  <w:pPr>
                    <w:pStyle w:val="22"/>
                    <w:adjustRightIn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注：</w:t>
                  </w:r>
                  <w:r>
                    <w:rPr>
                      <w:color w:val="000000" w:themeColor="text1"/>
                      <w:sz w:val="21"/>
                      <w:szCs w:val="21"/>
                      <w14:textFill>
                        <w14:solidFill>
                          <w14:schemeClr w14:val="tx1"/>
                        </w14:solidFill>
                      </w14:textFill>
                    </w:rPr>
                    <w:t>厂界噪声执行《工业企业厂界环境噪声排放标准》（GB12348-2008）中的3类标准</w:t>
                  </w:r>
                  <w:r>
                    <w:rPr>
                      <w:rFonts w:hint="eastAsia"/>
                      <w:color w:val="000000" w:themeColor="text1"/>
                      <w:sz w:val="21"/>
                      <w:szCs w:val="21"/>
                      <w14:textFill>
                        <w14:solidFill>
                          <w14:schemeClr w14:val="tx1"/>
                        </w14:solidFill>
                      </w14:textFill>
                    </w:rPr>
                    <w:t>，声环境执行《声环境质量标准》（GB3096-2008）2类标准</w:t>
                  </w:r>
                  <w:r>
                    <w:rPr>
                      <w:color w:val="000000" w:themeColor="text1"/>
                      <w:sz w:val="21"/>
                      <w:szCs w:val="21"/>
                      <w14:textFill>
                        <w14:solidFill>
                          <w14:schemeClr w14:val="tx1"/>
                        </w14:solidFill>
                      </w14:textFill>
                    </w:rPr>
                    <w:t>。</w:t>
                  </w:r>
                </w:p>
              </w:tc>
            </w:tr>
          </w:tbl>
          <w:p>
            <w:pPr>
              <w:pStyle w:val="22"/>
              <w:adjustRightInd w:val="0"/>
              <w:ind w:firstLine="482" w:firstLineChars="200"/>
              <w:jc w:val="both"/>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四、固体废物</w:t>
            </w:r>
          </w:p>
          <w:p>
            <w:pPr>
              <w:ind w:firstLine="482" w:firstLineChars="200"/>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1、产生情况</w:t>
            </w:r>
          </w:p>
          <w:p>
            <w:pPr>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项目运营期产生的固体废物主要为员工生活垃圾、食堂泔水、隔油池</w:t>
            </w:r>
            <w:r>
              <w:rPr>
                <w:rFonts w:hint="eastAsia"/>
                <w:color w:val="000000" w:themeColor="text1"/>
                <w:kern w:val="0"/>
                <w14:textFill>
                  <w14:solidFill>
                    <w14:schemeClr w14:val="tx1"/>
                  </w14:solidFill>
                </w14:textFill>
              </w:rPr>
              <w:t>废油脂</w:t>
            </w:r>
            <w:r>
              <w:rPr>
                <w:color w:val="000000" w:themeColor="text1"/>
                <w:kern w:val="0"/>
                <w14:textFill>
                  <w14:solidFill>
                    <w14:schemeClr w14:val="tx1"/>
                  </w14:solidFill>
                </w14:textFill>
              </w:rPr>
              <w:t>、焊渣（沉降金属粉尘）、废漆桶、</w:t>
            </w:r>
            <w:r>
              <w:rPr>
                <w:rFonts w:hint="eastAsia"/>
                <w:color w:val="000000" w:themeColor="text1"/>
                <w:kern w:val="0"/>
                <w14:textFill>
                  <w14:solidFill>
                    <w14:schemeClr w14:val="tx1"/>
                  </w14:solidFill>
                </w14:textFill>
              </w:rPr>
              <w:t>废混凝土、</w:t>
            </w:r>
            <w:r>
              <w:rPr>
                <w:rFonts w:hint="eastAsia"/>
                <w:color w:val="000000" w:themeColor="text1"/>
                <w14:textFill>
                  <w14:solidFill>
                    <w14:schemeClr w14:val="tx1"/>
                  </w14:solidFill>
                </w14:textFill>
              </w:rPr>
              <w:t>废旧零部件、废发动机油、废制动器油、废自动变速器油、废齿轮油、废制动器衬片、含油及有机溶剂的废棉纱、废劳保用品、废过滤棉、废活性炭、废柴油、滤油机过滤杂质、滤油机滤纸、废油桶等</w:t>
            </w:r>
            <w:r>
              <w:rPr>
                <w:color w:val="000000" w:themeColor="text1"/>
                <w:kern w:val="0"/>
                <w14:textFill>
                  <w14:solidFill>
                    <w14:schemeClr w14:val="tx1"/>
                  </w14:solidFill>
                </w14:textFill>
              </w:rPr>
              <w:t>。</w:t>
            </w:r>
          </w:p>
          <w:p>
            <w:pPr>
              <w:tabs>
                <w:tab w:val="left" w:pos="540"/>
                <w:tab w:val="left" w:pos="851"/>
                <w:tab w:val="left" w:pos="994"/>
                <w:tab w:val="left" w:pos="1260"/>
                <w:tab w:val="left" w:pos="3108"/>
                <w:tab w:val="left" w:pos="3150"/>
              </w:tabs>
              <w:ind w:firstLine="482" w:firstLineChars="200"/>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（1）一般固废</w:t>
            </w:r>
          </w:p>
          <w:p>
            <w:pPr>
              <w:tabs>
                <w:tab w:val="left" w:pos="540"/>
                <w:tab w:val="left" w:pos="851"/>
                <w:tab w:val="left" w:pos="994"/>
                <w:tab w:val="left" w:pos="1260"/>
                <w:tab w:val="left" w:pos="3108"/>
                <w:tab w:val="left" w:pos="3150"/>
              </w:tabs>
              <w:ind w:firstLine="482" w:firstLineChars="200"/>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①生活垃圾</w:t>
            </w:r>
          </w:p>
          <w:p>
            <w:pPr>
              <w:tabs>
                <w:tab w:val="left" w:pos="540"/>
                <w:tab w:val="left" w:pos="851"/>
                <w:tab w:val="left" w:pos="994"/>
                <w:tab w:val="left" w:pos="1260"/>
                <w:tab w:val="left" w:pos="3108"/>
                <w:tab w:val="left" w:pos="3150"/>
              </w:tabs>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项目职工人数为</w:t>
            </w:r>
            <w:r>
              <w:rPr>
                <w:rFonts w:hint="eastAsia"/>
                <w:color w:val="000000" w:themeColor="text1"/>
                <w:kern w:val="0"/>
                <w14:textFill>
                  <w14:solidFill>
                    <w14:schemeClr w14:val="tx1"/>
                  </w14:solidFill>
                </w14:textFill>
              </w:rPr>
              <w:t>4</w:t>
            </w:r>
            <w:r>
              <w:rPr>
                <w:color w:val="000000" w:themeColor="text1"/>
                <w:kern w:val="0"/>
                <w14:textFill>
                  <w14:solidFill>
                    <w14:schemeClr w14:val="tx1"/>
                  </w14:solidFill>
                </w14:textFill>
              </w:rPr>
              <w:t>0人，</w:t>
            </w:r>
            <w:r>
              <w:rPr>
                <w:rFonts w:hint="eastAsia"/>
                <w:color w:val="000000" w:themeColor="text1"/>
                <w:kern w:val="0"/>
                <w14:textFill>
                  <w14:solidFill>
                    <w14:schemeClr w14:val="tx1"/>
                  </w14:solidFill>
                </w14:textFill>
              </w:rPr>
              <w:t>均只在厂区内用餐不住宿</w:t>
            </w:r>
            <w:r>
              <w:rPr>
                <w:color w:val="000000" w:themeColor="text1"/>
                <w:kern w:val="0"/>
                <w14:textFill>
                  <w14:solidFill>
                    <w14:schemeClr w14:val="tx1"/>
                  </w14:solidFill>
                </w14:textFill>
              </w:rPr>
              <w:t>，人员垃圾产生量按0.5kg/人·d计，则产生生活垃圾</w:t>
            </w:r>
            <w:r>
              <w:rPr>
                <w:rFonts w:hint="eastAsia"/>
                <w:color w:val="000000" w:themeColor="text1"/>
                <w:kern w:val="0"/>
                <w14:textFill>
                  <w14:solidFill>
                    <w14:schemeClr w14:val="tx1"/>
                  </w14:solidFill>
                </w14:textFill>
              </w:rPr>
              <w:t>20</w:t>
            </w:r>
            <w:r>
              <w:rPr>
                <w:color w:val="000000" w:themeColor="text1"/>
                <w:kern w:val="0"/>
                <w14:textFill>
                  <w14:solidFill>
                    <w14:schemeClr w14:val="tx1"/>
                  </w14:solidFill>
                </w14:textFill>
              </w:rPr>
              <w:t>kg/d，</w:t>
            </w:r>
            <w:r>
              <w:rPr>
                <w:rFonts w:hint="eastAsia"/>
                <w:color w:val="000000" w:themeColor="text1"/>
                <w:kern w:val="0"/>
                <w14:textFill>
                  <w14:solidFill>
                    <w14:schemeClr w14:val="tx1"/>
                  </w14:solidFill>
                </w14:textFill>
              </w:rPr>
              <w:t>6</w:t>
            </w:r>
            <w:r>
              <w:rPr>
                <w:color w:val="000000" w:themeColor="text1"/>
                <w:kern w:val="0"/>
                <w14:textFill>
                  <w14:solidFill>
                    <w14:schemeClr w14:val="tx1"/>
                  </w14:solidFill>
                </w14:textFill>
              </w:rPr>
              <w:t>t/a，使用垃圾桶收集后，交环卫部门处置。</w:t>
            </w:r>
          </w:p>
          <w:p>
            <w:pPr>
              <w:tabs>
                <w:tab w:val="left" w:pos="540"/>
                <w:tab w:val="left" w:pos="851"/>
                <w:tab w:val="left" w:pos="994"/>
                <w:tab w:val="left" w:pos="1260"/>
                <w:tab w:val="left" w:pos="3108"/>
                <w:tab w:val="left" w:pos="3150"/>
              </w:tabs>
              <w:ind w:firstLine="482" w:firstLineChars="200"/>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②食堂泔水</w:t>
            </w:r>
          </w:p>
          <w:p>
            <w:pPr>
              <w:tabs>
                <w:tab w:val="left" w:pos="540"/>
                <w:tab w:val="left" w:pos="851"/>
                <w:tab w:val="left" w:pos="994"/>
                <w:tab w:val="left" w:pos="1260"/>
                <w:tab w:val="left" w:pos="3108"/>
                <w:tab w:val="left" w:pos="3150"/>
              </w:tabs>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运营期共有</w:t>
            </w:r>
            <w:r>
              <w:rPr>
                <w:rFonts w:hint="eastAsia"/>
                <w:color w:val="000000" w:themeColor="text1"/>
                <w:kern w:val="0"/>
                <w14:textFill>
                  <w14:solidFill>
                    <w14:schemeClr w14:val="tx1"/>
                  </w14:solidFill>
                </w14:textFill>
              </w:rPr>
              <w:t>4</w:t>
            </w:r>
            <w:r>
              <w:rPr>
                <w:color w:val="000000" w:themeColor="text1"/>
                <w:kern w:val="0"/>
                <w14:textFill>
                  <w14:solidFill>
                    <w14:schemeClr w14:val="tx1"/>
                  </w14:solidFill>
                </w14:textFill>
              </w:rPr>
              <w:t>0人在项目内用餐，泔水产生量按0.2kg/人·d计，则食堂泔水产生量约为</w:t>
            </w:r>
            <w:r>
              <w:rPr>
                <w:rFonts w:hint="eastAsia"/>
                <w:color w:val="000000" w:themeColor="text1"/>
                <w:kern w:val="0"/>
                <w14:textFill>
                  <w14:solidFill>
                    <w14:schemeClr w14:val="tx1"/>
                  </w14:solidFill>
                </w14:textFill>
              </w:rPr>
              <w:t>8</w:t>
            </w:r>
            <w:r>
              <w:rPr>
                <w:color w:val="000000" w:themeColor="text1"/>
                <w:kern w:val="0"/>
                <w14:textFill>
                  <w14:solidFill>
                    <w14:schemeClr w14:val="tx1"/>
                  </w14:solidFill>
                </w14:textFill>
              </w:rPr>
              <w:t>kg/d，</w:t>
            </w:r>
            <w:r>
              <w:rPr>
                <w:rFonts w:hint="eastAsia"/>
                <w:color w:val="000000" w:themeColor="text1"/>
                <w:kern w:val="0"/>
                <w14:textFill>
                  <w14:solidFill>
                    <w14:schemeClr w14:val="tx1"/>
                  </w14:solidFill>
                </w14:textFill>
              </w:rPr>
              <w:t>2.4</w:t>
            </w:r>
            <w:r>
              <w:rPr>
                <w:color w:val="000000" w:themeColor="text1"/>
                <w:kern w:val="0"/>
                <w14:textFill>
                  <w14:solidFill>
                    <w14:schemeClr w14:val="tx1"/>
                  </w14:solidFill>
                </w14:textFill>
              </w:rPr>
              <w:t>t/a，收集后统一按照《昆明市餐厨废弃物管理办法》（昆明市政府令第109号）委托有资质单位进行清运处置。</w:t>
            </w:r>
          </w:p>
          <w:p>
            <w:pPr>
              <w:tabs>
                <w:tab w:val="left" w:pos="540"/>
                <w:tab w:val="left" w:pos="851"/>
                <w:tab w:val="left" w:pos="994"/>
                <w:tab w:val="left" w:pos="1260"/>
                <w:tab w:val="left" w:pos="3108"/>
                <w:tab w:val="left" w:pos="3150"/>
              </w:tabs>
              <w:ind w:firstLine="482" w:firstLineChars="200"/>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③</w:t>
            </w:r>
            <w:r>
              <w:rPr>
                <w:rFonts w:hint="eastAsia"/>
                <w:b/>
                <w:bCs/>
                <w:color w:val="000000" w:themeColor="text1"/>
                <w:kern w:val="0"/>
                <w14:textFill>
                  <w14:solidFill>
                    <w14:schemeClr w14:val="tx1"/>
                  </w14:solidFill>
                </w14:textFill>
              </w:rPr>
              <w:t>废零件</w:t>
            </w:r>
          </w:p>
          <w:p>
            <w:pPr>
              <w:tabs>
                <w:tab w:val="left" w:pos="540"/>
                <w:tab w:val="left" w:pos="851"/>
                <w:tab w:val="left" w:pos="994"/>
                <w:tab w:val="left" w:pos="1260"/>
                <w:tab w:val="left" w:pos="3108"/>
                <w:tab w:val="left" w:pos="3150"/>
              </w:tabs>
              <w:autoSpaceDE w:val="0"/>
              <w:autoSpaceDN w:val="0"/>
              <w:ind w:firstLine="480" w:firstLineChars="20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项目旧车修理过程中，会产生部分废零件，废零件产生量约为10kg/台，则年产生量约为120kg/a，0.12t/a，为一般固废，由厂家回收。</w:t>
            </w:r>
          </w:p>
          <w:p>
            <w:pPr>
              <w:tabs>
                <w:tab w:val="left" w:pos="540"/>
                <w:tab w:val="left" w:pos="851"/>
                <w:tab w:val="left" w:pos="994"/>
                <w:tab w:val="left" w:pos="1260"/>
                <w:tab w:val="left" w:pos="3108"/>
                <w:tab w:val="left" w:pos="3150"/>
              </w:tabs>
              <w:ind w:firstLine="482" w:firstLineChars="200"/>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④</w:t>
            </w:r>
            <w:r>
              <w:rPr>
                <w:rFonts w:hint="eastAsia"/>
                <w:b/>
                <w:bCs/>
                <w:color w:val="000000" w:themeColor="text1"/>
                <w:kern w:val="0"/>
                <w14:textFill>
                  <w14:solidFill>
                    <w14:schemeClr w14:val="tx1"/>
                  </w14:solidFill>
                </w14:textFill>
              </w:rPr>
              <w:t>废混凝土</w:t>
            </w:r>
          </w:p>
          <w:p>
            <w:pPr>
              <w:tabs>
                <w:tab w:val="left" w:pos="540"/>
                <w:tab w:val="left" w:pos="851"/>
                <w:tab w:val="left" w:pos="994"/>
                <w:tab w:val="left" w:pos="1260"/>
                <w:tab w:val="left" w:pos="3108"/>
                <w:tab w:val="left" w:pos="3150"/>
              </w:tabs>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项目旧车拆卸过程中会有部分混凝土散落，废混凝土量约为50kg/台，则年产生量约为0.6t，为一般固废，交由环卫部门处置。</w:t>
            </w:r>
          </w:p>
          <w:p>
            <w:pPr>
              <w:tabs>
                <w:tab w:val="left" w:pos="540"/>
                <w:tab w:val="left" w:pos="851"/>
                <w:tab w:val="left" w:pos="994"/>
                <w:tab w:val="left" w:pos="1260"/>
                <w:tab w:val="left" w:pos="3108"/>
                <w:tab w:val="left" w:pos="3150"/>
              </w:tabs>
              <w:autoSpaceDE w:val="0"/>
              <w:autoSpaceDN w:val="0"/>
              <w:ind w:firstLine="482" w:firstLineChars="200"/>
              <w:rPr>
                <w:b/>
                <w:bCs/>
                <w:color w:val="000000" w:themeColor="text1"/>
                <w:kern w:val="0"/>
                <w14:textFill>
                  <w14:solidFill>
                    <w14:schemeClr w14:val="tx1"/>
                  </w14:solidFill>
                </w14:textFill>
              </w:rPr>
            </w:pPr>
            <w:r>
              <w:rPr>
                <w:rFonts w:hint="eastAsia" w:ascii="宋体" w:hAnsi="宋体" w:cs="宋体"/>
                <w:b/>
                <w:bCs/>
                <w:color w:val="000000" w:themeColor="text1"/>
                <w:kern w:val="0"/>
                <w14:textFill>
                  <w14:solidFill>
                    <w14:schemeClr w14:val="tx1"/>
                  </w14:solidFill>
                </w14:textFill>
              </w:rPr>
              <w:t>⑤</w:t>
            </w:r>
            <w:r>
              <w:rPr>
                <w:b/>
                <w:bCs/>
                <w:color w:val="000000" w:themeColor="text1"/>
                <w:kern w:val="0"/>
                <w14:textFill>
                  <w14:solidFill>
                    <w14:schemeClr w14:val="tx1"/>
                  </w14:solidFill>
                </w14:textFill>
              </w:rPr>
              <w:t>隔油池</w:t>
            </w:r>
            <w:r>
              <w:rPr>
                <w:rFonts w:hint="eastAsia"/>
                <w:b/>
                <w:bCs/>
                <w:color w:val="000000" w:themeColor="text1"/>
                <w:kern w:val="0"/>
                <w14:textFill>
                  <w14:solidFill>
                    <w14:schemeClr w14:val="tx1"/>
                  </w14:solidFill>
                </w14:textFill>
              </w:rPr>
              <w:t>废油脂</w:t>
            </w:r>
          </w:p>
          <w:p>
            <w:pPr>
              <w:tabs>
                <w:tab w:val="left" w:pos="540"/>
                <w:tab w:val="left" w:pos="851"/>
                <w:tab w:val="left" w:pos="994"/>
                <w:tab w:val="left" w:pos="1260"/>
                <w:tab w:val="left" w:pos="3108"/>
                <w:tab w:val="left" w:pos="3150"/>
              </w:tabs>
              <w:ind w:firstLine="480" w:firstLineChars="200"/>
              <w:rPr>
                <w:color w:val="000000" w:themeColor="text1"/>
                <w14:textFill>
                  <w14:solidFill>
                    <w14:schemeClr w14:val="tx1"/>
                  </w14:solidFill>
                </w14:textFill>
              </w:rPr>
            </w:pPr>
            <w:r>
              <w:rPr>
                <w:color w:val="000000" w:themeColor="text1"/>
                <w:kern w:val="0"/>
                <w14:textFill>
                  <w14:solidFill>
                    <w14:schemeClr w14:val="tx1"/>
                  </w14:solidFill>
                </w14:textFill>
              </w:rPr>
              <w:t>项目食堂废水拟设置隔油池进行预处理，预处理后进入化粪池的量为0.0</w:t>
            </w:r>
            <w:r>
              <w:rPr>
                <w:rFonts w:hint="eastAsia"/>
                <w:color w:val="000000" w:themeColor="text1"/>
                <w:kern w:val="0"/>
                <w14:textFill>
                  <w14:solidFill>
                    <w14:schemeClr w14:val="tx1"/>
                  </w14:solidFill>
                </w14:textFill>
              </w:rPr>
              <w:t>7</w:t>
            </w:r>
            <w:r>
              <w:rPr>
                <w:color w:val="000000" w:themeColor="text1"/>
                <w:kern w:val="0"/>
                <w14:textFill>
                  <w14:solidFill>
                    <w14:schemeClr w14:val="tx1"/>
                  </w14:solidFill>
                </w14:textFill>
              </w:rPr>
              <w:t>t/a，隔油池处理效率按70%计，则隔油池</w:t>
            </w:r>
            <w:r>
              <w:rPr>
                <w:rFonts w:hint="eastAsia"/>
                <w:color w:val="000000" w:themeColor="text1"/>
                <w:kern w:val="0"/>
                <w14:textFill>
                  <w14:solidFill>
                    <w14:schemeClr w14:val="tx1"/>
                  </w14:solidFill>
                </w14:textFill>
              </w:rPr>
              <w:t>废油脂</w:t>
            </w:r>
            <w:r>
              <w:rPr>
                <w:color w:val="000000" w:themeColor="text1"/>
                <w:kern w:val="0"/>
                <w14:textFill>
                  <w14:solidFill>
                    <w14:schemeClr w14:val="tx1"/>
                  </w14:solidFill>
                </w14:textFill>
              </w:rPr>
              <w:t>量为0.021t/a</w:t>
            </w:r>
            <w:r>
              <w:rPr>
                <w:rFonts w:hint="eastAsia"/>
                <w:color w:val="000000" w:themeColor="text1"/>
                <w14:textFill>
                  <w14:solidFill>
                    <w14:schemeClr w14:val="tx1"/>
                  </w14:solidFill>
                </w14:textFill>
              </w:rPr>
              <w:t>。</w:t>
            </w:r>
            <w:r>
              <w:rPr>
                <w:color w:val="000000" w:themeColor="text1"/>
                <w:kern w:val="0"/>
                <w14:textFill>
                  <w14:solidFill>
                    <w14:schemeClr w14:val="tx1"/>
                  </w14:solidFill>
                </w14:textFill>
              </w:rPr>
              <w:t>收集后统一按照《昆明市餐厨废弃物管理办法》（昆明市政府令第109号）委托有资质单位进行清运处置</w:t>
            </w:r>
            <w:r>
              <w:rPr>
                <w:rFonts w:hint="eastAsia"/>
                <w:color w:val="000000" w:themeColor="text1"/>
                <w:kern w:val="0"/>
                <w14:textFill>
                  <w14:solidFill>
                    <w14:schemeClr w14:val="tx1"/>
                  </w14:solidFill>
                </w14:textFill>
              </w:rPr>
              <w:t>。</w:t>
            </w:r>
          </w:p>
          <w:p>
            <w:pPr>
              <w:tabs>
                <w:tab w:val="left" w:pos="540"/>
                <w:tab w:val="left" w:pos="851"/>
                <w:tab w:val="left" w:pos="994"/>
                <w:tab w:val="left" w:pos="1260"/>
                <w:tab w:val="left" w:pos="3108"/>
                <w:tab w:val="left" w:pos="3150"/>
              </w:tabs>
              <w:ind w:firstLine="482" w:firstLineChars="200"/>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（2）危险废物</w:t>
            </w:r>
          </w:p>
          <w:p>
            <w:pPr>
              <w:tabs>
                <w:tab w:val="left" w:pos="540"/>
                <w:tab w:val="left" w:pos="851"/>
                <w:tab w:val="left" w:pos="994"/>
                <w:tab w:val="left" w:pos="1260"/>
                <w:tab w:val="left" w:pos="3108"/>
                <w:tab w:val="left" w:pos="3150"/>
              </w:tabs>
              <w:ind w:firstLine="482" w:firstLineChars="200"/>
              <w:rPr>
                <w:b/>
                <w:bCs/>
                <w:color w:val="000000" w:themeColor="text1"/>
                <w:kern w:val="0"/>
                <w14:textFill>
                  <w14:solidFill>
                    <w14:schemeClr w14:val="tx1"/>
                  </w14:solidFill>
                </w14:textFill>
              </w:rPr>
            </w:pPr>
            <w:r>
              <w:rPr>
                <w:rFonts w:hint="eastAsia" w:ascii="宋体" w:hAnsi="宋体" w:cs="宋体"/>
                <w:b/>
                <w:bCs/>
                <w:color w:val="000000" w:themeColor="text1"/>
                <w:kern w:val="0"/>
                <w14:textFill>
                  <w14:solidFill>
                    <w14:schemeClr w14:val="tx1"/>
                  </w14:solidFill>
                </w14:textFill>
              </w:rPr>
              <w:t>①</w:t>
            </w:r>
            <w:r>
              <w:rPr>
                <w:b/>
                <w:bCs/>
                <w:color w:val="000000" w:themeColor="text1"/>
                <w:kern w:val="0"/>
                <w14:textFill>
                  <w14:solidFill>
                    <w14:schemeClr w14:val="tx1"/>
                  </w14:solidFill>
                </w14:textFill>
              </w:rPr>
              <w:t>废机油</w:t>
            </w:r>
            <w:r>
              <w:rPr>
                <w:rFonts w:hint="eastAsia"/>
                <w:b/>
                <w:bCs/>
                <w:color w:val="000000" w:themeColor="text1"/>
                <w:kern w:val="0"/>
                <w14:textFill>
                  <w14:solidFill>
                    <w14:schemeClr w14:val="tx1"/>
                  </w14:solidFill>
                </w14:textFill>
              </w:rPr>
              <w:t>、废柴油、废发动机油、废制动器油、废自动变速器油、废齿轮油</w:t>
            </w:r>
            <w:r>
              <w:rPr>
                <w:b/>
                <w:bCs/>
                <w:color w:val="000000" w:themeColor="text1"/>
                <w:kern w:val="0"/>
                <w14:textFill>
                  <w14:solidFill>
                    <w14:schemeClr w14:val="tx1"/>
                  </w14:solidFill>
                </w14:textFill>
              </w:rPr>
              <w:t>及废机油桶</w:t>
            </w:r>
            <w:r>
              <w:rPr>
                <w:rFonts w:hint="eastAsia"/>
                <w:b/>
                <w:bCs/>
                <w:color w:val="000000" w:themeColor="text1"/>
                <w:kern w:val="0"/>
                <w14:textFill>
                  <w14:solidFill>
                    <w14:schemeClr w14:val="tx1"/>
                  </w14:solidFill>
                </w14:textFill>
              </w:rPr>
              <w:t>、废柴油桶</w:t>
            </w:r>
          </w:p>
          <w:p>
            <w:pPr>
              <w:tabs>
                <w:tab w:val="left" w:pos="540"/>
                <w:tab w:val="left" w:pos="851"/>
                <w:tab w:val="left" w:pos="994"/>
                <w:tab w:val="left" w:pos="1260"/>
                <w:tab w:val="left" w:pos="3108"/>
                <w:tab w:val="left" w:pos="3150"/>
              </w:tabs>
              <w:ind w:firstLine="480" w:firstLineChars="20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根据</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排放源统计调查产排污核算方法和系数手册-机械行业系数手册</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，专用设备修理，HW08（废矿物油、切削液）的产污系数为0.63kg/吨产品，</w:t>
            </w:r>
            <w:r>
              <w:rPr>
                <w:color w:val="000000" w:themeColor="text1"/>
                <w:kern w:val="0"/>
                <w14:textFill>
                  <w14:solidFill>
                    <w14:schemeClr w14:val="tx1"/>
                  </w14:solidFill>
                </w14:textFill>
              </w:rPr>
              <w:t>项目</w:t>
            </w:r>
            <w:r>
              <w:rPr>
                <w:rFonts w:hint="eastAsia"/>
                <w:color w:val="000000" w:themeColor="text1"/>
                <w:kern w:val="0"/>
                <w14:textFill>
                  <w14:solidFill>
                    <w14:schemeClr w14:val="tx1"/>
                  </w14:solidFill>
                </w14:textFill>
              </w:rPr>
              <w:t>年</w:t>
            </w:r>
            <w:r>
              <w:rPr>
                <w:color w:val="000000" w:themeColor="text1"/>
                <w:kern w:val="0"/>
                <w14:textFill>
                  <w14:solidFill>
                    <w14:schemeClr w14:val="tx1"/>
                  </w14:solidFill>
                </w14:textFill>
              </w:rPr>
              <w:t>检修</w:t>
            </w:r>
            <w:r>
              <w:rPr>
                <w:rFonts w:hint="eastAsia"/>
                <w:color w:val="000000" w:themeColor="text1"/>
                <w:kern w:val="0"/>
                <w14:textFill>
                  <w14:solidFill>
                    <w14:schemeClr w14:val="tx1"/>
                  </w14:solidFill>
                </w14:textFill>
              </w:rPr>
              <w:t>台车12台，每台台车约16t，共计192t，则本项目检修过程中</w:t>
            </w:r>
            <w:r>
              <w:rPr>
                <w:color w:val="000000" w:themeColor="text1"/>
                <w:kern w:val="0"/>
                <w14:textFill>
                  <w14:solidFill>
                    <w14:schemeClr w14:val="tx1"/>
                  </w14:solidFill>
                </w14:textFill>
              </w:rPr>
              <w:t>过程中</w:t>
            </w:r>
            <w:r>
              <w:rPr>
                <w:rFonts w:hint="eastAsia"/>
                <w:color w:val="000000" w:themeColor="text1"/>
                <w:kern w:val="0"/>
                <w14:textFill>
                  <w14:solidFill>
                    <w14:schemeClr w14:val="tx1"/>
                  </w14:solidFill>
                </w14:textFill>
              </w:rPr>
              <w:t>HW08（废矿物油）</w:t>
            </w:r>
            <w:r>
              <w:rPr>
                <w:color w:val="000000" w:themeColor="text1"/>
                <w:kern w:val="0"/>
                <w14:textFill>
                  <w14:solidFill>
                    <w14:schemeClr w14:val="tx1"/>
                  </w14:solidFill>
                </w14:textFill>
              </w:rPr>
              <w:t>产生量约为</w:t>
            </w:r>
            <w:r>
              <w:rPr>
                <w:rFonts w:hint="eastAsia"/>
                <w:color w:val="000000" w:themeColor="text1"/>
                <w:kern w:val="0"/>
                <w14:textFill>
                  <w14:solidFill>
                    <w14:schemeClr w14:val="tx1"/>
                  </w14:solidFill>
                </w14:textFill>
              </w:rPr>
              <w:t>120.96</w:t>
            </w:r>
            <w:r>
              <w:rPr>
                <w:color w:val="000000" w:themeColor="text1"/>
                <w:kern w:val="0"/>
                <w14:textFill>
                  <w14:solidFill>
                    <w14:schemeClr w14:val="tx1"/>
                  </w14:solidFill>
                </w14:textFill>
              </w:rPr>
              <w:t>kg/a</w:t>
            </w:r>
            <w:r>
              <w:rPr>
                <w:rFonts w:hint="eastAsia"/>
                <w:color w:val="000000" w:themeColor="text1"/>
                <w:kern w:val="0"/>
                <w14:textFill>
                  <w14:solidFill>
                    <w14:schemeClr w14:val="tx1"/>
                  </w14:solidFill>
                </w14:textFill>
              </w:rPr>
              <w:t>。废机油桶</w:t>
            </w:r>
            <w:r>
              <w:rPr>
                <w:color w:val="000000" w:themeColor="text1"/>
                <w:kern w:val="0"/>
                <w14:textFill>
                  <w14:solidFill>
                    <w14:schemeClr w14:val="tx1"/>
                  </w14:solidFill>
                </w14:textFill>
              </w:rPr>
              <w:t>约为</w:t>
            </w:r>
            <w:r>
              <w:rPr>
                <w:rFonts w:hint="eastAsia"/>
                <w:color w:val="000000" w:themeColor="text1"/>
                <w:kern w:val="0"/>
                <w14:textFill>
                  <w14:solidFill>
                    <w14:schemeClr w14:val="tx1"/>
                  </w14:solidFill>
                </w14:textFill>
              </w:rPr>
              <w:t>3</w:t>
            </w:r>
            <w:r>
              <w:rPr>
                <w:color w:val="000000" w:themeColor="text1"/>
                <w:kern w:val="0"/>
                <w14:textFill>
                  <w14:solidFill>
                    <w14:schemeClr w14:val="tx1"/>
                  </w14:solidFill>
                </w14:textFill>
              </w:rPr>
              <w:t>kg/</w:t>
            </w:r>
            <w:r>
              <w:rPr>
                <w:rFonts w:hint="eastAsia"/>
                <w:color w:val="000000" w:themeColor="text1"/>
                <w:kern w:val="0"/>
                <w14:textFill>
                  <w14:solidFill>
                    <w14:schemeClr w14:val="tx1"/>
                  </w14:solidFill>
                </w14:textFill>
              </w:rPr>
              <w:t>个，年使用机油10桶，则废机油桶的产生量约为30kg。废液压油桶</w:t>
            </w:r>
            <w:r>
              <w:rPr>
                <w:color w:val="000000" w:themeColor="text1"/>
                <w:kern w:val="0"/>
                <w14:textFill>
                  <w14:solidFill>
                    <w14:schemeClr w14:val="tx1"/>
                  </w14:solidFill>
                </w14:textFill>
              </w:rPr>
              <w:t>产生量约为</w:t>
            </w:r>
            <w:r>
              <w:rPr>
                <w:rFonts w:hint="eastAsia"/>
                <w:color w:val="000000" w:themeColor="text1"/>
                <w:kern w:val="0"/>
                <w14:textFill>
                  <w14:solidFill>
                    <w14:schemeClr w14:val="tx1"/>
                  </w14:solidFill>
                </w14:textFill>
              </w:rPr>
              <w:t>2</w:t>
            </w:r>
            <w:r>
              <w:rPr>
                <w:color w:val="000000" w:themeColor="text1"/>
                <w:kern w:val="0"/>
                <w14:textFill>
                  <w14:solidFill>
                    <w14:schemeClr w14:val="tx1"/>
                  </w14:solidFill>
                </w14:textFill>
              </w:rPr>
              <w:t>kg/</w:t>
            </w:r>
            <w:r>
              <w:rPr>
                <w:rFonts w:hint="eastAsia"/>
                <w:color w:val="000000" w:themeColor="text1"/>
                <w:kern w:val="0"/>
                <w14:textFill>
                  <w14:solidFill>
                    <w14:schemeClr w14:val="tx1"/>
                  </w14:solidFill>
                </w14:textFill>
              </w:rPr>
              <w:t>个，年使用液压油3桶，则废液压油桶的产生量约为6kg。废柴油桶</w:t>
            </w:r>
            <w:r>
              <w:rPr>
                <w:color w:val="000000" w:themeColor="text1"/>
                <w:kern w:val="0"/>
                <w14:textFill>
                  <w14:solidFill>
                    <w14:schemeClr w14:val="tx1"/>
                  </w14:solidFill>
                </w14:textFill>
              </w:rPr>
              <w:t>产生量约为</w:t>
            </w:r>
            <w:r>
              <w:rPr>
                <w:rFonts w:hint="eastAsia"/>
                <w:color w:val="000000" w:themeColor="text1"/>
                <w:kern w:val="0"/>
                <w14:textFill>
                  <w14:solidFill>
                    <w14:schemeClr w14:val="tx1"/>
                  </w14:solidFill>
                </w14:textFill>
              </w:rPr>
              <w:t>5</w:t>
            </w:r>
            <w:r>
              <w:rPr>
                <w:color w:val="000000" w:themeColor="text1"/>
                <w:kern w:val="0"/>
                <w14:textFill>
                  <w14:solidFill>
                    <w14:schemeClr w14:val="tx1"/>
                  </w14:solidFill>
                </w14:textFill>
              </w:rPr>
              <w:t>kg/</w:t>
            </w:r>
            <w:r>
              <w:rPr>
                <w:rFonts w:hint="eastAsia"/>
                <w:color w:val="000000" w:themeColor="text1"/>
                <w:kern w:val="0"/>
                <w14:textFill>
                  <w14:solidFill>
                    <w14:schemeClr w14:val="tx1"/>
                  </w14:solidFill>
                </w14:textFill>
              </w:rPr>
              <w:t>个，年使用柴油68桶，则废柴油桶</w:t>
            </w:r>
            <w:r>
              <w:rPr>
                <w:color w:val="000000" w:themeColor="text1"/>
                <w:kern w:val="0"/>
                <w14:textFill>
                  <w14:solidFill>
                    <w14:schemeClr w14:val="tx1"/>
                  </w14:solidFill>
                </w14:textFill>
              </w:rPr>
              <w:t>产生量约为</w:t>
            </w:r>
            <w:r>
              <w:rPr>
                <w:rFonts w:hint="eastAsia"/>
                <w:color w:val="000000" w:themeColor="text1"/>
                <w:kern w:val="0"/>
                <w14:textFill>
                  <w14:solidFill>
                    <w14:schemeClr w14:val="tx1"/>
                  </w14:solidFill>
                </w14:textFill>
              </w:rPr>
              <w:t>340</w:t>
            </w:r>
            <w:r>
              <w:rPr>
                <w:color w:val="000000" w:themeColor="text1"/>
                <w:kern w:val="0"/>
                <w14:textFill>
                  <w14:solidFill>
                    <w14:schemeClr w14:val="tx1"/>
                  </w14:solidFill>
                </w14:textFill>
              </w:rPr>
              <w:t>kg/a，按照《国家危险废物名录》（2021年版），废</w:t>
            </w:r>
            <w:r>
              <w:rPr>
                <w:rFonts w:hint="eastAsia"/>
                <w:color w:val="000000" w:themeColor="text1"/>
                <w:kern w:val="0"/>
                <w14:textFill>
                  <w14:solidFill>
                    <w14:schemeClr w14:val="tx1"/>
                  </w14:solidFill>
                </w14:textFill>
              </w:rPr>
              <w:t>矿物油</w:t>
            </w:r>
            <w:r>
              <w:rPr>
                <w:color w:val="000000" w:themeColor="text1"/>
                <w:kern w:val="0"/>
                <w14:textFill>
                  <w14:solidFill>
                    <w14:schemeClr w14:val="tx1"/>
                  </w14:solidFill>
                </w14:textFill>
              </w:rPr>
              <w:t>属于危险废物名录中“HW08废矿物油及含矿物油废物”，废物代码为900-</w:t>
            </w:r>
            <w:r>
              <w:rPr>
                <w:rFonts w:hint="eastAsia"/>
                <w:color w:val="000000" w:themeColor="text1"/>
                <w:kern w:val="0"/>
                <w14:textFill>
                  <w14:solidFill>
                    <w14:schemeClr w14:val="tx1"/>
                  </w14:solidFill>
                </w14:textFill>
              </w:rPr>
              <w:t>214</w:t>
            </w:r>
            <w:r>
              <w:rPr>
                <w:color w:val="000000" w:themeColor="text1"/>
                <w:kern w:val="0"/>
                <w14:textFill>
                  <w14:solidFill>
                    <w14:schemeClr w14:val="tx1"/>
                  </w14:solidFill>
                </w14:textFill>
              </w:rPr>
              <w:t>-08，危险特性T，I。环评提出，</w:t>
            </w:r>
            <w:r>
              <w:rPr>
                <w:rFonts w:hint="eastAsia"/>
                <w:color w:val="000000" w:themeColor="text1"/>
                <w:kern w:val="0"/>
                <w14:textFill>
                  <w14:solidFill>
                    <w14:schemeClr w14:val="tx1"/>
                  </w14:solidFill>
                </w14:textFill>
              </w:rPr>
              <w:t>危险废物按照</w:t>
            </w:r>
            <w:r>
              <w:rPr>
                <w:color w:val="000000" w:themeColor="text1"/>
                <w:kern w:val="0"/>
                <w14:textFill>
                  <w14:solidFill>
                    <w14:schemeClr w14:val="tx1"/>
                  </w14:solidFill>
                </w14:textFill>
              </w:rPr>
              <w:t>《危险废物贮存污染控制标准》（GB18597-2001）</w:t>
            </w:r>
            <w:r>
              <w:rPr>
                <w:rFonts w:hint="eastAsia"/>
                <w:color w:val="000000" w:themeColor="text1"/>
                <w:kern w:val="0"/>
                <w14:textFill>
                  <w14:solidFill>
                    <w14:schemeClr w14:val="tx1"/>
                  </w14:solidFill>
                </w14:textFill>
              </w:rPr>
              <w:t>贮存及处置</w:t>
            </w:r>
            <w:r>
              <w:rPr>
                <w:color w:val="000000" w:themeColor="text1"/>
                <w:kern w:val="0"/>
                <w14:textFill>
                  <w14:solidFill>
                    <w14:schemeClr w14:val="tx1"/>
                  </w14:solidFill>
                </w14:textFill>
              </w:rPr>
              <w:t>。</w:t>
            </w:r>
          </w:p>
          <w:p>
            <w:pPr>
              <w:tabs>
                <w:tab w:val="left" w:pos="540"/>
                <w:tab w:val="left" w:pos="851"/>
                <w:tab w:val="left" w:pos="994"/>
                <w:tab w:val="left" w:pos="1260"/>
                <w:tab w:val="left" w:pos="3108"/>
                <w:tab w:val="left" w:pos="3150"/>
              </w:tabs>
              <w:ind w:firstLine="482" w:firstLineChars="200"/>
              <w:rPr>
                <w:rFonts w:ascii="宋体" w:hAnsi="宋体" w:cs="宋体"/>
                <w:b/>
                <w:bCs/>
                <w:color w:val="000000" w:themeColor="text1"/>
                <w:kern w:val="0"/>
                <w14:textFill>
                  <w14:solidFill>
                    <w14:schemeClr w14:val="tx1"/>
                  </w14:solidFill>
                </w14:textFill>
              </w:rPr>
            </w:pPr>
            <w:r>
              <w:rPr>
                <w:rFonts w:hint="eastAsia" w:ascii="宋体" w:hAnsi="宋体" w:cs="宋体"/>
                <w:b/>
                <w:bCs/>
                <w:color w:val="000000" w:themeColor="text1"/>
                <w:kern w:val="0"/>
                <w14:textFill>
                  <w14:solidFill>
                    <w14:schemeClr w14:val="tx1"/>
                  </w14:solidFill>
                </w14:textFill>
              </w:rPr>
              <w:t>②废活性炭</w:t>
            </w:r>
          </w:p>
          <w:p>
            <w:pPr>
              <w:tabs>
                <w:tab w:val="left" w:pos="540"/>
                <w:tab w:val="left" w:pos="851"/>
                <w:tab w:val="left" w:pos="994"/>
                <w:tab w:val="left" w:pos="1260"/>
                <w:tab w:val="left" w:pos="3108"/>
                <w:tab w:val="left" w:pos="3150"/>
              </w:tabs>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项目</w:t>
            </w:r>
            <w:r>
              <w:rPr>
                <w:rFonts w:hint="eastAsia"/>
                <w:color w:val="000000" w:themeColor="text1"/>
                <w:kern w:val="0"/>
                <w14:textFill>
                  <w14:solidFill>
                    <w14:schemeClr w14:val="tx1"/>
                  </w14:solidFill>
                </w14:textFill>
              </w:rPr>
              <w:t>挥发性有机物经2个集气罩收集后经活性炭吸附后经15米排气筒排放，</w:t>
            </w:r>
            <w:r>
              <w:rPr>
                <w:color w:val="000000" w:themeColor="text1"/>
                <w:kern w:val="0"/>
                <w14:textFill>
                  <w14:solidFill>
                    <w14:schemeClr w14:val="tx1"/>
                  </w14:solidFill>
                </w14:textFill>
              </w:rPr>
              <w:t>需定期更换活性炭，平均每1t活性炭可吸附0.2~0.3t有机废气，评价取1t活性炭吸附0.25t有机废气，本项目有组织TVOC吸附量为0.</w:t>
            </w:r>
            <w:r>
              <w:rPr>
                <w:rFonts w:hint="eastAsia"/>
                <w:color w:val="000000" w:themeColor="text1"/>
                <w:kern w:val="0"/>
                <w14:textFill>
                  <w14:solidFill>
                    <w14:schemeClr w14:val="tx1"/>
                  </w14:solidFill>
                </w14:textFill>
              </w:rPr>
              <w:t>03</w:t>
            </w:r>
            <w:r>
              <w:rPr>
                <w:color w:val="000000" w:themeColor="text1"/>
                <w:kern w:val="0"/>
                <w14:textFill>
                  <w14:solidFill>
                    <w14:schemeClr w14:val="tx1"/>
                  </w14:solidFill>
                </w14:textFill>
              </w:rPr>
              <w:t>t/a，则活性炭产生量为（含TVOC量）0.</w:t>
            </w:r>
            <w:r>
              <w:rPr>
                <w:rFonts w:hint="eastAsia"/>
                <w:color w:val="000000" w:themeColor="text1"/>
                <w:kern w:val="0"/>
                <w14:textFill>
                  <w14:solidFill>
                    <w14:schemeClr w14:val="tx1"/>
                  </w14:solidFill>
                </w14:textFill>
              </w:rPr>
              <w:t>124</w:t>
            </w:r>
            <w:r>
              <w:rPr>
                <w:color w:val="000000" w:themeColor="text1"/>
                <w:kern w:val="0"/>
                <w14:textFill>
                  <w14:solidFill>
                    <w14:schemeClr w14:val="tx1"/>
                  </w14:solidFill>
                </w14:textFill>
              </w:rPr>
              <w:t>t/a</w:t>
            </w:r>
            <w:r>
              <w:rPr>
                <w:color w:val="000000" w:themeColor="text1"/>
                <w14:textFill>
                  <w14:solidFill>
                    <w14:schemeClr w14:val="tx1"/>
                  </w14:solidFill>
                </w14:textFill>
              </w:rPr>
              <w:t>（平均6个月更换一次）</w:t>
            </w:r>
            <w:r>
              <w:rPr>
                <w:color w:val="000000" w:themeColor="text1"/>
                <w:kern w:val="0"/>
                <w14:textFill>
                  <w14:solidFill>
                    <w14:schemeClr w14:val="tx1"/>
                  </w14:solidFill>
                </w14:textFill>
              </w:rPr>
              <w:t>。根据《国家危险废物名录》（2021年版），VOCs治理过程产生的废活性炭属于危险废物，属HW49其他废物，危废代码为900-039-49，危险特性T。环评提出，使用密闭容器统一收集，设置危废暂存间储存，交有资质单位定期清运处置。</w:t>
            </w:r>
          </w:p>
          <w:p>
            <w:pPr>
              <w:tabs>
                <w:tab w:val="left" w:pos="540"/>
                <w:tab w:val="left" w:pos="851"/>
                <w:tab w:val="left" w:pos="994"/>
                <w:tab w:val="left" w:pos="1260"/>
                <w:tab w:val="left" w:pos="3108"/>
                <w:tab w:val="left" w:pos="3150"/>
              </w:tabs>
              <w:ind w:firstLine="482" w:firstLineChars="200"/>
              <w:rPr>
                <w:b/>
                <w:bCs/>
                <w:color w:val="000000" w:themeColor="text1"/>
                <w:kern w:val="0"/>
                <w14:textFill>
                  <w14:solidFill>
                    <w14:schemeClr w14:val="tx1"/>
                  </w14:solidFill>
                </w14:textFill>
              </w:rPr>
            </w:pPr>
            <w:r>
              <w:rPr>
                <w:rFonts w:hint="eastAsia" w:ascii="宋体" w:hAnsi="宋体" w:cs="宋体"/>
                <w:b/>
                <w:bCs/>
                <w:color w:val="000000" w:themeColor="text1"/>
                <w:kern w:val="0"/>
                <w14:textFill>
                  <w14:solidFill>
                    <w14:schemeClr w14:val="tx1"/>
                  </w14:solidFill>
                </w14:textFill>
              </w:rPr>
              <w:t>③</w:t>
            </w:r>
            <w:r>
              <w:rPr>
                <w:b/>
                <w:bCs/>
                <w:color w:val="000000" w:themeColor="text1"/>
                <w:kern w:val="0"/>
                <w14:textFill>
                  <w14:solidFill>
                    <w14:schemeClr w14:val="tx1"/>
                  </w14:solidFill>
                </w14:textFill>
              </w:rPr>
              <w:t>废漆桶</w:t>
            </w:r>
            <w:r>
              <w:rPr>
                <w:rFonts w:hint="eastAsia"/>
                <w:b/>
                <w:bCs/>
                <w:color w:val="000000" w:themeColor="text1"/>
                <w:kern w:val="0"/>
                <w14:textFill>
                  <w14:solidFill>
                    <w14:schemeClr w14:val="tx1"/>
                  </w14:solidFill>
                </w14:textFill>
              </w:rPr>
              <w:t>、废漆瓶</w:t>
            </w:r>
          </w:p>
          <w:p>
            <w:pPr>
              <w:tabs>
                <w:tab w:val="left" w:pos="540"/>
                <w:tab w:val="left" w:pos="851"/>
                <w:tab w:val="left" w:pos="994"/>
                <w:tab w:val="left" w:pos="1260"/>
                <w:tab w:val="left" w:pos="3108"/>
                <w:tab w:val="left" w:pos="3150"/>
              </w:tabs>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项目年用</w:t>
            </w:r>
            <w:r>
              <w:rPr>
                <w:rFonts w:hint="eastAsia"/>
                <w:color w:val="000000" w:themeColor="text1"/>
                <w:kern w:val="0"/>
                <w14:textFill>
                  <w14:solidFill>
                    <w14:schemeClr w14:val="tx1"/>
                  </w14:solidFill>
                </w14:textFill>
              </w:rPr>
              <w:t>桶装</w:t>
            </w:r>
            <w:r>
              <w:rPr>
                <w:color w:val="000000" w:themeColor="text1"/>
                <w:kern w:val="0"/>
                <w14:textFill>
                  <w14:solidFill>
                    <w14:schemeClr w14:val="tx1"/>
                  </w14:solidFill>
                </w14:textFill>
              </w:rPr>
              <w:t>漆</w:t>
            </w:r>
            <w:r>
              <w:rPr>
                <w:rFonts w:hint="eastAsia"/>
                <w:color w:val="000000" w:themeColor="text1"/>
                <w:kern w:val="0"/>
                <w14:textFill>
                  <w14:solidFill>
                    <w14:schemeClr w14:val="tx1"/>
                  </w14:solidFill>
                </w14:textFill>
              </w:rPr>
              <w:t>0.2</w:t>
            </w:r>
            <w:r>
              <w:rPr>
                <w:color w:val="000000" w:themeColor="text1"/>
                <w:kern w:val="0"/>
                <w14:textFill>
                  <w14:solidFill>
                    <w14:schemeClr w14:val="tx1"/>
                  </w14:solidFill>
                </w14:textFill>
              </w:rPr>
              <w:t>t，约为</w:t>
            </w:r>
            <w:r>
              <w:rPr>
                <w:rFonts w:hint="eastAsia"/>
                <w:color w:val="000000" w:themeColor="text1"/>
                <w:kern w:val="0"/>
                <w14:textFill>
                  <w14:solidFill>
                    <w14:schemeClr w14:val="tx1"/>
                  </w14:solidFill>
                </w14:textFill>
              </w:rPr>
              <w:t>25</w:t>
            </w:r>
            <w:r>
              <w:rPr>
                <w:color w:val="000000" w:themeColor="text1"/>
                <w:kern w:val="0"/>
                <w14:textFill>
                  <w14:solidFill>
                    <w14:schemeClr w14:val="tx1"/>
                  </w14:solidFill>
                </w14:textFill>
              </w:rPr>
              <w:t>kg/每桶，则项目年产生废漆桶</w:t>
            </w:r>
            <w:r>
              <w:rPr>
                <w:rFonts w:hint="eastAsia"/>
                <w:color w:val="000000" w:themeColor="text1"/>
                <w:kern w:val="0"/>
                <w14:textFill>
                  <w14:solidFill>
                    <w14:schemeClr w14:val="tx1"/>
                  </w14:solidFill>
                </w14:textFill>
              </w:rPr>
              <w:t>8</w:t>
            </w:r>
            <w:r>
              <w:rPr>
                <w:color w:val="000000" w:themeColor="text1"/>
                <w:kern w:val="0"/>
                <w14:textFill>
                  <w14:solidFill>
                    <w14:schemeClr w14:val="tx1"/>
                  </w14:solidFill>
                </w14:textFill>
              </w:rPr>
              <w:t>个，按5kg/个，则产生废漆桶</w:t>
            </w:r>
            <w:r>
              <w:rPr>
                <w:rFonts w:hint="eastAsia"/>
                <w:color w:val="000000" w:themeColor="text1"/>
                <w:kern w:val="0"/>
                <w14:textFill>
                  <w14:solidFill>
                    <w14:schemeClr w14:val="tx1"/>
                  </w14:solidFill>
                </w14:textFill>
              </w:rPr>
              <w:t>40kg</w:t>
            </w:r>
            <w:r>
              <w:rPr>
                <w:color w:val="000000" w:themeColor="text1"/>
                <w:kern w:val="0"/>
                <w14:textFill>
                  <w14:solidFill>
                    <w14:schemeClr w14:val="tx1"/>
                  </w14:solidFill>
                </w14:textFill>
              </w:rPr>
              <w:t>/a，</w:t>
            </w:r>
            <w:r>
              <w:rPr>
                <w:rFonts w:hint="eastAsia"/>
                <w:color w:val="000000" w:themeColor="text1"/>
                <w:kern w:val="0"/>
                <w14:textFill>
                  <w14:solidFill>
                    <w14:schemeClr w14:val="tx1"/>
                  </w14:solidFill>
                </w14:textFill>
              </w:rPr>
              <w:t>瓶装漆0.3t，约为0.5kg/瓶，按0.05kg/个，则年产生废漆瓶600个，则产生漆瓶30kg/a，废漆桶、漆瓶属于HW12染料、涂料废物，危废代码为264-013-12，危险特性T。环评提出，</w:t>
            </w:r>
            <w:r>
              <w:rPr>
                <w:color w:val="000000" w:themeColor="text1"/>
                <w:kern w:val="0"/>
                <w14:textFill>
                  <w14:solidFill>
                    <w14:schemeClr w14:val="tx1"/>
                  </w14:solidFill>
                </w14:textFill>
              </w:rPr>
              <w:t>设置危废暂存间储存，交有资质单位定期清运处置。</w:t>
            </w:r>
          </w:p>
          <w:p>
            <w:pPr>
              <w:tabs>
                <w:tab w:val="left" w:pos="540"/>
                <w:tab w:val="left" w:pos="851"/>
                <w:tab w:val="left" w:pos="994"/>
                <w:tab w:val="left" w:pos="1260"/>
                <w:tab w:val="left" w:pos="3108"/>
                <w:tab w:val="left" w:pos="3150"/>
              </w:tabs>
              <w:adjustRightInd w:val="0"/>
              <w:snapToGrid w:val="0"/>
              <w:ind w:firstLine="482" w:firstLineChars="200"/>
              <w:rPr>
                <w:b/>
                <w:bCs/>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④废过滤棉</w:t>
            </w:r>
          </w:p>
          <w:p>
            <w:pPr>
              <w:pStyle w:val="11"/>
              <w:adjustRightInd w:val="0"/>
              <w:spacing w:before="0" w:after="0" w:line="360" w:lineRule="auto"/>
              <w:ind w:right="0"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项目使用水性漆，漆雾采用过滤棉进行处理，过滤棉需定期更换，产生量（含漆雾量）约为0.05t/a，根据</w:t>
            </w:r>
            <w:r>
              <w:rPr>
                <w:color w:val="000000" w:themeColor="text1"/>
                <w:sz w:val="24"/>
                <w:szCs w:val="24"/>
                <w14:textFill>
                  <w14:solidFill>
                    <w14:schemeClr w14:val="tx1"/>
                  </w14:solidFill>
                </w14:textFill>
              </w:rPr>
              <w:t>《国家危险废物名录》（</w:t>
            </w:r>
            <w:r>
              <w:rPr>
                <w:rFonts w:hint="eastAsia"/>
                <w:color w:val="000000" w:themeColor="text1"/>
                <w:sz w:val="24"/>
                <w:szCs w:val="24"/>
                <w14:textFill>
                  <w14:solidFill>
                    <w14:schemeClr w14:val="tx1"/>
                  </w14:solidFill>
                </w14:textFill>
              </w:rPr>
              <w:t>2021</w:t>
            </w:r>
            <w:r>
              <w:rPr>
                <w:color w:val="000000" w:themeColor="text1"/>
                <w:sz w:val="24"/>
                <w:szCs w:val="24"/>
                <w14:textFill>
                  <w14:solidFill>
                    <w14:schemeClr w14:val="tx1"/>
                  </w14:solidFill>
                </w14:textFill>
              </w:rPr>
              <w:t>年版）</w:t>
            </w:r>
            <w:r>
              <w:rPr>
                <w:rFonts w:hint="eastAsia"/>
                <w:color w:val="000000" w:themeColor="text1"/>
                <w:sz w:val="24"/>
                <w:szCs w:val="24"/>
                <w14:textFill>
                  <w14:solidFill>
                    <w14:schemeClr w14:val="tx1"/>
                  </w14:solidFill>
                </w14:textFill>
              </w:rPr>
              <w:t>，其属于HW49其他废物，危废代码为900-039-49，危险特性T。环评提出，统一收集后于危废暂存间暂存，交有资质单位定期清运处置。</w:t>
            </w:r>
          </w:p>
          <w:p>
            <w:pPr>
              <w:tabs>
                <w:tab w:val="left" w:pos="540"/>
                <w:tab w:val="left" w:pos="851"/>
                <w:tab w:val="left" w:pos="994"/>
                <w:tab w:val="left" w:pos="1260"/>
                <w:tab w:val="left" w:pos="3108"/>
                <w:tab w:val="left" w:pos="3150"/>
              </w:tabs>
              <w:adjustRightInd w:val="0"/>
              <w:snapToGrid w:val="0"/>
              <w:ind w:firstLine="482" w:firstLineChars="200"/>
              <w:rPr>
                <w:b/>
                <w:bCs/>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⑤滤油机滤纸</w:t>
            </w:r>
          </w:p>
          <w:p>
            <w:pPr>
              <w:tabs>
                <w:tab w:val="left" w:pos="540"/>
                <w:tab w:val="left" w:pos="851"/>
                <w:tab w:val="left" w:pos="994"/>
                <w:tab w:val="left" w:pos="1260"/>
                <w:tab w:val="left" w:pos="3108"/>
                <w:tab w:val="left" w:pos="3150"/>
              </w:tabs>
              <w:adjustRightInd w:val="0"/>
              <w:snapToGrid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项目使用滤油机过滤洗管废油，废油采用滤纸进行过滤，滤纸每半年更换一次，项目共有4台滤油机，每张滤纸（含废油）量约为0.3kg，则废滤纸产生量（含废油）约为0.0024t/a，根据</w:t>
            </w:r>
            <w:r>
              <w:rPr>
                <w:color w:val="000000" w:themeColor="text1"/>
                <w14:textFill>
                  <w14:solidFill>
                    <w14:schemeClr w14:val="tx1"/>
                  </w14:solidFill>
                </w14:textFill>
              </w:rPr>
              <w:t>《国家危险废物名录》（</w:t>
            </w:r>
            <w:r>
              <w:rPr>
                <w:rFonts w:hint="eastAsia"/>
                <w:color w:val="000000" w:themeColor="text1"/>
                <w14:textFill>
                  <w14:solidFill>
                    <w14:schemeClr w14:val="tx1"/>
                  </w14:solidFill>
                </w14:textFill>
              </w:rPr>
              <w:t>2021</w:t>
            </w:r>
            <w:r>
              <w:rPr>
                <w:color w:val="000000" w:themeColor="text1"/>
                <w14:textFill>
                  <w14:solidFill>
                    <w14:schemeClr w14:val="tx1"/>
                  </w14:solidFill>
                </w14:textFill>
              </w:rPr>
              <w:t>年版）</w:t>
            </w:r>
            <w:r>
              <w:rPr>
                <w:rFonts w:hint="eastAsia"/>
                <w:color w:val="000000" w:themeColor="text1"/>
                <w14:textFill>
                  <w14:solidFill>
                    <w14:schemeClr w14:val="tx1"/>
                  </w14:solidFill>
                </w14:textFill>
              </w:rPr>
              <w:t>，其属于HW08废矿物油与含油矿物，危废代码为900-213-08，危险特性T、I。环评提出，统一收集后于危废暂存间暂存，交有资质单位定期清运处置。</w:t>
            </w:r>
          </w:p>
          <w:p>
            <w:pPr>
              <w:tabs>
                <w:tab w:val="left" w:pos="540"/>
                <w:tab w:val="left" w:pos="851"/>
                <w:tab w:val="left" w:pos="994"/>
                <w:tab w:val="left" w:pos="1260"/>
                <w:tab w:val="left" w:pos="3108"/>
                <w:tab w:val="left" w:pos="3150"/>
              </w:tabs>
              <w:adjustRightInd w:val="0"/>
              <w:snapToGrid w:val="0"/>
              <w:ind w:firstLine="482" w:firstLineChars="200"/>
              <w:rPr>
                <w:b/>
                <w:bCs/>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⑥滤油机过滤杂质</w:t>
            </w:r>
          </w:p>
          <w:p>
            <w:pPr>
              <w:tabs>
                <w:tab w:val="left" w:pos="540"/>
                <w:tab w:val="left" w:pos="851"/>
                <w:tab w:val="left" w:pos="994"/>
                <w:tab w:val="left" w:pos="1260"/>
                <w:tab w:val="left" w:pos="3108"/>
                <w:tab w:val="left" w:pos="3150"/>
              </w:tabs>
              <w:autoSpaceDE w:val="0"/>
              <w:autoSpaceDN w:val="0"/>
              <w:ind w:firstLine="48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项目使用滤油机过滤洗管废油，废油采用滤纸进行过滤，每半年清理一次，项目共有4台滤油机，每台滤机每次清理杂质的量约为0.2kg，则废滤纸产生量（含废油）约为0.0016t/a，根据</w:t>
            </w:r>
            <w:r>
              <w:rPr>
                <w:color w:val="000000" w:themeColor="text1"/>
                <w14:textFill>
                  <w14:solidFill>
                    <w14:schemeClr w14:val="tx1"/>
                  </w14:solidFill>
                </w14:textFill>
              </w:rPr>
              <w:t>《国家危险废物名录》（</w:t>
            </w:r>
            <w:r>
              <w:rPr>
                <w:rFonts w:hint="eastAsia"/>
                <w:color w:val="000000" w:themeColor="text1"/>
                <w14:textFill>
                  <w14:solidFill>
                    <w14:schemeClr w14:val="tx1"/>
                  </w14:solidFill>
                </w14:textFill>
              </w:rPr>
              <w:t>2021</w:t>
            </w:r>
            <w:r>
              <w:rPr>
                <w:color w:val="000000" w:themeColor="text1"/>
                <w14:textFill>
                  <w14:solidFill>
                    <w14:schemeClr w14:val="tx1"/>
                  </w14:solidFill>
                </w14:textFill>
              </w:rPr>
              <w:t>年版）</w:t>
            </w:r>
            <w:r>
              <w:rPr>
                <w:rFonts w:hint="eastAsia"/>
                <w:color w:val="000000" w:themeColor="text1"/>
                <w14:textFill>
                  <w14:solidFill>
                    <w14:schemeClr w14:val="tx1"/>
                  </w14:solidFill>
                </w14:textFill>
              </w:rPr>
              <w:t>，其属于HW08废矿物油与含油矿物，危废代码为900-213-08，危险特性T、I。环评提出，统一收集后于危废暂存间暂存，交有资质单位定期清运处置。</w:t>
            </w:r>
          </w:p>
          <w:p>
            <w:pPr>
              <w:tabs>
                <w:tab w:val="left" w:pos="540"/>
                <w:tab w:val="left" w:pos="851"/>
                <w:tab w:val="left" w:pos="994"/>
                <w:tab w:val="left" w:pos="1260"/>
                <w:tab w:val="left" w:pos="3108"/>
                <w:tab w:val="left" w:pos="3150"/>
              </w:tabs>
              <w:adjustRightInd w:val="0"/>
              <w:snapToGrid w:val="0"/>
              <w:ind w:firstLine="482" w:firstLineChars="200"/>
              <w:rPr>
                <w:b/>
                <w:bCs/>
                <w:color w:val="000000" w:themeColor="text1"/>
                <w:kern w:val="0"/>
                <w14:textFill>
                  <w14:solidFill>
                    <w14:schemeClr w14:val="tx1"/>
                  </w14:solidFill>
                </w14:textFill>
              </w:rPr>
            </w:pPr>
            <w:r>
              <w:rPr>
                <w:rFonts w:hint="eastAsia"/>
                <w:b/>
                <w:bCs/>
                <w:color w:val="000000" w:themeColor="text1"/>
                <w:kern w:val="0"/>
                <w14:textFill>
                  <w14:solidFill>
                    <w14:schemeClr w14:val="tx1"/>
                  </w14:solidFill>
                </w14:textFill>
              </w:rPr>
              <w:t>⑦含油及有机溶剂的废棉纱、废劳保用品</w:t>
            </w:r>
          </w:p>
          <w:p>
            <w:pPr>
              <w:tabs>
                <w:tab w:val="left" w:pos="540"/>
                <w:tab w:val="left" w:pos="851"/>
                <w:tab w:val="left" w:pos="994"/>
                <w:tab w:val="left" w:pos="1260"/>
                <w:tab w:val="left" w:pos="3108"/>
                <w:tab w:val="left" w:pos="3150"/>
              </w:tabs>
              <w:autoSpaceDE w:val="0"/>
              <w:autoSpaceDN w:val="0"/>
              <w:ind w:firstLine="480" w:firstLineChars="200"/>
              <w:rPr>
                <w:rFonts w:ascii="宋体" w:hAnsi="宋体" w:cs="宋体"/>
                <w:color w:val="000000" w:themeColor="text1"/>
                <w14:textFill>
                  <w14:solidFill>
                    <w14:schemeClr w14:val="tx1"/>
                  </w14:solidFill>
                </w14:textFill>
              </w:rPr>
            </w:pPr>
            <w:r>
              <w:rPr>
                <w:rFonts w:hint="eastAsia"/>
                <w:color w:val="000000" w:themeColor="text1"/>
                <w14:textFill>
                  <w14:solidFill>
                    <w14:schemeClr w14:val="tx1"/>
                  </w14:solidFill>
                </w14:textFill>
              </w:rPr>
              <w:t>项目在生产过程中会产生部分</w:t>
            </w:r>
            <w:r>
              <w:rPr>
                <w:rFonts w:hint="eastAsia" w:ascii="宋体" w:hAnsi="宋体" w:cs="宋体"/>
                <w:color w:val="000000" w:themeColor="text1"/>
                <w14:textFill>
                  <w14:solidFill>
                    <w14:schemeClr w14:val="tx1"/>
                  </w14:solidFill>
                </w14:textFill>
              </w:rPr>
              <w:t>含油及有机溶剂的废棉纱、废劳保用品</w:t>
            </w:r>
            <w:r>
              <w:rPr>
                <w:rFonts w:hint="eastAsia"/>
                <w:color w:val="000000" w:themeColor="text1"/>
                <w14:textFill>
                  <w14:solidFill>
                    <w14:schemeClr w14:val="tx1"/>
                  </w14:solidFill>
                </w14:textFill>
              </w:rPr>
              <w:t>，此部分</w:t>
            </w:r>
            <w:r>
              <w:rPr>
                <w:rFonts w:hint="eastAsia" w:ascii="宋体" w:hAnsi="宋体" w:cs="宋体"/>
                <w:color w:val="000000" w:themeColor="text1"/>
                <w14:textFill>
                  <w14:solidFill>
                    <w14:schemeClr w14:val="tx1"/>
                  </w14:solidFill>
                </w14:textFill>
              </w:rPr>
              <w:t>含油及有机溶剂的废棉纱、废劳保用品</w:t>
            </w:r>
            <w:r>
              <w:rPr>
                <w:rFonts w:hint="eastAsia"/>
                <w:color w:val="000000" w:themeColor="text1"/>
                <w14:textFill>
                  <w14:solidFill>
                    <w14:schemeClr w14:val="tx1"/>
                  </w14:solidFill>
                </w14:textFill>
              </w:rPr>
              <w:t>约为0.2t/a，根据</w:t>
            </w:r>
            <w:r>
              <w:rPr>
                <w:color w:val="000000" w:themeColor="text1"/>
                <w14:textFill>
                  <w14:solidFill>
                    <w14:schemeClr w14:val="tx1"/>
                  </w14:solidFill>
                </w14:textFill>
              </w:rPr>
              <w:t>《国家危险废物名录》（</w:t>
            </w:r>
            <w:r>
              <w:rPr>
                <w:rFonts w:hint="eastAsia"/>
                <w:color w:val="000000" w:themeColor="text1"/>
                <w14:textFill>
                  <w14:solidFill>
                    <w14:schemeClr w14:val="tx1"/>
                  </w14:solidFill>
                </w14:textFill>
              </w:rPr>
              <w:t>2021</w:t>
            </w:r>
            <w:r>
              <w:rPr>
                <w:color w:val="000000" w:themeColor="text1"/>
                <w14:textFill>
                  <w14:solidFill>
                    <w14:schemeClr w14:val="tx1"/>
                  </w14:solidFill>
                </w14:textFill>
              </w:rPr>
              <w:t>年版）</w:t>
            </w:r>
            <w:r>
              <w:rPr>
                <w:rFonts w:hint="eastAsia"/>
                <w:color w:val="000000" w:themeColor="text1"/>
                <w14:textFill>
                  <w14:solidFill>
                    <w14:schemeClr w14:val="tx1"/>
                  </w14:solidFill>
                </w14:textFill>
              </w:rPr>
              <w:t>，其属于HW08废矿物油与含油矿物，危废代码为900-041-09，危险特性T、I。环评提出，统一收集后于危废暂存间暂存，交有资质单位定期清运处置。</w:t>
            </w:r>
          </w:p>
          <w:p>
            <w:pPr>
              <w:spacing w:line="240" w:lineRule="auto"/>
              <w:jc w:val="center"/>
              <w:rPr>
                <w:b/>
                <w:color w:val="000000" w:themeColor="text1"/>
                <w:kern w:val="0"/>
                <w14:textFill>
                  <w14:solidFill>
                    <w14:schemeClr w14:val="tx1"/>
                  </w14:solidFill>
                </w14:textFill>
              </w:rPr>
            </w:pPr>
            <w:r>
              <w:rPr>
                <w:b/>
                <w:color w:val="000000" w:themeColor="text1"/>
                <w:kern w:val="0"/>
                <w14:textFill>
                  <w14:solidFill>
                    <w14:schemeClr w14:val="tx1"/>
                  </w14:solidFill>
                </w14:textFill>
              </w:rPr>
              <w:t>表4-</w:t>
            </w:r>
            <w:r>
              <w:rPr>
                <w:rFonts w:hint="eastAsia"/>
                <w:b/>
                <w:color w:val="000000" w:themeColor="text1"/>
                <w:kern w:val="0"/>
                <w14:textFill>
                  <w14:solidFill>
                    <w14:schemeClr w14:val="tx1"/>
                  </w14:solidFill>
                </w14:textFill>
              </w:rPr>
              <w:t>10</w:t>
            </w:r>
            <w:r>
              <w:rPr>
                <w:b/>
                <w:color w:val="000000" w:themeColor="text1"/>
                <w:kern w:val="0"/>
                <w14:textFill>
                  <w14:solidFill>
                    <w14:schemeClr w14:val="tx1"/>
                  </w14:solidFill>
                </w14:textFill>
              </w:rPr>
              <w:t xml:space="preserve">   危险废物汇总表</w:t>
            </w:r>
          </w:p>
          <w:tbl>
            <w:tblPr>
              <w:tblStyle w:val="2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9"/>
              <w:gridCol w:w="869"/>
              <w:gridCol w:w="1274"/>
              <w:gridCol w:w="779"/>
              <w:gridCol w:w="855"/>
              <w:gridCol w:w="584"/>
              <w:gridCol w:w="1228"/>
              <w:gridCol w:w="672"/>
              <w:gridCol w:w="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pct"/>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危险废物名称</w:t>
                  </w:r>
                </w:p>
              </w:tc>
              <w:tc>
                <w:tcPr>
                  <w:tcW w:w="548" w:type="pct"/>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危险废物类别</w:t>
                  </w:r>
                </w:p>
              </w:tc>
              <w:tc>
                <w:tcPr>
                  <w:tcW w:w="803" w:type="pct"/>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危险废物代码</w:t>
                  </w:r>
                </w:p>
              </w:tc>
              <w:tc>
                <w:tcPr>
                  <w:tcW w:w="491" w:type="pct"/>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产生量（t/年）</w:t>
                  </w:r>
                </w:p>
              </w:tc>
              <w:tc>
                <w:tcPr>
                  <w:tcW w:w="539" w:type="pct"/>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产生工序及装置</w:t>
                  </w:r>
                </w:p>
              </w:tc>
              <w:tc>
                <w:tcPr>
                  <w:tcW w:w="368" w:type="pct"/>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形态</w:t>
                  </w:r>
                </w:p>
              </w:tc>
              <w:tc>
                <w:tcPr>
                  <w:tcW w:w="774" w:type="pct"/>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主要成分</w:t>
                  </w:r>
                </w:p>
              </w:tc>
              <w:tc>
                <w:tcPr>
                  <w:tcW w:w="424" w:type="pct"/>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产废周期</w:t>
                  </w:r>
                </w:p>
              </w:tc>
              <w:tc>
                <w:tcPr>
                  <w:tcW w:w="305" w:type="pct"/>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危险</w:t>
                  </w:r>
                </w:p>
                <w:p>
                  <w:pPr>
                    <w:widowControl/>
                    <w:tabs>
                      <w:tab w:val="left" w:pos="540"/>
                      <w:tab w:val="left" w:pos="851"/>
                      <w:tab w:val="left" w:pos="994"/>
                      <w:tab w:val="left" w:pos="1260"/>
                      <w:tab w:val="left" w:pos="3108"/>
                      <w:tab w:val="left" w:pos="3150"/>
                    </w:tabs>
                    <w:topLinePunct/>
                    <w:adjustRightInd w:val="0"/>
                    <w:snapToGrid w:val="0"/>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trPr>
              <w:tc>
                <w:tcPr>
                  <w:tcW w:w="744" w:type="pct"/>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废</w:t>
                  </w:r>
                  <w:r>
                    <w:rPr>
                      <w:rFonts w:hint="eastAsia"/>
                      <w:color w:val="000000" w:themeColor="text1"/>
                      <w:kern w:val="0"/>
                      <w:sz w:val="21"/>
                      <w:szCs w:val="21"/>
                      <w14:textFill>
                        <w14:solidFill>
                          <w14:schemeClr w14:val="tx1"/>
                        </w14:solidFill>
                      </w14:textFill>
                    </w:rPr>
                    <w:t>液压油、废机油、废柴油</w:t>
                  </w:r>
                </w:p>
              </w:tc>
              <w:tc>
                <w:tcPr>
                  <w:tcW w:w="548" w:type="pct"/>
                  <w:vMerge w:val="restart"/>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HW08废矿物油及含矿物油废物</w:t>
                  </w:r>
                </w:p>
              </w:tc>
              <w:tc>
                <w:tcPr>
                  <w:tcW w:w="803" w:type="pct"/>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bCs/>
                      <w:color w:val="000000" w:themeColor="text1"/>
                      <w:kern w:val="0"/>
                      <w:sz w:val="21"/>
                      <w:szCs w:val="21"/>
                      <w14:textFill>
                        <w14:solidFill>
                          <w14:schemeClr w14:val="tx1"/>
                        </w14:solidFill>
                      </w14:textFill>
                    </w:rPr>
                  </w:pPr>
                  <w:r>
                    <w:rPr>
                      <w:rFonts w:hint="eastAsia"/>
                      <w:bCs/>
                      <w:color w:val="000000" w:themeColor="text1"/>
                      <w:kern w:val="0"/>
                      <w:sz w:val="21"/>
                      <w:szCs w:val="21"/>
                      <w14:textFill>
                        <w14:solidFill>
                          <w14:schemeClr w14:val="tx1"/>
                        </w14:solidFill>
                      </w14:textFill>
                    </w:rPr>
                    <w:t>900-214-08</w:t>
                  </w:r>
                </w:p>
              </w:tc>
              <w:tc>
                <w:tcPr>
                  <w:tcW w:w="491" w:type="pct"/>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0.12</w:t>
                  </w:r>
                </w:p>
              </w:tc>
              <w:tc>
                <w:tcPr>
                  <w:tcW w:w="539" w:type="pct"/>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台车修理</w:t>
                  </w:r>
                </w:p>
              </w:tc>
              <w:tc>
                <w:tcPr>
                  <w:tcW w:w="368" w:type="pct"/>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液态</w:t>
                  </w:r>
                </w:p>
              </w:tc>
              <w:tc>
                <w:tcPr>
                  <w:tcW w:w="774" w:type="pct"/>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液压油、柴油、机油</w:t>
                  </w:r>
                </w:p>
              </w:tc>
              <w:tc>
                <w:tcPr>
                  <w:tcW w:w="424" w:type="pct"/>
                  <w:vMerge w:val="restart"/>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2</w:t>
                  </w:r>
                  <w:r>
                    <w:rPr>
                      <w:color w:val="000000" w:themeColor="text1"/>
                      <w:kern w:val="0"/>
                      <w:sz w:val="21"/>
                      <w:szCs w:val="21"/>
                      <w14:textFill>
                        <w14:solidFill>
                          <w14:schemeClr w14:val="tx1"/>
                        </w14:solidFill>
                      </w14:textFill>
                    </w:rPr>
                    <w:t>~</w:t>
                  </w:r>
                  <w:r>
                    <w:rPr>
                      <w:rFonts w:hint="eastAsia"/>
                      <w:color w:val="000000" w:themeColor="text1"/>
                      <w:kern w:val="0"/>
                      <w:sz w:val="21"/>
                      <w:szCs w:val="21"/>
                      <w14:textFill>
                        <w14:solidFill>
                          <w14:schemeClr w14:val="tx1"/>
                        </w14:solidFill>
                      </w14:textFill>
                    </w:rPr>
                    <w:t>3</w:t>
                  </w:r>
                  <w:r>
                    <w:rPr>
                      <w:color w:val="000000" w:themeColor="text1"/>
                      <w:kern w:val="0"/>
                      <w:sz w:val="21"/>
                      <w:szCs w:val="21"/>
                      <w14:textFill>
                        <w14:solidFill>
                          <w14:schemeClr w14:val="tx1"/>
                        </w14:solidFill>
                      </w14:textFill>
                    </w:rPr>
                    <w:t>次/a</w:t>
                  </w:r>
                </w:p>
              </w:tc>
              <w:tc>
                <w:tcPr>
                  <w:tcW w:w="305" w:type="pct"/>
                  <w:vMerge w:val="restart"/>
                  <w:vAlign w:val="center"/>
                </w:tcPr>
                <w:p>
                  <w:pPr>
                    <w:widowControl/>
                    <w:topLinePunct/>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pct"/>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废机油桶</w:t>
                  </w:r>
                </w:p>
              </w:tc>
              <w:tc>
                <w:tcPr>
                  <w:tcW w:w="548" w:type="pct"/>
                  <w:vMerge w:val="continue"/>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bCs/>
                      <w:color w:val="000000" w:themeColor="text1"/>
                      <w:kern w:val="0"/>
                      <w:sz w:val="21"/>
                      <w:szCs w:val="21"/>
                      <w14:textFill>
                        <w14:solidFill>
                          <w14:schemeClr w14:val="tx1"/>
                        </w14:solidFill>
                      </w14:textFill>
                    </w:rPr>
                  </w:pPr>
                </w:p>
              </w:tc>
              <w:tc>
                <w:tcPr>
                  <w:tcW w:w="803" w:type="pct"/>
                  <w:vMerge w:val="restart"/>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bCs/>
                      <w:color w:val="000000" w:themeColor="text1"/>
                      <w:kern w:val="0"/>
                      <w:sz w:val="21"/>
                      <w:szCs w:val="21"/>
                      <w14:textFill>
                        <w14:solidFill>
                          <w14:schemeClr w14:val="tx1"/>
                        </w14:solidFill>
                      </w14:textFill>
                    </w:rPr>
                  </w:pPr>
                  <w:r>
                    <w:rPr>
                      <w:rFonts w:hint="eastAsia"/>
                      <w:bCs/>
                      <w:color w:val="000000" w:themeColor="text1"/>
                      <w:kern w:val="0"/>
                      <w:sz w:val="21"/>
                      <w:szCs w:val="21"/>
                      <w14:textFill>
                        <w14:solidFill>
                          <w14:schemeClr w14:val="tx1"/>
                        </w14:solidFill>
                      </w14:textFill>
                    </w:rPr>
                    <w:t>900-249-08</w:t>
                  </w:r>
                </w:p>
              </w:tc>
              <w:tc>
                <w:tcPr>
                  <w:tcW w:w="491" w:type="pct"/>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0.03</w:t>
                  </w:r>
                </w:p>
              </w:tc>
              <w:tc>
                <w:tcPr>
                  <w:tcW w:w="539" w:type="pct"/>
                  <w:vMerge w:val="restart"/>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台车修理、台车生产</w:t>
                  </w:r>
                </w:p>
              </w:tc>
              <w:tc>
                <w:tcPr>
                  <w:tcW w:w="368" w:type="pct"/>
                  <w:vMerge w:val="restart"/>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固态</w:t>
                  </w:r>
                </w:p>
              </w:tc>
              <w:tc>
                <w:tcPr>
                  <w:tcW w:w="774" w:type="pct"/>
                  <w:vMerge w:val="restart"/>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废矿物油</w:t>
                  </w:r>
                </w:p>
              </w:tc>
              <w:tc>
                <w:tcPr>
                  <w:tcW w:w="424" w:type="pct"/>
                  <w:vMerge w:val="continue"/>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color w:val="000000" w:themeColor="text1"/>
                      <w:kern w:val="0"/>
                      <w:sz w:val="21"/>
                      <w:szCs w:val="21"/>
                      <w14:textFill>
                        <w14:solidFill>
                          <w14:schemeClr w14:val="tx1"/>
                        </w14:solidFill>
                      </w14:textFill>
                    </w:rPr>
                  </w:pPr>
                </w:p>
              </w:tc>
              <w:tc>
                <w:tcPr>
                  <w:tcW w:w="305" w:type="pct"/>
                  <w:vMerge w:val="continue"/>
                  <w:vAlign w:val="center"/>
                </w:tcPr>
                <w:p>
                  <w:pPr>
                    <w:widowControl/>
                    <w:topLinePunct/>
                    <w:adjustRightInd w:val="0"/>
                    <w:snapToGrid w:val="0"/>
                    <w:spacing w:line="240" w:lineRule="auto"/>
                    <w:jc w:val="center"/>
                    <w:rPr>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pct"/>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废液压油桶</w:t>
                  </w:r>
                </w:p>
              </w:tc>
              <w:tc>
                <w:tcPr>
                  <w:tcW w:w="548" w:type="pct"/>
                  <w:vMerge w:val="continue"/>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bCs/>
                      <w:color w:val="000000" w:themeColor="text1"/>
                      <w:kern w:val="0"/>
                      <w:sz w:val="21"/>
                      <w:szCs w:val="21"/>
                      <w14:textFill>
                        <w14:solidFill>
                          <w14:schemeClr w14:val="tx1"/>
                        </w14:solidFill>
                      </w14:textFill>
                    </w:rPr>
                  </w:pPr>
                </w:p>
              </w:tc>
              <w:tc>
                <w:tcPr>
                  <w:tcW w:w="803" w:type="pct"/>
                  <w:vMerge w:val="continue"/>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bCs/>
                      <w:color w:val="000000" w:themeColor="text1"/>
                      <w:kern w:val="0"/>
                      <w:sz w:val="21"/>
                      <w:szCs w:val="21"/>
                      <w14:textFill>
                        <w14:solidFill>
                          <w14:schemeClr w14:val="tx1"/>
                        </w14:solidFill>
                      </w14:textFill>
                    </w:rPr>
                  </w:pPr>
                </w:p>
              </w:tc>
              <w:tc>
                <w:tcPr>
                  <w:tcW w:w="491" w:type="pct"/>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0.006</w:t>
                  </w:r>
                </w:p>
              </w:tc>
              <w:tc>
                <w:tcPr>
                  <w:tcW w:w="539" w:type="pct"/>
                  <w:vMerge w:val="continue"/>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color w:val="000000" w:themeColor="text1"/>
                      <w:kern w:val="0"/>
                      <w:sz w:val="21"/>
                      <w:szCs w:val="21"/>
                      <w14:textFill>
                        <w14:solidFill>
                          <w14:schemeClr w14:val="tx1"/>
                        </w14:solidFill>
                      </w14:textFill>
                    </w:rPr>
                  </w:pPr>
                </w:p>
              </w:tc>
              <w:tc>
                <w:tcPr>
                  <w:tcW w:w="368" w:type="pct"/>
                  <w:vMerge w:val="continue"/>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color w:val="000000" w:themeColor="text1"/>
                      <w:kern w:val="0"/>
                      <w:sz w:val="21"/>
                      <w:szCs w:val="21"/>
                      <w14:textFill>
                        <w14:solidFill>
                          <w14:schemeClr w14:val="tx1"/>
                        </w14:solidFill>
                      </w14:textFill>
                    </w:rPr>
                  </w:pPr>
                </w:p>
              </w:tc>
              <w:tc>
                <w:tcPr>
                  <w:tcW w:w="774" w:type="pct"/>
                  <w:vMerge w:val="continue"/>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color w:val="000000" w:themeColor="text1"/>
                      <w:kern w:val="0"/>
                      <w:sz w:val="21"/>
                      <w:szCs w:val="21"/>
                      <w14:textFill>
                        <w14:solidFill>
                          <w14:schemeClr w14:val="tx1"/>
                        </w14:solidFill>
                      </w14:textFill>
                    </w:rPr>
                  </w:pPr>
                </w:p>
              </w:tc>
              <w:tc>
                <w:tcPr>
                  <w:tcW w:w="424" w:type="pct"/>
                  <w:vMerge w:val="continue"/>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color w:val="000000" w:themeColor="text1"/>
                      <w:kern w:val="0"/>
                      <w:sz w:val="21"/>
                      <w:szCs w:val="21"/>
                      <w14:textFill>
                        <w14:solidFill>
                          <w14:schemeClr w14:val="tx1"/>
                        </w14:solidFill>
                      </w14:textFill>
                    </w:rPr>
                  </w:pPr>
                </w:p>
              </w:tc>
              <w:tc>
                <w:tcPr>
                  <w:tcW w:w="305" w:type="pct"/>
                  <w:vMerge w:val="continue"/>
                  <w:vAlign w:val="center"/>
                </w:tcPr>
                <w:p>
                  <w:pPr>
                    <w:widowControl/>
                    <w:topLinePunct/>
                    <w:adjustRightInd w:val="0"/>
                    <w:snapToGrid w:val="0"/>
                    <w:spacing w:line="240" w:lineRule="auto"/>
                    <w:jc w:val="center"/>
                    <w:rPr>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pct"/>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废柴油桶</w:t>
                  </w:r>
                </w:p>
              </w:tc>
              <w:tc>
                <w:tcPr>
                  <w:tcW w:w="548" w:type="pct"/>
                  <w:vMerge w:val="continue"/>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bCs/>
                      <w:color w:val="000000" w:themeColor="text1"/>
                      <w:kern w:val="0"/>
                      <w:sz w:val="21"/>
                      <w:szCs w:val="21"/>
                      <w14:textFill>
                        <w14:solidFill>
                          <w14:schemeClr w14:val="tx1"/>
                        </w14:solidFill>
                      </w14:textFill>
                    </w:rPr>
                  </w:pPr>
                </w:p>
              </w:tc>
              <w:tc>
                <w:tcPr>
                  <w:tcW w:w="803" w:type="pct"/>
                  <w:vMerge w:val="continue"/>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bCs/>
                      <w:color w:val="000000" w:themeColor="text1"/>
                      <w:kern w:val="0"/>
                      <w:sz w:val="21"/>
                      <w:szCs w:val="21"/>
                      <w14:textFill>
                        <w14:solidFill>
                          <w14:schemeClr w14:val="tx1"/>
                        </w14:solidFill>
                      </w14:textFill>
                    </w:rPr>
                  </w:pPr>
                </w:p>
              </w:tc>
              <w:tc>
                <w:tcPr>
                  <w:tcW w:w="491" w:type="pct"/>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0.34</w:t>
                  </w:r>
                </w:p>
              </w:tc>
              <w:tc>
                <w:tcPr>
                  <w:tcW w:w="539" w:type="pct"/>
                  <w:vMerge w:val="continue"/>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color w:val="000000" w:themeColor="text1"/>
                      <w:kern w:val="0"/>
                      <w:sz w:val="21"/>
                      <w:szCs w:val="21"/>
                      <w14:textFill>
                        <w14:solidFill>
                          <w14:schemeClr w14:val="tx1"/>
                        </w14:solidFill>
                      </w14:textFill>
                    </w:rPr>
                  </w:pPr>
                </w:p>
              </w:tc>
              <w:tc>
                <w:tcPr>
                  <w:tcW w:w="368" w:type="pct"/>
                  <w:vMerge w:val="continue"/>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color w:val="000000" w:themeColor="text1"/>
                      <w:kern w:val="0"/>
                      <w:sz w:val="21"/>
                      <w:szCs w:val="21"/>
                      <w14:textFill>
                        <w14:solidFill>
                          <w14:schemeClr w14:val="tx1"/>
                        </w14:solidFill>
                      </w14:textFill>
                    </w:rPr>
                  </w:pPr>
                </w:p>
              </w:tc>
              <w:tc>
                <w:tcPr>
                  <w:tcW w:w="774" w:type="pct"/>
                  <w:vMerge w:val="continue"/>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color w:val="000000" w:themeColor="text1"/>
                      <w:kern w:val="0"/>
                      <w:sz w:val="21"/>
                      <w:szCs w:val="21"/>
                      <w14:textFill>
                        <w14:solidFill>
                          <w14:schemeClr w14:val="tx1"/>
                        </w14:solidFill>
                      </w14:textFill>
                    </w:rPr>
                  </w:pPr>
                </w:p>
              </w:tc>
              <w:tc>
                <w:tcPr>
                  <w:tcW w:w="424" w:type="pct"/>
                  <w:vMerge w:val="continue"/>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color w:val="000000" w:themeColor="text1"/>
                      <w:kern w:val="0"/>
                      <w:sz w:val="21"/>
                      <w:szCs w:val="21"/>
                      <w14:textFill>
                        <w14:solidFill>
                          <w14:schemeClr w14:val="tx1"/>
                        </w14:solidFill>
                      </w14:textFill>
                    </w:rPr>
                  </w:pPr>
                </w:p>
              </w:tc>
              <w:tc>
                <w:tcPr>
                  <w:tcW w:w="305" w:type="pct"/>
                  <w:vMerge w:val="continue"/>
                  <w:vAlign w:val="center"/>
                </w:tcPr>
                <w:p>
                  <w:pPr>
                    <w:widowControl/>
                    <w:topLinePunct/>
                    <w:adjustRightInd w:val="0"/>
                    <w:snapToGrid w:val="0"/>
                    <w:spacing w:line="240" w:lineRule="auto"/>
                    <w:jc w:val="center"/>
                    <w:rPr>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pct"/>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含油及有机溶剂的废棉纱、废劳保用品</w:t>
                  </w:r>
                </w:p>
              </w:tc>
              <w:tc>
                <w:tcPr>
                  <w:tcW w:w="548" w:type="pct"/>
                  <w:vMerge w:val="continue"/>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bCs/>
                      <w:color w:val="000000" w:themeColor="text1"/>
                      <w:kern w:val="0"/>
                      <w:sz w:val="21"/>
                      <w:szCs w:val="21"/>
                      <w14:textFill>
                        <w14:solidFill>
                          <w14:schemeClr w14:val="tx1"/>
                        </w14:solidFill>
                      </w14:textFill>
                    </w:rPr>
                  </w:pPr>
                </w:p>
              </w:tc>
              <w:tc>
                <w:tcPr>
                  <w:tcW w:w="803" w:type="pct"/>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bCs/>
                      <w:color w:val="000000" w:themeColor="text1"/>
                      <w:kern w:val="0"/>
                      <w:sz w:val="21"/>
                      <w:szCs w:val="21"/>
                      <w14:textFill>
                        <w14:solidFill>
                          <w14:schemeClr w14:val="tx1"/>
                        </w14:solidFill>
                      </w14:textFill>
                    </w:rPr>
                  </w:pPr>
                  <w:r>
                    <w:rPr>
                      <w:rFonts w:hint="eastAsia"/>
                      <w:bCs/>
                      <w:color w:val="000000" w:themeColor="text1"/>
                      <w:kern w:val="0"/>
                      <w:sz w:val="21"/>
                      <w:szCs w:val="21"/>
                      <w14:textFill>
                        <w14:solidFill>
                          <w14:schemeClr w14:val="tx1"/>
                        </w14:solidFill>
                      </w14:textFill>
                    </w:rPr>
                    <w:t>900-041-49</w:t>
                  </w:r>
                </w:p>
              </w:tc>
              <w:tc>
                <w:tcPr>
                  <w:tcW w:w="491" w:type="pct"/>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0.2</w:t>
                  </w:r>
                </w:p>
              </w:tc>
              <w:tc>
                <w:tcPr>
                  <w:tcW w:w="539" w:type="pct"/>
                  <w:vMerge w:val="continue"/>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color w:val="000000" w:themeColor="text1"/>
                      <w:kern w:val="0"/>
                      <w:sz w:val="21"/>
                      <w:szCs w:val="21"/>
                      <w14:textFill>
                        <w14:solidFill>
                          <w14:schemeClr w14:val="tx1"/>
                        </w14:solidFill>
                      </w14:textFill>
                    </w:rPr>
                  </w:pPr>
                </w:p>
              </w:tc>
              <w:tc>
                <w:tcPr>
                  <w:tcW w:w="368" w:type="pct"/>
                  <w:vMerge w:val="continue"/>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color w:val="000000" w:themeColor="text1"/>
                      <w:kern w:val="0"/>
                      <w:sz w:val="21"/>
                      <w:szCs w:val="21"/>
                      <w14:textFill>
                        <w14:solidFill>
                          <w14:schemeClr w14:val="tx1"/>
                        </w14:solidFill>
                      </w14:textFill>
                    </w:rPr>
                  </w:pPr>
                </w:p>
              </w:tc>
              <w:tc>
                <w:tcPr>
                  <w:tcW w:w="774" w:type="pct"/>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含油及有机溶剂的废棉纱、废劳保用品</w:t>
                  </w:r>
                </w:p>
              </w:tc>
              <w:tc>
                <w:tcPr>
                  <w:tcW w:w="424" w:type="pct"/>
                  <w:vMerge w:val="continue"/>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color w:val="000000" w:themeColor="text1"/>
                      <w:kern w:val="0"/>
                      <w:sz w:val="21"/>
                      <w:szCs w:val="21"/>
                      <w14:textFill>
                        <w14:solidFill>
                          <w14:schemeClr w14:val="tx1"/>
                        </w14:solidFill>
                      </w14:textFill>
                    </w:rPr>
                  </w:pPr>
                </w:p>
              </w:tc>
              <w:tc>
                <w:tcPr>
                  <w:tcW w:w="305" w:type="pct"/>
                  <w:vMerge w:val="continue"/>
                  <w:vAlign w:val="center"/>
                </w:tcPr>
                <w:p>
                  <w:pPr>
                    <w:widowControl/>
                    <w:topLinePunct/>
                    <w:adjustRightInd w:val="0"/>
                    <w:snapToGrid w:val="0"/>
                    <w:spacing w:line="240" w:lineRule="auto"/>
                    <w:jc w:val="center"/>
                    <w:rPr>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pct"/>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废活性炭</w:t>
                  </w:r>
                </w:p>
              </w:tc>
              <w:tc>
                <w:tcPr>
                  <w:tcW w:w="548" w:type="pct"/>
                  <w:vMerge w:val="restart"/>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bCs/>
                      <w:color w:val="000000" w:themeColor="text1"/>
                      <w:kern w:val="0"/>
                      <w:sz w:val="21"/>
                      <w:szCs w:val="21"/>
                      <w14:textFill>
                        <w14:solidFill>
                          <w14:schemeClr w14:val="tx1"/>
                        </w14:solidFill>
                      </w14:textFill>
                    </w:rPr>
                  </w:pPr>
                  <w:r>
                    <w:rPr>
                      <w:rFonts w:hint="eastAsia"/>
                      <w:bCs/>
                      <w:color w:val="000000" w:themeColor="text1"/>
                      <w:kern w:val="0"/>
                      <w:sz w:val="21"/>
                      <w:szCs w:val="21"/>
                      <w14:textFill>
                        <w14:solidFill>
                          <w14:schemeClr w14:val="tx1"/>
                        </w14:solidFill>
                      </w14:textFill>
                    </w:rPr>
                    <w:t>HW49其他废物</w:t>
                  </w:r>
                </w:p>
              </w:tc>
              <w:tc>
                <w:tcPr>
                  <w:tcW w:w="803" w:type="pct"/>
                  <w:vMerge w:val="restart"/>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bCs/>
                      <w:color w:val="000000" w:themeColor="text1"/>
                      <w:kern w:val="0"/>
                      <w:sz w:val="21"/>
                      <w:szCs w:val="21"/>
                      <w14:textFill>
                        <w14:solidFill>
                          <w14:schemeClr w14:val="tx1"/>
                        </w14:solidFill>
                      </w14:textFill>
                    </w:rPr>
                  </w:pPr>
                  <w:r>
                    <w:rPr>
                      <w:rFonts w:hint="eastAsia"/>
                      <w:bCs/>
                      <w:color w:val="000000" w:themeColor="text1"/>
                      <w:kern w:val="0"/>
                      <w:sz w:val="21"/>
                      <w:szCs w:val="21"/>
                      <w14:textFill>
                        <w14:solidFill>
                          <w14:schemeClr w14:val="tx1"/>
                        </w14:solidFill>
                      </w14:textFill>
                    </w:rPr>
                    <w:t>900-039-49</w:t>
                  </w:r>
                </w:p>
              </w:tc>
              <w:tc>
                <w:tcPr>
                  <w:tcW w:w="491" w:type="pct"/>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0.124</w:t>
                  </w:r>
                </w:p>
              </w:tc>
              <w:tc>
                <w:tcPr>
                  <w:tcW w:w="539" w:type="pct"/>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废气治理</w:t>
                  </w:r>
                </w:p>
              </w:tc>
              <w:tc>
                <w:tcPr>
                  <w:tcW w:w="368" w:type="pct"/>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固态</w:t>
                  </w:r>
                </w:p>
              </w:tc>
              <w:tc>
                <w:tcPr>
                  <w:tcW w:w="774" w:type="pct"/>
                  <w:vMerge w:val="restart"/>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挥发性有机物、颗粒物</w:t>
                  </w:r>
                  <w:r>
                    <w:rPr>
                      <w:color w:val="000000" w:themeColor="text1"/>
                      <w:kern w:val="0"/>
                      <w:sz w:val="21"/>
                      <w:szCs w:val="21"/>
                      <w14:textFill>
                        <w14:solidFill>
                          <w14:schemeClr w14:val="tx1"/>
                        </w14:solidFill>
                      </w14:textFill>
                    </w:rPr>
                    <w:t>和活性炭</w:t>
                  </w:r>
                </w:p>
              </w:tc>
              <w:tc>
                <w:tcPr>
                  <w:tcW w:w="424" w:type="pct"/>
                  <w:vMerge w:val="continue"/>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color w:val="000000" w:themeColor="text1"/>
                      <w:kern w:val="0"/>
                      <w:sz w:val="21"/>
                      <w:szCs w:val="21"/>
                      <w14:textFill>
                        <w14:solidFill>
                          <w14:schemeClr w14:val="tx1"/>
                        </w14:solidFill>
                      </w14:textFill>
                    </w:rPr>
                  </w:pPr>
                </w:p>
              </w:tc>
              <w:tc>
                <w:tcPr>
                  <w:tcW w:w="305" w:type="pct"/>
                  <w:vMerge w:val="continue"/>
                  <w:vAlign w:val="center"/>
                </w:tcPr>
                <w:p>
                  <w:pPr>
                    <w:widowControl/>
                    <w:topLinePunct/>
                    <w:adjustRightInd w:val="0"/>
                    <w:snapToGrid w:val="0"/>
                    <w:spacing w:line="240" w:lineRule="auto"/>
                    <w:jc w:val="center"/>
                    <w:rPr>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pct"/>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废过滤棉</w:t>
                  </w:r>
                </w:p>
              </w:tc>
              <w:tc>
                <w:tcPr>
                  <w:tcW w:w="548" w:type="pct"/>
                  <w:vMerge w:val="continue"/>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bCs/>
                      <w:color w:val="000000" w:themeColor="text1"/>
                      <w:kern w:val="0"/>
                      <w:sz w:val="21"/>
                      <w:szCs w:val="21"/>
                      <w14:textFill>
                        <w14:solidFill>
                          <w14:schemeClr w14:val="tx1"/>
                        </w14:solidFill>
                      </w14:textFill>
                    </w:rPr>
                  </w:pPr>
                </w:p>
              </w:tc>
              <w:tc>
                <w:tcPr>
                  <w:tcW w:w="803" w:type="pct"/>
                  <w:vMerge w:val="continue"/>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bCs/>
                      <w:color w:val="000000" w:themeColor="text1"/>
                      <w:kern w:val="0"/>
                      <w:sz w:val="21"/>
                      <w:szCs w:val="21"/>
                      <w14:textFill>
                        <w14:solidFill>
                          <w14:schemeClr w14:val="tx1"/>
                        </w14:solidFill>
                      </w14:textFill>
                    </w:rPr>
                  </w:pPr>
                </w:p>
              </w:tc>
              <w:tc>
                <w:tcPr>
                  <w:tcW w:w="491" w:type="pct"/>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0.05</w:t>
                  </w:r>
                </w:p>
              </w:tc>
              <w:tc>
                <w:tcPr>
                  <w:tcW w:w="539" w:type="pct"/>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废气治理</w:t>
                  </w:r>
                </w:p>
              </w:tc>
              <w:tc>
                <w:tcPr>
                  <w:tcW w:w="368" w:type="pct"/>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固态</w:t>
                  </w:r>
                </w:p>
              </w:tc>
              <w:tc>
                <w:tcPr>
                  <w:tcW w:w="774" w:type="pct"/>
                  <w:vMerge w:val="continue"/>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color w:val="000000" w:themeColor="text1"/>
                      <w:kern w:val="0"/>
                      <w:sz w:val="21"/>
                      <w:szCs w:val="21"/>
                      <w14:textFill>
                        <w14:solidFill>
                          <w14:schemeClr w14:val="tx1"/>
                        </w14:solidFill>
                      </w14:textFill>
                    </w:rPr>
                  </w:pPr>
                </w:p>
              </w:tc>
              <w:tc>
                <w:tcPr>
                  <w:tcW w:w="424" w:type="pct"/>
                  <w:vMerge w:val="continue"/>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color w:val="000000" w:themeColor="text1"/>
                      <w:kern w:val="0"/>
                      <w:sz w:val="21"/>
                      <w:szCs w:val="21"/>
                      <w14:textFill>
                        <w14:solidFill>
                          <w14:schemeClr w14:val="tx1"/>
                        </w14:solidFill>
                      </w14:textFill>
                    </w:rPr>
                  </w:pPr>
                </w:p>
              </w:tc>
              <w:tc>
                <w:tcPr>
                  <w:tcW w:w="305" w:type="pct"/>
                  <w:vMerge w:val="continue"/>
                  <w:vAlign w:val="center"/>
                </w:tcPr>
                <w:p>
                  <w:pPr>
                    <w:widowControl/>
                    <w:topLinePunct/>
                    <w:adjustRightInd w:val="0"/>
                    <w:snapToGrid w:val="0"/>
                    <w:spacing w:line="240" w:lineRule="auto"/>
                    <w:jc w:val="center"/>
                    <w:rPr>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pct"/>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废漆瓶/桶</w:t>
                  </w:r>
                </w:p>
              </w:tc>
              <w:tc>
                <w:tcPr>
                  <w:tcW w:w="548" w:type="pct"/>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bCs/>
                      <w:color w:val="000000" w:themeColor="text1"/>
                      <w:kern w:val="0"/>
                      <w:sz w:val="21"/>
                      <w:szCs w:val="21"/>
                      <w14:textFill>
                        <w14:solidFill>
                          <w14:schemeClr w14:val="tx1"/>
                        </w14:solidFill>
                      </w14:textFill>
                    </w:rPr>
                  </w:pPr>
                  <w:r>
                    <w:rPr>
                      <w:rFonts w:hint="eastAsia"/>
                      <w:bCs/>
                      <w:color w:val="000000" w:themeColor="text1"/>
                      <w:kern w:val="0"/>
                      <w:sz w:val="21"/>
                      <w:szCs w:val="21"/>
                      <w14:textFill>
                        <w14:solidFill>
                          <w14:schemeClr w14:val="tx1"/>
                        </w14:solidFill>
                      </w14:textFill>
                    </w:rPr>
                    <w:t>HW12涂料、涂料废物</w:t>
                  </w:r>
                </w:p>
              </w:tc>
              <w:tc>
                <w:tcPr>
                  <w:tcW w:w="803" w:type="pct"/>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bCs/>
                      <w:color w:val="000000" w:themeColor="text1"/>
                      <w:kern w:val="0"/>
                      <w:sz w:val="21"/>
                      <w:szCs w:val="21"/>
                      <w14:textFill>
                        <w14:solidFill>
                          <w14:schemeClr w14:val="tx1"/>
                        </w14:solidFill>
                      </w14:textFill>
                    </w:rPr>
                  </w:pPr>
                  <w:r>
                    <w:rPr>
                      <w:rFonts w:hint="eastAsia"/>
                      <w:bCs/>
                      <w:color w:val="000000" w:themeColor="text1"/>
                      <w:kern w:val="0"/>
                      <w:sz w:val="21"/>
                      <w:szCs w:val="21"/>
                      <w14:textFill>
                        <w14:solidFill>
                          <w14:schemeClr w14:val="tx1"/>
                        </w14:solidFill>
                      </w14:textFill>
                    </w:rPr>
                    <w:t>264-013-12</w:t>
                  </w:r>
                </w:p>
              </w:tc>
              <w:tc>
                <w:tcPr>
                  <w:tcW w:w="491" w:type="pct"/>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0.07</w:t>
                  </w:r>
                </w:p>
              </w:tc>
              <w:tc>
                <w:tcPr>
                  <w:tcW w:w="539" w:type="pct"/>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喷漆、刷漆</w:t>
                  </w:r>
                </w:p>
              </w:tc>
              <w:tc>
                <w:tcPr>
                  <w:tcW w:w="368" w:type="pct"/>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固态</w:t>
                  </w:r>
                </w:p>
              </w:tc>
              <w:tc>
                <w:tcPr>
                  <w:tcW w:w="774" w:type="pct"/>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有机废物</w:t>
                  </w:r>
                </w:p>
              </w:tc>
              <w:tc>
                <w:tcPr>
                  <w:tcW w:w="424" w:type="pct"/>
                  <w:vMerge w:val="continue"/>
                  <w:vAlign w:val="center"/>
                </w:tcPr>
                <w:p>
                  <w:pPr>
                    <w:widowControl/>
                    <w:tabs>
                      <w:tab w:val="left" w:pos="540"/>
                      <w:tab w:val="left" w:pos="851"/>
                      <w:tab w:val="left" w:pos="994"/>
                      <w:tab w:val="left" w:pos="1260"/>
                      <w:tab w:val="left" w:pos="3108"/>
                      <w:tab w:val="left" w:pos="3150"/>
                    </w:tabs>
                    <w:topLinePunct/>
                    <w:adjustRightInd w:val="0"/>
                    <w:snapToGrid w:val="0"/>
                    <w:spacing w:line="240" w:lineRule="auto"/>
                    <w:jc w:val="center"/>
                    <w:rPr>
                      <w:color w:val="000000" w:themeColor="text1"/>
                      <w:kern w:val="0"/>
                      <w:sz w:val="21"/>
                      <w:szCs w:val="21"/>
                      <w14:textFill>
                        <w14:solidFill>
                          <w14:schemeClr w14:val="tx1"/>
                        </w14:solidFill>
                      </w14:textFill>
                    </w:rPr>
                  </w:pPr>
                </w:p>
              </w:tc>
              <w:tc>
                <w:tcPr>
                  <w:tcW w:w="305" w:type="pct"/>
                  <w:vMerge w:val="continue"/>
                  <w:vAlign w:val="center"/>
                </w:tcPr>
                <w:p>
                  <w:pPr>
                    <w:widowControl/>
                    <w:topLinePunct/>
                    <w:adjustRightInd w:val="0"/>
                    <w:snapToGrid w:val="0"/>
                    <w:spacing w:line="240" w:lineRule="auto"/>
                    <w:jc w:val="center"/>
                    <w:rPr>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9"/>
                  <w:vAlign w:val="center"/>
                </w:tcPr>
                <w:p>
                  <w:pPr>
                    <w:widowControl/>
                    <w:topLinePunct/>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注：贮存于3#厂房西北</w:t>
                  </w:r>
                  <w:r>
                    <w:rPr>
                      <w:color w:val="000000" w:themeColor="text1"/>
                      <w:kern w:val="0"/>
                      <w:sz w:val="21"/>
                      <w:szCs w:val="21"/>
                      <w14:textFill>
                        <w14:solidFill>
                          <w14:schemeClr w14:val="tx1"/>
                        </w14:solidFill>
                      </w14:textFill>
                    </w:rPr>
                    <w:t>角</w:t>
                  </w:r>
                  <w:r>
                    <w:rPr>
                      <w:rFonts w:hint="eastAsia"/>
                      <w:color w:val="000000" w:themeColor="text1"/>
                      <w:kern w:val="0"/>
                      <w:sz w:val="21"/>
                      <w:szCs w:val="21"/>
                      <w14:textFill>
                        <w14:solidFill>
                          <w14:schemeClr w14:val="tx1"/>
                        </w14:solidFill>
                      </w14:textFill>
                    </w:rPr>
                    <w:t>，面积10㎡，危险废物暂存间按照《危险废物贮存污染控制标准》（GB18597-2001）设置。</w:t>
                  </w:r>
                </w:p>
              </w:tc>
            </w:tr>
          </w:tbl>
          <w:p>
            <w:pPr>
              <w:spacing w:line="240" w:lineRule="auto"/>
              <w:jc w:val="center"/>
              <w:rPr>
                <w:b/>
                <w:color w:val="000000" w:themeColor="text1"/>
                <w:kern w:val="0"/>
                <w14:textFill>
                  <w14:solidFill>
                    <w14:schemeClr w14:val="tx1"/>
                  </w14:solidFill>
                </w14:textFill>
              </w:rPr>
            </w:pPr>
          </w:p>
          <w:p>
            <w:pPr>
              <w:tabs>
                <w:tab w:val="left" w:pos="540"/>
                <w:tab w:val="left" w:pos="851"/>
                <w:tab w:val="left" w:pos="994"/>
                <w:tab w:val="left" w:pos="1260"/>
                <w:tab w:val="left" w:pos="3108"/>
                <w:tab w:val="left" w:pos="3150"/>
              </w:tabs>
              <w:spacing w:before="120" w:beforeLines="50"/>
              <w:ind w:firstLine="482" w:firstLineChars="200"/>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（10）小结</w:t>
            </w:r>
          </w:p>
          <w:p>
            <w:pPr>
              <w:ind w:firstLine="480" w:firstLineChars="200"/>
              <w:outlineLvl w:val="2"/>
              <w:rPr>
                <w:color w:val="000000" w:themeColor="text1"/>
                <w:sz w:val="32"/>
                <w:szCs w:val="32"/>
                <w14:textFill>
                  <w14:solidFill>
                    <w14:schemeClr w14:val="tx1"/>
                  </w14:solidFill>
                </w14:textFill>
              </w:rPr>
            </w:pPr>
            <w:r>
              <w:rPr>
                <w:color w:val="000000" w:themeColor="text1"/>
                <w:kern w:val="0"/>
                <w14:textFill>
                  <w14:solidFill>
                    <w14:schemeClr w14:val="tx1"/>
                  </w14:solidFill>
                </w14:textFill>
              </w:rPr>
              <w:t>运营期间固体废物产生源强、治理措施及排放强度见表4-</w:t>
            </w:r>
            <w:r>
              <w:rPr>
                <w:rFonts w:hint="eastAsia"/>
                <w:color w:val="000000" w:themeColor="text1"/>
                <w:kern w:val="0"/>
                <w14:textFill>
                  <w14:solidFill>
                    <w14:schemeClr w14:val="tx1"/>
                  </w14:solidFill>
                </w14:textFill>
              </w:rPr>
              <w:t>11</w:t>
            </w:r>
            <w:r>
              <w:rPr>
                <w:color w:val="000000" w:themeColor="text1"/>
                <w:kern w:val="0"/>
                <w14:textFill>
                  <w14:solidFill>
                    <w14:schemeClr w14:val="tx1"/>
                  </w14:solidFill>
                </w14:textFill>
              </w:rPr>
              <w:t>。</w:t>
            </w:r>
          </w:p>
          <w:p>
            <w:pPr>
              <w:tabs>
                <w:tab w:val="left" w:pos="540"/>
                <w:tab w:val="left" w:pos="851"/>
                <w:tab w:val="left" w:pos="994"/>
                <w:tab w:val="left" w:pos="1260"/>
                <w:tab w:val="left" w:pos="3108"/>
                <w:tab w:val="left" w:pos="3150"/>
              </w:tabs>
              <w:ind w:firstLine="480" w:firstLineChars="200"/>
              <w:rPr>
                <w:color w:val="000000" w:themeColor="text1"/>
                <w:kern w:val="0"/>
                <w14:textFill>
                  <w14:solidFill>
                    <w14:schemeClr w14:val="tx1"/>
                  </w14:solidFill>
                </w14:textFill>
              </w:rPr>
            </w:pPr>
          </w:p>
          <w:p>
            <w:pPr>
              <w:pStyle w:val="22"/>
              <w:rPr>
                <w:bCs/>
                <w:color w:val="000000" w:themeColor="text1"/>
                <w:szCs w:val="21"/>
                <w14:textFill>
                  <w14:solidFill>
                    <w14:schemeClr w14:val="tx1"/>
                  </w14:solidFill>
                </w14:textFill>
              </w:rPr>
            </w:pPr>
          </w:p>
        </w:tc>
      </w:tr>
    </w:tbl>
    <w:p>
      <w:pPr>
        <w:adjustRightInd w:val="0"/>
        <w:snapToGrid w:val="0"/>
        <w:jc w:val="center"/>
        <w:rPr>
          <w:bCs/>
          <w:color w:val="000000" w:themeColor="text1"/>
          <w:kern w:val="0"/>
          <w14:textFill>
            <w14:solidFill>
              <w14:schemeClr w14:val="tx1"/>
            </w14:solidFill>
          </w14:textFill>
        </w:rPr>
        <w:sectPr>
          <w:headerReference r:id="rId8" w:type="default"/>
          <w:pgSz w:w="11907" w:h="16840"/>
          <w:pgMar w:top="1701" w:right="1531" w:bottom="2127" w:left="1531" w:header="851" w:footer="851" w:gutter="0"/>
          <w:cols w:space="720" w:num="1"/>
          <w:docGrid w:linePitch="312" w:charSpace="0"/>
        </w:sectPr>
      </w:pPr>
    </w:p>
    <w:tbl>
      <w:tblPr>
        <w:tblStyle w:val="28"/>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120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418" w:type="pct"/>
            <w:tcMar>
              <w:left w:w="28" w:type="dxa"/>
              <w:right w:w="28" w:type="dxa"/>
            </w:tcMar>
            <w:vAlign w:val="center"/>
          </w:tcPr>
          <w:p>
            <w:pPr>
              <w:adjustRightInd w:val="0"/>
              <w:snapToGrid w:val="0"/>
              <w:jc w:val="center"/>
              <w:rPr>
                <w:bCs/>
                <w:color w:val="000000" w:themeColor="text1"/>
                <w:kern w:val="0"/>
                <w14:textFill>
                  <w14:solidFill>
                    <w14:schemeClr w14:val="tx1"/>
                  </w14:solidFill>
                </w14:textFill>
              </w:rPr>
            </w:pPr>
          </w:p>
        </w:tc>
        <w:tc>
          <w:tcPr>
            <w:tcW w:w="4581" w:type="pct"/>
          </w:tcPr>
          <w:p>
            <w:pPr>
              <w:spacing w:line="240" w:lineRule="auto"/>
              <w:jc w:val="center"/>
              <w:rPr>
                <w:b/>
                <w:color w:val="000000" w:themeColor="text1"/>
                <w:kern w:val="0"/>
                <w14:textFill>
                  <w14:solidFill>
                    <w14:schemeClr w14:val="tx1"/>
                  </w14:solidFill>
                </w14:textFill>
              </w:rPr>
            </w:pPr>
            <w:r>
              <w:rPr>
                <w:b/>
                <w:color w:val="000000" w:themeColor="text1"/>
                <w:kern w:val="0"/>
                <w14:textFill>
                  <w14:solidFill>
                    <w14:schemeClr w14:val="tx1"/>
                  </w14:solidFill>
                </w14:textFill>
              </w:rPr>
              <w:t>表4-</w:t>
            </w:r>
            <w:r>
              <w:rPr>
                <w:rFonts w:hint="eastAsia"/>
                <w:b/>
                <w:color w:val="000000" w:themeColor="text1"/>
                <w:kern w:val="0"/>
                <w14:textFill>
                  <w14:solidFill>
                    <w14:schemeClr w14:val="tx1"/>
                  </w14:solidFill>
                </w14:textFill>
              </w:rPr>
              <w:t>11</w:t>
            </w:r>
            <w:r>
              <w:rPr>
                <w:b/>
                <w:color w:val="000000" w:themeColor="text1"/>
                <w:kern w:val="0"/>
                <w14:textFill>
                  <w14:solidFill>
                    <w14:schemeClr w14:val="tx1"/>
                  </w14:solidFill>
                </w14:textFill>
              </w:rPr>
              <w:t xml:space="preserve">   项目固体废物产排情况汇总表</w:t>
            </w:r>
          </w:p>
          <w:tbl>
            <w:tblPr>
              <w:tblStyle w:val="28"/>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
              <w:gridCol w:w="1154"/>
              <w:gridCol w:w="1370"/>
              <w:gridCol w:w="1335"/>
              <w:gridCol w:w="1361"/>
              <w:gridCol w:w="768"/>
              <w:gridCol w:w="702"/>
              <w:gridCol w:w="974"/>
              <w:gridCol w:w="1607"/>
              <w:gridCol w:w="1170"/>
              <w:gridCol w:w="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9"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序号</w:t>
                  </w:r>
                </w:p>
              </w:tc>
              <w:tc>
                <w:tcPr>
                  <w:tcW w:w="488"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产生环节</w:t>
                  </w:r>
                </w:p>
              </w:tc>
              <w:tc>
                <w:tcPr>
                  <w:tcW w:w="578"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污染物名称</w:t>
                  </w:r>
                </w:p>
              </w:tc>
              <w:tc>
                <w:tcPr>
                  <w:tcW w:w="564"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属性</w:t>
                  </w:r>
                </w:p>
              </w:tc>
              <w:tc>
                <w:tcPr>
                  <w:tcW w:w="575"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主要有害物质</w:t>
                  </w:r>
                </w:p>
              </w:tc>
              <w:tc>
                <w:tcPr>
                  <w:tcW w:w="325"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物理性状</w:t>
                  </w:r>
                </w:p>
              </w:tc>
              <w:tc>
                <w:tcPr>
                  <w:tcW w:w="297"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环境危险特性</w:t>
                  </w:r>
                </w:p>
              </w:tc>
              <w:tc>
                <w:tcPr>
                  <w:tcW w:w="412"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产生量（</w:t>
                  </w:r>
                  <w:r>
                    <w:rPr>
                      <w:color w:val="000000" w:themeColor="text1"/>
                      <w:kern w:val="0"/>
                      <w:sz w:val="21"/>
                      <w:szCs w:val="21"/>
                      <w14:textFill>
                        <w14:solidFill>
                          <w14:schemeClr w14:val="tx1"/>
                        </w14:solidFill>
                      </w14:textFill>
                    </w:rPr>
                    <w:t>t/a</w:t>
                  </w:r>
                  <w:r>
                    <w:rPr>
                      <w:b/>
                      <w:bCs/>
                      <w:color w:val="000000" w:themeColor="text1"/>
                      <w:kern w:val="0"/>
                      <w:sz w:val="21"/>
                      <w:szCs w:val="21"/>
                      <w14:textFill>
                        <w14:solidFill>
                          <w14:schemeClr w14:val="tx1"/>
                        </w14:solidFill>
                      </w14:textFill>
                    </w:rPr>
                    <w:t>）</w:t>
                  </w:r>
                </w:p>
              </w:tc>
              <w:tc>
                <w:tcPr>
                  <w:tcW w:w="679"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贮存方式</w:t>
                  </w:r>
                </w:p>
              </w:tc>
              <w:tc>
                <w:tcPr>
                  <w:tcW w:w="495"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处置方式和去向</w:t>
                  </w:r>
                </w:p>
              </w:tc>
              <w:tc>
                <w:tcPr>
                  <w:tcW w:w="393"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处置量（t/a）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9"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w:t>
                  </w:r>
                </w:p>
              </w:tc>
              <w:tc>
                <w:tcPr>
                  <w:tcW w:w="488"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员工生活</w:t>
                  </w:r>
                </w:p>
              </w:tc>
              <w:tc>
                <w:tcPr>
                  <w:tcW w:w="578"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生活垃圾</w:t>
                  </w:r>
                </w:p>
              </w:tc>
              <w:tc>
                <w:tcPr>
                  <w:tcW w:w="564"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一般固废</w:t>
                  </w:r>
                </w:p>
              </w:tc>
              <w:tc>
                <w:tcPr>
                  <w:tcW w:w="575"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w:t>
                  </w:r>
                </w:p>
              </w:tc>
              <w:tc>
                <w:tcPr>
                  <w:tcW w:w="325"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固态</w:t>
                  </w:r>
                </w:p>
              </w:tc>
              <w:tc>
                <w:tcPr>
                  <w:tcW w:w="297"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w:t>
                  </w:r>
                </w:p>
              </w:tc>
              <w:tc>
                <w:tcPr>
                  <w:tcW w:w="412"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6</w:t>
                  </w:r>
                </w:p>
              </w:tc>
              <w:tc>
                <w:tcPr>
                  <w:tcW w:w="679"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装于垃圾桶中</w:t>
                  </w:r>
                </w:p>
              </w:tc>
              <w:tc>
                <w:tcPr>
                  <w:tcW w:w="495"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交环卫部门处置</w:t>
                  </w:r>
                </w:p>
              </w:tc>
              <w:tc>
                <w:tcPr>
                  <w:tcW w:w="393"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9"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2</w:t>
                  </w:r>
                </w:p>
              </w:tc>
              <w:tc>
                <w:tcPr>
                  <w:tcW w:w="488"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食堂</w:t>
                  </w:r>
                </w:p>
              </w:tc>
              <w:tc>
                <w:tcPr>
                  <w:tcW w:w="578"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泔水</w:t>
                  </w:r>
                </w:p>
              </w:tc>
              <w:tc>
                <w:tcPr>
                  <w:tcW w:w="564"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一般固废</w:t>
                  </w:r>
                </w:p>
              </w:tc>
              <w:tc>
                <w:tcPr>
                  <w:tcW w:w="575"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w:t>
                  </w:r>
                </w:p>
              </w:tc>
              <w:tc>
                <w:tcPr>
                  <w:tcW w:w="325"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液态</w:t>
                  </w:r>
                </w:p>
              </w:tc>
              <w:tc>
                <w:tcPr>
                  <w:tcW w:w="297"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w:t>
                  </w:r>
                </w:p>
              </w:tc>
              <w:tc>
                <w:tcPr>
                  <w:tcW w:w="412"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2.4</w:t>
                  </w:r>
                </w:p>
              </w:tc>
              <w:tc>
                <w:tcPr>
                  <w:tcW w:w="679"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桶装</w:t>
                  </w:r>
                </w:p>
              </w:tc>
              <w:tc>
                <w:tcPr>
                  <w:tcW w:w="495" w:type="pct"/>
                  <w:vMerge w:val="restar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委托有资质单位处理</w:t>
                  </w:r>
                </w:p>
              </w:tc>
              <w:tc>
                <w:tcPr>
                  <w:tcW w:w="393" w:type="pct"/>
                  <w:vMerge w:val="restar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2.421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9"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3</w:t>
                  </w:r>
                </w:p>
              </w:tc>
              <w:tc>
                <w:tcPr>
                  <w:tcW w:w="488"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食堂废水处理</w:t>
                  </w:r>
                </w:p>
              </w:tc>
              <w:tc>
                <w:tcPr>
                  <w:tcW w:w="578"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废油脂</w:t>
                  </w:r>
                </w:p>
              </w:tc>
              <w:tc>
                <w:tcPr>
                  <w:tcW w:w="564"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一般固废</w:t>
                  </w:r>
                </w:p>
              </w:tc>
              <w:tc>
                <w:tcPr>
                  <w:tcW w:w="575"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w:t>
                  </w:r>
                </w:p>
              </w:tc>
              <w:tc>
                <w:tcPr>
                  <w:tcW w:w="325"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固态</w:t>
                  </w:r>
                </w:p>
              </w:tc>
              <w:tc>
                <w:tcPr>
                  <w:tcW w:w="297"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w:t>
                  </w:r>
                </w:p>
              </w:tc>
              <w:tc>
                <w:tcPr>
                  <w:tcW w:w="412"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0.021</w:t>
                  </w:r>
                </w:p>
              </w:tc>
              <w:tc>
                <w:tcPr>
                  <w:tcW w:w="679"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桶装</w:t>
                  </w:r>
                </w:p>
              </w:tc>
              <w:tc>
                <w:tcPr>
                  <w:tcW w:w="495" w:type="pct"/>
                  <w:vMerge w:val="continue"/>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p>
              </w:tc>
              <w:tc>
                <w:tcPr>
                  <w:tcW w:w="393" w:type="pct"/>
                  <w:vMerge w:val="continue"/>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9"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4</w:t>
                  </w:r>
                </w:p>
              </w:tc>
              <w:tc>
                <w:tcPr>
                  <w:tcW w:w="488"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机械维修</w:t>
                  </w:r>
                </w:p>
              </w:tc>
              <w:tc>
                <w:tcPr>
                  <w:tcW w:w="578"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废零件</w:t>
                  </w:r>
                </w:p>
              </w:tc>
              <w:tc>
                <w:tcPr>
                  <w:tcW w:w="564"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一般固废</w:t>
                  </w:r>
                </w:p>
              </w:tc>
              <w:tc>
                <w:tcPr>
                  <w:tcW w:w="575"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w:t>
                  </w:r>
                </w:p>
              </w:tc>
              <w:tc>
                <w:tcPr>
                  <w:tcW w:w="325"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固态</w:t>
                  </w:r>
                </w:p>
              </w:tc>
              <w:tc>
                <w:tcPr>
                  <w:tcW w:w="297"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w:t>
                  </w:r>
                </w:p>
              </w:tc>
              <w:tc>
                <w:tcPr>
                  <w:tcW w:w="412"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0.12</w:t>
                  </w:r>
                </w:p>
              </w:tc>
              <w:tc>
                <w:tcPr>
                  <w:tcW w:w="679"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仓库内存放</w:t>
                  </w:r>
                </w:p>
              </w:tc>
              <w:tc>
                <w:tcPr>
                  <w:tcW w:w="495"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由厂家回收</w:t>
                  </w:r>
                </w:p>
              </w:tc>
              <w:tc>
                <w:tcPr>
                  <w:tcW w:w="393"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9"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5</w:t>
                  </w:r>
                </w:p>
              </w:tc>
              <w:tc>
                <w:tcPr>
                  <w:tcW w:w="488"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机械维修</w:t>
                  </w:r>
                </w:p>
              </w:tc>
              <w:tc>
                <w:tcPr>
                  <w:tcW w:w="578"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废混凝土</w:t>
                  </w:r>
                </w:p>
              </w:tc>
              <w:tc>
                <w:tcPr>
                  <w:tcW w:w="564"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b/>
                      <w:bCs/>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一般固废</w:t>
                  </w:r>
                </w:p>
              </w:tc>
              <w:tc>
                <w:tcPr>
                  <w:tcW w:w="575"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w:t>
                  </w:r>
                </w:p>
              </w:tc>
              <w:tc>
                <w:tcPr>
                  <w:tcW w:w="325"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固态</w:t>
                  </w:r>
                </w:p>
              </w:tc>
              <w:tc>
                <w:tcPr>
                  <w:tcW w:w="297"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w:t>
                  </w:r>
                </w:p>
              </w:tc>
              <w:tc>
                <w:tcPr>
                  <w:tcW w:w="412"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0.6</w:t>
                  </w:r>
                </w:p>
              </w:tc>
              <w:tc>
                <w:tcPr>
                  <w:tcW w:w="679"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装于垃圾桶中</w:t>
                  </w:r>
                </w:p>
              </w:tc>
              <w:tc>
                <w:tcPr>
                  <w:tcW w:w="495"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交环卫部门处置</w:t>
                  </w:r>
                </w:p>
              </w:tc>
              <w:tc>
                <w:tcPr>
                  <w:tcW w:w="393"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9"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7</w:t>
                  </w:r>
                </w:p>
              </w:tc>
              <w:tc>
                <w:tcPr>
                  <w:tcW w:w="488"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设备、</w:t>
                  </w:r>
                  <w:r>
                    <w:rPr>
                      <w:rFonts w:hint="eastAsia"/>
                      <w:color w:val="000000" w:themeColor="text1"/>
                      <w:kern w:val="0"/>
                      <w:sz w:val="21"/>
                      <w:szCs w:val="21"/>
                      <w14:textFill>
                        <w14:solidFill>
                          <w14:schemeClr w14:val="tx1"/>
                        </w14:solidFill>
                      </w14:textFill>
                    </w:rPr>
                    <w:t>台车</w:t>
                  </w:r>
                  <w:r>
                    <w:rPr>
                      <w:color w:val="000000" w:themeColor="text1"/>
                      <w:kern w:val="0"/>
                      <w:sz w:val="21"/>
                      <w:szCs w:val="21"/>
                      <w14:textFill>
                        <w14:solidFill>
                          <w14:schemeClr w14:val="tx1"/>
                        </w14:solidFill>
                      </w14:textFill>
                    </w:rPr>
                    <w:t>维修</w:t>
                  </w:r>
                </w:p>
              </w:tc>
              <w:tc>
                <w:tcPr>
                  <w:tcW w:w="578"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废</w:t>
                  </w:r>
                  <w:r>
                    <w:rPr>
                      <w:rFonts w:hint="eastAsia"/>
                      <w:color w:val="000000" w:themeColor="text1"/>
                      <w:kern w:val="0"/>
                      <w:sz w:val="21"/>
                      <w:szCs w:val="21"/>
                      <w14:textFill>
                        <w14:solidFill>
                          <w14:schemeClr w14:val="tx1"/>
                        </w14:solidFill>
                      </w14:textFill>
                    </w:rPr>
                    <w:t>矿物油</w:t>
                  </w:r>
                  <w:r>
                    <w:rPr>
                      <w:color w:val="000000" w:themeColor="text1"/>
                      <w:kern w:val="0"/>
                      <w:sz w:val="21"/>
                      <w:szCs w:val="21"/>
                      <w14:textFill>
                        <w14:solidFill>
                          <w14:schemeClr w14:val="tx1"/>
                        </w14:solidFill>
                      </w14:textFill>
                    </w:rPr>
                    <w:t>及</w:t>
                  </w:r>
                  <w:r>
                    <w:rPr>
                      <w:rFonts w:hint="eastAsia"/>
                      <w:color w:val="000000" w:themeColor="text1"/>
                      <w:kern w:val="0"/>
                      <w:sz w:val="21"/>
                      <w:szCs w:val="21"/>
                      <w14:textFill>
                        <w14:solidFill>
                          <w14:schemeClr w14:val="tx1"/>
                        </w14:solidFill>
                      </w14:textFill>
                    </w:rPr>
                    <w:t>废矿物油桶</w:t>
                  </w:r>
                </w:p>
              </w:tc>
              <w:tc>
                <w:tcPr>
                  <w:tcW w:w="564"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危险废物</w:t>
                  </w:r>
                </w:p>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p>
              </w:tc>
              <w:tc>
                <w:tcPr>
                  <w:tcW w:w="575"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废矿物油</w:t>
                  </w:r>
                </w:p>
              </w:tc>
              <w:tc>
                <w:tcPr>
                  <w:tcW w:w="325"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液态、固态</w:t>
                  </w:r>
                </w:p>
              </w:tc>
              <w:tc>
                <w:tcPr>
                  <w:tcW w:w="297"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T，I</w:t>
                  </w:r>
                </w:p>
              </w:tc>
              <w:tc>
                <w:tcPr>
                  <w:tcW w:w="412"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0.497</w:t>
                  </w:r>
                </w:p>
              </w:tc>
              <w:tc>
                <w:tcPr>
                  <w:tcW w:w="679"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可密闭容器收集，危废暂存间贮存</w:t>
                  </w:r>
                </w:p>
              </w:tc>
              <w:tc>
                <w:tcPr>
                  <w:tcW w:w="495" w:type="pct"/>
                  <w:vMerge w:val="restar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委托有资质的单位进行处理</w:t>
                  </w:r>
                </w:p>
              </w:tc>
              <w:tc>
                <w:tcPr>
                  <w:tcW w:w="393"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9"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8</w:t>
                  </w:r>
                </w:p>
              </w:tc>
              <w:tc>
                <w:tcPr>
                  <w:tcW w:w="488"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台车修理、生产</w:t>
                  </w:r>
                </w:p>
              </w:tc>
              <w:tc>
                <w:tcPr>
                  <w:tcW w:w="578"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含油及有机溶剂的废棉纱、废劳保用品</w:t>
                  </w:r>
                </w:p>
              </w:tc>
              <w:tc>
                <w:tcPr>
                  <w:tcW w:w="564"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危险废物</w:t>
                  </w:r>
                </w:p>
              </w:tc>
              <w:tc>
                <w:tcPr>
                  <w:tcW w:w="575"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废矿物油、有机溶剂</w:t>
                  </w:r>
                </w:p>
              </w:tc>
              <w:tc>
                <w:tcPr>
                  <w:tcW w:w="325"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固态</w:t>
                  </w:r>
                </w:p>
              </w:tc>
              <w:tc>
                <w:tcPr>
                  <w:tcW w:w="297"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T，I</w:t>
                  </w:r>
                </w:p>
              </w:tc>
              <w:tc>
                <w:tcPr>
                  <w:tcW w:w="412"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0.2</w:t>
                  </w:r>
                </w:p>
              </w:tc>
              <w:tc>
                <w:tcPr>
                  <w:tcW w:w="679"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分类收集于危废暂存间内</w:t>
                  </w:r>
                </w:p>
              </w:tc>
              <w:tc>
                <w:tcPr>
                  <w:tcW w:w="495" w:type="pct"/>
                  <w:vMerge w:val="continue"/>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p>
              </w:tc>
              <w:tc>
                <w:tcPr>
                  <w:tcW w:w="393"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9"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9</w:t>
                  </w:r>
                </w:p>
              </w:tc>
              <w:tc>
                <w:tcPr>
                  <w:tcW w:w="488" w:type="pct"/>
                  <w:vMerge w:val="restar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废气处理系统</w:t>
                  </w:r>
                </w:p>
              </w:tc>
              <w:tc>
                <w:tcPr>
                  <w:tcW w:w="578"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废活性炭</w:t>
                  </w:r>
                </w:p>
              </w:tc>
              <w:tc>
                <w:tcPr>
                  <w:tcW w:w="564"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危险废物</w:t>
                  </w:r>
                </w:p>
              </w:tc>
              <w:tc>
                <w:tcPr>
                  <w:tcW w:w="575"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有机废气</w:t>
                  </w:r>
                </w:p>
              </w:tc>
              <w:tc>
                <w:tcPr>
                  <w:tcW w:w="325"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固态</w:t>
                  </w:r>
                </w:p>
              </w:tc>
              <w:tc>
                <w:tcPr>
                  <w:tcW w:w="297"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T，I</w:t>
                  </w:r>
                </w:p>
              </w:tc>
              <w:tc>
                <w:tcPr>
                  <w:tcW w:w="412"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0.124</w:t>
                  </w:r>
                </w:p>
              </w:tc>
              <w:tc>
                <w:tcPr>
                  <w:tcW w:w="679" w:type="pct"/>
                  <w:vMerge w:val="restar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可密闭容器收集，危废暂存间贮存</w:t>
                  </w:r>
                </w:p>
              </w:tc>
              <w:tc>
                <w:tcPr>
                  <w:tcW w:w="495" w:type="pct"/>
                  <w:vMerge w:val="continue"/>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p>
              </w:tc>
              <w:tc>
                <w:tcPr>
                  <w:tcW w:w="393"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9"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10</w:t>
                  </w:r>
                </w:p>
              </w:tc>
              <w:tc>
                <w:tcPr>
                  <w:tcW w:w="488" w:type="pct"/>
                  <w:vMerge w:val="continue"/>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p>
              </w:tc>
              <w:tc>
                <w:tcPr>
                  <w:tcW w:w="578"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废过滤棉</w:t>
                  </w:r>
                </w:p>
              </w:tc>
              <w:tc>
                <w:tcPr>
                  <w:tcW w:w="564"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危险废物</w:t>
                  </w:r>
                </w:p>
              </w:tc>
              <w:tc>
                <w:tcPr>
                  <w:tcW w:w="575"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漆雾、有机废气</w:t>
                  </w:r>
                </w:p>
              </w:tc>
              <w:tc>
                <w:tcPr>
                  <w:tcW w:w="325"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固态</w:t>
                  </w:r>
                </w:p>
              </w:tc>
              <w:tc>
                <w:tcPr>
                  <w:tcW w:w="297"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T，I</w:t>
                  </w:r>
                </w:p>
              </w:tc>
              <w:tc>
                <w:tcPr>
                  <w:tcW w:w="412"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0.05</w:t>
                  </w:r>
                </w:p>
              </w:tc>
              <w:tc>
                <w:tcPr>
                  <w:tcW w:w="679" w:type="pct"/>
                  <w:vMerge w:val="continue"/>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p>
              </w:tc>
              <w:tc>
                <w:tcPr>
                  <w:tcW w:w="495" w:type="pct"/>
                  <w:vMerge w:val="continue"/>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p>
              </w:tc>
              <w:tc>
                <w:tcPr>
                  <w:tcW w:w="393"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9"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11</w:t>
                  </w:r>
                </w:p>
              </w:tc>
              <w:tc>
                <w:tcPr>
                  <w:tcW w:w="488"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喷漆</w:t>
                  </w:r>
                  <w:r>
                    <w:rPr>
                      <w:rFonts w:hint="eastAsia"/>
                      <w:color w:val="000000" w:themeColor="text1"/>
                      <w:kern w:val="0"/>
                      <w:sz w:val="21"/>
                      <w:szCs w:val="21"/>
                      <w14:textFill>
                        <w14:solidFill>
                          <w14:schemeClr w14:val="tx1"/>
                        </w14:solidFill>
                      </w14:textFill>
                    </w:rPr>
                    <w:t>、刷漆</w:t>
                  </w:r>
                </w:p>
              </w:tc>
              <w:tc>
                <w:tcPr>
                  <w:tcW w:w="578"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废漆桶</w:t>
                  </w:r>
                  <w:r>
                    <w:rPr>
                      <w:rFonts w:hint="eastAsia"/>
                      <w:color w:val="000000" w:themeColor="text1"/>
                      <w:kern w:val="0"/>
                      <w:sz w:val="21"/>
                      <w:szCs w:val="21"/>
                      <w14:textFill>
                        <w14:solidFill>
                          <w14:schemeClr w14:val="tx1"/>
                        </w14:solidFill>
                      </w14:textFill>
                    </w:rPr>
                    <w:t>、废漆瓶</w:t>
                  </w:r>
                </w:p>
              </w:tc>
              <w:tc>
                <w:tcPr>
                  <w:tcW w:w="564"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危险废物</w:t>
                  </w:r>
                </w:p>
              </w:tc>
              <w:tc>
                <w:tcPr>
                  <w:tcW w:w="575"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有机废物</w:t>
                  </w:r>
                </w:p>
              </w:tc>
              <w:tc>
                <w:tcPr>
                  <w:tcW w:w="325"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固态</w:t>
                  </w:r>
                </w:p>
              </w:tc>
              <w:tc>
                <w:tcPr>
                  <w:tcW w:w="297"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T</w:t>
                  </w:r>
                </w:p>
              </w:tc>
              <w:tc>
                <w:tcPr>
                  <w:tcW w:w="412"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0.07</w:t>
                  </w:r>
                </w:p>
              </w:tc>
              <w:tc>
                <w:tcPr>
                  <w:tcW w:w="679"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危废暂存间贮存</w:t>
                  </w:r>
                </w:p>
              </w:tc>
              <w:tc>
                <w:tcPr>
                  <w:tcW w:w="495" w:type="pct"/>
                  <w:vMerge w:val="continue"/>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p>
              </w:tc>
              <w:tc>
                <w:tcPr>
                  <w:tcW w:w="393"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9"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12</w:t>
                  </w:r>
                </w:p>
              </w:tc>
              <w:tc>
                <w:tcPr>
                  <w:tcW w:w="488" w:type="pct"/>
                  <w:vMerge w:val="restar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机械维修</w:t>
                  </w:r>
                </w:p>
              </w:tc>
              <w:tc>
                <w:tcPr>
                  <w:tcW w:w="578"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滤油机滤纸</w:t>
                  </w:r>
                </w:p>
              </w:tc>
              <w:tc>
                <w:tcPr>
                  <w:tcW w:w="564" w:type="pct"/>
                  <w:vMerge w:val="restar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危险废物</w:t>
                  </w:r>
                </w:p>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b/>
                      <w:bCs/>
                      <w:color w:val="000000" w:themeColor="text1"/>
                      <w:kern w:val="0"/>
                      <w:sz w:val="21"/>
                      <w:szCs w:val="21"/>
                      <w14:textFill>
                        <w14:solidFill>
                          <w14:schemeClr w14:val="tx1"/>
                        </w14:solidFill>
                      </w14:textFill>
                    </w:rPr>
                  </w:pPr>
                </w:p>
              </w:tc>
              <w:tc>
                <w:tcPr>
                  <w:tcW w:w="575" w:type="pct"/>
                  <w:vMerge w:val="restar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含油废物</w:t>
                  </w:r>
                </w:p>
              </w:tc>
              <w:tc>
                <w:tcPr>
                  <w:tcW w:w="325"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固态</w:t>
                  </w:r>
                </w:p>
              </w:tc>
              <w:tc>
                <w:tcPr>
                  <w:tcW w:w="297"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T，I</w:t>
                  </w:r>
                </w:p>
              </w:tc>
              <w:tc>
                <w:tcPr>
                  <w:tcW w:w="412"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0.0024</w:t>
                  </w:r>
                </w:p>
              </w:tc>
              <w:tc>
                <w:tcPr>
                  <w:tcW w:w="679"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危废暂存间贮存</w:t>
                  </w:r>
                </w:p>
              </w:tc>
              <w:tc>
                <w:tcPr>
                  <w:tcW w:w="495" w:type="pct"/>
                  <w:vMerge w:val="continue"/>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p>
              </w:tc>
              <w:tc>
                <w:tcPr>
                  <w:tcW w:w="393"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9"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13</w:t>
                  </w:r>
                </w:p>
              </w:tc>
              <w:tc>
                <w:tcPr>
                  <w:tcW w:w="488" w:type="pct"/>
                  <w:vMerge w:val="continue"/>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p>
              </w:tc>
              <w:tc>
                <w:tcPr>
                  <w:tcW w:w="578"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滤油机过滤杂质</w:t>
                  </w:r>
                </w:p>
              </w:tc>
              <w:tc>
                <w:tcPr>
                  <w:tcW w:w="564" w:type="pct"/>
                  <w:vMerge w:val="continue"/>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b/>
                      <w:bCs/>
                      <w:color w:val="000000" w:themeColor="text1"/>
                      <w:kern w:val="0"/>
                      <w:sz w:val="21"/>
                      <w:szCs w:val="21"/>
                      <w14:textFill>
                        <w14:solidFill>
                          <w14:schemeClr w14:val="tx1"/>
                        </w14:solidFill>
                      </w14:textFill>
                    </w:rPr>
                  </w:pPr>
                </w:p>
              </w:tc>
              <w:tc>
                <w:tcPr>
                  <w:tcW w:w="575" w:type="pct"/>
                  <w:vMerge w:val="continue"/>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p>
              </w:tc>
              <w:tc>
                <w:tcPr>
                  <w:tcW w:w="325"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固态</w:t>
                  </w:r>
                </w:p>
              </w:tc>
              <w:tc>
                <w:tcPr>
                  <w:tcW w:w="297"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T，I</w:t>
                  </w:r>
                </w:p>
              </w:tc>
              <w:tc>
                <w:tcPr>
                  <w:tcW w:w="412"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0.0016</w:t>
                  </w:r>
                </w:p>
              </w:tc>
              <w:tc>
                <w:tcPr>
                  <w:tcW w:w="679"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b/>
                      <w:bCs/>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危废暂存间贮存</w:t>
                  </w:r>
                </w:p>
              </w:tc>
              <w:tc>
                <w:tcPr>
                  <w:tcW w:w="495" w:type="pct"/>
                  <w:vMerge w:val="continue"/>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p>
              </w:tc>
              <w:tc>
                <w:tcPr>
                  <w:tcW w:w="393"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89"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14</w:t>
                  </w:r>
                </w:p>
              </w:tc>
              <w:tc>
                <w:tcPr>
                  <w:tcW w:w="488"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w:t>
                  </w:r>
                </w:p>
              </w:tc>
              <w:tc>
                <w:tcPr>
                  <w:tcW w:w="578"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合计</w:t>
                  </w:r>
                </w:p>
              </w:tc>
              <w:tc>
                <w:tcPr>
                  <w:tcW w:w="564"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w:t>
                  </w:r>
                </w:p>
              </w:tc>
              <w:tc>
                <w:tcPr>
                  <w:tcW w:w="575"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p>
              </w:tc>
              <w:tc>
                <w:tcPr>
                  <w:tcW w:w="325"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p>
              </w:tc>
              <w:tc>
                <w:tcPr>
                  <w:tcW w:w="297"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p>
              </w:tc>
              <w:tc>
                <w:tcPr>
                  <w:tcW w:w="412"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10.086</w:t>
                  </w:r>
                </w:p>
              </w:tc>
              <w:tc>
                <w:tcPr>
                  <w:tcW w:w="679"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p>
              </w:tc>
              <w:tc>
                <w:tcPr>
                  <w:tcW w:w="495"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p>
              </w:tc>
              <w:tc>
                <w:tcPr>
                  <w:tcW w:w="393"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10.086</w:t>
                  </w:r>
                </w:p>
              </w:tc>
            </w:tr>
          </w:tbl>
          <w:p>
            <w:pPr>
              <w:rPr>
                <w:color w:val="000000" w:themeColor="text1"/>
                <w:kern w:val="0"/>
                <w14:textFill>
                  <w14:solidFill>
                    <w14:schemeClr w14:val="tx1"/>
                  </w14:solidFill>
                </w14:textFill>
              </w:rPr>
            </w:pPr>
          </w:p>
        </w:tc>
      </w:tr>
    </w:tbl>
    <w:p>
      <w:pPr>
        <w:adjustRightInd w:val="0"/>
        <w:snapToGrid w:val="0"/>
        <w:rPr>
          <w:bCs/>
          <w:color w:val="000000" w:themeColor="text1"/>
          <w:kern w:val="0"/>
          <w14:textFill>
            <w14:solidFill>
              <w14:schemeClr w14:val="tx1"/>
            </w14:solidFill>
          </w14:textFill>
        </w:rPr>
        <w:sectPr>
          <w:pgSz w:w="16840" w:h="11907" w:orient="landscape"/>
          <w:pgMar w:top="1531" w:right="1701" w:bottom="1531" w:left="2127" w:header="851" w:footer="850" w:gutter="0"/>
          <w:cols w:space="720" w:num="1"/>
          <w:docGrid w:linePitch="312" w:charSpace="0"/>
        </w:sectPr>
      </w:pPr>
    </w:p>
    <w:tbl>
      <w:tblPr>
        <w:tblStyle w:val="28"/>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746" w:type="dxa"/>
            <w:tcMar>
              <w:left w:w="28" w:type="dxa"/>
              <w:right w:w="28" w:type="dxa"/>
            </w:tcMar>
            <w:vAlign w:val="center"/>
          </w:tcPr>
          <w:p>
            <w:pPr>
              <w:adjustRightInd w:val="0"/>
              <w:snapToGrid w:val="0"/>
              <w:jc w:val="center"/>
              <w:rPr>
                <w:bCs/>
                <w:color w:val="000000" w:themeColor="text1"/>
                <w:kern w:val="0"/>
                <w14:textFill>
                  <w14:solidFill>
                    <w14:schemeClr w14:val="tx1"/>
                  </w14:solidFill>
                </w14:textFill>
              </w:rPr>
            </w:pPr>
          </w:p>
        </w:tc>
        <w:tc>
          <w:tcPr>
            <w:tcW w:w="8162" w:type="dxa"/>
          </w:tcPr>
          <w:p>
            <w:pPr>
              <w:ind w:firstLine="482" w:firstLineChars="200"/>
              <w:jc w:val="left"/>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2、环境管理要求</w:t>
            </w:r>
          </w:p>
          <w:p>
            <w:pPr>
              <w:ind w:firstLine="482" w:firstLineChars="200"/>
              <w:jc w:val="left"/>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（1）生活垃圾</w:t>
            </w:r>
          </w:p>
          <w:p>
            <w:pPr>
              <w:tabs>
                <w:tab w:val="left" w:pos="540"/>
                <w:tab w:val="left" w:pos="851"/>
                <w:tab w:val="left" w:pos="994"/>
                <w:tab w:val="left" w:pos="1260"/>
                <w:tab w:val="left" w:pos="3108"/>
                <w:tab w:val="left" w:pos="3150"/>
              </w:tabs>
              <w:ind w:firstLine="480" w:firstLineChars="200"/>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项目运营期生活垃圾主要成分为纸屑、塑料、果皮等物质，属于一般固废。生活垃圾对环境的影响主要是收集暂存过程中散发的异味影响和处置不当对环境造成固废污染。针对生活垃圾，环评提出以下管理要求：</w:t>
            </w:r>
          </w:p>
          <w:p>
            <w:pPr>
              <w:numPr>
                <w:ilvl w:val="0"/>
                <w:numId w:val="19"/>
              </w:numPr>
              <w:tabs>
                <w:tab w:val="left" w:pos="540"/>
                <w:tab w:val="left" w:pos="851"/>
                <w:tab w:val="left" w:pos="994"/>
                <w:tab w:val="left" w:pos="1260"/>
                <w:tab w:val="left" w:pos="3108"/>
                <w:tab w:val="left" w:pos="3150"/>
              </w:tabs>
              <w:ind w:firstLine="480" w:firstLineChars="200"/>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运营中生活垃圾应使用加盖垃圾桶统一收集，袋装暂存；</w:t>
            </w:r>
          </w:p>
          <w:p>
            <w:pPr>
              <w:numPr>
                <w:ilvl w:val="0"/>
                <w:numId w:val="19"/>
              </w:numPr>
              <w:tabs>
                <w:tab w:val="left" w:pos="540"/>
                <w:tab w:val="left" w:pos="851"/>
                <w:tab w:val="left" w:pos="994"/>
                <w:tab w:val="left" w:pos="1260"/>
                <w:tab w:val="left" w:pos="3108"/>
                <w:tab w:val="left" w:pos="3150"/>
              </w:tabs>
              <w:ind w:firstLine="480" w:firstLineChars="200"/>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设置专人负责定期清运，清运周期控制在1~2天内，避免垃圾发酵产生异味；</w:t>
            </w:r>
          </w:p>
          <w:p>
            <w:pPr>
              <w:numPr>
                <w:ilvl w:val="0"/>
                <w:numId w:val="19"/>
              </w:numPr>
              <w:tabs>
                <w:tab w:val="left" w:pos="540"/>
                <w:tab w:val="left" w:pos="851"/>
                <w:tab w:val="left" w:pos="994"/>
                <w:tab w:val="left" w:pos="1260"/>
                <w:tab w:val="left" w:pos="3108"/>
                <w:tab w:val="left" w:pos="3150"/>
              </w:tabs>
              <w:ind w:firstLine="480" w:firstLineChars="200"/>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严禁随意丢弃、焚烧垃圾。</w:t>
            </w:r>
          </w:p>
          <w:p>
            <w:pPr>
              <w:ind w:firstLine="482" w:firstLineChars="200"/>
              <w:jc w:val="left"/>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（2）食堂泔水</w:t>
            </w:r>
          </w:p>
          <w:p>
            <w:pPr>
              <w:tabs>
                <w:tab w:val="left" w:pos="540"/>
                <w:tab w:val="left" w:pos="851"/>
                <w:tab w:val="left" w:pos="994"/>
                <w:tab w:val="left" w:pos="1260"/>
                <w:tab w:val="left" w:pos="3108"/>
                <w:tab w:val="left" w:pos="3150"/>
              </w:tabs>
              <w:ind w:firstLine="480" w:firstLineChars="200"/>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食堂泔水主要成分为食物残渣、厨余垃圾等，属一般固废，其影响主要是暂存中异味影响和处置不当对环境造成污染。环评提出以下环境管理要求：</w:t>
            </w:r>
          </w:p>
          <w:p>
            <w:pPr>
              <w:numPr>
                <w:ilvl w:val="0"/>
                <w:numId w:val="20"/>
              </w:numPr>
              <w:tabs>
                <w:tab w:val="left" w:pos="540"/>
                <w:tab w:val="left" w:pos="851"/>
                <w:tab w:val="left" w:pos="994"/>
                <w:tab w:val="left" w:pos="1260"/>
                <w:tab w:val="left" w:pos="3108"/>
                <w:tab w:val="left" w:pos="3150"/>
              </w:tabs>
              <w:ind w:firstLine="480" w:firstLineChars="200"/>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食堂泔水使用加盖桶收集；</w:t>
            </w:r>
          </w:p>
          <w:p>
            <w:pPr>
              <w:numPr>
                <w:ilvl w:val="0"/>
                <w:numId w:val="20"/>
              </w:numPr>
              <w:tabs>
                <w:tab w:val="left" w:pos="540"/>
                <w:tab w:val="left" w:pos="851"/>
                <w:tab w:val="left" w:pos="994"/>
                <w:tab w:val="left" w:pos="1260"/>
                <w:tab w:val="left" w:pos="3108"/>
                <w:tab w:val="left" w:pos="3150"/>
              </w:tabs>
              <w:ind w:firstLine="480" w:firstLineChars="200"/>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1~2天处置一次，缩短暂存时间，避免异味扩散；</w:t>
            </w:r>
          </w:p>
          <w:p>
            <w:pPr>
              <w:numPr>
                <w:ilvl w:val="0"/>
                <w:numId w:val="20"/>
              </w:numPr>
              <w:tabs>
                <w:tab w:val="left" w:pos="540"/>
                <w:tab w:val="left" w:pos="851"/>
                <w:tab w:val="left" w:pos="994"/>
                <w:tab w:val="left" w:pos="1260"/>
                <w:tab w:val="left" w:pos="3108"/>
                <w:tab w:val="left" w:pos="3150"/>
              </w:tabs>
              <w:ind w:firstLine="480" w:firstLineChars="200"/>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泔水收集后最终</w:t>
            </w:r>
            <w:r>
              <w:rPr>
                <w:rFonts w:hint="eastAsia"/>
                <w:color w:val="000000" w:themeColor="text1"/>
                <w:kern w:val="0"/>
                <w14:textFill>
                  <w14:solidFill>
                    <w14:schemeClr w14:val="tx1"/>
                  </w14:solidFill>
                </w14:textFill>
              </w:rPr>
              <w:t>委托有资质单位</w:t>
            </w:r>
            <w:r>
              <w:rPr>
                <w:color w:val="000000" w:themeColor="text1"/>
                <w:kern w:val="0"/>
                <w14:textFill>
                  <w14:solidFill>
                    <w14:schemeClr w14:val="tx1"/>
                  </w14:solidFill>
                </w14:textFill>
              </w:rPr>
              <w:t>进行处置。</w:t>
            </w:r>
          </w:p>
          <w:p>
            <w:pPr>
              <w:ind w:firstLine="482" w:firstLineChars="200"/>
              <w:jc w:val="left"/>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（3）隔油池</w:t>
            </w:r>
            <w:r>
              <w:rPr>
                <w:rFonts w:hint="eastAsia"/>
                <w:b/>
                <w:bCs/>
                <w:color w:val="000000" w:themeColor="text1"/>
                <w:kern w:val="0"/>
                <w14:textFill>
                  <w14:solidFill>
                    <w14:schemeClr w14:val="tx1"/>
                  </w14:solidFill>
                </w14:textFill>
              </w:rPr>
              <w:t>污泥</w:t>
            </w:r>
          </w:p>
          <w:p>
            <w:pPr>
              <w:tabs>
                <w:tab w:val="left" w:pos="540"/>
                <w:tab w:val="left" w:pos="851"/>
                <w:tab w:val="left" w:pos="994"/>
                <w:tab w:val="left" w:pos="1260"/>
                <w:tab w:val="left" w:pos="3108"/>
                <w:tab w:val="left" w:pos="3150"/>
              </w:tabs>
              <w:ind w:firstLine="480" w:firstLineChars="200"/>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隔油池</w:t>
            </w:r>
            <w:r>
              <w:rPr>
                <w:rFonts w:hint="eastAsia"/>
                <w:color w:val="000000" w:themeColor="text1"/>
                <w:kern w:val="0"/>
                <w14:textFill>
                  <w14:solidFill>
                    <w14:schemeClr w14:val="tx1"/>
                  </w14:solidFill>
                </w14:textFill>
              </w:rPr>
              <w:t>污泥</w:t>
            </w:r>
            <w:r>
              <w:rPr>
                <w:color w:val="000000" w:themeColor="text1"/>
                <w:kern w:val="0"/>
                <w14:textFill>
                  <w14:solidFill>
                    <w14:schemeClr w14:val="tx1"/>
                  </w14:solidFill>
                </w14:textFill>
              </w:rPr>
              <w:t>主要成分为厨房废水中隔离出的动植物油油脂，收集后统一按照《昆明市餐厨废弃物管理办法》（昆明市政府令第109号）委托有资质单位进行清运处置。</w:t>
            </w:r>
          </w:p>
          <w:p>
            <w:pPr>
              <w:ind w:firstLine="482" w:firstLineChars="200"/>
              <w:jc w:val="left"/>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w:t>
            </w:r>
            <w:r>
              <w:rPr>
                <w:rFonts w:hint="eastAsia"/>
                <w:b/>
                <w:bCs/>
                <w:color w:val="000000" w:themeColor="text1"/>
                <w:kern w:val="0"/>
                <w14:textFill>
                  <w14:solidFill>
                    <w14:schemeClr w14:val="tx1"/>
                  </w14:solidFill>
                </w14:textFill>
              </w:rPr>
              <w:t>4</w:t>
            </w:r>
            <w:r>
              <w:rPr>
                <w:b/>
                <w:bCs/>
                <w:color w:val="000000" w:themeColor="text1"/>
                <w:kern w:val="0"/>
                <w14:textFill>
                  <w14:solidFill>
                    <w14:schemeClr w14:val="tx1"/>
                  </w14:solidFill>
                </w14:textFill>
              </w:rPr>
              <w:t>）废漆桶</w:t>
            </w:r>
            <w:r>
              <w:rPr>
                <w:rFonts w:hint="eastAsia"/>
                <w:b/>
                <w:bCs/>
                <w:color w:val="000000" w:themeColor="text1"/>
                <w:kern w:val="0"/>
                <w14:textFill>
                  <w14:solidFill>
                    <w14:schemeClr w14:val="tx1"/>
                  </w14:solidFill>
                </w14:textFill>
              </w:rPr>
              <w:t>、废漆瓶</w:t>
            </w:r>
          </w:p>
          <w:p>
            <w:pPr>
              <w:tabs>
                <w:tab w:val="left" w:pos="540"/>
                <w:tab w:val="left" w:pos="851"/>
                <w:tab w:val="left" w:pos="994"/>
                <w:tab w:val="left" w:pos="1260"/>
                <w:tab w:val="left" w:pos="3108"/>
                <w:tab w:val="left" w:pos="3150"/>
              </w:tabs>
              <w:ind w:firstLine="480" w:firstLineChars="200"/>
              <w:jc w:val="left"/>
              <w:rPr>
                <w:color w:val="000000" w:themeColor="text1"/>
                <w:kern w:val="0"/>
                <w14:textFill>
                  <w14:solidFill>
                    <w14:schemeClr w14:val="tx1"/>
                  </w14:solidFill>
                </w14:textFill>
              </w:rPr>
            </w:pPr>
            <w:r>
              <w:rPr>
                <w:color w:val="000000" w:themeColor="text1"/>
                <w:kern w:val="0"/>
                <w14:textFill>
                  <w14:solidFill>
                    <w14:schemeClr w14:val="tx1"/>
                  </w14:solidFill>
                </w14:textFill>
              </w:rPr>
              <w:t>废漆桶</w:t>
            </w:r>
            <w:r>
              <w:rPr>
                <w:rFonts w:hint="eastAsia"/>
                <w:color w:val="000000" w:themeColor="text1"/>
                <w:kern w:val="0"/>
                <w14:textFill>
                  <w14:solidFill>
                    <w14:schemeClr w14:val="tx1"/>
                  </w14:solidFill>
                </w14:textFill>
              </w:rPr>
              <w:t>、废漆瓶</w:t>
            </w:r>
            <w:r>
              <w:rPr>
                <w:color w:val="000000" w:themeColor="text1"/>
                <w:kern w:val="0"/>
                <w14:textFill>
                  <w14:solidFill>
                    <w14:schemeClr w14:val="tx1"/>
                  </w14:solidFill>
                </w14:textFill>
              </w:rPr>
              <w:t>为</w:t>
            </w:r>
            <w:r>
              <w:rPr>
                <w:rFonts w:hint="eastAsia"/>
                <w:color w:val="000000" w:themeColor="text1"/>
                <w:kern w:val="0"/>
                <w14:textFill>
                  <w14:solidFill>
                    <w14:schemeClr w14:val="tx1"/>
                  </w14:solidFill>
                </w14:textFill>
              </w:rPr>
              <w:t>危险废物</w:t>
            </w:r>
            <w:r>
              <w:rPr>
                <w:color w:val="000000" w:themeColor="text1"/>
                <w:kern w:val="0"/>
                <w14:textFill>
                  <w14:solidFill>
                    <w14:schemeClr w14:val="tx1"/>
                  </w14:solidFill>
                </w14:textFill>
              </w:rPr>
              <w:t>，产生后分类收集，分类存放，定期交由有资质单位清运处置。</w:t>
            </w:r>
          </w:p>
          <w:p>
            <w:pPr>
              <w:ind w:firstLine="482" w:firstLineChars="200"/>
              <w:jc w:val="left"/>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w:t>
            </w:r>
            <w:r>
              <w:rPr>
                <w:rFonts w:hint="eastAsia"/>
                <w:b/>
                <w:bCs/>
                <w:color w:val="000000" w:themeColor="text1"/>
                <w:kern w:val="0"/>
                <w14:textFill>
                  <w14:solidFill>
                    <w14:schemeClr w14:val="tx1"/>
                  </w14:solidFill>
                </w14:textFill>
              </w:rPr>
              <w:t>5</w:t>
            </w:r>
            <w:r>
              <w:rPr>
                <w:b/>
                <w:bCs/>
                <w:color w:val="000000" w:themeColor="text1"/>
                <w:kern w:val="0"/>
                <w14:textFill>
                  <w14:solidFill>
                    <w14:schemeClr w14:val="tx1"/>
                  </w14:solidFill>
                </w14:textFill>
              </w:rPr>
              <w:t>）废机油</w:t>
            </w:r>
            <w:r>
              <w:rPr>
                <w:rFonts w:hint="eastAsia"/>
                <w:b/>
                <w:bCs/>
                <w:color w:val="000000" w:themeColor="text1"/>
                <w:kern w:val="0"/>
                <w14:textFill>
                  <w14:solidFill>
                    <w14:schemeClr w14:val="tx1"/>
                  </w14:solidFill>
                </w14:textFill>
              </w:rPr>
              <w:t>、废液压油</w:t>
            </w:r>
            <w:r>
              <w:rPr>
                <w:b/>
                <w:bCs/>
                <w:color w:val="000000" w:themeColor="text1"/>
                <w:kern w:val="0"/>
                <w14:textFill>
                  <w14:solidFill>
                    <w14:schemeClr w14:val="tx1"/>
                  </w14:solidFill>
                </w14:textFill>
              </w:rPr>
              <w:t>及</w:t>
            </w:r>
            <w:r>
              <w:rPr>
                <w:rFonts w:hint="eastAsia"/>
                <w:b/>
                <w:bCs/>
                <w:color w:val="000000" w:themeColor="text1"/>
                <w:kern w:val="0"/>
                <w14:textFill>
                  <w14:solidFill>
                    <w14:schemeClr w14:val="tx1"/>
                  </w14:solidFill>
                </w14:textFill>
              </w:rPr>
              <w:t>废机油桶、废液压油桶、废过滤棉、废活性炭</w:t>
            </w:r>
          </w:p>
          <w:p>
            <w:pPr>
              <w:tabs>
                <w:tab w:val="left" w:pos="540"/>
                <w:tab w:val="left" w:pos="851"/>
                <w:tab w:val="left" w:pos="994"/>
                <w:tab w:val="left" w:pos="1260"/>
                <w:tab w:val="left" w:pos="3108"/>
                <w:tab w:val="left" w:pos="3150"/>
              </w:tabs>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项目拟设置1个</w:t>
            </w:r>
            <w:r>
              <w:rPr>
                <w:rFonts w:hint="eastAsia"/>
                <w:color w:val="000000" w:themeColor="text1"/>
                <w:kern w:val="0"/>
                <w14:textFill>
                  <w14:solidFill>
                    <w14:schemeClr w14:val="tx1"/>
                  </w14:solidFill>
                </w14:textFill>
              </w:rPr>
              <w:t>10</w:t>
            </w:r>
            <w:r>
              <w:rPr>
                <w:color w:val="000000" w:themeColor="text1"/>
                <w:kern w:val="0"/>
                <w14:textFill>
                  <w14:solidFill>
                    <w14:schemeClr w14:val="tx1"/>
                  </w14:solidFill>
                </w14:textFill>
              </w:rPr>
              <w:t>m</w:t>
            </w:r>
            <w:r>
              <w:rPr>
                <w:color w:val="000000" w:themeColor="text1"/>
                <w:kern w:val="0"/>
                <w:vertAlign w:val="superscript"/>
                <w14:textFill>
                  <w14:solidFill>
                    <w14:schemeClr w14:val="tx1"/>
                  </w14:solidFill>
                </w14:textFill>
              </w:rPr>
              <w:t>2</w:t>
            </w:r>
            <w:r>
              <w:rPr>
                <w:color w:val="000000" w:themeColor="text1"/>
                <w:kern w:val="0"/>
                <w14:textFill>
                  <w14:solidFill>
                    <w14:schemeClr w14:val="tx1"/>
                  </w14:solidFill>
                </w14:textFill>
              </w:rPr>
              <w:t>的危废暂存间，废</w:t>
            </w:r>
            <w:r>
              <w:rPr>
                <w:rFonts w:hint="eastAsia"/>
                <w:color w:val="000000" w:themeColor="text1"/>
                <w:kern w:val="0"/>
                <w14:textFill>
                  <w14:solidFill>
                    <w14:schemeClr w14:val="tx1"/>
                  </w14:solidFill>
                </w14:textFill>
              </w:rPr>
              <w:t>液压油、废机油</w:t>
            </w:r>
            <w:r>
              <w:rPr>
                <w:color w:val="000000" w:themeColor="text1"/>
                <w:kern w:val="0"/>
                <w14:textFill>
                  <w14:solidFill>
                    <w14:schemeClr w14:val="tx1"/>
                  </w14:solidFill>
                </w14:textFill>
              </w:rPr>
              <w:t>及</w:t>
            </w:r>
            <w:r>
              <w:rPr>
                <w:rFonts w:hint="eastAsia"/>
                <w:color w:val="000000" w:themeColor="text1"/>
                <w:kern w:val="0"/>
                <w14:textFill>
                  <w14:solidFill>
                    <w14:schemeClr w14:val="tx1"/>
                  </w14:solidFill>
                </w14:textFill>
              </w:rPr>
              <w:t>废机油桶、液压油桶、废漆瓶、废漆桶、废过滤棉、废活性炭</w:t>
            </w:r>
            <w:r>
              <w:rPr>
                <w:color w:val="000000" w:themeColor="text1"/>
                <w:kern w:val="0"/>
                <w14:textFill>
                  <w14:solidFill>
                    <w14:schemeClr w14:val="tx1"/>
                  </w14:solidFill>
                </w14:textFill>
              </w:rPr>
              <w:t>使用专用容器收集后在危废暂存间内储存，定期交由有资质单位清运处置。</w:t>
            </w:r>
          </w:p>
          <w:p>
            <w:pPr>
              <w:tabs>
                <w:tab w:val="left" w:pos="540"/>
                <w:tab w:val="left" w:pos="851"/>
                <w:tab w:val="left" w:pos="994"/>
                <w:tab w:val="left" w:pos="1260"/>
                <w:tab w:val="left" w:pos="3108"/>
                <w:tab w:val="left" w:pos="3150"/>
              </w:tabs>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危废暂存间的建设、危险废物的临时贮存、转运处置应严格按《危险废物贮存污染控制标准》（GB18597-2001）严格执行环境管理要求。</w:t>
            </w:r>
          </w:p>
          <w:p>
            <w:pPr>
              <w:numPr>
                <w:ilvl w:val="0"/>
                <w:numId w:val="21"/>
              </w:numPr>
              <w:tabs>
                <w:tab w:val="left" w:pos="540"/>
                <w:tab w:val="left" w:pos="851"/>
                <w:tab w:val="left" w:pos="994"/>
                <w:tab w:val="left" w:pos="1260"/>
                <w:tab w:val="left" w:pos="3108"/>
                <w:tab w:val="left" w:pos="3150"/>
              </w:tabs>
              <w:ind w:left="0" w:firstLine="482" w:firstLineChars="200"/>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危废暂存间设置要求</w:t>
            </w:r>
          </w:p>
          <w:p>
            <w:pPr>
              <w:numPr>
                <w:ilvl w:val="0"/>
                <w:numId w:val="22"/>
              </w:numPr>
              <w:tabs>
                <w:tab w:val="left" w:pos="540"/>
                <w:tab w:val="left" w:pos="851"/>
                <w:tab w:val="left" w:pos="994"/>
                <w:tab w:val="left" w:pos="1260"/>
                <w:tab w:val="left" w:pos="3108"/>
                <w:tab w:val="left" w:pos="3150"/>
              </w:tabs>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地面与裙角要用坚固、防渗的材料建造，防渗系数达到≤1.0×10</w:t>
            </w:r>
            <w:r>
              <w:rPr>
                <w:color w:val="000000" w:themeColor="text1"/>
                <w:kern w:val="0"/>
                <w:vertAlign w:val="superscript"/>
                <w14:textFill>
                  <w14:solidFill>
                    <w14:schemeClr w14:val="tx1"/>
                  </w14:solidFill>
                </w14:textFill>
              </w:rPr>
              <w:t>-10</w:t>
            </w:r>
            <w:r>
              <w:rPr>
                <w:color w:val="000000" w:themeColor="text1"/>
                <w:kern w:val="0"/>
                <w14:textFill>
                  <w14:solidFill>
                    <w14:schemeClr w14:val="tx1"/>
                  </w14:solidFill>
                </w14:textFill>
              </w:rPr>
              <w:t>cm/s，建筑材料需与危险废物相容（不发生反应）；</w:t>
            </w:r>
          </w:p>
          <w:p>
            <w:pPr>
              <w:numPr>
                <w:ilvl w:val="0"/>
                <w:numId w:val="22"/>
              </w:numPr>
              <w:tabs>
                <w:tab w:val="left" w:pos="540"/>
                <w:tab w:val="left" w:pos="851"/>
                <w:tab w:val="left" w:pos="994"/>
                <w:tab w:val="left" w:pos="1260"/>
                <w:tab w:val="left" w:pos="3108"/>
                <w:tab w:val="left" w:pos="3150"/>
              </w:tabs>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暂存间内要有安全照明设施和观察窗口；</w:t>
            </w:r>
          </w:p>
          <w:p>
            <w:pPr>
              <w:tabs>
                <w:tab w:val="left" w:pos="540"/>
                <w:tab w:val="left" w:pos="851"/>
                <w:tab w:val="left" w:pos="994"/>
                <w:tab w:val="left" w:pos="1260"/>
                <w:tab w:val="left" w:pos="3108"/>
                <w:tab w:val="left" w:pos="3150"/>
              </w:tabs>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C、应设计堵截泄漏的裙脚，地面与裙脚所围建的容积不低于堵截最大容器的最大储量或总储量的五分之一；</w:t>
            </w:r>
          </w:p>
          <w:p>
            <w:pPr>
              <w:tabs>
                <w:tab w:val="left" w:pos="540"/>
                <w:tab w:val="left" w:pos="851"/>
                <w:tab w:val="left" w:pos="994"/>
                <w:tab w:val="left" w:pos="1260"/>
                <w:tab w:val="left" w:pos="3108"/>
                <w:tab w:val="left" w:pos="3150"/>
              </w:tabs>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D、配备泄漏液体收集装置。</w:t>
            </w:r>
          </w:p>
          <w:p>
            <w:pPr>
              <w:tabs>
                <w:tab w:val="left" w:pos="540"/>
                <w:tab w:val="left" w:pos="851"/>
                <w:tab w:val="left" w:pos="994"/>
                <w:tab w:val="left" w:pos="1260"/>
                <w:tab w:val="left" w:pos="3108"/>
                <w:tab w:val="left" w:pos="3150"/>
              </w:tabs>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E、危废暂存间门（墙）上设置标准附录A所示危废暂存间标签，明确危废废物主要成分、化学名称、危险情况、安全措施、危险废物产生单位、地址、电话、联系人等信息。</w:t>
            </w:r>
          </w:p>
          <w:p>
            <w:pPr>
              <w:numPr>
                <w:ilvl w:val="0"/>
                <w:numId w:val="21"/>
              </w:numPr>
              <w:tabs>
                <w:tab w:val="left" w:pos="540"/>
                <w:tab w:val="left" w:pos="851"/>
                <w:tab w:val="left" w:pos="994"/>
                <w:tab w:val="left" w:pos="1260"/>
                <w:tab w:val="left" w:pos="3108"/>
                <w:tab w:val="left" w:pos="3150"/>
              </w:tabs>
              <w:ind w:left="0" w:firstLine="482" w:firstLineChars="200"/>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危险废物贮存容器要求</w:t>
            </w:r>
          </w:p>
          <w:p>
            <w:pPr>
              <w:tabs>
                <w:tab w:val="left" w:pos="540"/>
                <w:tab w:val="left" w:pos="851"/>
                <w:tab w:val="left" w:pos="994"/>
                <w:tab w:val="left" w:pos="1260"/>
                <w:tab w:val="left" w:pos="3108"/>
                <w:tab w:val="left" w:pos="3150"/>
              </w:tabs>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A、应当使用符合标准的容器盛装危险废物，装载液体、半固体危险废物的容器内须留足够空间，容器顶部与液体表面之间保留100毫米以上的空间。</w:t>
            </w:r>
          </w:p>
          <w:p>
            <w:pPr>
              <w:tabs>
                <w:tab w:val="left" w:pos="540"/>
                <w:tab w:val="left" w:pos="851"/>
                <w:tab w:val="left" w:pos="994"/>
                <w:tab w:val="left" w:pos="1260"/>
                <w:tab w:val="left" w:pos="3108"/>
                <w:tab w:val="left" w:pos="3150"/>
              </w:tabs>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B、装载危险废物的容器及材质要满足相应的强度要求，必须粘贴符合标准附录A所示的标签。</w:t>
            </w:r>
          </w:p>
          <w:p>
            <w:pPr>
              <w:tabs>
                <w:tab w:val="left" w:pos="540"/>
                <w:tab w:val="left" w:pos="851"/>
                <w:tab w:val="left" w:pos="994"/>
                <w:tab w:val="left" w:pos="1260"/>
                <w:tab w:val="left" w:pos="3108"/>
                <w:tab w:val="left" w:pos="3150"/>
              </w:tabs>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C、装载危险废物的容器必须完好无损。</w:t>
            </w:r>
          </w:p>
          <w:p>
            <w:pPr>
              <w:tabs>
                <w:tab w:val="left" w:pos="540"/>
                <w:tab w:val="left" w:pos="851"/>
                <w:tab w:val="left" w:pos="994"/>
                <w:tab w:val="left" w:pos="1260"/>
                <w:tab w:val="left" w:pos="3108"/>
                <w:tab w:val="left" w:pos="3150"/>
              </w:tabs>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D、盛装危险废物的容器材质和衬里要与危险废物相容（不相互反应）。</w:t>
            </w:r>
          </w:p>
          <w:p>
            <w:pPr>
              <w:tabs>
                <w:tab w:val="left" w:pos="540"/>
                <w:tab w:val="left" w:pos="851"/>
                <w:tab w:val="left" w:pos="994"/>
                <w:tab w:val="left" w:pos="1260"/>
                <w:tab w:val="left" w:pos="3108"/>
                <w:tab w:val="left" w:pos="3150"/>
              </w:tabs>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E、液体危险废物可注入开孔直径不超过70毫米并有放气孔的桶中。</w:t>
            </w:r>
          </w:p>
          <w:p>
            <w:pPr>
              <w:numPr>
                <w:ilvl w:val="0"/>
                <w:numId w:val="21"/>
              </w:numPr>
              <w:tabs>
                <w:tab w:val="left" w:pos="540"/>
                <w:tab w:val="left" w:pos="851"/>
                <w:tab w:val="left" w:pos="994"/>
                <w:tab w:val="left" w:pos="1260"/>
                <w:tab w:val="left" w:pos="3108"/>
                <w:tab w:val="left" w:pos="3150"/>
              </w:tabs>
              <w:ind w:left="0" w:firstLine="482" w:firstLineChars="200"/>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危险废物日常管理及转运管理要求</w:t>
            </w:r>
          </w:p>
          <w:p>
            <w:pPr>
              <w:numPr>
                <w:ilvl w:val="0"/>
                <w:numId w:val="23"/>
              </w:numPr>
              <w:tabs>
                <w:tab w:val="left" w:pos="540"/>
                <w:tab w:val="left" w:pos="851"/>
                <w:tab w:val="left" w:pos="994"/>
                <w:tab w:val="left" w:pos="1260"/>
                <w:tab w:val="left" w:pos="3108"/>
                <w:tab w:val="left" w:pos="3150"/>
              </w:tabs>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项目日常管理中应定期对所有贮存容器进行检查，发现破损，及时清理更换；</w:t>
            </w:r>
          </w:p>
          <w:p>
            <w:pPr>
              <w:numPr>
                <w:ilvl w:val="0"/>
                <w:numId w:val="23"/>
              </w:numPr>
              <w:tabs>
                <w:tab w:val="left" w:pos="540"/>
                <w:tab w:val="left" w:pos="851"/>
                <w:tab w:val="left" w:pos="994"/>
                <w:tab w:val="left" w:pos="1260"/>
                <w:tab w:val="left" w:pos="3108"/>
                <w:tab w:val="left" w:pos="3150"/>
              </w:tabs>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危险废物暂存间内禁止存放其他杂物，并作好危险废物记录台账，记录上须注明危险废物的名称、来源、数量、特性和包装容器的类别、入库日期、存放库位、废物出库日期及接收单位名称。</w:t>
            </w:r>
          </w:p>
          <w:p>
            <w:pPr>
              <w:pStyle w:val="22"/>
              <w:adjustRightInd w:val="0"/>
              <w:ind w:firstLine="480" w:firstLineChars="200"/>
              <w:jc w:val="both"/>
              <w:rPr>
                <w:b/>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危险废物最终应交由有资质的单位处置，在转移行为发生时应执行危险废物转移联单制度。危废记录台账和转移联单在危险废物收取后应继续保留三年。</w:t>
            </w:r>
          </w:p>
          <w:p>
            <w:pPr>
              <w:pStyle w:val="22"/>
              <w:adjustRightInd w:val="0"/>
              <w:ind w:firstLine="482" w:firstLineChars="200"/>
              <w:jc w:val="both"/>
              <w:rPr>
                <w:b/>
                <w:color w:val="000000" w:themeColor="text1"/>
                <w:sz w:val="24"/>
                <w:szCs w:val="24"/>
                <w14:textFill>
                  <w14:solidFill>
                    <w14:schemeClr w14:val="tx1"/>
                  </w14:solidFill>
                </w14:textFill>
              </w:rPr>
            </w:pPr>
            <w:r>
              <w:rPr>
                <w:b/>
                <w:color w:val="000000" w:themeColor="text1"/>
                <w:sz w:val="24"/>
                <w:szCs w:val="24"/>
                <w14:textFill>
                  <w14:solidFill>
                    <w14:schemeClr w14:val="tx1"/>
                  </w14:solidFill>
                </w14:textFill>
              </w:rPr>
              <w:t>五、地下水、土壤</w:t>
            </w:r>
          </w:p>
          <w:p>
            <w:pPr>
              <w:tabs>
                <w:tab w:val="left" w:pos="540"/>
                <w:tab w:val="left" w:pos="851"/>
                <w:tab w:val="left" w:pos="994"/>
                <w:tab w:val="left" w:pos="1260"/>
                <w:tab w:val="left" w:pos="3108"/>
                <w:tab w:val="left" w:pos="3150"/>
              </w:tabs>
              <w:ind w:firstLine="482" w:firstLineChars="200"/>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1、污染源</w:t>
            </w:r>
          </w:p>
          <w:p>
            <w:pPr>
              <w:tabs>
                <w:tab w:val="left" w:pos="540"/>
                <w:tab w:val="left" w:pos="851"/>
                <w:tab w:val="left" w:pos="994"/>
                <w:tab w:val="left" w:pos="1260"/>
                <w:tab w:val="left" w:pos="3108"/>
                <w:tab w:val="left" w:pos="3150"/>
              </w:tabs>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本项目正常工况下，不会产生地下水、土壤污染，只有在事故状态下，项目内暂存的废机油</w:t>
            </w:r>
            <w:r>
              <w:rPr>
                <w:rFonts w:hint="eastAsia"/>
                <w:color w:val="000000" w:themeColor="text1"/>
                <w:kern w:val="0"/>
                <w14:textFill>
                  <w14:solidFill>
                    <w14:schemeClr w14:val="tx1"/>
                  </w14:solidFill>
                </w14:textFill>
              </w:rPr>
              <w:t>、废液压油</w:t>
            </w:r>
            <w:r>
              <w:rPr>
                <w:color w:val="000000" w:themeColor="text1"/>
                <w:kern w:val="0"/>
                <w14:textFill>
                  <w14:solidFill>
                    <w14:schemeClr w14:val="tx1"/>
                  </w14:solidFill>
                </w14:textFill>
              </w:rPr>
              <w:t>发生泄露，若地面存在裂缝，废机油</w:t>
            </w:r>
            <w:r>
              <w:rPr>
                <w:rFonts w:hint="eastAsia"/>
                <w:color w:val="000000" w:themeColor="text1"/>
                <w:kern w:val="0"/>
                <w14:textFill>
                  <w14:solidFill>
                    <w14:schemeClr w14:val="tx1"/>
                  </w14:solidFill>
                </w14:textFill>
              </w:rPr>
              <w:t>、废液压油</w:t>
            </w:r>
            <w:r>
              <w:rPr>
                <w:color w:val="000000" w:themeColor="text1"/>
                <w:kern w:val="0"/>
                <w14:textFill>
                  <w14:solidFill>
                    <w14:schemeClr w14:val="tx1"/>
                  </w14:solidFill>
                </w14:textFill>
              </w:rPr>
              <w:t>可能随裂缝下渗造成土壤和地下水的污染。</w:t>
            </w:r>
          </w:p>
          <w:p>
            <w:pPr>
              <w:tabs>
                <w:tab w:val="left" w:pos="540"/>
                <w:tab w:val="left" w:pos="851"/>
                <w:tab w:val="left" w:pos="994"/>
                <w:tab w:val="left" w:pos="1260"/>
                <w:tab w:val="left" w:pos="3108"/>
                <w:tab w:val="left" w:pos="3150"/>
              </w:tabs>
              <w:ind w:firstLine="482" w:firstLineChars="200"/>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2、污染物类型和污染途径识别</w:t>
            </w:r>
          </w:p>
          <w:p>
            <w:pPr>
              <w:tabs>
                <w:tab w:val="left" w:pos="540"/>
                <w:tab w:val="left" w:pos="851"/>
                <w:tab w:val="left" w:pos="994"/>
                <w:tab w:val="left" w:pos="1260"/>
                <w:tab w:val="left" w:pos="3108"/>
                <w:tab w:val="left" w:pos="3150"/>
              </w:tabs>
              <w:ind w:firstLine="482" w:firstLineChars="200"/>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（1）土壤环境影响类型与影响途径识别</w:t>
            </w:r>
          </w:p>
          <w:p>
            <w:pPr>
              <w:tabs>
                <w:tab w:val="left" w:pos="540"/>
                <w:tab w:val="left" w:pos="851"/>
                <w:tab w:val="left" w:pos="994"/>
                <w:tab w:val="left" w:pos="1260"/>
                <w:tab w:val="left" w:pos="3108"/>
                <w:tab w:val="left" w:pos="3150"/>
              </w:tabs>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本项目对周边土壤环境和地下水环境影响的类型与影响途径见表4-</w:t>
            </w:r>
            <w:r>
              <w:rPr>
                <w:rFonts w:hint="eastAsia"/>
                <w:color w:val="000000" w:themeColor="text1"/>
                <w:kern w:val="0"/>
                <w14:textFill>
                  <w14:solidFill>
                    <w14:schemeClr w14:val="tx1"/>
                  </w14:solidFill>
                </w14:textFill>
              </w:rPr>
              <w:t>12</w:t>
            </w:r>
            <w:r>
              <w:rPr>
                <w:color w:val="000000" w:themeColor="text1"/>
                <w:kern w:val="0"/>
                <w14:textFill>
                  <w14:solidFill>
                    <w14:schemeClr w14:val="tx1"/>
                  </w14:solidFill>
                </w14:textFill>
              </w:rPr>
              <w:t>。</w:t>
            </w:r>
          </w:p>
          <w:p>
            <w:pPr>
              <w:spacing w:line="240" w:lineRule="auto"/>
              <w:jc w:val="center"/>
              <w:rPr>
                <w:b/>
                <w:color w:val="000000" w:themeColor="text1"/>
                <w:kern w:val="0"/>
                <w14:textFill>
                  <w14:solidFill>
                    <w14:schemeClr w14:val="tx1"/>
                  </w14:solidFill>
                </w14:textFill>
              </w:rPr>
            </w:pPr>
            <w:r>
              <w:rPr>
                <w:b/>
                <w:color w:val="000000" w:themeColor="text1"/>
                <w:kern w:val="0"/>
                <w14:textFill>
                  <w14:solidFill>
                    <w14:schemeClr w14:val="tx1"/>
                  </w14:solidFill>
                </w14:textFill>
              </w:rPr>
              <w:t>表4-</w:t>
            </w:r>
            <w:r>
              <w:rPr>
                <w:rFonts w:hint="eastAsia"/>
                <w:b/>
                <w:color w:val="000000" w:themeColor="text1"/>
                <w:kern w:val="0"/>
                <w14:textFill>
                  <w14:solidFill>
                    <w14:schemeClr w14:val="tx1"/>
                  </w14:solidFill>
                </w14:textFill>
              </w:rPr>
              <w:t>12</w:t>
            </w:r>
            <w:r>
              <w:rPr>
                <w:b/>
                <w:color w:val="000000" w:themeColor="text1"/>
                <w:kern w:val="0"/>
                <w14:textFill>
                  <w14:solidFill>
                    <w14:schemeClr w14:val="tx1"/>
                  </w14:solidFill>
                </w14:textFill>
              </w:rPr>
              <w:t xml:space="preserve">   项目土壤、地下水环境影响类型与影响途径识别表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7"/>
              <w:gridCol w:w="1587"/>
              <w:gridCol w:w="1587"/>
              <w:gridCol w:w="1587"/>
              <w:gridCol w:w="1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69" w:type="dxa"/>
                  <w:vMerge w:val="restart"/>
                  <w:vAlign w:val="center"/>
                </w:tcPr>
                <w:p>
                  <w:pPr>
                    <w:keepNext/>
                    <w:keepLines/>
                    <w:tabs>
                      <w:tab w:val="left" w:pos="540"/>
                      <w:tab w:val="left" w:pos="851"/>
                      <w:tab w:val="left" w:pos="994"/>
                      <w:tab w:val="left" w:pos="1260"/>
                      <w:tab w:val="left" w:pos="3108"/>
                      <w:tab w:val="left" w:pos="3150"/>
                    </w:tabs>
                    <w:adjustRightInd w:val="0"/>
                    <w:snapToGrid w:val="0"/>
                    <w:spacing w:line="240" w:lineRule="auto"/>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时段</w:t>
                  </w:r>
                </w:p>
              </w:tc>
              <w:tc>
                <w:tcPr>
                  <w:tcW w:w="7076" w:type="dxa"/>
                  <w:gridSpan w:val="4"/>
                  <w:vAlign w:val="center"/>
                </w:tcPr>
                <w:p>
                  <w:pPr>
                    <w:keepNext/>
                    <w:keepLines/>
                    <w:tabs>
                      <w:tab w:val="left" w:pos="540"/>
                      <w:tab w:val="left" w:pos="851"/>
                      <w:tab w:val="left" w:pos="994"/>
                      <w:tab w:val="left" w:pos="1260"/>
                      <w:tab w:val="left" w:pos="3108"/>
                      <w:tab w:val="left" w:pos="3150"/>
                    </w:tabs>
                    <w:adjustRightInd w:val="0"/>
                    <w:snapToGrid w:val="0"/>
                    <w:spacing w:line="240" w:lineRule="auto"/>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污染影响型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69" w:type="dxa"/>
                  <w:vMerge w:val="continue"/>
                  <w:vAlign w:val="center"/>
                </w:tcPr>
                <w:p>
                  <w:pPr>
                    <w:keepNext/>
                    <w:keepLines/>
                    <w:tabs>
                      <w:tab w:val="left" w:pos="540"/>
                      <w:tab w:val="left" w:pos="851"/>
                      <w:tab w:val="left" w:pos="994"/>
                      <w:tab w:val="left" w:pos="1260"/>
                      <w:tab w:val="left" w:pos="3108"/>
                      <w:tab w:val="left" w:pos="3150"/>
                    </w:tabs>
                    <w:adjustRightInd w:val="0"/>
                    <w:snapToGrid w:val="0"/>
                    <w:spacing w:line="240" w:lineRule="auto"/>
                    <w:jc w:val="center"/>
                    <w:rPr>
                      <w:b/>
                      <w:color w:val="000000" w:themeColor="text1"/>
                      <w:kern w:val="0"/>
                      <w:sz w:val="21"/>
                      <w:szCs w:val="21"/>
                      <w14:textFill>
                        <w14:solidFill>
                          <w14:schemeClr w14:val="tx1"/>
                        </w14:solidFill>
                      </w14:textFill>
                    </w:rPr>
                  </w:pPr>
                </w:p>
              </w:tc>
              <w:tc>
                <w:tcPr>
                  <w:tcW w:w="1769" w:type="dxa"/>
                  <w:vAlign w:val="center"/>
                </w:tcPr>
                <w:p>
                  <w:pPr>
                    <w:keepNext/>
                    <w:keepLines/>
                    <w:tabs>
                      <w:tab w:val="left" w:pos="540"/>
                      <w:tab w:val="left" w:pos="851"/>
                      <w:tab w:val="left" w:pos="994"/>
                      <w:tab w:val="left" w:pos="1260"/>
                      <w:tab w:val="left" w:pos="3108"/>
                      <w:tab w:val="left" w:pos="3150"/>
                    </w:tabs>
                    <w:adjustRightInd w:val="0"/>
                    <w:snapToGrid w:val="0"/>
                    <w:spacing w:line="240" w:lineRule="auto"/>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大气沉降</w:t>
                  </w:r>
                </w:p>
              </w:tc>
              <w:tc>
                <w:tcPr>
                  <w:tcW w:w="1769" w:type="dxa"/>
                  <w:vAlign w:val="center"/>
                </w:tcPr>
                <w:p>
                  <w:pPr>
                    <w:keepNext/>
                    <w:keepLines/>
                    <w:tabs>
                      <w:tab w:val="left" w:pos="540"/>
                      <w:tab w:val="left" w:pos="851"/>
                      <w:tab w:val="left" w:pos="994"/>
                      <w:tab w:val="left" w:pos="1260"/>
                      <w:tab w:val="left" w:pos="3108"/>
                      <w:tab w:val="left" w:pos="3150"/>
                    </w:tabs>
                    <w:adjustRightInd w:val="0"/>
                    <w:snapToGrid w:val="0"/>
                    <w:spacing w:line="240" w:lineRule="auto"/>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地面漫流</w:t>
                  </w:r>
                </w:p>
              </w:tc>
              <w:tc>
                <w:tcPr>
                  <w:tcW w:w="1769" w:type="dxa"/>
                  <w:vAlign w:val="center"/>
                </w:tcPr>
                <w:p>
                  <w:pPr>
                    <w:keepNext/>
                    <w:keepLines/>
                    <w:tabs>
                      <w:tab w:val="left" w:pos="540"/>
                      <w:tab w:val="left" w:pos="851"/>
                      <w:tab w:val="left" w:pos="994"/>
                      <w:tab w:val="left" w:pos="1260"/>
                      <w:tab w:val="left" w:pos="3108"/>
                      <w:tab w:val="left" w:pos="3150"/>
                    </w:tabs>
                    <w:adjustRightInd w:val="0"/>
                    <w:snapToGrid w:val="0"/>
                    <w:spacing w:line="240" w:lineRule="auto"/>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垂直入渗</w:t>
                  </w:r>
                </w:p>
              </w:tc>
              <w:tc>
                <w:tcPr>
                  <w:tcW w:w="1769" w:type="dxa"/>
                  <w:vAlign w:val="center"/>
                </w:tcPr>
                <w:p>
                  <w:pPr>
                    <w:keepNext/>
                    <w:keepLines/>
                    <w:tabs>
                      <w:tab w:val="left" w:pos="540"/>
                      <w:tab w:val="left" w:pos="851"/>
                      <w:tab w:val="left" w:pos="994"/>
                      <w:tab w:val="left" w:pos="1260"/>
                      <w:tab w:val="left" w:pos="3108"/>
                      <w:tab w:val="left" w:pos="3150"/>
                    </w:tabs>
                    <w:adjustRightInd w:val="0"/>
                    <w:snapToGrid w:val="0"/>
                    <w:spacing w:line="240" w:lineRule="auto"/>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769" w:type="dxa"/>
                  <w:vAlign w:val="center"/>
                </w:tcPr>
                <w:p>
                  <w:pPr>
                    <w:keepNext/>
                    <w:keepLines/>
                    <w:tabs>
                      <w:tab w:val="left" w:pos="540"/>
                      <w:tab w:val="left" w:pos="851"/>
                      <w:tab w:val="left" w:pos="994"/>
                      <w:tab w:val="left" w:pos="1260"/>
                      <w:tab w:val="left" w:pos="3108"/>
                      <w:tab w:val="left" w:pos="3150"/>
                    </w:tabs>
                    <w:adjustRightInd w:val="0"/>
                    <w:snapToGrid w:val="0"/>
                    <w:spacing w:line="240" w:lineRule="auto"/>
                    <w:jc w:val="center"/>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运营期</w:t>
                  </w:r>
                </w:p>
              </w:tc>
              <w:tc>
                <w:tcPr>
                  <w:tcW w:w="1769" w:type="dxa"/>
                  <w:vAlign w:val="center"/>
                </w:tcPr>
                <w:p>
                  <w:pPr>
                    <w:keepNext/>
                    <w:keepLines/>
                    <w:tabs>
                      <w:tab w:val="left" w:pos="540"/>
                      <w:tab w:val="left" w:pos="851"/>
                      <w:tab w:val="left" w:pos="994"/>
                      <w:tab w:val="left" w:pos="1260"/>
                      <w:tab w:val="left" w:pos="3108"/>
                      <w:tab w:val="left" w:pos="3150"/>
                    </w:tabs>
                    <w:adjustRightInd w:val="0"/>
                    <w:snapToGrid w:val="0"/>
                    <w:spacing w:line="240" w:lineRule="auto"/>
                    <w:jc w:val="center"/>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w:t>
                  </w:r>
                </w:p>
              </w:tc>
              <w:tc>
                <w:tcPr>
                  <w:tcW w:w="1769" w:type="dxa"/>
                  <w:vAlign w:val="center"/>
                </w:tcPr>
                <w:p>
                  <w:pPr>
                    <w:keepNext/>
                    <w:keepLines/>
                    <w:tabs>
                      <w:tab w:val="left" w:pos="540"/>
                      <w:tab w:val="left" w:pos="851"/>
                      <w:tab w:val="left" w:pos="994"/>
                      <w:tab w:val="left" w:pos="1260"/>
                      <w:tab w:val="left" w:pos="3108"/>
                      <w:tab w:val="left" w:pos="3150"/>
                    </w:tabs>
                    <w:adjustRightInd w:val="0"/>
                    <w:snapToGrid w:val="0"/>
                    <w:spacing w:line="240" w:lineRule="auto"/>
                    <w:jc w:val="center"/>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w:t>
                  </w:r>
                </w:p>
              </w:tc>
              <w:tc>
                <w:tcPr>
                  <w:tcW w:w="1769" w:type="dxa"/>
                  <w:vAlign w:val="center"/>
                </w:tcPr>
                <w:p>
                  <w:pPr>
                    <w:keepNext/>
                    <w:keepLines/>
                    <w:tabs>
                      <w:tab w:val="left" w:pos="540"/>
                      <w:tab w:val="left" w:pos="851"/>
                      <w:tab w:val="left" w:pos="994"/>
                      <w:tab w:val="left" w:pos="1260"/>
                      <w:tab w:val="left" w:pos="3108"/>
                      <w:tab w:val="left" w:pos="3150"/>
                    </w:tabs>
                    <w:adjustRightInd w:val="0"/>
                    <w:snapToGrid w:val="0"/>
                    <w:spacing w:line="240" w:lineRule="auto"/>
                    <w:jc w:val="center"/>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w:t>
                  </w:r>
                </w:p>
              </w:tc>
              <w:tc>
                <w:tcPr>
                  <w:tcW w:w="1769" w:type="dxa"/>
                  <w:vAlign w:val="center"/>
                </w:tcPr>
                <w:p>
                  <w:pPr>
                    <w:keepNext/>
                    <w:keepLines/>
                    <w:tabs>
                      <w:tab w:val="left" w:pos="540"/>
                      <w:tab w:val="left" w:pos="851"/>
                      <w:tab w:val="left" w:pos="994"/>
                      <w:tab w:val="left" w:pos="1260"/>
                      <w:tab w:val="left" w:pos="3108"/>
                      <w:tab w:val="left" w:pos="3150"/>
                    </w:tabs>
                    <w:adjustRightInd w:val="0"/>
                    <w:snapToGrid w:val="0"/>
                    <w:spacing w:line="240" w:lineRule="auto"/>
                    <w:jc w:val="center"/>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w:t>
                  </w:r>
                </w:p>
              </w:tc>
            </w:tr>
          </w:tbl>
          <w:p>
            <w:pPr>
              <w:tabs>
                <w:tab w:val="left" w:pos="540"/>
                <w:tab w:val="left" w:pos="851"/>
                <w:tab w:val="left" w:pos="994"/>
                <w:tab w:val="left" w:pos="1260"/>
                <w:tab w:val="left" w:pos="3108"/>
                <w:tab w:val="left" w:pos="3150"/>
              </w:tabs>
              <w:ind w:firstLine="482" w:firstLineChars="200"/>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（2）土壤环境影响源及影响因子</w:t>
            </w:r>
          </w:p>
          <w:p>
            <w:pPr>
              <w:tabs>
                <w:tab w:val="left" w:pos="540"/>
                <w:tab w:val="left" w:pos="851"/>
                <w:tab w:val="left" w:pos="994"/>
                <w:tab w:val="left" w:pos="1260"/>
                <w:tab w:val="left" w:pos="3108"/>
                <w:tab w:val="left" w:pos="3150"/>
              </w:tabs>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本项目对土壤、地下水环境的影响源及影响因子见表4-</w:t>
            </w:r>
            <w:r>
              <w:rPr>
                <w:rFonts w:hint="eastAsia"/>
                <w:color w:val="000000" w:themeColor="text1"/>
                <w:kern w:val="0"/>
                <w14:textFill>
                  <w14:solidFill>
                    <w14:schemeClr w14:val="tx1"/>
                  </w14:solidFill>
                </w14:textFill>
              </w:rPr>
              <w:t>13</w:t>
            </w:r>
            <w:r>
              <w:rPr>
                <w:color w:val="000000" w:themeColor="text1"/>
                <w:kern w:val="0"/>
                <w14:textFill>
                  <w14:solidFill>
                    <w14:schemeClr w14:val="tx1"/>
                  </w14:solidFill>
                </w14:textFill>
              </w:rPr>
              <w:t>。</w:t>
            </w:r>
          </w:p>
          <w:p>
            <w:pPr>
              <w:spacing w:line="240" w:lineRule="auto"/>
              <w:jc w:val="center"/>
              <w:rPr>
                <w:b/>
                <w:color w:val="000000" w:themeColor="text1"/>
                <w:kern w:val="0"/>
                <w14:textFill>
                  <w14:solidFill>
                    <w14:schemeClr w14:val="tx1"/>
                  </w14:solidFill>
                </w14:textFill>
              </w:rPr>
            </w:pPr>
            <w:r>
              <w:rPr>
                <w:b/>
                <w:color w:val="000000" w:themeColor="text1"/>
                <w:kern w:val="0"/>
                <w14:textFill>
                  <w14:solidFill>
                    <w14:schemeClr w14:val="tx1"/>
                  </w14:solidFill>
                </w14:textFill>
              </w:rPr>
              <w:t>表4-</w:t>
            </w:r>
            <w:r>
              <w:rPr>
                <w:rFonts w:hint="eastAsia"/>
                <w:b/>
                <w:color w:val="000000" w:themeColor="text1"/>
                <w:kern w:val="0"/>
                <w14:textFill>
                  <w14:solidFill>
                    <w14:schemeClr w14:val="tx1"/>
                  </w14:solidFill>
                </w14:textFill>
              </w:rPr>
              <w:t>13</w:t>
            </w:r>
            <w:r>
              <w:rPr>
                <w:b/>
                <w:color w:val="000000" w:themeColor="text1"/>
                <w:kern w:val="0"/>
                <w14:textFill>
                  <w14:solidFill>
                    <w14:schemeClr w14:val="tx1"/>
                  </w14:solidFill>
                </w14:textFill>
              </w:rPr>
              <w:t xml:space="preserve">   建设项目土壤、地下水环境影响源及影响因子识别表</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6"/>
              <w:gridCol w:w="1615"/>
              <w:gridCol w:w="1243"/>
              <w:gridCol w:w="1358"/>
              <w:gridCol w:w="2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709" w:type="pct"/>
                  <w:vAlign w:val="center"/>
                </w:tcPr>
                <w:p>
                  <w:pPr>
                    <w:keepNext/>
                    <w:keepLines/>
                    <w:tabs>
                      <w:tab w:val="left" w:pos="540"/>
                      <w:tab w:val="left" w:pos="851"/>
                      <w:tab w:val="left" w:pos="994"/>
                      <w:tab w:val="left" w:pos="1260"/>
                      <w:tab w:val="left" w:pos="3108"/>
                      <w:tab w:val="left" w:pos="3150"/>
                    </w:tabs>
                    <w:adjustRightInd w:val="0"/>
                    <w:snapToGrid w:val="0"/>
                    <w:spacing w:line="240" w:lineRule="auto"/>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污染源</w:t>
                  </w:r>
                </w:p>
              </w:tc>
              <w:tc>
                <w:tcPr>
                  <w:tcW w:w="1017" w:type="pct"/>
                  <w:vAlign w:val="center"/>
                </w:tcPr>
                <w:p>
                  <w:pPr>
                    <w:keepNext/>
                    <w:keepLines/>
                    <w:tabs>
                      <w:tab w:val="left" w:pos="540"/>
                      <w:tab w:val="left" w:pos="851"/>
                      <w:tab w:val="left" w:pos="994"/>
                      <w:tab w:val="left" w:pos="1260"/>
                      <w:tab w:val="left" w:pos="3108"/>
                      <w:tab w:val="left" w:pos="3150"/>
                    </w:tabs>
                    <w:adjustRightInd w:val="0"/>
                    <w:snapToGrid w:val="0"/>
                    <w:spacing w:line="240" w:lineRule="auto"/>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工艺流程/节点</w:t>
                  </w:r>
                </w:p>
              </w:tc>
              <w:tc>
                <w:tcPr>
                  <w:tcW w:w="783" w:type="pct"/>
                  <w:vAlign w:val="center"/>
                </w:tcPr>
                <w:p>
                  <w:pPr>
                    <w:keepNext/>
                    <w:keepLines/>
                    <w:tabs>
                      <w:tab w:val="left" w:pos="540"/>
                      <w:tab w:val="left" w:pos="851"/>
                      <w:tab w:val="left" w:pos="994"/>
                      <w:tab w:val="left" w:pos="1260"/>
                      <w:tab w:val="left" w:pos="3108"/>
                      <w:tab w:val="left" w:pos="3150"/>
                    </w:tabs>
                    <w:adjustRightInd w:val="0"/>
                    <w:snapToGrid w:val="0"/>
                    <w:spacing w:line="240" w:lineRule="auto"/>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污染途径</w:t>
                  </w:r>
                </w:p>
              </w:tc>
              <w:tc>
                <w:tcPr>
                  <w:tcW w:w="855" w:type="pct"/>
                  <w:vAlign w:val="center"/>
                </w:tcPr>
                <w:p>
                  <w:pPr>
                    <w:keepNext/>
                    <w:keepLines/>
                    <w:tabs>
                      <w:tab w:val="left" w:pos="540"/>
                      <w:tab w:val="left" w:pos="851"/>
                      <w:tab w:val="left" w:pos="994"/>
                      <w:tab w:val="left" w:pos="1260"/>
                      <w:tab w:val="left" w:pos="3108"/>
                      <w:tab w:val="left" w:pos="3150"/>
                    </w:tabs>
                    <w:adjustRightInd w:val="0"/>
                    <w:snapToGrid w:val="0"/>
                    <w:spacing w:line="240" w:lineRule="auto"/>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污染物</w:t>
                  </w:r>
                </w:p>
              </w:tc>
              <w:tc>
                <w:tcPr>
                  <w:tcW w:w="1634" w:type="pct"/>
                  <w:vAlign w:val="center"/>
                </w:tcPr>
                <w:p>
                  <w:pPr>
                    <w:keepNext/>
                    <w:keepLines/>
                    <w:tabs>
                      <w:tab w:val="left" w:pos="540"/>
                      <w:tab w:val="left" w:pos="851"/>
                      <w:tab w:val="left" w:pos="994"/>
                      <w:tab w:val="left" w:pos="1260"/>
                      <w:tab w:val="left" w:pos="3108"/>
                      <w:tab w:val="left" w:pos="3150"/>
                    </w:tabs>
                    <w:adjustRightInd w:val="0"/>
                    <w:snapToGrid w:val="0"/>
                    <w:spacing w:line="240" w:lineRule="auto"/>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709" w:type="pct"/>
                  <w:vAlign w:val="center"/>
                </w:tcPr>
                <w:p>
                  <w:pPr>
                    <w:keepNext/>
                    <w:keepLines/>
                    <w:tabs>
                      <w:tab w:val="left" w:pos="540"/>
                      <w:tab w:val="left" w:pos="851"/>
                      <w:tab w:val="left" w:pos="994"/>
                      <w:tab w:val="left" w:pos="1260"/>
                      <w:tab w:val="left" w:pos="3108"/>
                      <w:tab w:val="left" w:pos="3150"/>
                    </w:tabs>
                    <w:adjustRightInd w:val="0"/>
                    <w:snapToGrid w:val="0"/>
                    <w:spacing w:line="240" w:lineRule="auto"/>
                    <w:jc w:val="center"/>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危废暂存间</w:t>
                  </w:r>
                </w:p>
              </w:tc>
              <w:tc>
                <w:tcPr>
                  <w:tcW w:w="1017" w:type="pct"/>
                  <w:vAlign w:val="center"/>
                </w:tcPr>
                <w:p>
                  <w:pPr>
                    <w:keepNext/>
                    <w:keepLines/>
                    <w:tabs>
                      <w:tab w:val="left" w:pos="540"/>
                      <w:tab w:val="left" w:pos="851"/>
                      <w:tab w:val="left" w:pos="994"/>
                      <w:tab w:val="left" w:pos="1260"/>
                      <w:tab w:val="left" w:pos="3108"/>
                      <w:tab w:val="left" w:pos="3150"/>
                    </w:tabs>
                    <w:adjustRightInd w:val="0"/>
                    <w:snapToGrid w:val="0"/>
                    <w:spacing w:line="240" w:lineRule="auto"/>
                    <w:jc w:val="center"/>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危险废物暂存</w:t>
                  </w:r>
                </w:p>
              </w:tc>
              <w:tc>
                <w:tcPr>
                  <w:tcW w:w="783" w:type="pct"/>
                  <w:vAlign w:val="center"/>
                </w:tcPr>
                <w:p>
                  <w:pPr>
                    <w:keepNext/>
                    <w:keepLines/>
                    <w:tabs>
                      <w:tab w:val="left" w:pos="540"/>
                      <w:tab w:val="left" w:pos="851"/>
                      <w:tab w:val="left" w:pos="994"/>
                      <w:tab w:val="left" w:pos="1260"/>
                      <w:tab w:val="left" w:pos="3108"/>
                      <w:tab w:val="left" w:pos="3150"/>
                    </w:tabs>
                    <w:adjustRightInd w:val="0"/>
                    <w:snapToGrid w:val="0"/>
                    <w:spacing w:line="240" w:lineRule="auto"/>
                    <w:jc w:val="center"/>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垂直入渗</w:t>
                  </w:r>
                </w:p>
              </w:tc>
              <w:tc>
                <w:tcPr>
                  <w:tcW w:w="855" w:type="pct"/>
                  <w:vAlign w:val="center"/>
                </w:tcPr>
                <w:p>
                  <w:pPr>
                    <w:keepNext/>
                    <w:keepLines/>
                    <w:tabs>
                      <w:tab w:val="left" w:pos="540"/>
                      <w:tab w:val="left" w:pos="851"/>
                      <w:tab w:val="left" w:pos="994"/>
                      <w:tab w:val="left" w:pos="1260"/>
                      <w:tab w:val="left" w:pos="3108"/>
                      <w:tab w:val="left" w:pos="3150"/>
                    </w:tabs>
                    <w:adjustRightInd w:val="0"/>
                    <w:snapToGrid w:val="0"/>
                    <w:spacing w:line="240" w:lineRule="auto"/>
                    <w:jc w:val="center"/>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石油类</w:t>
                  </w:r>
                </w:p>
              </w:tc>
              <w:tc>
                <w:tcPr>
                  <w:tcW w:w="1634" w:type="pct"/>
                  <w:vAlign w:val="center"/>
                </w:tcPr>
                <w:p>
                  <w:pPr>
                    <w:keepNext/>
                    <w:keepLines/>
                    <w:tabs>
                      <w:tab w:val="left" w:pos="540"/>
                      <w:tab w:val="left" w:pos="851"/>
                      <w:tab w:val="left" w:pos="994"/>
                      <w:tab w:val="left" w:pos="1260"/>
                      <w:tab w:val="left" w:pos="3108"/>
                      <w:tab w:val="left" w:pos="3150"/>
                    </w:tabs>
                    <w:adjustRightInd w:val="0"/>
                    <w:snapToGrid w:val="0"/>
                    <w:spacing w:line="240" w:lineRule="auto"/>
                    <w:jc w:val="center"/>
                    <w:rPr>
                      <w:bCs/>
                      <w:color w:val="000000" w:themeColor="text1"/>
                      <w:kern w:val="0"/>
                      <w:sz w:val="21"/>
                      <w:szCs w:val="21"/>
                      <w14:textFill>
                        <w14:solidFill>
                          <w14:schemeClr w14:val="tx1"/>
                        </w14:solidFill>
                      </w14:textFill>
                    </w:rPr>
                  </w:pPr>
                  <w:r>
                    <w:rPr>
                      <w:bCs/>
                      <w:color w:val="000000" w:themeColor="text1"/>
                      <w:kern w:val="0"/>
                      <w:sz w:val="21"/>
                      <w:szCs w:val="21"/>
                      <w14:textFill>
                        <w14:solidFill>
                          <w14:schemeClr w14:val="tx1"/>
                        </w14:solidFill>
                      </w14:textFill>
                    </w:rPr>
                    <w:t>危废收集容器损坏，废油泄露深入土壤</w:t>
                  </w:r>
                  <w:r>
                    <w:rPr>
                      <w:rFonts w:hint="eastAsia"/>
                      <w:bCs/>
                      <w:color w:val="000000" w:themeColor="text1"/>
                      <w:kern w:val="0"/>
                      <w:sz w:val="21"/>
                      <w:szCs w:val="21"/>
                      <w:lang w:eastAsia="zh-CN"/>
                      <w14:textFill>
                        <w14:solidFill>
                          <w14:schemeClr w14:val="tx1"/>
                        </w14:solidFill>
                      </w14:textFill>
                    </w:rPr>
                    <w:t>和地下水</w:t>
                  </w:r>
                  <w:r>
                    <w:rPr>
                      <w:bCs/>
                      <w:color w:val="000000" w:themeColor="text1"/>
                      <w:kern w:val="0"/>
                      <w:sz w:val="21"/>
                      <w:szCs w:val="21"/>
                      <w14:textFill>
                        <w14:solidFill>
                          <w14:schemeClr w14:val="tx1"/>
                        </w14:solidFill>
                      </w14:textFill>
                    </w:rPr>
                    <w:t>造成污染。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709" w:type="pct"/>
                  <w:vAlign w:val="center"/>
                </w:tcPr>
                <w:p>
                  <w:pPr>
                    <w:keepNext/>
                    <w:keepLines/>
                    <w:tabs>
                      <w:tab w:val="left" w:pos="540"/>
                      <w:tab w:val="left" w:pos="851"/>
                      <w:tab w:val="left" w:pos="994"/>
                      <w:tab w:val="left" w:pos="1260"/>
                      <w:tab w:val="left" w:pos="3108"/>
                      <w:tab w:val="left" w:pos="3150"/>
                    </w:tabs>
                    <w:adjustRightInd w:val="0"/>
                    <w:snapToGrid w:val="0"/>
                    <w:spacing w:line="240" w:lineRule="auto"/>
                    <w:jc w:val="center"/>
                    <w:rPr>
                      <w:bCs/>
                      <w:color w:val="000000" w:themeColor="text1"/>
                      <w:kern w:val="0"/>
                      <w:sz w:val="21"/>
                      <w:szCs w:val="21"/>
                      <w14:textFill>
                        <w14:solidFill>
                          <w14:schemeClr w14:val="tx1"/>
                        </w14:solidFill>
                      </w14:textFill>
                    </w:rPr>
                  </w:pPr>
                  <w:r>
                    <w:rPr>
                      <w:rFonts w:hint="eastAsia"/>
                      <w:bCs/>
                      <w:color w:val="000000" w:themeColor="text1"/>
                      <w:kern w:val="0"/>
                      <w:sz w:val="21"/>
                      <w:szCs w:val="21"/>
                      <w14:textFill>
                        <w14:solidFill>
                          <w14:schemeClr w14:val="tx1"/>
                        </w14:solidFill>
                      </w14:textFill>
                    </w:rPr>
                    <w:t>油品存放区</w:t>
                  </w:r>
                </w:p>
              </w:tc>
              <w:tc>
                <w:tcPr>
                  <w:tcW w:w="1017" w:type="pct"/>
                  <w:vAlign w:val="center"/>
                </w:tcPr>
                <w:p>
                  <w:pPr>
                    <w:keepNext/>
                    <w:keepLines/>
                    <w:tabs>
                      <w:tab w:val="left" w:pos="540"/>
                      <w:tab w:val="left" w:pos="851"/>
                      <w:tab w:val="left" w:pos="994"/>
                      <w:tab w:val="left" w:pos="1260"/>
                      <w:tab w:val="left" w:pos="3108"/>
                      <w:tab w:val="left" w:pos="3150"/>
                    </w:tabs>
                    <w:adjustRightInd w:val="0"/>
                    <w:snapToGrid w:val="0"/>
                    <w:spacing w:line="240" w:lineRule="auto"/>
                    <w:jc w:val="center"/>
                    <w:rPr>
                      <w:bCs/>
                      <w:color w:val="000000" w:themeColor="text1"/>
                      <w:kern w:val="0"/>
                      <w:sz w:val="21"/>
                      <w:szCs w:val="21"/>
                      <w14:textFill>
                        <w14:solidFill>
                          <w14:schemeClr w14:val="tx1"/>
                        </w14:solidFill>
                      </w14:textFill>
                    </w:rPr>
                  </w:pPr>
                  <w:r>
                    <w:rPr>
                      <w:rFonts w:hint="eastAsia"/>
                      <w:bCs/>
                      <w:color w:val="000000" w:themeColor="text1"/>
                      <w:kern w:val="0"/>
                      <w:sz w:val="21"/>
                      <w:szCs w:val="21"/>
                      <w14:textFill>
                        <w14:solidFill>
                          <w14:schemeClr w14:val="tx1"/>
                        </w14:solidFill>
                      </w14:textFill>
                    </w:rPr>
                    <w:t>油品存放</w:t>
                  </w:r>
                </w:p>
              </w:tc>
              <w:tc>
                <w:tcPr>
                  <w:tcW w:w="783" w:type="pct"/>
                  <w:vAlign w:val="center"/>
                </w:tcPr>
                <w:p>
                  <w:pPr>
                    <w:keepNext/>
                    <w:keepLines/>
                    <w:tabs>
                      <w:tab w:val="left" w:pos="540"/>
                      <w:tab w:val="left" w:pos="851"/>
                      <w:tab w:val="left" w:pos="994"/>
                      <w:tab w:val="left" w:pos="1260"/>
                      <w:tab w:val="left" w:pos="3108"/>
                      <w:tab w:val="left" w:pos="3150"/>
                    </w:tabs>
                    <w:adjustRightInd w:val="0"/>
                    <w:snapToGrid w:val="0"/>
                    <w:spacing w:line="240" w:lineRule="auto"/>
                    <w:jc w:val="center"/>
                    <w:rPr>
                      <w:bCs/>
                      <w:color w:val="000000" w:themeColor="text1"/>
                      <w:kern w:val="0"/>
                      <w:sz w:val="21"/>
                      <w:szCs w:val="21"/>
                      <w14:textFill>
                        <w14:solidFill>
                          <w14:schemeClr w14:val="tx1"/>
                        </w14:solidFill>
                      </w14:textFill>
                    </w:rPr>
                  </w:pPr>
                  <w:r>
                    <w:rPr>
                      <w:rFonts w:hint="eastAsia"/>
                      <w:bCs/>
                      <w:color w:val="000000" w:themeColor="text1"/>
                      <w:kern w:val="0"/>
                      <w:sz w:val="21"/>
                      <w:szCs w:val="21"/>
                      <w14:textFill>
                        <w14:solidFill>
                          <w14:schemeClr w14:val="tx1"/>
                        </w14:solidFill>
                      </w14:textFill>
                    </w:rPr>
                    <w:t>垂直渗入</w:t>
                  </w:r>
                </w:p>
              </w:tc>
              <w:tc>
                <w:tcPr>
                  <w:tcW w:w="855" w:type="pct"/>
                  <w:vAlign w:val="center"/>
                </w:tcPr>
                <w:p>
                  <w:pPr>
                    <w:keepNext/>
                    <w:keepLines/>
                    <w:tabs>
                      <w:tab w:val="left" w:pos="540"/>
                      <w:tab w:val="left" w:pos="851"/>
                      <w:tab w:val="left" w:pos="994"/>
                      <w:tab w:val="left" w:pos="1260"/>
                      <w:tab w:val="left" w:pos="3108"/>
                      <w:tab w:val="left" w:pos="3150"/>
                    </w:tabs>
                    <w:adjustRightInd w:val="0"/>
                    <w:snapToGrid w:val="0"/>
                    <w:spacing w:line="240" w:lineRule="auto"/>
                    <w:jc w:val="center"/>
                    <w:rPr>
                      <w:bCs/>
                      <w:color w:val="000000" w:themeColor="text1"/>
                      <w:kern w:val="0"/>
                      <w:sz w:val="21"/>
                      <w:szCs w:val="21"/>
                      <w14:textFill>
                        <w14:solidFill>
                          <w14:schemeClr w14:val="tx1"/>
                        </w14:solidFill>
                      </w14:textFill>
                    </w:rPr>
                  </w:pPr>
                  <w:r>
                    <w:rPr>
                      <w:rFonts w:hint="eastAsia"/>
                      <w:bCs/>
                      <w:color w:val="000000" w:themeColor="text1"/>
                      <w:kern w:val="0"/>
                      <w:sz w:val="21"/>
                      <w:szCs w:val="21"/>
                      <w14:textFill>
                        <w14:solidFill>
                          <w14:schemeClr w14:val="tx1"/>
                        </w14:solidFill>
                      </w14:textFill>
                    </w:rPr>
                    <w:t>石油类</w:t>
                  </w:r>
                </w:p>
              </w:tc>
              <w:tc>
                <w:tcPr>
                  <w:tcW w:w="1634" w:type="pct"/>
                  <w:vAlign w:val="center"/>
                </w:tcPr>
                <w:p>
                  <w:pPr>
                    <w:keepNext/>
                    <w:keepLines/>
                    <w:tabs>
                      <w:tab w:val="left" w:pos="540"/>
                      <w:tab w:val="left" w:pos="851"/>
                      <w:tab w:val="left" w:pos="994"/>
                      <w:tab w:val="left" w:pos="1260"/>
                      <w:tab w:val="left" w:pos="3108"/>
                      <w:tab w:val="left" w:pos="3150"/>
                    </w:tabs>
                    <w:adjustRightInd w:val="0"/>
                    <w:snapToGrid w:val="0"/>
                    <w:spacing w:line="240" w:lineRule="auto"/>
                    <w:jc w:val="center"/>
                    <w:rPr>
                      <w:bCs/>
                      <w:color w:val="000000" w:themeColor="text1"/>
                      <w:kern w:val="0"/>
                      <w:sz w:val="21"/>
                      <w:szCs w:val="21"/>
                      <w14:textFill>
                        <w14:solidFill>
                          <w14:schemeClr w14:val="tx1"/>
                        </w14:solidFill>
                      </w14:textFill>
                    </w:rPr>
                  </w:pPr>
                  <w:r>
                    <w:rPr>
                      <w:rFonts w:hint="eastAsia"/>
                      <w:bCs/>
                      <w:color w:val="000000" w:themeColor="text1"/>
                      <w:kern w:val="0"/>
                      <w:sz w:val="21"/>
                      <w:szCs w:val="21"/>
                      <w14:textFill>
                        <w14:solidFill>
                          <w14:schemeClr w14:val="tx1"/>
                        </w14:solidFill>
                      </w14:textFill>
                    </w:rPr>
                    <w:t>容器破裂，油品泄漏深入土壤</w:t>
                  </w:r>
                  <w:r>
                    <w:rPr>
                      <w:rFonts w:hint="eastAsia"/>
                      <w:bCs/>
                      <w:color w:val="000000" w:themeColor="text1"/>
                      <w:kern w:val="0"/>
                      <w:sz w:val="21"/>
                      <w:szCs w:val="21"/>
                      <w:lang w:eastAsia="zh-CN"/>
                      <w14:textFill>
                        <w14:solidFill>
                          <w14:schemeClr w14:val="tx1"/>
                        </w14:solidFill>
                      </w14:textFill>
                    </w:rPr>
                    <w:t>和地下水</w:t>
                  </w:r>
                  <w:r>
                    <w:rPr>
                      <w:rFonts w:hint="eastAsia"/>
                      <w:bCs/>
                      <w:color w:val="000000" w:themeColor="text1"/>
                      <w:kern w:val="0"/>
                      <w:sz w:val="21"/>
                      <w:szCs w:val="21"/>
                      <w14:textFill>
                        <w14:solidFill>
                          <w14:schemeClr w14:val="tx1"/>
                        </w14:solidFill>
                      </w14:textFill>
                    </w:rPr>
                    <w:t>造成污染</w:t>
                  </w:r>
                </w:p>
              </w:tc>
            </w:tr>
          </w:tbl>
          <w:p>
            <w:pPr>
              <w:tabs>
                <w:tab w:val="left" w:pos="540"/>
                <w:tab w:val="left" w:pos="851"/>
                <w:tab w:val="left" w:pos="994"/>
                <w:tab w:val="left" w:pos="1260"/>
                <w:tab w:val="left" w:pos="3108"/>
                <w:tab w:val="left" w:pos="3150"/>
              </w:tabs>
              <w:ind w:firstLine="482" w:firstLineChars="200"/>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3、分区防控措施</w:t>
            </w:r>
          </w:p>
          <w:p>
            <w:pPr>
              <w:tabs>
                <w:tab w:val="left" w:pos="540"/>
                <w:tab w:val="left" w:pos="851"/>
                <w:tab w:val="left" w:pos="994"/>
                <w:tab w:val="left" w:pos="1260"/>
                <w:tab w:val="left" w:pos="3108"/>
                <w:tab w:val="left" w:pos="3150"/>
              </w:tabs>
              <w:ind w:firstLine="480" w:firstLineChars="200"/>
              <w:rPr>
                <w:b/>
                <w:color w:val="000000" w:themeColor="text1"/>
                <w:kern w:val="0"/>
                <w14:textFill>
                  <w14:solidFill>
                    <w14:schemeClr w14:val="tx1"/>
                  </w14:solidFill>
                </w14:textFill>
              </w:rPr>
            </w:pPr>
            <w:r>
              <w:rPr>
                <w:color w:val="000000" w:themeColor="text1"/>
                <w:kern w:val="0"/>
                <w14:textFill>
                  <w14:solidFill>
                    <w14:schemeClr w14:val="tx1"/>
                  </w14:solidFill>
                </w14:textFill>
              </w:rPr>
              <w:t>根据以上分析，项目可能存在土壤、地下水污染源的区域为危废暂存间</w:t>
            </w:r>
            <w:r>
              <w:rPr>
                <w:rFonts w:hint="eastAsia"/>
                <w:color w:val="000000" w:themeColor="text1"/>
                <w:kern w:val="0"/>
                <w14:textFill>
                  <w14:solidFill>
                    <w14:schemeClr w14:val="tx1"/>
                  </w14:solidFill>
                </w14:textFill>
              </w:rPr>
              <w:t>、油品存放区</w:t>
            </w:r>
            <w:r>
              <w:rPr>
                <w:color w:val="000000" w:themeColor="text1"/>
                <w:kern w:val="0"/>
                <w14:textFill>
                  <w14:solidFill>
                    <w14:schemeClr w14:val="tx1"/>
                  </w14:solidFill>
                </w14:textFill>
              </w:rPr>
              <w:t>，因此，评价提出应对危废暂存间</w:t>
            </w:r>
            <w:r>
              <w:rPr>
                <w:rFonts w:hint="eastAsia"/>
                <w:color w:val="000000" w:themeColor="text1"/>
                <w:kern w:val="0"/>
                <w14:textFill>
                  <w14:solidFill>
                    <w14:schemeClr w14:val="tx1"/>
                  </w14:solidFill>
                </w14:textFill>
              </w:rPr>
              <w:t>、油品存放区</w:t>
            </w:r>
            <w:r>
              <w:rPr>
                <w:color w:val="000000" w:themeColor="text1"/>
                <w:kern w:val="0"/>
                <w14:textFill>
                  <w14:solidFill>
                    <w14:schemeClr w14:val="tx1"/>
                  </w14:solidFill>
                </w14:textFill>
              </w:rPr>
              <w:t>进行重点防渗。危废暂存间</w:t>
            </w:r>
            <w:r>
              <w:rPr>
                <w:rFonts w:hint="eastAsia"/>
                <w:color w:val="000000" w:themeColor="text1"/>
                <w:kern w:val="0"/>
                <w14:textFill>
                  <w14:solidFill>
                    <w14:schemeClr w14:val="tx1"/>
                  </w14:solidFill>
                </w14:textFill>
              </w:rPr>
              <w:t>、油品存放区</w:t>
            </w:r>
            <w:r>
              <w:rPr>
                <w:color w:val="000000" w:themeColor="text1"/>
                <w:kern w:val="0"/>
                <w14:textFill>
                  <w14:solidFill>
                    <w14:schemeClr w14:val="tx1"/>
                  </w14:solidFill>
                </w14:textFill>
              </w:rPr>
              <w:t>对地面和裙角进行防渗建设，防渗系数≤1.0×10</w:t>
            </w:r>
            <w:r>
              <w:rPr>
                <w:color w:val="000000" w:themeColor="text1"/>
                <w:kern w:val="0"/>
                <w:vertAlign w:val="superscript"/>
                <w14:textFill>
                  <w14:solidFill>
                    <w14:schemeClr w14:val="tx1"/>
                  </w14:solidFill>
                </w14:textFill>
              </w:rPr>
              <w:t>-10</w:t>
            </w:r>
            <w:r>
              <w:rPr>
                <w:color w:val="000000" w:themeColor="text1"/>
                <w:kern w:val="0"/>
                <w14:textFill>
                  <w14:solidFill>
                    <w14:schemeClr w14:val="tx1"/>
                  </w14:solidFill>
                </w14:textFill>
              </w:rPr>
              <w:t>cm/s。</w:t>
            </w:r>
          </w:p>
          <w:p>
            <w:pPr>
              <w:tabs>
                <w:tab w:val="left" w:pos="540"/>
                <w:tab w:val="left" w:pos="851"/>
                <w:tab w:val="left" w:pos="994"/>
                <w:tab w:val="left" w:pos="1260"/>
                <w:tab w:val="left" w:pos="3108"/>
                <w:tab w:val="left" w:pos="3150"/>
              </w:tabs>
              <w:ind w:firstLine="482" w:firstLineChars="200"/>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4、跟踪监测</w:t>
            </w:r>
          </w:p>
          <w:p>
            <w:pPr>
              <w:pStyle w:val="22"/>
              <w:adjustRightInd w:val="0"/>
              <w:ind w:firstLine="480" w:firstLineChars="200"/>
              <w:jc w:val="both"/>
              <w:rPr>
                <w:b/>
                <w:bCs/>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根据《排污单位自行监测技术指南   总则》（HJ819-2017），本项目不属于涉气重点排污单位、涉水重点排污单位，以及涉重金属、难降解有机物的重点排污单位。项目正常工况下不存在对土壤和地下水造成污染的污染源，只有在事故状态下可能发生，但在采取环评提出的防渗措施，切断污染途径后，即使发生泄露也不会对地下水、土壤造成污染，因此，项目不对土壤、地下水进行跟踪监测。</w:t>
            </w:r>
          </w:p>
          <w:p>
            <w:pPr>
              <w:tabs>
                <w:tab w:val="left" w:pos="540"/>
                <w:tab w:val="left" w:pos="851"/>
                <w:tab w:val="left" w:pos="994"/>
                <w:tab w:val="left" w:pos="1260"/>
                <w:tab w:val="left" w:pos="3108"/>
                <w:tab w:val="left" w:pos="3150"/>
              </w:tabs>
              <w:ind w:firstLine="482" w:firstLineChars="200"/>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六、生态环境</w:t>
            </w:r>
          </w:p>
          <w:p>
            <w:pPr>
              <w:ind w:firstLine="482"/>
              <w:rPr>
                <w:color w:val="000000" w:themeColor="text1"/>
                <w:kern w:val="0"/>
                <w14:textFill>
                  <w14:solidFill>
                    <w14:schemeClr w14:val="tx1"/>
                  </w14:solidFill>
                </w14:textFill>
              </w:rPr>
            </w:pPr>
            <w:r>
              <w:rPr>
                <w:color w:val="000000" w:themeColor="text1"/>
                <w:kern w:val="0"/>
                <w14:textFill>
                  <w14:solidFill>
                    <w14:schemeClr w14:val="tx1"/>
                  </w14:solidFill>
                </w14:textFill>
              </w:rPr>
              <w:t>本项目位于工业园区内，租用已建厂房进行建设，场地均已硬化，无植被附着，项目建设期和运营期均不会对区域生态环境造成影响。</w:t>
            </w:r>
          </w:p>
          <w:p>
            <w:pPr>
              <w:tabs>
                <w:tab w:val="left" w:pos="540"/>
                <w:tab w:val="left" w:pos="851"/>
                <w:tab w:val="left" w:pos="994"/>
                <w:tab w:val="left" w:pos="1260"/>
                <w:tab w:val="left" w:pos="3108"/>
                <w:tab w:val="left" w:pos="3150"/>
              </w:tabs>
              <w:ind w:firstLine="482" w:firstLineChars="200"/>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七、环境风险</w:t>
            </w:r>
          </w:p>
          <w:p>
            <w:pPr>
              <w:ind w:firstLine="482" w:firstLineChars="200"/>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1、风险物质识别</w:t>
            </w:r>
          </w:p>
          <w:p>
            <w:pPr>
              <w:tabs>
                <w:tab w:val="left" w:pos="540"/>
                <w:tab w:val="left" w:pos="851"/>
                <w:tab w:val="left" w:pos="994"/>
                <w:tab w:val="left" w:pos="1260"/>
                <w:tab w:val="left" w:pos="3108"/>
                <w:tab w:val="left" w:pos="3150"/>
              </w:tabs>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根据《建设项目环境风险评价技术导则》（HJ169-2018）附录B、《危险化学品重大危险源辨识》（GB18218-2018），本项目涉及的危险性物质为</w:t>
            </w:r>
            <w:r>
              <w:rPr>
                <w:rFonts w:hint="eastAsia"/>
                <w:color w:val="000000" w:themeColor="text1"/>
                <w:kern w:val="0"/>
                <w14:textFill>
                  <w14:solidFill>
                    <w14:schemeClr w14:val="tx1"/>
                  </w14:solidFill>
                </w14:textFill>
              </w:rPr>
              <w:t>液压油、柴油、机油、</w:t>
            </w:r>
            <w:r>
              <w:rPr>
                <w:color w:val="000000" w:themeColor="text1"/>
                <w:kern w:val="0"/>
                <w14:textFill>
                  <w14:solidFill>
                    <w14:schemeClr w14:val="tx1"/>
                  </w14:solidFill>
                </w14:textFill>
              </w:rPr>
              <w:t>废机油</w:t>
            </w:r>
            <w:r>
              <w:rPr>
                <w:rFonts w:hint="eastAsia"/>
                <w:color w:val="000000" w:themeColor="text1"/>
                <w:kern w:val="0"/>
                <w14:textFill>
                  <w14:solidFill>
                    <w14:schemeClr w14:val="tx1"/>
                  </w14:solidFill>
                </w14:textFill>
              </w:rPr>
              <w:t>、废液压油、废柴油以及乙炔</w:t>
            </w:r>
            <w:r>
              <w:rPr>
                <w:color w:val="000000" w:themeColor="text1"/>
                <w:kern w:val="0"/>
                <w14:textFill>
                  <w14:solidFill>
                    <w14:schemeClr w14:val="tx1"/>
                  </w14:solidFill>
                </w14:textFill>
              </w:rPr>
              <w:t>。</w:t>
            </w:r>
          </w:p>
          <w:p>
            <w:pPr>
              <w:ind w:firstLine="482" w:firstLineChars="200"/>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2、风险物质数量与临界量比值计算</w:t>
            </w:r>
          </w:p>
          <w:p>
            <w:pPr>
              <w:tabs>
                <w:tab w:val="left" w:pos="540"/>
                <w:tab w:val="left" w:pos="851"/>
                <w:tab w:val="left" w:pos="994"/>
                <w:tab w:val="left" w:pos="1260"/>
                <w:tab w:val="left" w:pos="3108"/>
                <w:tab w:val="left" w:pos="3150"/>
              </w:tabs>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根据风险识别，项目涉及的风险物质为</w:t>
            </w:r>
            <w:r>
              <w:rPr>
                <w:rFonts w:hint="eastAsia"/>
                <w:color w:val="000000" w:themeColor="text1"/>
                <w:kern w:val="0"/>
                <w14:textFill>
                  <w14:solidFill>
                    <w14:schemeClr w14:val="tx1"/>
                  </w14:solidFill>
                </w14:textFill>
              </w:rPr>
              <w:t>乙炔、液压油、机油、柴油、</w:t>
            </w:r>
            <w:r>
              <w:rPr>
                <w:color w:val="000000" w:themeColor="text1"/>
                <w:kern w:val="0"/>
                <w14:textFill>
                  <w14:solidFill>
                    <w14:schemeClr w14:val="tx1"/>
                  </w14:solidFill>
                </w14:textFill>
              </w:rPr>
              <w:t>废机油、</w:t>
            </w:r>
            <w:r>
              <w:rPr>
                <w:rFonts w:hint="eastAsia"/>
                <w:color w:val="000000" w:themeColor="text1"/>
                <w:kern w:val="0"/>
                <w14:textFill>
                  <w14:solidFill>
                    <w14:schemeClr w14:val="tx1"/>
                  </w14:solidFill>
                </w14:textFill>
              </w:rPr>
              <w:t>废液压油、废柴油</w:t>
            </w:r>
            <w:r>
              <w:rPr>
                <w:color w:val="000000" w:themeColor="text1"/>
                <w:kern w:val="0"/>
                <w14:textFill>
                  <w14:solidFill>
                    <w14:schemeClr w14:val="tx1"/>
                  </w14:solidFill>
                </w14:textFill>
              </w:rPr>
              <w:t>。废机油不设储罐，使用油桶暂存，平均每三个月处置一次，环评按最大暂存量计；风险物质与临界量比值计算结果见表4-</w:t>
            </w:r>
            <w:r>
              <w:rPr>
                <w:rFonts w:hint="eastAsia"/>
                <w:color w:val="000000" w:themeColor="text1"/>
                <w:kern w:val="0"/>
                <w14:textFill>
                  <w14:solidFill>
                    <w14:schemeClr w14:val="tx1"/>
                  </w14:solidFill>
                </w14:textFill>
              </w:rPr>
              <w:t>14</w:t>
            </w:r>
            <w:r>
              <w:rPr>
                <w:color w:val="000000" w:themeColor="text1"/>
                <w:kern w:val="0"/>
                <w14:textFill>
                  <w14:solidFill>
                    <w14:schemeClr w14:val="tx1"/>
                  </w14:solidFill>
                </w14:textFill>
              </w:rPr>
              <w:t>。</w:t>
            </w:r>
          </w:p>
          <w:p>
            <w:pPr>
              <w:spacing w:line="240" w:lineRule="auto"/>
              <w:jc w:val="center"/>
              <w:rPr>
                <w:b/>
                <w:color w:val="000000" w:themeColor="text1"/>
                <w:kern w:val="0"/>
                <w14:textFill>
                  <w14:solidFill>
                    <w14:schemeClr w14:val="tx1"/>
                  </w14:solidFill>
                </w14:textFill>
              </w:rPr>
            </w:pPr>
            <w:r>
              <w:rPr>
                <w:b/>
                <w:color w:val="000000" w:themeColor="text1"/>
                <w:kern w:val="0"/>
                <w14:textFill>
                  <w14:solidFill>
                    <w14:schemeClr w14:val="tx1"/>
                  </w14:solidFill>
                </w14:textFill>
              </w:rPr>
              <w:t>表4-</w:t>
            </w:r>
            <w:r>
              <w:rPr>
                <w:rFonts w:hint="eastAsia"/>
                <w:b/>
                <w:color w:val="000000" w:themeColor="text1"/>
                <w:kern w:val="0"/>
                <w14:textFill>
                  <w14:solidFill>
                    <w14:schemeClr w14:val="tx1"/>
                  </w14:solidFill>
                </w14:textFill>
              </w:rPr>
              <w:t>14</w:t>
            </w:r>
            <w:r>
              <w:rPr>
                <w:b/>
                <w:color w:val="000000" w:themeColor="text1"/>
                <w:kern w:val="0"/>
                <w14:textFill>
                  <w14:solidFill>
                    <w14:schemeClr w14:val="tx1"/>
                  </w14:solidFill>
                </w14:textFill>
              </w:rPr>
              <w:t xml:space="preserve">   项目危险物质数量与临界量比值（Q）计算一览表</w:t>
            </w:r>
          </w:p>
          <w:tbl>
            <w:tblPr>
              <w:tblStyle w:val="28"/>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551"/>
              <w:gridCol w:w="1017"/>
              <w:gridCol w:w="1554"/>
              <w:gridCol w:w="971"/>
              <w:gridCol w:w="1117"/>
              <w:gridCol w:w="1841"/>
              <w:gridCol w:w="8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347" w:type="pct"/>
                  <w:tcBorders>
                    <w:top w:val="single" w:color="000000" w:sz="4" w:space="0"/>
                    <w:left w:val="single" w:color="000000" w:sz="4" w:space="0"/>
                    <w:bottom w:val="single" w:color="000000" w:sz="4" w:space="0"/>
                    <w:right w:val="single" w:color="000000" w:sz="4" w:space="0"/>
                  </w:tcBorders>
                  <w:vAlign w:val="center"/>
                </w:tcPr>
                <w:p>
                  <w:pPr>
                    <w:widowControl/>
                    <w:tabs>
                      <w:tab w:val="left" w:pos="540"/>
                      <w:tab w:val="left" w:pos="851"/>
                      <w:tab w:val="left" w:pos="994"/>
                      <w:tab w:val="left" w:pos="1260"/>
                      <w:tab w:val="left" w:pos="3108"/>
                      <w:tab w:val="left" w:pos="3150"/>
                    </w:tabs>
                    <w:spacing w:line="240" w:lineRule="auto"/>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序号</w:t>
                  </w:r>
                </w:p>
              </w:tc>
              <w:tc>
                <w:tcPr>
                  <w:tcW w:w="641" w:type="pct"/>
                  <w:tcBorders>
                    <w:top w:val="single" w:color="000000" w:sz="4" w:space="0"/>
                    <w:left w:val="single" w:color="000000" w:sz="4" w:space="0"/>
                    <w:bottom w:val="single" w:color="000000" w:sz="4" w:space="0"/>
                    <w:right w:val="single" w:color="000000" w:sz="4" w:space="0"/>
                  </w:tcBorders>
                  <w:vAlign w:val="center"/>
                </w:tcPr>
                <w:p>
                  <w:pPr>
                    <w:widowControl/>
                    <w:tabs>
                      <w:tab w:val="left" w:pos="540"/>
                      <w:tab w:val="left" w:pos="851"/>
                      <w:tab w:val="left" w:pos="994"/>
                      <w:tab w:val="left" w:pos="1260"/>
                      <w:tab w:val="left" w:pos="3108"/>
                      <w:tab w:val="left" w:pos="3150"/>
                    </w:tabs>
                    <w:spacing w:line="240" w:lineRule="auto"/>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危险化学品名称</w:t>
                  </w:r>
                </w:p>
              </w:tc>
              <w:tc>
                <w:tcPr>
                  <w:tcW w:w="979" w:type="pct"/>
                  <w:tcBorders>
                    <w:top w:val="single" w:color="000000" w:sz="4" w:space="0"/>
                    <w:left w:val="single" w:color="000000" w:sz="4" w:space="0"/>
                    <w:bottom w:val="single" w:color="000000" w:sz="4" w:space="0"/>
                    <w:right w:val="single" w:color="000000" w:sz="4" w:space="0"/>
                  </w:tcBorders>
                  <w:vAlign w:val="center"/>
                </w:tcPr>
                <w:p>
                  <w:pPr>
                    <w:widowControl/>
                    <w:tabs>
                      <w:tab w:val="left" w:pos="540"/>
                      <w:tab w:val="left" w:pos="851"/>
                      <w:tab w:val="left" w:pos="994"/>
                      <w:tab w:val="left" w:pos="1260"/>
                      <w:tab w:val="left" w:pos="3108"/>
                      <w:tab w:val="left" w:pos="3150"/>
                    </w:tabs>
                    <w:spacing w:line="240" w:lineRule="auto"/>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危险化学品类别</w:t>
                  </w:r>
                </w:p>
              </w:tc>
              <w:tc>
                <w:tcPr>
                  <w:tcW w:w="612" w:type="pct"/>
                  <w:tcBorders>
                    <w:top w:val="single" w:color="000000" w:sz="4" w:space="0"/>
                    <w:left w:val="single" w:color="000000" w:sz="4" w:space="0"/>
                    <w:bottom w:val="single" w:color="000000" w:sz="4" w:space="0"/>
                    <w:right w:val="single" w:color="000000" w:sz="4" w:space="0"/>
                  </w:tcBorders>
                  <w:vAlign w:val="center"/>
                </w:tcPr>
                <w:p>
                  <w:pPr>
                    <w:widowControl/>
                    <w:tabs>
                      <w:tab w:val="left" w:pos="540"/>
                      <w:tab w:val="left" w:pos="851"/>
                      <w:tab w:val="left" w:pos="994"/>
                      <w:tab w:val="left" w:pos="1260"/>
                      <w:tab w:val="left" w:pos="3108"/>
                      <w:tab w:val="left" w:pos="3150"/>
                    </w:tabs>
                    <w:spacing w:line="240" w:lineRule="auto"/>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临界量（t）</w:t>
                  </w:r>
                </w:p>
              </w:tc>
              <w:tc>
                <w:tcPr>
                  <w:tcW w:w="704" w:type="pct"/>
                  <w:tcBorders>
                    <w:top w:val="single" w:color="000000" w:sz="4" w:space="0"/>
                    <w:left w:val="single" w:color="000000" w:sz="4" w:space="0"/>
                    <w:bottom w:val="single" w:color="000000" w:sz="4" w:space="0"/>
                    <w:right w:val="single" w:color="000000" w:sz="4" w:space="0"/>
                  </w:tcBorders>
                  <w:vAlign w:val="center"/>
                </w:tcPr>
                <w:p>
                  <w:pPr>
                    <w:widowControl/>
                    <w:tabs>
                      <w:tab w:val="left" w:pos="540"/>
                      <w:tab w:val="left" w:pos="851"/>
                      <w:tab w:val="left" w:pos="994"/>
                      <w:tab w:val="left" w:pos="1260"/>
                      <w:tab w:val="left" w:pos="3108"/>
                      <w:tab w:val="left" w:pos="3150"/>
                    </w:tabs>
                    <w:spacing w:line="240" w:lineRule="auto"/>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实际最大储量（t）</w:t>
                  </w:r>
                </w:p>
              </w:tc>
              <w:tc>
                <w:tcPr>
                  <w:tcW w:w="1160" w:type="pct"/>
                  <w:tcBorders>
                    <w:top w:val="single" w:color="000000" w:sz="4" w:space="0"/>
                    <w:left w:val="single" w:color="000000" w:sz="4" w:space="0"/>
                    <w:bottom w:val="single" w:color="000000" w:sz="4" w:space="0"/>
                    <w:right w:val="single" w:color="000000" w:sz="4" w:space="0"/>
                  </w:tcBorders>
                  <w:vAlign w:val="center"/>
                </w:tcPr>
                <w:p>
                  <w:pPr>
                    <w:widowControl/>
                    <w:tabs>
                      <w:tab w:val="left" w:pos="540"/>
                      <w:tab w:val="left" w:pos="851"/>
                      <w:tab w:val="left" w:pos="994"/>
                      <w:tab w:val="left" w:pos="1260"/>
                      <w:tab w:val="left" w:pos="3108"/>
                      <w:tab w:val="left" w:pos="3150"/>
                    </w:tabs>
                    <w:spacing w:line="240" w:lineRule="auto"/>
                    <w:jc w:val="center"/>
                    <w:rPr>
                      <w:b/>
                      <w:color w:val="000000" w:themeColor="text1"/>
                      <w:kern w:val="0"/>
                      <w:sz w:val="21"/>
                      <w:szCs w:val="21"/>
                      <w14:textFill>
                        <w14:solidFill>
                          <w14:schemeClr w14:val="tx1"/>
                        </w14:solidFill>
                      </w14:textFill>
                    </w:rPr>
                  </w:pPr>
                  <w:r>
                    <w:rPr>
                      <w:b/>
                      <w:color w:val="000000" w:themeColor="text1"/>
                      <w:kern w:val="0"/>
                      <w:sz w:val="21"/>
                      <w:szCs w:val="21"/>
                      <w14:textFill>
                        <w14:solidFill>
                          <w14:schemeClr w14:val="tx1"/>
                        </w14:solidFill>
                      </w14:textFill>
                    </w:rPr>
                    <w:t>仓储形式</w:t>
                  </w:r>
                </w:p>
              </w:tc>
              <w:tc>
                <w:tcPr>
                  <w:tcW w:w="554" w:type="pct"/>
                  <w:tcBorders>
                    <w:top w:val="single" w:color="000000" w:sz="4" w:space="0"/>
                    <w:left w:val="single" w:color="000000" w:sz="4" w:space="0"/>
                    <w:bottom w:val="single" w:color="000000" w:sz="4" w:space="0"/>
                    <w:right w:val="single" w:color="000000" w:sz="4" w:space="0"/>
                  </w:tcBorders>
                  <w:vAlign w:val="center"/>
                </w:tcPr>
                <w:p>
                  <w:pPr>
                    <w:widowControl/>
                    <w:tabs>
                      <w:tab w:val="left" w:pos="540"/>
                      <w:tab w:val="left" w:pos="851"/>
                      <w:tab w:val="left" w:pos="994"/>
                      <w:tab w:val="left" w:pos="1260"/>
                      <w:tab w:val="left" w:pos="3108"/>
                      <w:tab w:val="left" w:pos="3150"/>
                    </w:tabs>
                    <w:spacing w:line="240" w:lineRule="auto"/>
                    <w:jc w:val="center"/>
                    <w:rPr>
                      <w:b/>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q</w:t>
                  </w:r>
                  <w:r>
                    <w:rPr>
                      <w:color w:val="000000" w:themeColor="text1"/>
                      <w:kern w:val="0"/>
                      <w:sz w:val="21"/>
                      <w:szCs w:val="21"/>
                      <w:vertAlign w:val="subscript"/>
                      <w14:textFill>
                        <w14:solidFill>
                          <w14:schemeClr w14:val="tx1"/>
                        </w14:solidFill>
                      </w14:textFill>
                    </w:rPr>
                    <w:t>n</w:t>
                  </w:r>
                  <w:r>
                    <w:rPr>
                      <w:color w:val="000000" w:themeColor="text1"/>
                      <w:kern w:val="0"/>
                      <w:sz w:val="21"/>
                      <w:szCs w:val="21"/>
                      <w14:textFill>
                        <w14:solidFill>
                          <w14:schemeClr w14:val="tx1"/>
                        </w14:solidFill>
                      </w14:textFill>
                    </w:rPr>
                    <w:t>/ Qn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0" w:hRule="atLeast"/>
                <w:jc w:val="center"/>
              </w:trPr>
              <w:tc>
                <w:tcPr>
                  <w:tcW w:w="347" w:type="pct"/>
                  <w:tcBorders>
                    <w:top w:val="single" w:color="000000" w:sz="4" w:space="0"/>
                    <w:left w:val="single" w:color="000000" w:sz="4" w:space="0"/>
                    <w:right w:val="single" w:color="000000" w:sz="4" w:space="0"/>
                  </w:tcBorders>
                  <w:vAlign w:val="center"/>
                </w:tcPr>
                <w:p>
                  <w:pPr>
                    <w:widowControl/>
                    <w:tabs>
                      <w:tab w:val="left" w:pos="540"/>
                      <w:tab w:val="left" w:pos="851"/>
                      <w:tab w:val="left" w:pos="994"/>
                      <w:tab w:val="left" w:pos="1260"/>
                      <w:tab w:val="left" w:pos="3108"/>
                      <w:tab w:val="left" w:pos="3150"/>
                    </w:tabs>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w:t>
                  </w:r>
                </w:p>
                <w:p>
                  <w:pPr>
                    <w:widowControl/>
                    <w:tabs>
                      <w:tab w:val="left" w:pos="540"/>
                      <w:tab w:val="left" w:pos="851"/>
                      <w:tab w:val="left" w:pos="994"/>
                      <w:tab w:val="left" w:pos="1260"/>
                      <w:tab w:val="left" w:pos="3108"/>
                      <w:tab w:val="left" w:pos="3150"/>
                    </w:tabs>
                    <w:spacing w:line="240" w:lineRule="auto"/>
                    <w:jc w:val="center"/>
                    <w:rPr>
                      <w:color w:val="000000" w:themeColor="text1"/>
                      <w:kern w:val="0"/>
                      <w:sz w:val="21"/>
                      <w:szCs w:val="21"/>
                      <w14:textFill>
                        <w14:solidFill>
                          <w14:schemeClr w14:val="tx1"/>
                        </w14:solidFill>
                      </w14:textFill>
                    </w:rPr>
                  </w:pPr>
                </w:p>
              </w:tc>
              <w:tc>
                <w:tcPr>
                  <w:tcW w:w="641" w:type="pct"/>
                  <w:tcBorders>
                    <w:top w:val="single" w:color="000000" w:sz="4" w:space="0"/>
                    <w:left w:val="single" w:color="000000" w:sz="4" w:space="0"/>
                    <w:right w:val="single" w:color="000000" w:sz="4" w:space="0"/>
                  </w:tcBorders>
                  <w:vAlign w:val="center"/>
                </w:tcPr>
                <w:p>
                  <w:pPr>
                    <w:widowControl/>
                    <w:tabs>
                      <w:tab w:val="left" w:pos="540"/>
                      <w:tab w:val="left" w:pos="851"/>
                      <w:tab w:val="left" w:pos="994"/>
                      <w:tab w:val="left" w:pos="1260"/>
                      <w:tab w:val="left" w:pos="3108"/>
                      <w:tab w:val="left" w:pos="3150"/>
                    </w:tabs>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废机油</w:t>
                  </w:r>
                  <w:r>
                    <w:rPr>
                      <w:rFonts w:hint="eastAsia"/>
                      <w:color w:val="000000" w:themeColor="text1"/>
                      <w:kern w:val="0"/>
                      <w:sz w:val="21"/>
                      <w:szCs w:val="21"/>
                      <w14:textFill>
                        <w14:solidFill>
                          <w14:schemeClr w14:val="tx1"/>
                        </w14:solidFill>
                      </w14:textFill>
                    </w:rPr>
                    <w:t>、</w:t>
                  </w:r>
                </w:p>
                <w:p>
                  <w:pPr>
                    <w:widowControl/>
                    <w:tabs>
                      <w:tab w:val="left" w:pos="540"/>
                      <w:tab w:val="left" w:pos="851"/>
                      <w:tab w:val="left" w:pos="994"/>
                      <w:tab w:val="left" w:pos="1260"/>
                      <w:tab w:val="left" w:pos="3108"/>
                      <w:tab w:val="left" w:pos="3150"/>
                    </w:tabs>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废液压油、</w:t>
                  </w:r>
                </w:p>
                <w:p>
                  <w:pPr>
                    <w:widowControl/>
                    <w:tabs>
                      <w:tab w:val="left" w:pos="540"/>
                      <w:tab w:val="left" w:pos="851"/>
                      <w:tab w:val="left" w:pos="994"/>
                      <w:tab w:val="left" w:pos="1260"/>
                      <w:tab w:val="left" w:pos="3108"/>
                      <w:tab w:val="left" w:pos="3150"/>
                    </w:tabs>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废柴油、</w:t>
                  </w:r>
                </w:p>
              </w:tc>
              <w:tc>
                <w:tcPr>
                  <w:tcW w:w="979" w:type="pct"/>
                  <w:tcBorders>
                    <w:top w:val="single" w:color="000000" w:sz="4" w:space="0"/>
                    <w:left w:val="single" w:color="000000" w:sz="4" w:space="0"/>
                    <w:right w:val="single" w:color="000000" w:sz="4" w:space="0"/>
                  </w:tcBorders>
                  <w:vAlign w:val="center"/>
                </w:tcPr>
                <w:p>
                  <w:pPr>
                    <w:widowControl/>
                    <w:tabs>
                      <w:tab w:val="left" w:pos="540"/>
                      <w:tab w:val="left" w:pos="851"/>
                      <w:tab w:val="left" w:pos="994"/>
                      <w:tab w:val="left" w:pos="1260"/>
                      <w:tab w:val="left" w:pos="3108"/>
                      <w:tab w:val="left" w:pos="3150"/>
                    </w:tabs>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易燃液态物质</w:t>
                  </w:r>
                </w:p>
              </w:tc>
              <w:tc>
                <w:tcPr>
                  <w:tcW w:w="612" w:type="pct"/>
                  <w:tcBorders>
                    <w:top w:val="single" w:color="000000" w:sz="4" w:space="0"/>
                    <w:left w:val="single" w:color="000000" w:sz="4" w:space="0"/>
                    <w:right w:val="single" w:color="000000" w:sz="4" w:space="0"/>
                  </w:tcBorders>
                  <w:vAlign w:val="center"/>
                </w:tcPr>
                <w:p>
                  <w:pPr>
                    <w:widowControl/>
                    <w:tabs>
                      <w:tab w:val="left" w:pos="540"/>
                      <w:tab w:val="left" w:pos="851"/>
                      <w:tab w:val="left" w:pos="994"/>
                      <w:tab w:val="left" w:pos="1260"/>
                      <w:tab w:val="left" w:pos="3108"/>
                      <w:tab w:val="left" w:pos="3150"/>
                    </w:tabs>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2500</w:t>
                  </w:r>
                </w:p>
              </w:tc>
              <w:tc>
                <w:tcPr>
                  <w:tcW w:w="704" w:type="pct"/>
                  <w:tcBorders>
                    <w:top w:val="single" w:color="000000" w:sz="4" w:space="0"/>
                    <w:left w:val="single" w:color="000000" w:sz="4" w:space="0"/>
                    <w:right w:val="single" w:color="000000" w:sz="4" w:space="0"/>
                  </w:tcBorders>
                  <w:vAlign w:val="center"/>
                </w:tcPr>
                <w:p>
                  <w:pPr>
                    <w:widowControl/>
                    <w:tabs>
                      <w:tab w:val="left" w:pos="540"/>
                      <w:tab w:val="left" w:pos="851"/>
                      <w:tab w:val="left" w:pos="994"/>
                      <w:tab w:val="left" w:pos="1260"/>
                      <w:tab w:val="left" w:pos="3108"/>
                      <w:tab w:val="left" w:pos="3150"/>
                    </w:tabs>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0.1</w:t>
                  </w:r>
                </w:p>
              </w:tc>
              <w:tc>
                <w:tcPr>
                  <w:tcW w:w="1160" w:type="pct"/>
                  <w:tcBorders>
                    <w:top w:val="single" w:color="000000" w:sz="4" w:space="0"/>
                    <w:left w:val="single" w:color="000000" w:sz="4" w:space="0"/>
                    <w:bottom w:val="single" w:color="000000" w:sz="4" w:space="0"/>
                    <w:right w:val="single" w:color="000000" w:sz="4" w:space="0"/>
                  </w:tcBorders>
                  <w:vAlign w:val="center"/>
                </w:tcPr>
                <w:p>
                  <w:pPr>
                    <w:widowControl/>
                    <w:tabs>
                      <w:tab w:val="left" w:pos="540"/>
                      <w:tab w:val="left" w:pos="851"/>
                      <w:tab w:val="left" w:pos="994"/>
                      <w:tab w:val="left" w:pos="1260"/>
                      <w:tab w:val="left" w:pos="3108"/>
                      <w:tab w:val="left" w:pos="3150"/>
                    </w:tabs>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危废暂存间内</w:t>
                  </w:r>
                </w:p>
              </w:tc>
              <w:tc>
                <w:tcPr>
                  <w:tcW w:w="554" w:type="pct"/>
                  <w:tcBorders>
                    <w:top w:val="single" w:color="000000" w:sz="4" w:space="0"/>
                    <w:left w:val="single" w:color="000000" w:sz="4" w:space="0"/>
                    <w:right w:val="single" w:color="000000" w:sz="4" w:space="0"/>
                  </w:tcBorders>
                  <w:vAlign w:val="center"/>
                </w:tcPr>
                <w:p>
                  <w:pPr>
                    <w:widowControl/>
                    <w:tabs>
                      <w:tab w:val="left" w:pos="540"/>
                      <w:tab w:val="left" w:pos="851"/>
                      <w:tab w:val="left" w:pos="994"/>
                      <w:tab w:val="left" w:pos="1260"/>
                      <w:tab w:val="left" w:pos="3108"/>
                      <w:tab w:val="left" w:pos="3150"/>
                    </w:tabs>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0.00004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7" w:type="pct"/>
                  <w:tcBorders>
                    <w:top w:val="single" w:color="000000" w:sz="4" w:space="0"/>
                    <w:left w:val="single" w:color="000000" w:sz="4" w:space="0"/>
                    <w:bottom w:val="single" w:color="000000" w:sz="4" w:space="0"/>
                    <w:right w:val="single" w:color="000000" w:sz="4" w:space="0"/>
                  </w:tcBorders>
                  <w:vAlign w:val="center"/>
                </w:tcPr>
                <w:p>
                  <w:pPr>
                    <w:widowControl/>
                    <w:tabs>
                      <w:tab w:val="left" w:pos="540"/>
                      <w:tab w:val="left" w:pos="851"/>
                      <w:tab w:val="left" w:pos="994"/>
                      <w:tab w:val="left" w:pos="1260"/>
                      <w:tab w:val="left" w:pos="3108"/>
                      <w:tab w:val="left" w:pos="3150"/>
                    </w:tabs>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4</w:t>
                  </w:r>
                </w:p>
              </w:tc>
              <w:tc>
                <w:tcPr>
                  <w:tcW w:w="641" w:type="pct"/>
                  <w:tcBorders>
                    <w:top w:val="single" w:color="000000" w:sz="4" w:space="0"/>
                    <w:left w:val="single" w:color="000000" w:sz="4" w:space="0"/>
                    <w:bottom w:val="single" w:color="000000" w:sz="4" w:space="0"/>
                    <w:right w:val="single" w:color="000000" w:sz="4" w:space="0"/>
                  </w:tcBorders>
                  <w:vAlign w:val="center"/>
                </w:tcPr>
                <w:p>
                  <w:pPr>
                    <w:widowControl/>
                    <w:tabs>
                      <w:tab w:val="left" w:pos="540"/>
                      <w:tab w:val="left" w:pos="851"/>
                      <w:tab w:val="left" w:pos="994"/>
                      <w:tab w:val="left" w:pos="1260"/>
                      <w:tab w:val="left" w:pos="3108"/>
                      <w:tab w:val="left" w:pos="3150"/>
                    </w:tabs>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乙炔</w:t>
                  </w:r>
                </w:p>
              </w:tc>
              <w:tc>
                <w:tcPr>
                  <w:tcW w:w="979" w:type="pct"/>
                  <w:tcBorders>
                    <w:top w:val="single" w:color="000000" w:sz="4" w:space="0"/>
                    <w:left w:val="single" w:color="000000" w:sz="4" w:space="0"/>
                    <w:bottom w:val="single" w:color="000000" w:sz="4" w:space="0"/>
                    <w:right w:val="single" w:color="000000" w:sz="4" w:space="0"/>
                  </w:tcBorders>
                  <w:vAlign w:val="center"/>
                </w:tcPr>
                <w:p>
                  <w:pPr>
                    <w:widowControl/>
                    <w:tabs>
                      <w:tab w:val="left" w:pos="540"/>
                      <w:tab w:val="left" w:pos="851"/>
                      <w:tab w:val="left" w:pos="994"/>
                      <w:tab w:val="left" w:pos="1260"/>
                      <w:tab w:val="left" w:pos="3108"/>
                      <w:tab w:val="left" w:pos="3150"/>
                    </w:tabs>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易燃易爆物质</w:t>
                  </w:r>
                </w:p>
              </w:tc>
              <w:tc>
                <w:tcPr>
                  <w:tcW w:w="612" w:type="pct"/>
                  <w:tcBorders>
                    <w:top w:val="single" w:color="000000" w:sz="4" w:space="0"/>
                    <w:left w:val="single" w:color="000000" w:sz="4" w:space="0"/>
                    <w:bottom w:val="single" w:color="000000" w:sz="4" w:space="0"/>
                    <w:right w:val="single" w:color="000000" w:sz="4" w:space="0"/>
                  </w:tcBorders>
                  <w:vAlign w:val="center"/>
                </w:tcPr>
                <w:p>
                  <w:pPr>
                    <w:widowControl/>
                    <w:tabs>
                      <w:tab w:val="left" w:pos="540"/>
                      <w:tab w:val="left" w:pos="851"/>
                      <w:tab w:val="left" w:pos="994"/>
                      <w:tab w:val="left" w:pos="1260"/>
                      <w:tab w:val="left" w:pos="3108"/>
                      <w:tab w:val="left" w:pos="3150"/>
                    </w:tabs>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10</w:t>
                  </w:r>
                </w:p>
              </w:tc>
              <w:tc>
                <w:tcPr>
                  <w:tcW w:w="704" w:type="pct"/>
                  <w:tcBorders>
                    <w:top w:val="single" w:color="000000" w:sz="4" w:space="0"/>
                    <w:left w:val="single" w:color="000000" w:sz="4" w:space="0"/>
                    <w:bottom w:val="single" w:color="000000" w:sz="4" w:space="0"/>
                    <w:right w:val="single" w:color="000000" w:sz="4" w:space="0"/>
                  </w:tcBorders>
                  <w:vAlign w:val="center"/>
                </w:tcPr>
                <w:p>
                  <w:pPr>
                    <w:widowControl/>
                    <w:tabs>
                      <w:tab w:val="left" w:pos="540"/>
                      <w:tab w:val="left" w:pos="851"/>
                      <w:tab w:val="left" w:pos="994"/>
                      <w:tab w:val="left" w:pos="1260"/>
                      <w:tab w:val="left" w:pos="3108"/>
                      <w:tab w:val="left" w:pos="3150"/>
                    </w:tabs>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0.08</w:t>
                  </w:r>
                </w:p>
              </w:tc>
              <w:tc>
                <w:tcPr>
                  <w:tcW w:w="1160" w:type="pct"/>
                  <w:tcBorders>
                    <w:top w:val="single" w:color="000000" w:sz="4" w:space="0"/>
                    <w:left w:val="single" w:color="000000" w:sz="4" w:space="0"/>
                    <w:bottom w:val="single" w:color="000000" w:sz="4" w:space="0"/>
                    <w:right w:val="single" w:color="000000" w:sz="4" w:space="0"/>
                  </w:tcBorders>
                  <w:vAlign w:val="center"/>
                </w:tcPr>
                <w:p>
                  <w:pPr>
                    <w:widowControl/>
                    <w:tabs>
                      <w:tab w:val="left" w:pos="540"/>
                      <w:tab w:val="left" w:pos="851"/>
                      <w:tab w:val="left" w:pos="994"/>
                      <w:tab w:val="left" w:pos="1260"/>
                      <w:tab w:val="left" w:pos="3108"/>
                      <w:tab w:val="left" w:pos="3150"/>
                    </w:tabs>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气体存放区内</w:t>
                  </w:r>
                </w:p>
              </w:tc>
              <w:tc>
                <w:tcPr>
                  <w:tcW w:w="554" w:type="pct"/>
                  <w:tcBorders>
                    <w:top w:val="single" w:color="000000" w:sz="4" w:space="0"/>
                    <w:left w:val="single" w:color="000000" w:sz="4" w:space="0"/>
                    <w:bottom w:val="single" w:color="000000" w:sz="4" w:space="0"/>
                    <w:right w:val="single" w:color="000000" w:sz="4" w:space="0"/>
                  </w:tcBorders>
                  <w:vAlign w:val="center"/>
                </w:tcPr>
                <w:p>
                  <w:pPr>
                    <w:widowControl/>
                    <w:tabs>
                      <w:tab w:val="left" w:pos="540"/>
                      <w:tab w:val="left" w:pos="851"/>
                      <w:tab w:val="left" w:pos="994"/>
                      <w:tab w:val="left" w:pos="1260"/>
                      <w:tab w:val="left" w:pos="3108"/>
                      <w:tab w:val="left" w:pos="3150"/>
                    </w:tabs>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7" w:type="pct"/>
                  <w:tcBorders>
                    <w:top w:val="single" w:color="000000" w:sz="4" w:space="0"/>
                    <w:left w:val="single" w:color="000000" w:sz="4" w:space="0"/>
                    <w:bottom w:val="single" w:color="000000" w:sz="4" w:space="0"/>
                    <w:right w:val="single" w:color="000000" w:sz="4" w:space="0"/>
                  </w:tcBorders>
                  <w:vAlign w:val="center"/>
                </w:tcPr>
                <w:p>
                  <w:pPr>
                    <w:widowControl/>
                    <w:tabs>
                      <w:tab w:val="left" w:pos="540"/>
                      <w:tab w:val="left" w:pos="851"/>
                      <w:tab w:val="left" w:pos="994"/>
                      <w:tab w:val="left" w:pos="1260"/>
                      <w:tab w:val="left" w:pos="3108"/>
                      <w:tab w:val="left" w:pos="3150"/>
                    </w:tabs>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5</w:t>
                  </w:r>
                </w:p>
              </w:tc>
              <w:tc>
                <w:tcPr>
                  <w:tcW w:w="641" w:type="pct"/>
                  <w:tcBorders>
                    <w:top w:val="single" w:color="000000" w:sz="4" w:space="0"/>
                    <w:left w:val="single" w:color="000000" w:sz="4" w:space="0"/>
                    <w:bottom w:val="single" w:color="000000" w:sz="4" w:space="0"/>
                    <w:right w:val="single" w:color="000000" w:sz="4" w:space="0"/>
                  </w:tcBorders>
                  <w:vAlign w:val="center"/>
                </w:tcPr>
                <w:p>
                  <w:pPr>
                    <w:widowControl/>
                    <w:tabs>
                      <w:tab w:val="left" w:pos="540"/>
                      <w:tab w:val="left" w:pos="851"/>
                      <w:tab w:val="left" w:pos="994"/>
                      <w:tab w:val="left" w:pos="1260"/>
                      <w:tab w:val="left" w:pos="3108"/>
                      <w:tab w:val="left" w:pos="3150"/>
                    </w:tabs>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机油</w:t>
                  </w:r>
                </w:p>
              </w:tc>
              <w:tc>
                <w:tcPr>
                  <w:tcW w:w="979" w:type="pct"/>
                  <w:tcBorders>
                    <w:top w:val="single" w:color="000000" w:sz="4" w:space="0"/>
                    <w:left w:val="single" w:color="000000" w:sz="4" w:space="0"/>
                    <w:bottom w:val="single" w:color="000000" w:sz="4" w:space="0"/>
                    <w:right w:val="single" w:color="000000" w:sz="4" w:space="0"/>
                  </w:tcBorders>
                  <w:vAlign w:val="center"/>
                </w:tcPr>
                <w:p>
                  <w:pPr>
                    <w:widowControl/>
                    <w:tabs>
                      <w:tab w:val="left" w:pos="540"/>
                      <w:tab w:val="left" w:pos="851"/>
                      <w:tab w:val="left" w:pos="994"/>
                      <w:tab w:val="left" w:pos="1260"/>
                      <w:tab w:val="left" w:pos="3108"/>
                      <w:tab w:val="left" w:pos="3150"/>
                    </w:tabs>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油类物质</w:t>
                  </w:r>
                </w:p>
              </w:tc>
              <w:tc>
                <w:tcPr>
                  <w:tcW w:w="612" w:type="pct"/>
                  <w:vMerge w:val="restart"/>
                  <w:tcBorders>
                    <w:top w:val="single" w:color="000000" w:sz="4" w:space="0"/>
                    <w:left w:val="single" w:color="000000" w:sz="4" w:space="0"/>
                    <w:right w:val="single" w:color="000000" w:sz="4" w:space="0"/>
                  </w:tcBorders>
                  <w:vAlign w:val="center"/>
                </w:tcPr>
                <w:p>
                  <w:pPr>
                    <w:widowControl/>
                    <w:tabs>
                      <w:tab w:val="left" w:pos="540"/>
                      <w:tab w:val="left" w:pos="851"/>
                      <w:tab w:val="left" w:pos="994"/>
                      <w:tab w:val="left" w:pos="1260"/>
                      <w:tab w:val="left" w:pos="3108"/>
                      <w:tab w:val="left" w:pos="3150"/>
                    </w:tabs>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2500</w:t>
                  </w:r>
                </w:p>
              </w:tc>
              <w:tc>
                <w:tcPr>
                  <w:tcW w:w="704" w:type="pct"/>
                  <w:tcBorders>
                    <w:top w:val="single" w:color="000000" w:sz="4" w:space="0"/>
                    <w:left w:val="single" w:color="000000" w:sz="4" w:space="0"/>
                    <w:right w:val="single" w:color="000000" w:sz="4" w:space="0"/>
                  </w:tcBorders>
                  <w:vAlign w:val="center"/>
                </w:tcPr>
                <w:p>
                  <w:pPr>
                    <w:widowControl/>
                    <w:tabs>
                      <w:tab w:val="left" w:pos="540"/>
                      <w:tab w:val="left" w:pos="851"/>
                      <w:tab w:val="left" w:pos="994"/>
                      <w:tab w:val="left" w:pos="1260"/>
                      <w:tab w:val="left" w:pos="3108"/>
                      <w:tab w:val="left" w:pos="3150"/>
                    </w:tabs>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0.1</w:t>
                  </w:r>
                </w:p>
              </w:tc>
              <w:tc>
                <w:tcPr>
                  <w:tcW w:w="1160" w:type="pct"/>
                  <w:vMerge w:val="restart"/>
                  <w:tcBorders>
                    <w:top w:val="single" w:color="000000" w:sz="4" w:space="0"/>
                    <w:left w:val="single" w:color="000000" w:sz="4" w:space="0"/>
                    <w:right w:val="single" w:color="000000" w:sz="4" w:space="0"/>
                  </w:tcBorders>
                  <w:vAlign w:val="center"/>
                </w:tcPr>
                <w:p>
                  <w:pPr>
                    <w:widowControl/>
                    <w:tabs>
                      <w:tab w:val="left" w:pos="540"/>
                      <w:tab w:val="left" w:pos="851"/>
                      <w:tab w:val="left" w:pos="994"/>
                      <w:tab w:val="left" w:pos="1260"/>
                      <w:tab w:val="left" w:pos="3108"/>
                      <w:tab w:val="left" w:pos="3150"/>
                    </w:tabs>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油品存放区</w:t>
                  </w:r>
                </w:p>
              </w:tc>
              <w:tc>
                <w:tcPr>
                  <w:tcW w:w="554" w:type="pct"/>
                  <w:vMerge w:val="restart"/>
                  <w:tcBorders>
                    <w:top w:val="single" w:color="000000" w:sz="4" w:space="0"/>
                    <w:left w:val="single" w:color="000000" w:sz="4" w:space="0"/>
                    <w:right w:val="single" w:color="000000" w:sz="4" w:space="0"/>
                  </w:tcBorders>
                  <w:vAlign w:val="center"/>
                </w:tcPr>
                <w:p>
                  <w:pPr>
                    <w:widowControl/>
                    <w:tabs>
                      <w:tab w:val="left" w:pos="540"/>
                      <w:tab w:val="left" w:pos="851"/>
                      <w:tab w:val="left" w:pos="994"/>
                      <w:tab w:val="left" w:pos="1260"/>
                      <w:tab w:val="left" w:pos="3108"/>
                      <w:tab w:val="left" w:pos="3150"/>
                    </w:tabs>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0.0003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7" w:type="pct"/>
                  <w:tcBorders>
                    <w:top w:val="single" w:color="000000" w:sz="4" w:space="0"/>
                    <w:left w:val="single" w:color="000000" w:sz="4" w:space="0"/>
                    <w:bottom w:val="single" w:color="000000" w:sz="4" w:space="0"/>
                    <w:right w:val="single" w:color="000000" w:sz="4" w:space="0"/>
                  </w:tcBorders>
                  <w:vAlign w:val="center"/>
                </w:tcPr>
                <w:p>
                  <w:pPr>
                    <w:widowControl/>
                    <w:tabs>
                      <w:tab w:val="left" w:pos="540"/>
                      <w:tab w:val="left" w:pos="851"/>
                      <w:tab w:val="left" w:pos="994"/>
                      <w:tab w:val="left" w:pos="1260"/>
                      <w:tab w:val="left" w:pos="3108"/>
                      <w:tab w:val="left" w:pos="3150"/>
                    </w:tabs>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6</w:t>
                  </w:r>
                </w:p>
              </w:tc>
              <w:tc>
                <w:tcPr>
                  <w:tcW w:w="641" w:type="pct"/>
                  <w:tcBorders>
                    <w:top w:val="single" w:color="000000" w:sz="4" w:space="0"/>
                    <w:left w:val="single" w:color="000000" w:sz="4" w:space="0"/>
                    <w:bottom w:val="single" w:color="000000" w:sz="4" w:space="0"/>
                    <w:right w:val="single" w:color="000000" w:sz="4" w:space="0"/>
                  </w:tcBorders>
                  <w:vAlign w:val="center"/>
                </w:tcPr>
                <w:p>
                  <w:pPr>
                    <w:widowControl/>
                    <w:tabs>
                      <w:tab w:val="left" w:pos="540"/>
                      <w:tab w:val="left" w:pos="851"/>
                      <w:tab w:val="left" w:pos="994"/>
                      <w:tab w:val="left" w:pos="1260"/>
                      <w:tab w:val="left" w:pos="3108"/>
                      <w:tab w:val="left" w:pos="3150"/>
                    </w:tabs>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液压油</w:t>
                  </w:r>
                </w:p>
              </w:tc>
              <w:tc>
                <w:tcPr>
                  <w:tcW w:w="979" w:type="pct"/>
                  <w:tcBorders>
                    <w:top w:val="single" w:color="000000" w:sz="4" w:space="0"/>
                    <w:left w:val="single" w:color="000000" w:sz="4" w:space="0"/>
                    <w:bottom w:val="single" w:color="000000" w:sz="4" w:space="0"/>
                    <w:right w:val="single" w:color="000000" w:sz="4" w:space="0"/>
                  </w:tcBorders>
                  <w:vAlign w:val="center"/>
                </w:tcPr>
                <w:p>
                  <w:pPr>
                    <w:widowControl/>
                    <w:tabs>
                      <w:tab w:val="left" w:pos="540"/>
                      <w:tab w:val="left" w:pos="851"/>
                      <w:tab w:val="left" w:pos="994"/>
                      <w:tab w:val="left" w:pos="1260"/>
                      <w:tab w:val="left" w:pos="3108"/>
                      <w:tab w:val="left" w:pos="3150"/>
                    </w:tabs>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油类物质</w:t>
                  </w:r>
                </w:p>
              </w:tc>
              <w:tc>
                <w:tcPr>
                  <w:tcW w:w="612" w:type="pct"/>
                  <w:vMerge w:val="continue"/>
                  <w:tcBorders>
                    <w:left w:val="single" w:color="000000" w:sz="4" w:space="0"/>
                    <w:right w:val="single" w:color="000000" w:sz="4" w:space="0"/>
                  </w:tcBorders>
                  <w:vAlign w:val="center"/>
                </w:tcPr>
                <w:p>
                  <w:pPr>
                    <w:widowControl/>
                    <w:tabs>
                      <w:tab w:val="left" w:pos="540"/>
                      <w:tab w:val="left" w:pos="851"/>
                      <w:tab w:val="left" w:pos="994"/>
                      <w:tab w:val="left" w:pos="1260"/>
                      <w:tab w:val="left" w:pos="3108"/>
                      <w:tab w:val="left" w:pos="3150"/>
                    </w:tabs>
                    <w:spacing w:line="240" w:lineRule="auto"/>
                    <w:jc w:val="center"/>
                    <w:rPr>
                      <w:color w:val="000000" w:themeColor="text1"/>
                      <w:kern w:val="0"/>
                      <w:sz w:val="21"/>
                      <w:szCs w:val="21"/>
                      <w14:textFill>
                        <w14:solidFill>
                          <w14:schemeClr w14:val="tx1"/>
                        </w14:solidFill>
                      </w14:textFill>
                    </w:rPr>
                  </w:pPr>
                </w:p>
              </w:tc>
              <w:tc>
                <w:tcPr>
                  <w:tcW w:w="704" w:type="pct"/>
                  <w:tcBorders>
                    <w:left w:val="single" w:color="000000" w:sz="4" w:space="0"/>
                    <w:right w:val="single" w:color="000000" w:sz="4" w:space="0"/>
                  </w:tcBorders>
                  <w:vAlign w:val="center"/>
                </w:tcPr>
                <w:p>
                  <w:pPr>
                    <w:widowControl/>
                    <w:tabs>
                      <w:tab w:val="left" w:pos="540"/>
                      <w:tab w:val="left" w:pos="851"/>
                      <w:tab w:val="left" w:pos="994"/>
                      <w:tab w:val="left" w:pos="1260"/>
                      <w:tab w:val="left" w:pos="3108"/>
                      <w:tab w:val="left" w:pos="3150"/>
                    </w:tabs>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0.15</w:t>
                  </w:r>
                </w:p>
              </w:tc>
              <w:tc>
                <w:tcPr>
                  <w:tcW w:w="1160" w:type="pct"/>
                  <w:vMerge w:val="continue"/>
                  <w:tcBorders>
                    <w:left w:val="single" w:color="000000" w:sz="4" w:space="0"/>
                    <w:bottom w:val="single" w:color="000000" w:sz="4" w:space="0"/>
                    <w:right w:val="single" w:color="000000" w:sz="4" w:space="0"/>
                  </w:tcBorders>
                  <w:vAlign w:val="center"/>
                </w:tcPr>
                <w:p>
                  <w:pPr>
                    <w:widowControl/>
                    <w:tabs>
                      <w:tab w:val="left" w:pos="540"/>
                      <w:tab w:val="left" w:pos="851"/>
                      <w:tab w:val="left" w:pos="994"/>
                      <w:tab w:val="left" w:pos="1260"/>
                      <w:tab w:val="left" w:pos="3108"/>
                      <w:tab w:val="left" w:pos="3150"/>
                    </w:tabs>
                    <w:spacing w:line="240" w:lineRule="auto"/>
                    <w:jc w:val="center"/>
                    <w:rPr>
                      <w:color w:val="000000" w:themeColor="text1"/>
                      <w:kern w:val="0"/>
                      <w:sz w:val="21"/>
                      <w:szCs w:val="21"/>
                      <w14:textFill>
                        <w14:solidFill>
                          <w14:schemeClr w14:val="tx1"/>
                        </w14:solidFill>
                      </w14:textFill>
                    </w:rPr>
                  </w:pPr>
                </w:p>
              </w:tc>
              <w:tc>
                <w:tcPr>
                  <w:tcW w:w="554" w:type="pct"/>
                  <w:vMerge w:val="continue"/>
                  <w:tcBorders>
                    <w:left w:val="single" w:color="000000" w:sz="4" w:space="0"/>
                    <w:right w:val="single" w:color="000000" w:sz="4" w:space="0"/>
                  </w:tcBorders>
                  <w:vAlign w:val="center"/>
                </w:tcPr>
                <w:p>
                  <w:pPr>
                    <w:widowControl/>
                    <w:tabs>
                      <w:tab w:val="left" w:pos="540"/>
                      <w:tab w:val="left" w:pos="851"/>
                      <w:tab w:val="left" w:pos="994"/>
                      <w:tab w:val="left" w:pos="1260"/>
                      <w:tab w:val="left" w:pos="3108"/>
                      <w:tab w:val="left" w:pos="3150"/>
                    </w:tabs>
                    <w:spacing w:line="240" w:lineRule="auto"/>
                    <w:jc w:val="center"/>
                    <w:rPr>
                      <w:color w:val="000000" w:themeColor="text1"/>
                      <w:kern w:val="0"/>
                      <w:sz w:val="2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7" w:type="pct"/>
                  <w:tcBorders>
                    <w:top w:val="single" w:color="000000" w:sz="4" w:space="0"/>
                    <w:left w:val="single" w:color="000000" w:sz="4" w:space="0"/>
                    <w:bottom w:val="single" w:color="000000" w:sz="4" w:space="0"/>
                    <w:right w:val="single" w:color="000000" w:sz="4" w:space="0"/>
                  </w:tcBorders>
                  <w:vAlign w:val="center"/>
                </w:tcPr>
                <w:p>
                  <w:pPr>
                    <w:widowControl/>
                    <w:tabs>
                      <w:tab w:val="left" w:pos="540"/>
                      <w:tab w:val="left" w:pos="851"/>
                      <w:tab w:val="left" w:pos="994"/>
                      <w:tab w:val="left" w:pos="1260"/>
                      <w:tab w:val="left" w:pos="3108"/>
                      <w:tab w:val="left" w:pos="3150"/>
                    </w:tabs>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7</w:t>
                  </w:r>
                </w:p>
              </w:tc>
              <w:tc>
                <w:tcPr>
                  <w:tcW w:w="641" w:type="pct"/>
                  <w:tcBorders>
                    <w:top w:val="single" w:color="000000" w:sz="4" w:space="0"/>
                    <w:left w:val="single" w:color="000000" w:sz="4" w:space="0"/>
                    <w:bottom w:val="single" w:color="000000" w:sz="4" w:space="0"/>
                    <w:right w:val="single" w:color="000000" w:sz="4" w:space="0"/>
                  </w:tcBorders>
                  <w:vAlign w:val="center"/>
                </w:tcPr>
                <w:p>
                  <w:pPr>
                    <w:widowControl/>
                    <w:tabs>
                      <w:tab w:val="left" w:pos="540"/>
                      <w:tab w:val="left" w:pos="851"/>
                      <w:tab w:val="left" w:pos="994"/>
                      <w:tab w:val="left" w:pos="1260"/>
                      <w:tab w:val="left" w:pos="3108"/>
                      <w:tab w:val="left" w:pos="3150"/>
                    </w:tabs>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柴油</w:t>
                  </w:r>
                </w:p>
              </w:tc>
              <w:tc>
                <w:tcPr>
                  <w:tcW w:w="979" w:type="pct"/>
                  <w:tcBorders>
                    <w:top w:val="single" w:color="000000" w:sz="4" w:space="0"/>
                    <w:left w:val="single" w:color="000000" w:sz="4" w:space="0"/>
                    <w:bottom w:val="single" w:color="000000" w:sz="4" w:space="0"/>
                    <w:right w:val="single" w:color="000000" w:sz="4" w:space="0"/>
                  </w:tcBorders>
                  <w:vAlign w:val="center"/>
                </w:tcPr>
                <w:p>
                  <w:pPr>
                    <w:widowControl/>
                    <w:tabs>
                      <w:tab w:val="left" w:pos="540"/>
                      <w:tab w:val="left" w:pos="851"/>
                      <w:tab w:val="left" w:pos="994"/>
                      <w:tab w:val="left" w:pos="1260"/>
                      <w:tab w:val="left" w:pos="3108"/>
                      <w:tab w:val="left" w:pos="3150"/>
                    </w:tabs>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油类物质</w:t>
                  </w:r>
                </w:p>
              </w:tc>
              <w:tc>
                <w:tcPr>
                  <w:tcW w:w="612" w:type="pct"/>
                  <w:vMerge w:val="continue"/>
                  <w:tcBorders>
                    <w:left w:val="single" w:color="000000" w:sz="4" w:space="0"/>
                    <w:bottom w:val="single" w:color="000000" w:sz="4" w:space="0"/>
                    <w:right w:val="single" w:color="000000" w:sz="4" w:space="0"/>
                  </w:tcBorders>
                  <w:vAlign w:val="center"/>
                </w:tcPr>
                <w:p>
                  <w:pPr>
                    <w:widowControl/>
                    <w:tabs>
                      <w:tab w:val="left" w:pos="540"/>
                      <w:tab w:val="left" w:pos="851"/>
                      <w:tab w:val="left" w:pos="994"/>
                      <w:tab w:val="left" w:pos="1260"/>
                      <w:tab w:val="left" w:pos="3108"/>
                      <w:tab w:val="left" w:pos="3150"/>
                    </w:tabs>
                    <w:spacing w:line="240" w:lineRule="auto"/>
                    <w:jc w:val="center"/>
                    <w:rPr>
                      <w:color w:val="000000" w:themeColor="text1"/>
                      <w:kern w:val="0"/>
                      <w:sz w:val="21"/>
                      <w:szCs w:val="21"/>
                      <w14:textFill>
                        <w14:solidFill>
                          <w14:schemeClr w14:val="tx1"/>
                        </w14:solidFill>
                      </w14:textFill>
                    </w:rPr>
                  </w:pPr>
                </w:p>
              </w:tc>
              <w:tc>
                <w:tcPr>
                  <w:tcW w:w="704" w:type="pct"/>
                  <w:tcBorders>
                    <w:left w:val="single" w:color="000000" w:sz="4" w:space="0"/>
                    <w:bottom w:val="single" w:color="000000" w:sz="4" w:space="0"/>
                    <w:right w:val="single" w:color="000000" w:sz="4" w:space="0"/>
                  </w:tcBorders>
                  <w:vAlign w:val="center"/>
                </w:tcPr>
                <w:p>
                  <w:pPr>
                    <w:widowControl/>
                    <w:tabs>
                      <w:tab w:val="left" w:pos="540"/>
                      <w:tab w:val="left" w:pos="851"/>
                      <w:tab w:val="left" w:pos="994"/>
                      <w:tab w:val="left" w:pos="1260"/>
                      <w:tab w:val="left" w:pos="3108"/>
                      <w:tab w:val="left" w:pos="3150"/>
                    </w:tabs>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0.5</w:t>
                  </w:r>
                </w:p>
              </w:tc>
              <w:tc>
                <w:tcPr>
                  <w:tcW w:w="1160" w:type="pct"/>
                  <w:tcBorders>
                    <w:top w:val="single" w:color="000000" w:sz="4" w:space="0"/>
                    <w:left w:val="single" w:color="000000" w:sz="4" w:space="0"/>
                    <w:bottom w:val="single" w:color="000000" w:sz="4" w:space="0"/>
                    <w:right w:val="single" w:color="000000" w:sz="4" w:space="0"/>
                  </w:tcBorders>
                  <w:vAlign w:val="center"/>
                </w:tcPr>
                <w:p>
                  <w:pPr>
                    <w:widowControl/>
                    <w:tabs>
                      <w:tab w:val="left" w:pos="540"/>
                      <w:tab w:val="left" w:pos="851"/>
                      <w:tab w:val="left" w:pos="994"/>
                      <w:tab w:val="left" w:pos="1260"/>
                      <w:tab w:val="left" w:pos="3108"/>
                      <w:tab w:val="left" w:pos="3150"/>
                    </w:tabs>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柴油存放区</w:t>
                  </w:r>
                </w:p>
              </w:tc>
              <w:tc>
                <w:tcPr>
                  <w:tcW w:w="554" w:type="pct"/>
                  <w:vMerge w:val="continue"/>
                  <w:tcBorders>
                    <w:left w:val="single" w:color="000000" w:sz="4" w:space="0"/>
                    <w:bottom w:val="single" w:color="000000" w:sz="4" w:space="0"/>
                    <w:right w:val="single" w:color="000000" w:sz="4" w:space="0"/>
                  </w:tcBorders>
                  <w:vAlign w:val="center"/>
                </w:tcPr>
                <w:p>
                  <w:pPr>
                    <w:widowControl/>
                    <w:tabs>
                      <w:tab w:val="left" w:pos="540"/>
                      <w:tab w:val="left" w:pos="851"/>
                      <w:tab w:val="left" w:pos="994"/>
                      <w:tab w:val="left" w:pos="1260"/>
                      <w:tab w:val="left" w:pos="3108"/>
                      <w:tab w:val="left" w:pos="3150"/>
                    </w:tabs>
                    <w:spacing w:line="240" w:lineRule="auto"/>
                    <w:jc w:val="center"/>
                    <w:rPr>
                      <w:color w:val="000000" w:themeColor="text1"/>
                      <w:kern w:val="0"/>
                      <w:sz w:val="2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47" w:type="pct"/>
                  <w:tcBorders>
                    <w:top w:val="single" w:color="000000" w:sz="4" w:space="0"/>
                    <w:left w:val="single" w:color="000000" w:sz="4" w:space="0"/>
                    <w:bottom w:val="single" w:color="000000" w:sz="4" w:space="0"/>
                    <w:right w:val="single" w:color="000000" w:sz="4" w:space="0"/>
                  </w:tcBorders>
                  <w:vAlign w:val="center"/>
                </w:tcPr>
                <w:p>
                  <w:pPr>
                    <w:widowControl/>
                    <w:tabs>
                      <w:tab w:val="left" w:pos="540"/>
                      <w:tab w:val="left" w:pos="851"/>
                      <w:tab w:val="left" w:pos="994"/>
                      <w:tab w:val="left" w:pos="1260"/>
                      <w:tab w:val="left" w:pos="3108"/>
                      <w:tab w:val="left" w:pos="3150"/>
                    </w:tabs>
                    <w:spacing w:line="240" w:lineRule="auto"/>
                    <w:jc w:val="center"/>
                    <w:rPr>
                      <w:color w:val="000000" w:themeColor="text1"/>
                      <w:kern w:val="0"/>
                      <w:sz w:val="21"/>
                      <w:szCs w:val="21"/>
                      <w14:textFill>
                        <w14:solidFill>
                          <w14:schemeClr w14:val="tx1"/>
                        </w14:solidFill>
                      </w14:textFill>
                    </w:rPr>
                  </w:pPr>
                </w:p>
              </w:tc>
              <w:tc>
                <w:tcPr>
                  <w:tcW w:w="641" w:type="pct"/>
                  <w:tcBorders>
                    <w:top w:val="single" w:color="000000" w:sz="4" w:space="0"/>
                    <w:left w:val="single" w:color="000000" w:sz="4" w:space="0"/>
                    <w:bottom w:val="single" w:color="000000" w:sz="4" w:space="0"/>
                    <w:right w:val="single" w:color="000000" w:sz="4" w:space="0"/>
                  </w:tcBorders>
                  <w:vAlign w:val="center"/>
                </w:tcPr>
                <w:p>
                  <w:pPr>
                    <w:widowControl/>
                    <w:tabs>
                      <w:tab w:val="left" w:pos="540"/>
                      <w:tab w:val="left" w:pos="851"/>
                      <w:tab w:val="left" w:pos="994"/>
                      <w:tab w:val="left" w:pos="1260"/>
                      <w:tab w:val="left" w:pos="3108"/>
                      <w:tab w:val="left" w:pos="3150"/>
                    </w:tabs>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合计</w:t>
                  </w:r>
                </w:p>
              </w:tc>
              <w:tc>
                <w:tcPr>
                  <w:tcW w:w="979" w:type="pct"/>
                  <w:tcBorders>
                    <w:top w:val="single" w:color="000000" w:sz="4" w:space="0"/>
                    <w:left w:val="single" w:color="000000" w:sz="4" w:space="0"/>
                    <w:bottom w:val="single" w:color="000000" w:sz="4" w:space="0"/>
                    <w:right w:val="single" w:color="000000" w:sz="4" w:space="0"/>
                  </w:tcBorders>
                  <w:vAlign w:val="center"/>
                </w:tcPr>
                <w:p>
                  <w:pPr>
                    <w:widowControl/>
                    <w:tabs>
                      <w:tab w:val="left" w:pos="540"/>
                      <w:tab w:val="left" w:pos="851"/>
                      <w:tab w:val="left" w:pos="994"/>
                      <w:tab w:val="left" w:pos="1260"/>
                      <w:tab w:val="left" w:pos="3108"/>
                      <w:tab w:val="left" w:pos="3150"/>
                    </w:tabs>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w:t>
                  </w:r>
                </w:p>
              </w:tc>
              <w:tc>
                <w:tcPr>
                  <w:tcW w:w="612" w:type="pct"/>
                  <w:tcBorders>
                    <w:top w:val="single" w:color="000000" w:sz="4" w:space="0"/>
                    <w:left w:val="single" w:color="000000" w:sz="4" w:space="0"/>
                    <w:bottom w:val="single" w:color="000000" w:sz="4" w:space="0"/>
                    <w:right w:val="single" w:color="000000" w:sz="4" w:space="0"/>
                  </w:tcBorders>
                  <w:vAlign w:val="center"/>
                </w:tcPr>
                <w:p>
                  <w:pPr>
                    <w:widowControl/>
                    <w:tabs>
                      <w:tab w:val="left" w:pos="540"/>
                      <w:tab w:val="left" w:pos="851"/>
                      <w:tab w:val="left" w:pos="994"/>
                      <w:tab w:val="left" w:pos="1260"/>
                      <w:tab w:val="left" w:pos="3108"/>
                      <w:tab w:val="left" w:pos="3150"/>
                    </w:tabs>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w:t>
                  </w:r>
                </w:p>
              </w:tc>
              <w:tc>
                <w:tcPr>
                  <w:tcW w:w="704" w:type="pct"/>
                  <w:tcBorders>
                    <w:top w:val="single" w:color="000000" w:sz="4" w:space="0"/>
                    <w:left w:val="single" w:color="000000" w:sz="4" w:space="0"/>
                    <w:bottom w:val="single" w:color="000000" w:sz="4" w:space="0"/>
                    <w:right w:val="single" w:color="000000" w:sz="4" w:space="0"/>
                  </w:tcBorders>
                  <w:vAlign w:val="center"/>
                </w:tcPr>
                <w:p>
                  <w:pPr>
                    <w:widowControl/>
                    <w:tabs>
                      <w:tab w:val="left" w:pos="540"/>
                      <w:tab w:val="left" w:pos="851"/>
                      <w:tab w:val="left" w:pos="994"/>
                      <w:tab w:val="left" w:pos="1260"/>
                      <w:tab w:val="left" w:pos="3108"/>
                      <w:tab w:val="left" w:pos="3150"/>
                    </w:tabs>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w:t>
                  </w:r>
                </w:p>
              </w:tc>
              <w:tc>
                <w:tcPr>
                  <w:tcW w:w="1160" w:type="pct"/>
                  <w:tcBorders>
                    <w:top w:val="single" w:color="000000" w:sz="4" w:space="0"/>
                    <w:left w:val="single" w:color="000000" w:sz="4" w:space="0"/>
                    <w:bottom w:val="single" w:color="000000" w:sz="4" w:space="0"/>
                    <w:right w:val="single" w:color="000000" w:sz="4" w:space="0"/>
                  </w:tcBorders>
                  <w:vAlign w:val="center"/>
                </w:tcPr>
                <w:p>
                  <w:pPr>
                    <w:widowControl/>
                    <w:tabs>
                      <w:tab w:val="left" w:pos="540"/>
                      <w:tab w:val="left" w:pos="851"/>
                      <w:tab w:val="left" w:pos="994"/>
                      <w:tab w:val="left" w:pos="1260"/>
                      <w:tab w:val="left" w:pos="3108"/>
                      <w:tab w:val="left" w:pos="3150"/>
                    </w:tabs>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w:t>
                  </w:r>
                </w:p>
              </w:tc>
              <w:tc>
                <w:tcPr>
                  <w:tcW w:w="554" w:type="pct"/>
                  <w:tcBorders>
                    <w:top w:val="single" w:color="000000" w:sz="4" w:space="0"/>
                    <w:left w:val="single" w:color="000000" w:sz="4" w:space="0"/>
                    <w:bottom w:val="single" w:color="000000" w:sz="4" w:space="0"/>
                    <w:right w:val="single" w:color="000000" w:sz="4" w:space="0"/>
                  </w:tcBorders>
                  <w:vAlign w:val="center"/>
                </w:tcPr>
                <w:p>
                  <w:pPr>
                    <w:widowControl/>
                    <w:tabs>
                      <w:tab w:val="left" w:pos="540"/>
                      <w:tab w:val="left" w:pos="851"/>
                      <w:tab w:val="left" w:pos="994"/>
                      <w:tab w:val="left" w:pos="1260"/>
                      <w:tab w:val="left" w:pos="3108"/>
                      <w:tab w:val="left" w:pos="3150"/>
                    </w:tabs>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0.0</w:t>
                  </w:r>
                  <w:r>
                    <w:rPr>
                      <w:rFonts w:hint="eastAsia"/>
                      <w:color w:val="000000" w:themeColor="text1"/>
                      <w:kern w:val="0"/>
                      <w:sz w:val="21"/>
                      <w:szCs w:val="21"/>
                      <w14:textFill>
                        <w14:solidFill>
                          <w14:schemeClr w14:val="tx1"/>
                        </w14:solidFill>
                      </w14:textFill>
                    </w:rPr>
                    <w:t>0834</w:t>
                  </w:r>
                </w:p>
              </w:tc>
            </w:tr>
          </w:tbl>
          <w:p>
            <w:pPr>
              <w:tabs>
                <w:tab w:val="left" w:pos="540"/>
                <w:tab w:val="left" w:pos="851"/>
                <w:tab w:val="left" w:pos="994"/>
                <w:tab w:val="left" w:pos="1260"/>
                <w:tab w:val="left" w:pos="3108"/>
                <w:tab w:val="left" w:pos="3150"/>
              </w:tabs>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项目危险物质数量与临界量比值（Q）为0.0</w:t>
            </w:r>
            <w:r>
              <w:rPr>
                <w:rFonts w:hint="eastAsia"/>
                <w:color w:val="000000" w:themeColor="text1"/>
                <w:kern w:val="0"/>
                <w14:textFill>
                  <w14:solidFill>
                    <w14:schemeClr w14:val="tx1"/>
                  </w14:solidFill>
                </w14:textFill>
              </w:rPr>
              <w:t>0834</w:t>
            </w:r>
            <w:r>
              <w:rPr>
                <w:color w:val="000000" w:themeColor="text1"/>
                <w:kern w:val="0"/>
                <w14:textFill>
                  <w14:solidFill>
                    <w14:schemeClr w14:val="tx1"/>
                  </w14:solidFill>
                </w14:textFill>
              </w:rPr>
              <w:t>＜1，</w:t>
            </w:r>
            <w:r>
              <w:rPr>
                <w:rFonts w:hint="eastAsia"/>
                <w:color w:val="000000" w:themeColor="text1"/>
                <w:kern w:val="0"/>
                <w14:textFill>
                  <w14:solidFill>
                    <w14:schemeClr w14:val="tx1"/>
                  </w14:solidFill>
                </w14:textFill>
              </w:rPr>
              <w:t>仅做简单分析</w:t>
            </w:r>
            <w:r>
              <w:rPr>
                <w:color w:val="000000" w:themeColor="text1"/>
                <w:kern w:val="0"/>
                <w14:textFill>
                  <w14:solidFill>
                    <w14:schemeClr w14:val="tx1"/>
                  </w14:solidFill>
                </w14:textFill>
              </w:rPr>
              <w:t>。</w:t>
            </w:r>
          </w:p>
          <w:p>
            <w:pPr>
              <w:ind w:firstLine="482" w:firstLineChars="200"/>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3、风险源分布情况及影响途径</w:t>
            </w:r>
          </w:p>
          <w:p>
            <w:pPr>
              <w:tabs>
                <w:tab w:val="left" w:pos="540"/>
                <w:tab w:val="left" w:pos="851"/>
                <w:tab w:val="left" w:pos="994"/>
                <w:tab w:val="left" w:pos="1260"/>
                <w:tab w:val="left" w:pos="3108"/>
                <w:tab w:val="left" w:pos="3150"/>
              </w:tabs>
              <w:ind w:firstLine="480" w:firstLineChars="200"/>
              <w:rPr>
                <w:color w:val="000000" w:themeColor="text1"/>
                <w:kern w:val="0"/>
                <w:szCs w:val="32"/>
                <w14:textFill>
                  <w14:solidFill>
                    <w14:schemeClr w14:val="tx1"/>
                  </w14:solidFill>
                </w14:textFill>
              </w:rPr>
            </w:pPr>
            <w:bookmarkStart w:id="22" w:name="_Toc107556944"/>
            <w:bookmarkStart w:id="23" w:name="_Toc107649851"/>
            <w:bookmarkStart w:id="24" w:name="_Toc112890547"/>
            <w:bookmarkStart w:id="25" w:name="_Toc107650251"/>
            <w:bookmarkStart w:id="26" w:name="_Toc357796801"/>
            <w:bookmarkStart w:id="27" w:name="_Toc525031506"/>
            <w:bookmarkStart w:id="28" w:name="_Toc107650468"/>
            <w:bookmarkStart w:id="29" w:name="_Toc112903160"/>
            <w:bookmarkStart w:id="30" w:name="_Toc525822257"/>
            <w:bookmarkStart w:id="31" w:name="_Toc263147447"/>
            <w:bookmarkStart w:id="32" w:name="_Toc107546887"/>
            <w:bookmarkStart w:id="33" w:name="_Toc263147641"/>
            <w:bookmarkStart w:id="34" w:name="_Toc113790896"/>
            <w:bookmarkStart w:id="35" w:name="_Toc268695892"/>
            <w:bookmarkStart w:id="36" w:name="_Toc493614945"/>
            <w:bookmarkStart w:id="37" w:name="_Toc221595163"/>
            <w:bookmarkStart w:id="38" w:name="_Toc107557175"/>
            <w:bookmarkStart w:id="39" w:name="_Toc263147059"/>
            <w:bookmarkStart w:id="40" w:name="_Toc263147253"/>
            <w:bookmarkStart w:id="41" w:name="_Toc107557396"/>
            <w:r>
              <w:rPr>
                <w:color w:val="000000" w:themeColor="text1"/>
                <w:kern w:val="0"/>
                <w:szCs w:val="32"/>
                <w14:textFill>
                  <w14:solidFill>
                    <w14:schemeClr w14:val="tx1"/>
                  </w14:solidFill>
                </w14:textFill>
              </w:rPr>
              <w:t>根据项目风险物质调查情况，结合项目风险物质的使用、暂存情况，项目环境风险源主要为气瓶储存区、危废暂存间</w:t>
            </w:r>
            <w:r>
              <w:rPr>
                <w:rStyle w:val="35"/>
                <w:rFonts w:hint="eastAsia"/>
                <w:color w:val="000000" w:themeColor="text1"/>
                <w:kern w:val="0"/>
                <w:szCs w:val="20"/>
                <w14:textFill>
                  <w14:solidFill>
                    <w14:schemeClr w14:val="tx1"/>
                  </w14:solidFill>
                </w14:textFill>
              </w:rPr>
              <w:t>、</w:t>
            </w:r>
            <w:r>
              <w:rPr>
                <w:rFonts w:hint="eastAsia"/>
                <w:color w:val="000000" w:themeColor="text1"/>
                <w:kern w:val="0"/>
                <w:szCs w:val="32"/>
                <w14:textFill>
                  <w14:solidFill>
                    <w14:schemeClr w14:val="tx1"/>
                  </w14:solidFill>
                </w14:textFill>
              </w:rPr>
              <w:t>油品存放区</w:t>
            </w:r>
            <w:r>
              <w:rPr>
                <w:color w:val="000000" w:themeColor="text1"/>
                <w:kern w:val="0"/>
                <w:szCs w:val="32"/>
                <w14:textFill>
                  <w14:solidFill>
                    <w14:schemeClr w14:val="tx1"/>
                  </w14:solidFill>
                </w14:textFill>
              </w:rPr>
              <w:t>。气瓶储存区影响途径主要为乙炔泄露引发火灾、爆炸，生产CO、烟尘等污染物造成大气次生污染</w:t>
            </w:r>
            <w:r>
              <w:rPr>
                <w:rFonts w:hint="eastAsia"/>
                <w:color w:val="000000" w:themeColor="text1"/>
                <w:kern w:val="0"/>
                <w:szCs w:val="32"/>
                <w14:textFill>
                  <w14:solidFill>
                    <w14:schemeClr w14:val="tx1"/>
                  </w14:solidFill>
                </w14:textFill>
              </w:rPr>
              <w:t>。</w:t>
            </w:r>
          </w:p>
          <w:p>
            <w:pPr>
              <w:tabs>
                <w:tab w:val="left" w:pos="540"/>
                <w:tab w:val="left" w:pos="851"/>
                <w:tab w:val="left" w:pos="994"/>
                <w:tab w:val="left" w:pos="1260"/>
                <w:tab w:val="left" w:pos="3108"/>
                <w:tab w:val="left" w:pos="3150"/>
              </w:tabs>
              <w:ind w:firstLine="480" w:firstLineChars="200"/>
              <w:rPr>
                <w:color w:val="000000" w:themeColor="text1"/>
                <w:kern w:val="0"/>
                <w:szCs w:val="32"/>
                <w14:textFill>
                  <w14:solidFill>
                    <w14:schemeClr w14:val="tx1"/>
                  </w14:solidFill>
                </w14:textFill>
              </w:rPr>
            </w:pPr>
            <w:r>
              <w:rPr>
                <w:color w:val="000000" w:themeColor="text1"/>
                <w:kern w:val="0"/>
                <w:szCs w:val="32"/>
                <w14:textFill>
                  <w14:solidFill>
                    <w14:schemeClr w14:val="tx1"/>
                  </w14:solidFill>
                </w14:textFill>
              </w:rPr>
              <w:t>危废暂存间影响途径主要是废</w:t>
            </w:r>
            <w:r>
              <w:rPr>
                <w:rFonts w:hint="eastAsia"/>
                <w:color w:val="000000" w:themeColor="text1"/>
                <w:kern w:val="0"/>
                <w:szCs w:val="32"/>
                <w14:textFill>
                  <w14:solidFill>
                    <w14:schemeClr w14:val="tx1"/>
                  </w14:solidFill>
                </w14:textFill>
              </w:rPr>
              <w:t>矿物油</w:t>
            </w:r>
            <w:r>
              <w:rPr>
                <w:color w:val="000000" w:themeColor="text1"/>
                <w:kern w:val="0"/>
                <w:szCs w:val="32"/>
                <w14:textFill>
                  <w14:solidFill>
                    <w14:schemeClr w14:val="tx1"/>
                  </w14:solidFill>
                </w14:textFill>
              </w:rPr>
              <w:t>储存容器破裂，废</w:t>
            </w:r>
            <w:r>
              <w:rPr>
                <w:rFonts w:hint="eastAsia"/>
                <w:color w:val="000000" w:themeColor="text1"/>
                <w:kern w:val="0"/>
                <w:szCs w:val="32"/>
                <w14:textFill>
                  <w14:solidFill>
                    <w14:schemeClr w14:val="tx1"/>
                  </w14:solidFill>
                </w14:textFill>
              </w:rPr>
              <w:t>矿物油</w:t>
            </w:r>
            <w:r>
              <w:rPr>
                <w:color w:val="000000" w:themeColor="text1"/>
                <w:kern w:val="0"/>
                <w:szCs w:val="32"/>
                <w14:textFill>
                  <w14:solidFill>
                    <w14:schemeClr w14:val="tx1"/>
                  </w14:solidFill>
                </w14:textFill>
              </w:rPr>
              <w:t>出现泄漏、渗漏事故，溢流或者渗漏进入周边土壤和地下水，造成污染。</w:t>
            </w:r>
          </w:p>
          <w:p>
            <w:pPr>
              <w:tabs>
                <w:tab w:val="left" w:pos="540"/>
                <w:tab w:val="left" w:pos="851"/>
                <w:tab w:val="left" w:pos="994"/>
                <w:tab w:val="left" w:pos="1260"/>
                <w:tab w:val="left" w:pos="3108"/>
                <w:tab w:val="left" w:pos="3150"/>
              </w:tabs>
              <w:ind w:firstLine="480" w:firstLineChars="200"/>
              <w:rPr>
                <w:color w:val="000000" w:themeColor="text1"/>
                <w:kern w:val="0"/>
                <w:szCs w:val="32"/>
                <w14:textFill>
                  <w14:solidFill>
                    <w14:schemeClr w14:val="tx1"/>
                  </w14:solidFill>
                </w14:textFill>
              </w:rPr>
            </w:pPr>
            <w:r>
              <w:rPr>
                <w:rFonts w:hint="eastAsia"/>
                <w:color w:val="000000" w:themeColor="text1"/>
                <w:kern w:val="0"/>
                <w:szCs w:val="32"/>
                <w14:textFill>
                  <w14:solidFill>
                    <w14:schemeClr w14:val="tx1"/>
                  </w14:solidFill>
                </w14:textFill>
              </w:rPr>
              <w:t>油品存放区</w:t>
            </w:r>
            <w:r>
              <w:rPr>
                <w:color w:val="000000" w:themeColor="text1"/>
                <w:kern w:val="0"/>
                <w:szCs w:val="32"/>
                <w14:textFill>
                  <w14:solidFill>
                    <w14:schemeClr w14:val="tx1"/>
                  </w14:solidFill>
                </w14:textFill>
              </w:rPr>
              <w:t>影响途径主要是</w:t>
            </w:r>
            <w:r>
              <w:rPr>
                <w:rFonts w:hint="eastAsia"/>
                <w:color w:val="000000" w:themeColor="text1"/>
                <w:kern w:val="0"/>
                <w:szCs w:val="32"/>
                <w14:textFill>
                  <w14:solidFill>
                    <w14:schemeClr w14:val="tx1"/>
                  </w14:solidFill>
                </w14:textFill>
              </w:rPr>
              <w:t>矿物油</w:t>
            </w:r>
            <w:r>
              <w:rPr>
                <w:color w:val="000000" w:themeColor="text1"/>
                <w:kern w:val="0"/>
                <w:szCs w:val="32"/>
                <w14:textFill>
                  <w14:solidFill>
                    <w14:schemeClr w14:val="tx1"/>
                  </w14:solidFill>
                </w14:textFill>
              </w:rPr>
              <w:t>储存容器破裂，</w:t>
            </w:r>
            <w:r>
              <w:rPr>
                <w:rFonts w:hint="eastAsia"/>
                <w:color w:val="000000" w:themeColor="text1"/>
                <w:kern w:val="0"/>
                <w:szCs w:val="32"/>
                <w14:textFill>
                  <w14:solidFill>
                    <w14:schemeClr w14:val="tx1"/>
                  </w14:solidFill>
                </w14:textFill>
              </w:rPr>
              <w:t>矿物油</w:t>
            </w:r>
            <w:r>
              <w:rPr>
                <w:color w:val="000000" w:themeColor="text1"/>
                <w:kern w:val="0"/>
                <w:szCs w:val="32"/>
                <w14:textFill>
                  <w14:solidFill>
                    <w14:schemeClr w14:val="tx1"/>
                  </w14:solidFill>
                </w14:textFill>
              </w:rPr>
              <w:t>出现泄漏、渗漏事故，溢流或者渗漏进入周边土壤和地下水，造成污染。</w:t>
            </w:r>
          </w:p>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Pr>
              <w:ind w:firstLine="482" w:firstLineChars="200"/>
              <w:rPr>
                <w:color w:val="000000" w:themeColor="text1"/>
                <w:kern w:val="0"/>
                <w14:textFill>
                  <w14:solidFill>
                    <w14:schemeClr w14:val="tx1"/>
                  </w14:solidFill>
                </w14:textFill>
              </w:rPr>
            </w:pPr>
            <w:r>
              <w:rPr>
                <w:b/>
                <w:bCs/>
                <w:color w:val="000000" w:themeColor="text1"/>
                <w:kern w:val="0"/>
                <w14:textFill>
                  <w14:solidFill>
                    <w14:schemeClr w14:val="tx1"/>
                  </w14:solidFill>
                </w14:textFill>
              </w:rPr>
              <w:t>4、环境风险防范措施</w:t>
            </w:r>
          </w:p>
          <w:p>
            <w:pPr>
              <w:tabs>
                <w:tab w:val="left" w:pos="540"/>
                <w:tab w:val="left" w:pos="851"/>
                <w:tab w:val="left" w:pos="994"/>
                <w:tab w:val="left" w:pos="1260"/>
                <w:tab w:val="left" w:pos="3108"/>
                <w:tab w:val="left" w:pos="3150"/>
              </w:tabs>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（1）危废暂存间严格按照《危险废物贮存污染控制标准》（GB18597-2001）要求进行建设，地面和裙角进行防渗设计，防渗系数≤</w:t>
            </w:r>
            <w:r>
              <w:rPr>
                <w:rFonts w:hint="eastAsia"/>
                <w:color w:val="000000" w:themeColor="text1"/>
                <w:kern w:val="0"/>
                <w14:textFill>
                  <w14:solidFill>
                    <w14:schemeClr w14:val="tx1"/>
                  </w14:solidFill>
                </w14:textFill>
              </w:rPr>
              <w:t>1.0×</w:t>
            </w:r>
            <w:r>
              <w:rPr>
                <w:color w:val="000000" w:themeColor="text1"/>
                <w:kern w:val="0"/>
                <w14:textFill>
                  <w14:solidFill>
                    <w14:schemeClr w14:val="tx1"/>
                  </w14:solidFill>
                </w14:textFill>
              </w:rPr>
              <w:t>10</w:t>
            </w:r>
            <w:r>
              <w:rPr>
                <w:color w:val="000000" w:themeColor="text1"/>
                <w:kern w:val="0"/>
                <w:vertAlign w:val="superscript"/>
                <w14:textFill>
                  <w14:solidFill>
                    <w14:schemeClr w14:val="tx1"/>
                  </w14:solidFill>
                </w14:textFill>
              </w:rPr>
              <w:t>-10</w:t>
            </w:r>
            <w:r>
              <w:rPr>
                <w:color w:val="000000" w:themeColor="text1"/>
                <w:kern w:val="0"/>
                <w14:textFill>
                  <w14:solidFill>
                    <w14:schemeClr w14:val="tx1"/>
                  </w14:solidFill>
                </w14:textFill>
              </w:rPr>
              <w:t>cm/s，地面向内形成一定的坡度，并设置围堰或在门口设置门槛，防止废</w:t>
            </w:r>
            <w:r>
              <w:rPr>
                <w:rFonts w:hint="eastAsia"/>
                <w:color w:val="000000" w:themeColor="text1"/>
                <w:kern w:val="0"/>
                <w14:textFill>
                  <w14:solidFill>
                    <w14:schemeClr w14:val="tx1"/>
                  </w14:solidFill>
                </w14:textFill>
              </w:rPr>
              <w:t>矿物油</w:t>
            </w:r>
            <w:r>
              <w:rPr>
                <w:color w:val="000000" w:themeColor="text1"/>
                <w:kern w:val="0"/>
                <w14:textFill>
                  <w14:solidFill>
                    <w14:schemeClr w14:val="tx1"/>
                  </w14:solidFill>
                </w14:textFill>
              </w:rPr>
              <w:t>泄漏后进入外环境。</w:t>
            </w:r>
          </w:p>
          <w:p>
            <w:pPr>
              <w:tabs>
                <w:tab w:val="left" w:pos="540"/>
                <w:tab w:val="left" w:pos="851"/>
                <w:tab w:val="left" w:pos="994"/>
                <w:tab w:val="left" w:pos="1260"/>
                <w:tab w:val="left" w:pos="3108"/>
                <w:tab w:val="left" w:pos="3150"/>
              </w:tabs>
              <w:ind w:firstLine="480" w:firstLineChars="200"/>
              <w:rPr>
                <w:rFonts w:hint="eastAsia" w:eastAsia="宋体"/>
                <w:color w:val="000000" w:themeColor="text1"/>
                <w:kern w:val="0"/>
                <w:lang w:eastAsia="zh-CN"/>
                <w14:textFill>
                  <w14:solidFill>
                    <w14:schemeClr w14:val="tx1"/>
                  </w14:solidFill>
                </w14:textFill>
              </w:rPr>
            </w:pPr>
            <w:r>
              <w:rPr>
                <w:color w:val="000000" w:themeColor="text1"/>
                <w:kern w:val="0"/>
                <w14:textFill>
                  <w14:solidFill>
                    <w14:schemeClr w14:val="tx1"/>
                  </w14:solidFill>
                </w14:textFill>
              </w:rPr>
              <w:t>（</w:t>
            </w:r>
            <w:r>
              <w:rPr>
                <w:rFonts w:hint="eastAsia"/>
                <w:color w:val="000000" w:themeColor="text1"/>
                <w:kern w:val="0"/>
                <w:lang w:val="en-US" w:eastAsia="zh-CN"/>
                <w14:textFill>
                  <w14:solidFill>
                    <w14:schemeClr w14:val="tx1"/>
                  </w14:solidFill>
                </w14:textFill>
              </w:rPr>
              <w:t>2</w:t>
            </w:r>
            <w:r>
              <w:rPr>
                <w:color w:val="000000" w:themeColor="text1"/>
                <w:kern w:val="0"/>
                <w14:textFill>
                  <w14:solidFill>
                    <w14:schemeClr w14:val="tx1"/>
                  </w14:solidFill>
                </w14:textFill>
              </w:rPr>
              <w:t>）</w:t>
            </w:r>
            <w:r>
              <w:rPr>
                <w:rFonts w:hint="eastAsia"/>
                <w:color w:val="000000" w:themeColor="text1"/>
                <w:kern w:val="0"/>
                <w14:textFill>
                  <w14:solidFill>
                    <w14:schemeClr w14:val="tx1"/>
                  </w14:solidFill>
                </w14:textFill>
              </w:rPr>
              <w:t>油品存放区</w:t>
            </w:r>
            <w:r>
              <w:rPr>
                <w:color w:val="000000" w:themeColor="text1"/>
                <w:kern w:val="0"/>
                <w14:textFill>
                  <w14:solidFill>
                    <w14:schemeClr w14:val="tx1"/>
                  </w14:solidFill>
                </w14:textFill>
              </w:rPr>
              <w:t>地面和裙角进行防渗设计</w:t>
            </w:r>
            <w:r>
              <w:rPr>
                <w:rFonts w:hint="eastAsia"/>
                <w:color w:val="000000" w:themeColor="text1"/>
                <w:kern w:val="0"/>
                <w14:textFill>
                  <w14:solidFill>
                    <w14:schemeClr w14:val="tx1"/>
                  </w14:solidFill>
                </w14:textFill>
              </w:rPr>
              <w:t>，</w:t>
            </w:r>
            <w:r>
              <w:rPr>
                <w:color w:val="000000" w:themeColor="text1"/>
                <w:kern w:val="0"/>
                <w14:textFill>
                  <w14:solidFill>
                    <w14:schemeClr w14:val="tx1"/>
                  </w14:solidFill>
                </w14:textFill>
              </w:rPr>
              <w:t>防渗系数≤</w:t>
            </w:r>
            <w:r>
              <w:rPr>
                <w:rFonts w:hint="eastAsia"/>
                <w:color w:val="000000" w:themeColor="text1"/>
                <w:kern w:val="0"/>
                <w14:textFill>
                  <w14:solidFill>
                    <w14:schemeClr w14:val="tx1"/>
                  </w14:solidFill>
                </w14:textFill>
              </w:rPr>
              <w:t>1.0×</w:t>
            </w:r>
            <w:r>
              <w:rPr>
                <w:color w:val="000000" w:themeColor="text1"/>
                <w:kern w:val="0"/>
                <w14:textFill>
                  <w14:solidFill>
                    <w14:schemeClr w14:val="tx1"/>
                  </w14:solidFill>
                </w14:textFill>
              </w:rPr>
              <w:t>10</w:t>
            </w:r>
            <w:r>
              <w:rPr>
                <w:color w:val="000000" w:themeColor="text1"/>
                <w:kern w:val="0"/>
                <w:vertAlign w:val="superscript"/>
                <w14:textFill>
                  <w14:solidFill>
                    <w14:schemeClr w14:val="tx1"/>
                  </w14:solidFill>
                </w14:textFill>
              </w:rPr>
              <w:t>-10</w:t>
            </w:r>
            <w:r>
              <w:rPr>
                <w:color w:val="000000" w:themeColor="text1"/>
                <w:kern w:val="0"/>
                <w14:textFill>
                  <w14:solidFill>
                    <w14:schemeClr w14:val="tx1"/>
                  </w14:solidFill>
                </w14:textFill>
              </w:rPr>
              <w:t>cm/s，设置围堰，防止</w:t>
            </w:r>
            <w:r>
              <w:rPr>
                <w:rFonts w:hint="eastAsia"/>
                <w:color w:val="000000" w:themeColor="text1"/>
                <w:kern w:val="0"/>
                <w14:textFill>
                  <w14:solidFill>
                    <w14:schemeClr w14:val="tx1"/>
                  </w14:solidFill>
                </w14:textFill>
              </w:rPr>
              <w:t>矿物油</w:t>
            </w:r>
            <w:r>
              <w:rPr>
                <w:color w:val="000000" w:themeColor="text1"/>
                <w:kern w:val="0"/>
                <w14:textFill>
                  <w14:solidFill>
                    <w14:schemeClr w14:val="tx1"/>
                  </w14:solidFill>
                </w14:textFill>
              </w:rPr>
              <w:t>泄漏后进入外环境</w:t>
            </w:r>
            <w:r>
              <w:rPr>
                <w:rFonts w:hint="eastAsia"/>
                <w:color w:val="000000" w:themeColor="text1"/>
                <w:kern w:val="0"/>
                <w:lang w:eastAsia="zh-CN"/>
                <w14:textFill>
                  <w14:solidFill>
                    <w14:schemeClr w14:val="tx1"/>
                  </w14:solidFill>
                </w14:textFill>
              </w:rPr>
              <w:t>。</w:t>
            </w:r>
          </w:p>
          <w:p>
            <w:pPr>
              <w:tabs>
                <w:tab w:val="left" w:pos="540"/>
                <w:tab w:val="left" w:pos="851"/>
                <w:tab w:val="left" w:pos="994"/>
                <w:tab w:val="left" w:pos="1260"/>
                <w:tab w:val="left" w:pos="3108"/>
                <w:tab w:val="left" w:pos="3150"/>
              </w:tabs>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（3）设置专人进行管理，定期对废</w:t>
            </w:r>
            <w:r>
              <w:rPr>
                <w:rFonts w:hint="eastAsia"/>
                <w:color w:val="000000" w:themeColor="text1"/>
                <w:kern w:val="0"/>
                <w14:textFill>
                  <w14:solidFill>
                    <w14:schemeClr w14:val="tx1"/>
                  </w14:solidFill>
                </w14:textFill>
              </w:rPr>
              <w:t>矿物</w:t>
            </w:r>
            <w:r>
              <w:rPr>
                <w:color w:val="000000" w:themeColor="text1"/>
                <w:kern w:val="0"/>
                <w14:textFill>
                  <w14:solidFill>
                    <w14:schemeClr w14:val="tx1"/>
                  </w14:solidFill>
                </w14:textFill>
              </w:rPr>
              <w:t>油收集桶</w:t>
            </w:r>
            <w:r>
              <w:rPr>
                <w:rFonts w:hint="eastAsia"/>
                <w:color w:val="000000" w:themeColor="text1"/>
                <w:kern w:val="0"/>
                <w14:textFill>
                  <w14:solidFill>
                    <w14:schemeClr w14:val="tx1"/>
                  </w14:solidFill>
                </w14:textFill>
              </w:rPr>
              <w:t>、矿物油容器</w:t>
            </w:r>
            <w:r>
              <w:rPr>
                <w:color w:val="000000" w:themeColor="text1"/>
                <w:kern w:val="0"/>
                <w14:textFill>
                  <w14:solidFill>
                    <w14:schemeClr w14:val="tx1"/>
                  </w14:solidFill>
                </w14:textFill>
              </w:rPr>
              <w:t>进行检查，并做好巡检记录及时发现事故隐患并迅速给以消除。</w:t>
            </w:r>
          </w:p>
          <w:p>
            <w:pPr>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（4）按照《突发环境事件应急预案管理暂行办法》的要求，编制突发环境事件应急预案，并报昆明市生态环境局晋宁分局备案。建立完善的应急报告制度，落实应急物资和经费，日常加强应急演练。</w:t>
            </w:r>
          </w:p>
          <w:p>
            <w:pPr>
              <w:pStyle w:val="5"/>
              <w:ind w:firstLine="482"/>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八、环保投资</w:t>
            </w:r>
          </w:p>
          <w:p>
            <w:pPr>
              <w:adjustRightInd w:val="0"/>
              <w:snapToGrid w:val="0"/>
              <w:ind w:firstLine="480" w:firstLineChars="200"/>
              <w:rPr>
                <w:snapToGrid w:val="0"/>
                <w:color w:val="000000" w:themeColor="text1"/>
                <w:kern w:val="0"/>
                <w14:textFill>
                  <w14:solidFill>
                    <w14:schemeClr w14:val="tx1"/>
                  </w14:solidFill>
                </w14:textFill>
              </w:rPr>
            </w:pPr>
            <w:r>
              <w:rPr>
                <w:snapToGrid w:val="0"/>
                <w:color w:val="000000" w:themeColor="text1"/>
                <w:kern w:val="0"/>
                <w14:textFill>
                  <w14:solidFill>
                    <w14:schemeClr w14:val="tx1"/>
                  </w14:solidFill>
                </w14:textFill>
              </w:rPr>
              <w:t>本项目总投资为</w:t>
            </w:r>
            <w:r>
              <w:rPr>
                <w:rFonts w:hint="eastAsia"/>
                <w:color w:val="000000" w:themeColor="text1"/>
                <w:kern w:val="0"/>
                <w14:textFill>
                  <w14:solidFill>
                    <w14:schemeClr w14:val="tx1"/>
                  </w14:solidFill>
                </w14:textFill>
              </w:rPr>
              <w:t>1000</w:t>
            </w:r>
            <w:r>
              <w:rPr>
                <w:color w:val="000000" w:themeColor="text1"/>
                <w:kern w:val="0"/>
                <w14:textFill>
                  <w14:solidFill>
                    <w14:schemeClr w14:val="tx1"/>
                  </w14:solidFill>
                </w14:textFill>
              </w:rPr>
              <w:t>万元</w:t>
            </w:r>
            <w:r>
              <w:rPr>
                <w:snapToGrid w:val="0"/>
                <w:color w:val="000000" w:themeColor="text1"/>
                <w:kern w:val="0"/>
                <w14:textFill>
                  <w14:solidFill>
                    <w14:schemeClr w14:val="tx1"/>
                  </w14:solidFill>
                </w14:textFill>
              </w:rPr>
              <w:t>，其中环保投资约为</w:t>
            </w:r>
            <w:r>
              <w:rPr>
                <w:rFonts w:hint="eastAsia"/>
                <w:snapToGrid w:val="0"/>
                <w:color w:val="000000" w:themeColor="text1"/>
                <w:kern w:val="0"/>
                <w14:textFill>
                  <w14:solidFill>
                    <w14:schemeClr w14:val="tx1"/>
                  </w14:solidFill>
                </w14:textFill>
              </w:rPr>
              <w:t>12.9</w:t>
            </w:r>
            <w:r>
              <w:rPr>
                <w:snapToGrid w:val="0"/>
                <w:color w:val="000000" w:themeColor="text1"/>
                <w:kern w:val="0"/>
                <w14:textFill>
                  <w14:solidFill>
                    <w14:schemeClr w14:val="tx1"/>
                  </w14:solidFill>
                </w14:textFill>
              </w:rPr>
              <w:t>万元，占总投资的</w:t>
            </w:r>
            <w:r>
              <w:rPr>
                <w:rFonts w:hint="eastAsia"/>
                <w:snapToGrid w:val="0"/>
                <w:color w:val="000000" w:themeColor="text1"/>
                <w:kern w:val="0"/>
                <w14:textFill>
                  <w14:solidFill>
                    <w14:schemeClr w14:val="tx1"/>
                  </w14:solidFill>
                </w14:textFill>
              </w:rPr>
              <w:t>1.29</w:t>
            </w:r>
            <w:r>
              <w:rPr>
                <w:snapToGrid w:val="0"/>
                <w:color w:val="000000" w:themeColor="text1"/>
                <w:kern w:val="0"/>
                <w14:textFill>
                  <w14:solidFill>
                    <w14:schemeClr w14:val="tx1"/>
                  </w14:solidFill>
                </w14:textFill>
              </w:rPr>
              <w:t>%。环保投资见表</w:t>
            </w:r>
            <w:r>
              <w:rPr>
                <w:rFonts w:hint="eastAsia"/>
                <w:snapToGrid w:val="0"/>
                <w:color w:val="000000" w:themeColor="text1"/>
                <w:kern w:val="0"/>
                <w14:textFill>
                  <w14:solidFill>
                    <w14:schemeClr w14:val="tx1"/>
                  </w14:solidFill>
                </w14:textFill>
              </w:rPr>
              <w:t>4</w:t>
            </w:r>
            <w:r>
              <w:rPr>
                <w:snapToGrid w:val="0"/>
                <w:color w:val="000000" w:themeColor="text1"/>
                <w:kern w:val="0"/>
                <w14:textFill>
                  <w14:solidFill>
                    <w14:schemeClr w14:val="tx1"/>
                  </w14:solidFill>
                </w14:textFill>
              </w:rPr>
              <w:t>-</w:t>
            </w:r>
            <w:r>
              <w:rPr>
                <w:rFonts w:hint="eastAsia"/>
                <w:snapToGrid w:val="0"/>
                <w:color w:val="000000" w:themeColor="text1"/>
                <w:kern w:val="0"/>
                <w14:textFill>
                  <w14:solidFill>
                    <w14:schemeClr w14:val="tx1"/>
                  </w14:solidFill>
                </w14:textFill>
              </w:rPr>
              <w:t>15</w:t>
            </w:r>
            <w:r>
              <w:rPr>
                <w:snapToGrid w:val="0"/>
                <w:color w:val="000000" w:themeColor="text1"/>
                <w:kern w:val="0"/>
                <w14:textFill>
                  <w14:solidFill>
                    <w14:schemeClr w14:val="tx1"/>
                  </w14:solidFill>
                </w14:textFill>
              </w:rPr>
              <w:t>所示。</w:t>
            </w:r>
          </w:p>
          <w:p>
            <w:pPr>
              <w:pStyle w:val="61"/>
              <w:adjustRightInd/>
              <w:snapToGrid/>
              <w:rPr>
                <w:rFonts w:eastAsia="宋体"/>
                <w:color w:val="000000" w:themeColor="text1"/>
                <w:sz w:val="24"/>
                <w:szCs w:val="22"/>
                <w14:textFill>
                  <w14:solidFill>
                    <w14:schemeClr w14:val="tx1"/>
                  </w14:solidFill>
                </w14:textFill>
              </w:rPr>
            </w:pPr>
            <w:r>
              <w:rPr>
                <w:rFonts w:eastAsia="宋体"/>
                <w:color w:val="000000" w:themeColor="text1"/>
                <w:sz w:val="24"/>
                <w:szCs w:val="22"/>
                <w14:textFill>
                  <w14:solidFill>
                    <w14:schemeClr w14:val="tx1"/>
                  </w14:solidFill>
                </w14:textFill>
              </w:rPr>
              <w:t>表</w:t>
            </w:r>
            <w:r>
              <w:rPr>
                <w:rFonts w:hint="eastAsia" w:eastAsia="宋体"/>
                <w:color w:val="000000" w:themeColor="text1"/>
                <w:sz w:val="24"/>
                <w:szCs w:val="22"/>
                <w14:textFill>
                  <w14:solidFill>
                    <w14:schemeClr w14:val="tx1"/>
                  </w14:solidFill>
                </w14:textFill>
              </w:rPr>
              <w:t>4</w:t>
            </w:r>
            <w:r>
              <w:rPr>
                <w:rFonts w:eastAsia="宋体"/>
                <w:color w:val="000000" w:themeColor="text1"/>
                <w:sz w:val="24"/>
                <w:szCs w:val="22"/>
                <w14:textFill>
                  <w14:solidFill>
                    <w14:schemeClr w14:val="tx1"/>
                  </w14:solidFill>
                </w14:textFill>
              </w:rPr>
              <w:t>-</w:t>
            </w:r>
            <w:r>
              <w:rPr>
                <w:rFonts w:hint="eastAsia" w:eastAsia="宋体"/>
                <w:color w:val="000000" w:themeColor="text1"/>
                <w:sz w:val="24"/>
                <w:szCs w:val="22"/>
                <w14:textFill>
                  <w14:solidFill>
                    <w14:schemeClr w14:val="tx1"/>
                  </w14:solidFill>
                </w14:textFill>
              </w:rPr>
              <w:t>15</w:t>
            </w:r>
            <w:r>
              <w:rPr>
                <w:rFonts w:eastAsia="宋体"/>
                <w:color w:val="000000" w:themeColor="text1"/>
                <w:sz w:val="24"/>
                <w:szCs w:val="22"/>
                <w14:textFill>
                  <w14:solidFill>
                    <w14:schemeClr w14:val="tx1"/>
                  </w14:solidFill>
                </w14:textFill>
              </w:rPr>
              <w:t xml:space="preserve">   项目环保投资一览表</w:t>
            </w:r>
          </w:p>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0"/>
              <w:gridCol w:w="570"/>
              <w:gridCol w:w="1193"/>
              <w:gridCol w:w="4650"/>
              <w:gridCol w:w="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64" w:type="pct"/>
                  <w:gridSpan w:val="3"/>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污染源</w:t>
                  </w:r>
                </w:p>
              </w:tc>
              <w:tc>
                <w:tcPr>
                  <w:tcW w:w="2930" w:type="pct"/>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防治措施</w:t>
                  </w:r>
                </w:p>
              </w:tc>
              <w:tc>
                <w:tcPr>
                  <w:tcW w:w="605" w:type="pct"/>
                  <w:vAlign w:val="center"/>
                </w:tcPr>
                <w:p>
                  <w:pPr>
                    <w:adjustRightInd w:val="0"/>
                    <w:snapToGrid w:val="0"/>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金额</w:t>
                  </w:r>
                </w:p>
                <w:p>
                  <w:pPr>
                    <w:adjustRightInd w:val="0"/>
                    <w:snapToGrid w:val="0"/>
                    <w:spacing w:line="240" w:lineRule="auto"/>
                    <w:jc w:val="center"/>
                    <w:rPr>
                      <w:b/>
                      <w:bCs/>
                      <w:color w:val="000000" w:themeColor="text1"/>
                      <w:kern w:val="0"/>
                      <w:sz w:val="21"/>
                      <w:szCs w:val="21"/>
                      <w14:textFill>
                        <w14:solidFill>
                          <w14:schemeClr w14:val="tx1"/>
                        </w14:solidFill>
                      </w14:textFill>
                    </w:rPr>
                  </w:pPr>
                  <w:r>
                    <w:rPr>
                      <w:b/>
                      <w:bCs/>
                      <w:color w:val="000000" w:themeColor="text1"/>
                      <w:kern w:val="0"/>
                      <w:sz w:val="21"/>
                      <w:szCs w:val="21"/>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 w:type="pct"/>
                  <w:vMerge w:val="restar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施工期</w:t>
                  </w:r>
                </w:p>
              </w:tc>
              <w:tc>
                <w:tcPr>
                  <w:tcW w:w="1110" w:type="pct"/>
                  <w:gridSpan w:val="2"/>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施工扬尘</w:t>
                  </w:r>
                </w:p>
              </w:tc>
              <w:tc>
                <w:tcPr>
                  <w:tcW w:w="2930"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洒水降尘。</w:t>
                  </w:r>
                </w:p>
              </w:tc>
              <w:tc>
                <w:tcPr>
                  <w:tcW w:w="605"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 w:type="pct"/>
                  <w:vMerge w:val="continue"/>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p>
              </w:tc>
              <w:tc>
                <w:tcPr>
                  <w:tcW w:w="1110" w:type="pct"/>
                  <w:gridSpan w:val="2"/>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生活废水</w:t>
                  </w:r>
                </w:p>
              </w:tc>
              <w:tc>
                <w:tcPr>
                  <w:tcW w:w="2930"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依托园区现有设施处理。</w:t>
                  </w:r>
                </w:p>
              </w:tc>
              <w:tc>
                <w:tcPr>
                  <w:tcW w:w="605"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 w:type="pct"/>
                  <w:vMerge w:val="restar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营运期</w:t>
                  </w:r>
                </w:p>
              </w:tc>
              <w:tc>
                <w:tcPr>
                  <w:tcW w:w="359" w:type="pct"/>
                  <w:vMerge w:val="restar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废气</w:t>
                  </w:r>
                </w:p>
              </w:tc>
              <w:tc>
                <w:tcPr>
                  <w:tcW w:w="751"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食堂油烟</w:t>
                  </w:r>
                </w:p>
              </w:tc>
              <w:tc>
                <w:tcPr>
                  <w:tcW w:w="2930"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灶头顶部设集气罩，风量4000m</w:t>
                  </w:r>
                  <w:r>
                    <w:rPr>
                      <w:color w:val="000000" w:themeColor="text1"/>
                      <w:kern w:val="0"/>
                      <w:sz w:val="21"/>
                      <w:szCs w:val="21"/>
                      <w:vertAlign w:val="superscript"/>
                      <w14:textFill>
                        <w14:solidFill>
                          <w14:schemeClr w14:val="tx1"/>
                        </w14:solidFill>
                      </w14:textFill>
                    </w:rPr>
                    <w:t>3</w:t>
                  </w:r>
                  <w:r>
                    <w:rPr>
                      <w:color w:val="000000" w:themeColor="text1"/>
                      <w:kern w:val="0"/>
                      <w:sz w:val="21"/>
                      <w:szCs w:val="21"/>
                      <w14:textFill>
                        <w14:solidFill>
                          <w14:schemeClr w14:val="tx1"/>
                        </w14:solidFill>
                      </w14:textFill>
                    </w:rPr>
                    <w:t>/h，油烟收集后设1套油烟净化器进行处理，最终引至楼顶排放。</w:t>
                  </w:r>
                </w:p>
              </w:tc>
              <w:tc>
                <w:tcPr>
                  <w:tcW w:w="605" w:type="pct"/>
                  <w:vAlign w:val="center"/>
                </w:tcPr>
                <w:p>
                  <w:pPr>
                    <w:pStyle w:val="20"/>
                    <w:adjustRightInd w:val="0"/>
                    <w:snapToGrid w:val="0"/>
                    <w:spacing w:after="0" w:line="240" w:lineRule="auto"/>
                    <w:ind w:left="0" w:leftChars="0"/>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 w:type="pct"/>
                  <w:vMerge w:val="continue"/>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p>
              </w:tc>
              <w:tc>
                <w:tcPr>
                  <w:tcW w:w="359" w:type="pct"/>
                  <w:vMerge w:val="continue"/>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p>
              </w:tc>
              <w:tc>
                <w:tcPr>
                  <w:tcW w:w="751"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喷涂废气</w:t>
                  </w:r>
                </w:p>
              </w:tc>
              <w:tc>
                <w:tcPr>
                  <w:tcW w:w="2930"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喷涂废气经集气罩收集后经过滤棉+活性炭吸附后，通过15m高排气筒排放。</w:t>
                  </w:r>
                </w:p>
              </w:tc>
              <w:tc>
                <w:tcPr>
                  <w:tcW w:w="605" w:type="pct"/>
                  <w:vAlign w:val="center"/>
                </w:tcPr>
                <w:p>
                  <w:pPr>
                    <w:pStyle w:val="20"/>
                    <w:adjustRightInd w:val="0"/>
                    <w:snapToGrid w:val="0"/>
                    <w:spacing w:after="0" w:line="240" w:lineRule="auto"/>
                    <w:ind w:left="0" w:left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 w:type="pct"/>
                  <w:vMerge w:val="continue"/>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p>
              </w:tc>
              <w:tc>
                <w:tcPr>
                  <w:tcW w:w="359" w:type="pct"/>
                  <w:vMerge w:val="continue"/>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p>
              </w:tc>
              <w:tc>
                <w:tcPr>
                  <w:tcW w:w="751"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焊接烟气</w:t>
                  </w:r>
                </w:p>
              </w:tc>
              <w:tc>
                <w:tcPr>
                  <w:tcW w:w="2930"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设置焊接区，并设置移动式焊接除尘净化器对焊接烟尘进行收集处理。</w:t>
                  </w:r>
                </w:p>
              </w:tc>
              <w:tc>
                <w:tcPr>
                  <w:tcW w:w="605" w:type="pct"/>
                  <w:vAlign w:val="center"/>
                </w:tcPr>
                <w:p>
                  <w:pPr>
                    <w:pStyle w:val="20"/>
                    <w:adjustRightInd w:val="0"/>
                    <w:snapToGrid w:val="0"/>
                    <w:spacing w:after="0" w:line="240" w:lineRule="auto"/>
                    <w:ind w:left="0" w:leftChars="0"/>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353" w:type="pct"/>
                  <w:vMerge w:val="continue"/>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p>
              </w:tc>
              <w:tc>
                <w:tcPr>
                  <w:tcW w:w="359" w:type="pct"/>
                  <w:vMerge w:val="restar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废水</w:t>
                  </w:r>
                </w:p>
              </w:tc>
              <w:tc>
                <w:tcPr>
                  <w:tcW w:w="751"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食堂废水</w:t>
                  </w:r>
                </w:p>
              </w:tc>
              <w:tc>
                <w:tcPr>
                  <w:tcW w:w="2930"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自建1个容积1.0m</w:t>
                  </w:r>
                  <w:r>
                    <w:rPr>
                      <w:color w:val="000000" w:themeColor="text1"/>
                      <w:kern w:val="0"/>
                      <w:sz w:val="21"/>
                      <w:szCs w:val="21"/>
                      <w:vertAlign w:val="superscript"/>
                      <w14:textFill>
                        <w14:solidFill>
                          <w14:schemeClr w14:val="tx1"/>
                        </w14:solidFill>
                      </w14:textFill>
                    </w:rPr>
                    <w:t>3</w:t>
                  </w:r>
                  <w:r>
                    <w:rPr>
                      <w:color w:val="000000" w:themeColor="text1"/>
                      <w:kern w:val="0"/>
                      <w:sz w:val="21"/>
                      <w:szCs w:val="21"/>
                      <w14:textFill>
                        <w14:solidFill>
                          <w14:schemeClr w14:val="tx1"/>
                        </w14:solidFill>
                      </w14:textFill>
                    </w:rPr>
                    <w:t>的隔油池进行处理。</w:t>
                  </w:r>
                </w:p>
              </w:tc>
              <w:tc>
                <w:tcPr>
                  <w:tcW w:w="605"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 w:type="pct"/>
                  <w:vMerge w:val="continue"/>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p>
              </w:tc>
              <w:tc>
                <w:tcPr>
                  <w:tcW w:w="359" w:type="pct"/>
                  <w:vMerge w:val="continue"/>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p>
              </w:tc>
              <w:tc>
                <w:tcPr>
                  <w:tcW w:w="751"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生活废水</w:t>
                  </w:r>
                </w:p>
              </w:tc>
              <w:tc>
                <w:tcPr>
                  <w:tcW w:w="2930"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依托</w:t>
                  </w:r>
                  <w:r>
                    <w:rPr>
                      <w:rFonts w:hint="eastAsia"/>
                      <w:color w:val="000000" w:themeColor="text1"/>
                      <w:kern w:val="0"/>
                      <w:sz w:val="21"/>
                      <w:szCs w:val="21"/>
                      <w14:textFill>
                        <w14:solidFill>
                          <w14:schemeClr w14:val="tx1"/>
                        </w14:solidFill>
                      </w14:textFill>
                    </w:rPr>
                    <w:t>晋宁志诚物流有限责任公司</w:t>
                  </w:r>
                  <w:r>
                    <w:rPr>
                      <w:color w:val="000000" w:themeColor="text1"/>
                      <w:kern w:val="0"/>
                      <w:sz w:val="21"/>
                      <w:szCs w:val="21"/>
                      <w14:textFill>
                        <w14:solidFill>
                          <w14:schemeClr w14:val="tx1"/>
                        </w14:solidFill>
                      </w14:textFill>
                    </w:rPr>
                    <w:t>已建化粪池处理。</w:t>
                  </w:r>
                </w:p>
              </w:tc>
              <w:tc>
                <w:tcPr>
                  <w:tcW w:w="605"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 w:type="pct"/>
                  <w:vMerge w:val="continue"/>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p>
              </w:tc>
              <w:tc>
                <w:tcPr>
                  <w:tcW w:w="1110" w:type="pct"/>
                  <w:gridSpan w:val="2"/>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噪声</w:t>
                  </w:r>
                </w:p>
              </w:tc>
              <w:tc>
                <w:tcPr>
                  <w:tcW w:w="2930"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基础减震。</w:t>
                  </w:r>
                </w:p>
              </w:tc>
              <w:tc>
                <w:tcPr>
                  <w:tcW w:w="605"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 w:type="pct"/>
                  <w:vMerge w:val="continue"/>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p>
              </w:tc>
              <w:tc>
                <w:tcPr>
                  <w:tcW w:w="359" w:type="pct"/>
                  <w:vMerge w:val="restar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固废</w:t>
                  </w:r>
                </w:p>
              </w:tc>
              <w:tc>
                <w:tcPr>
                  <w:tcW w:w="751"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生活垃圾</w:t>
                  </w:r>
                </w:p>
              </w:tc>
              <w:tc>
                <w:tcPr>
                  <w:tcW w:w="2930"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设若干垃圾收集桶。</w:t>
                  </w:r>
                </w:p>
              </w:tc>
              <w:tc>
                <w:tcPr>
                  <w:tcW w:w="605"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 w:type="pct"/>
                  <w:vMerge w:val="continue"/>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p>
              </w:tc>
              <w:tc>
                <w:tcPr>
                  <w:tcW w:w="359" w:type="pct"/>
                  <w:vMerge w:val="continue"/>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p>
              </w:tc>
              <w:tc>
                <w:tcPr>
                  <w:tcW w:w="751"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危险废物</w:t>
                  </w:r>
                </w:p>
              </w:tc>
              <w:tc>
                <w:tcPr>
                  <w:tcW w:w="2930"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设1间危废暂存间。</w:t>
                  </w:r>
                </w:p>
              </w:tc>
              <w:tc>
                <w:tcPr>
                  <w:tcW w:w="605"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 w:type="pct"/>
                  <w:vMerge w:val="continue"/>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p>
              </w:tc>
              <w:tc>
                <w:tcPr>
                  <w:tcW w:w="1110" w:type="pct"/>
                  <w:gridSpan w:val="2"/>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风险</w:t>
                  </w:r>
                </w:p>
              </w:tc>
              <w:tc>
                <w:tcPr>
                  <w:tcW w:w="2930"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危废暂存间设置围堰，</w:t>
                  </w:r>
                  <w:r>
                    <w:rPr>
                      <w:rFonts w:hint="eastAsia"/>
                      <w:color w:val="000000" w:themeColor="text1"/>
                      <w:kern w:val="0"/>
                      <w:sz w:val="21"/>
                      <w:szCs w:val="21"/>
                      <w:lang w:eastAsia="zh-CN"/>
                      <w14:textFill>
                        <w14:solidFill>
                          <w14:schemeClr w14:val="tx1"/>
                        </w14:solidFill>
                      </w14:textFill>
                    </w:rPr>
                    <w:t>危废暂存间</w:t>
                  </w:r>
                  <w:r>
                    <w:rPr>
                      <w:rFonts w:hint="eastAsia"/>
                      <w:color w:val="000000" w:themeColor="text1"/>
                      <w:kern w:val="0"/>
                      <w:sz w:val="21"/>
                      <w:szCs w:val="21"/>
                      <w14:textFill>
                        <w14:solidFill>
                          <w14:schemeClr w14:val="tx1"/>
                        </w14:solidFill>
                      </w14:textFill>
                    </w:rPr>
                    <w:t>、油品存放区防渗处理</w:t>
                  </w:r>
                </w:p>
              </w:tc>
              <w:tc>
                <w:tcPr>
                  <w:tcW w:w="605"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4" w:type="pct"/>
                  <w:gridSpan w:val="3"/>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合计</w:t>
                  </w:r>
                </w:p>
              </w:tc>
              <w:tc>
                <w:tcPr>
                  <w:tcW w:w="2930"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w:t>
                  </w:r>
                </w:p>
              </w:tc>
              <w:tc>
                <w:tcPr>
                  <w:tcW w:w="605" w:type="pct"/>
                  <w:vAlign w:val="center"/>
                </w:tcPr>
                <w:p>
                  <w:pPr>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12.9</w:t>
                  </w:r>
                </w:p>
              </w:tc>
            </w:tr>
          </w:tbl>
          <w:p>
            <w:pPr>
              <w:ind w:firstLine="480" w:firstLineChars="200"/>
              <w:rPr>
                <w:color w:val="000000" w:themeColor="text1"/>
                <w:kern w:val="0"/>
                <w14:textFill>
                  <w14:solidFill>
                    <w14:schemeClr w14:val="tx1"/>
                  </w14:solidFill>
                </w14:textFill>
              </w:rPr>
            </w:pPr>
          </w:p>
        </w:tc>
      </w:tr>
    </w:tbl>
    <w:p>
      <w:pPr>
        <w:adjustRightInd w:val="0"/>
        <w:snapToGrid w:val="0"/>
        <w:rPr>
          <w:b/>
          <w:color w:val="000000" w:themeColor="text1"/>
          <w:kern w:val="0"/>
          <w:sz w:val="28"/>
          <w:szCs w:val="28"/>
          <w14:textFill>
            <w14:solidFill>
              <w14:schemeClr w14:val="tx1"/>
            </w14:solidFill>
          </w14:textFill>
        </w:rPr>
        <w:sectPr>
          <w:pgSz w:w="11907" w:h="16840"/>
          <w:pgMar w:top="1701" w:right="1531" w:bottom="2126" w:left="1531" w:header="851" w:footer="850" w:gutter="0"/>
          <w:cols w:space="720" w:num="1"/>
          <w:docGrid w:linePitch="312" w:charSpace="0"/>
        </w:sectPr>
      </w:pPr>
    </w:p>
    <w:p>
      <w:pPr>
        <w:pStyle w:val="24"/>
        <w:spacing w:before="0" w:beforeAutospacing="0" w:after="0" w:afterAutospacing="0"/>
        <w:jc w:val="center"/>
        <w:outlineLvl w:val="0"/>
        <w:rPr>
          <w:rFonts w:ascii="Times New Roman" w:hAnsi="Times New Roman"/>
          <w:snapToGrid w:val="0"/>
          <w:color w:val="000000" w:themeColor="text1"/>
          <w:sz w:val="30"/>
          <w:szCs w:val="30"/>
          <w14:textFill>
            <w14:solidFill>
              <w14:schemeClr w14:val="tx1"/>
            </w14:solidFill>
          </w14:textFill>
        </w:rPr>
      </w:pPr>
      <w:bookmarkStart w:id="42" w:name="_Toc11957"/>
      <w:r>
        <w:rPr>
          <w:rFonts w:ascii="Times New Roman" w:hAnsi="Times New Roman"/>
          <w:snapToGrid w:val="0"/>
          <w:color w:val="000000" w:themeColor="text1"/>
          <w:sz w:val="30"/>
          <w:szCs w:val="30"/>
          <w14:textFill>
            <w14:solidFill>
              <w14:schemeClr w14:val="tx1"/>
            </w14:solidFill>
          </w14:textFill>
        </w:rPr>
        <w:t>五、</w:t>
      </w:r>
      <w:bookmarkStart w:id="43" w:name="_Hlk54167917"/>
      <w:r>
        <w:rPr>
          <w:rFonts w:ascii="Times New Roman" w:hAnsi="Times New Roman"/>
          <w:snapToGrid w:val="0"/>
          <w:color w:val="000000" w:themeColor="text1"/>
          <w:sz w:val="30"/>
          <w:szCs w:val="30"/>
          <w14:textFill>
            <w14:solidFill>
              <w14:schemeClr w14:val="tx1"/>
            </w14:solidFill>
          </w14:textFill>
        </w:rPr>
        <w:t>环境保护措施监督检查清单</w:t>
      </w:r>
      <w:bookmarkEnd w:id="42"/>
      <w:bookmarkEnd w:id="43"/>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50"/>
        <w:gridCol w:w="1350"/>
        <w:gridCol w:w="1230"/>
        <w:gridCol w:w="2670"/>
        <w:gridCol w:w="26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0" w:type="dxa"/>
            <w:tcBorders>
              <w:tl2br w:val="single" w:color="auto" w:sz="4" w:space="0"/>
            </w:tcBorders>
          </w:tcPr>
          <w:p>
            <w:pPr>
              <w:adjustRightInd w:val="0"/>
              <w:snapToGrid w:val="0"/>
              <w:spacing w:line="240" w:lineRule="auto"/>
              <w:jc w:val="right"/>
              <w:rPr>
                <w:color w:val="000000" w:themeColor="text1"/>
                <w:kern w:val="0"/>
                <w14:textFill>
                  <w14:solidFill>
                    <w14:schemeClr w14:val="tx1"/>
                  </w14:solidFill>
                </w14:textFill>
              </w:rPr>
            </w:pPr>
            <w:r>
              <w:rPr>
                <w:color w:val="000000" w:themeColor="text1"/>
                <w:kern w:val="0"/>
                <w14:textFill>
                  <w14:solidFill>
                    <w14:schemeClr w14:val="tx1"/>
                  </w14:solidFill>
                </w14:textFill>
              </w:rPr>
              <w:t>内容</w:t>
            </w:r>
          </w:p>
          <w:p>
            <w:pPr>
              <w:adjustRightInd w:val="0"/>
              <w:snapToGrid w:val="0"/>
              <w:spacing w:line="240" w:lineRule="auto"/>
              <w:rPr>
                <w:color w:val="000000" w:themeColor="text1"/>
                <w:kern w:val="0"/>
                <w14:textFill>
                  <w14:solidFill>
                    <w14:schemeClr w14:val="tx1"/>
                  </w14:solidFill>
                </w14:textFill>
              </w:rPr>
            </w:pPr>
          </w:p>
          <w:p>
            <w:pPr>
              <w:adjustRightInd w:val="0"/>
              <w:snapToGrid w:val="0"/>
              <w:spacing w:line="240" w:lineRule="auto"/>
              <w:rPr>
                <w:color w:val="000000" w:themeColor="text1"/>
                <w:kern w:val="0"/>
                <w14:textFill>
                  <w14:solidFill>
                    <w14:schemeClr w14:val="tx1"/>
                  </w14:solidFill>
                </w14:textFill>
              </w:rPr>
            </w:pPr>
            <w:r>
              <w:rPr>
                <w:color w:val="000000" w:themeColor="text1"/>
                <w:kern w:val="0"/>
                <w14:textFill>
                  <w14:solidFill>
                    <w14:schemeClr w14:val="tx1"/>
                  </w14:solidFill>
                </w14:textFill>
              </w:rPr>
              <w:t>要素</w:t>
            </w:r>
          </w:p>
        </w:tc>
        <w:tc>
          <w:tcPr>
            <w:tcW w:w="1350" w:type="dxa"/>
            <w:vAlign w:val="center"/>
          </w:tcPr>
          <w:p>
            <w:pPr>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排放口(编号、名称)/污染源</w:t>
            </w:r>
          </w:p>
        </w:tc>
        <w:tc>
          <w:tcPr>
            <w:tcW w:w="1230" w:type="dxa"/>
            <w:vAlign w:val="center"/>
          </w:tcPr>
          <w:p>
            <w:pPr>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污染物项目</w:t>
            </w:r>
          </w:p>
        </w:tc>
        <w:tc>
          <w:tcPr>
            <w:tcW w:w="2670" w:type="dxa"/>
            <w:vAlign w:val="center"/>
          </w:tcPr>
          <w:p>
            <w:pPr>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环境保护措施</w:t>
            </w:r>
          </w:p>
        </w:tc>
        <w:tc>
          <w:tcPr>
            <w:tcW w:w="2600" w:type="dxa"/>
            <w:vAlign w:val="center"/>
          </w:tcPr>
          <w:p>
            <w:pPr>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0" w:hRule="atLeast"/>
          <w:jc w:val="center"/>
        </w:trPr>
        <w:tc>
          <w:tcPr>
            <w:tcW w:w="950" w:type="dxa"/>
            <w:vMerge w:val="restart"/>
            <w:vAlign w:val="center"/>
          </w:tcPr>
          <w:p>
            <w:pPr>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大气环境</w:t>
            </w:r>
          </w:p>
        </w:tc>
        <w:tc>
          <w:tcPr>
            <w:tcW w:w="1350" w:type="dxa"/>
            <w:vAlign w:val="center"/>
          </w:tcPr>
          <w:p>
            <w:pPr>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喷漆工序无组织排放废气</w:t>
            </w:r>
          </w:p>
        </w:tc>
        <w:tc>
          <w:tcPr>
            <w:tcW w:w="1230" w:type="dxa"/>
            <w:vAlign w:val="center"/>
          </w:tcPr>
          <w:p>
            <w:pPr>
              <w:adjustRightInd w:val="0"/>
              <w:snapToGrid w:val="0"/>
              <w:spacing w:line="240" w:lineRule="auto"/>
              <w:jc w:val="center"/>
              <w:rPr>
                <w:color w:val="000000" w:themeColor="text1"/>
                <w:kern w:val="0"/>
                <w14:textFill>
                  <w14:solidFill>
                    <w14:schemeClr w14:val="tx1"/>
                  </w14:solidFill>
                </w14:textFill>
              </w:rPr>
            </w:pPr>
            <w:r>
              <w:rPr>
                <w:rFonts w:hint="eastAsia"/>
                <w:color w:val="000000" w:themeColor="text1"/>
                <w14:textFill>
                  <w14:solidFill>
                    <w14:schemeClr w14:val="tx1"/>
                  </w14:solidFill>
                </w14:textFill>
              </w:rPr>
              <w:t>挥发性有机物</w:t>
            </w:r>
          </w:p>
        </w:tc>
        <w:tc>
          <w:tcPr>
            <w:tcW w:w="2670" w:type="dxa"/>
            <w:vAlign w:val="center"/>
          </w:tcPr>
          <w:p>
            <w:pPr>
              <w:adjustRightInd w:val="0"/>
              <w:snapToGrid w:val="0"/>
              <w:spacing w:line="240" w:lineRule="auto"/>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焊接烟气经移动式焊接烟尘净化器净化后呈无组织排放。</w:t>
            </w:r>
          </w:p>
        </w:tc>
        <w:tc>
          <w:tcPr>
            <w:tcW w:w="2600" w:type="dxa"/>
            <w:vMerge w:val="restart"/>
            <w:vAlign w:val="center"/>
          </w:tcPr>
          <w:p>
            <w:pPr>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《大气污染物综合排放标准》（GB16297-1996）表2标准限值、《挥发性有机物无组织排放控制标准》（GB37822-2019）要求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23" w:hRule="atLeast"/>
          <w:jc w:val="center"/>
        </w:trPr>
        <w:tc>
          <w:tcPr>
            <w:tcW w:w="950" w:type="dxa"/>
            <w:vMerge w:val="continue"/>
            <w:vAlign w:val="center"/>
          </w:tcPr>
          <w:p>
            <w:pPr>
              <w:adjustRightInd w:val="0"/>
              <w:snapToGrid w:val="0"/>
              <w:spacing w:line="240" w:lineRule="auto"/>
              <w:jc w:val="center"/>
              <w:rPr>
                <w:color w:val="000000" w:themeColor="text1"/>
                <w:kern w:val="0"/>
                <w14:textFill>
                  <w14:solidFill>
                    <w14:schemeClr w14:val="tx1"/>
                  </w14:solidFill>
                </w14:textFill>
              </w:rPr>
            </w:pPr>
          </w:p>
        </w:tc>
        <w:tc>
          <w:tcPr>
            <w:tcW w:w="1350" w:type="dxa"/>
            <w:vAlign w:val="center"/>
          </w:tcPr>
          <w:p>
            <w:pPr>
              <w:adjustRightInd w:val="0"/>
              <w:snapToGrid w:val="0"/>
              <w:spacing w:line="240" w:lineRule="auto"/>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喷漆、刷漆废气</w:t>
            </w:r>
          </w:p>
        </w:tc>
        <w:tc>
          <w:tcPr>
            <w:tcW w:w="1230" w:type="dxa"/>
            <w:vAlign w:val="center"/>
          </w:tcPr>
          <w:p>
            <w:pPr>
              <w:adjustRightInd w:val="0"/>
              <w:snapToGrid w:val="0"/>
              <w:spacing w:line="240" w:lineRule="auto"/>
              <w:jc w:val="center"/>
              <w:rPr>
                <w:color w:val="000000" w:themeColor="text1"/>
                <w:kern w:val="0"/>
                <w14:textFill>
                  <w14:solidFill>
                    <w14:schemeClr w14:val="tx1"/>
                  </w14:solidFill>
                </w14:textFill>
              </w:rPr>
            </w:pPr>
            <w:r>
              <w:rPr>
                <w:rFonts w:hint="eastAsia"/>
                <w:color w:val="000000" w:themeColor="text1"/>
                <w14:textFill>
                  <w14:solidFill>
                    <w14:schemeClr w14:val="tx1"/>
                  </w14:solidFill>
                </w14:textFill>
              </w:rPr>
              <w:t>挥发性有机物</w:t>
            </w:r>
          </w:p>
        </w:tc>
        <w:tc>
          <w:tcPr>
            <w:tcW w:w="2670" w:type="dxa"/>
            <w:vAlign w:val="center"/>
          </w:tcPr>
          <w:p>
            <w:pPr>
              <w:adjustRightInd w:val="0"/>
              <w:snapToGrid w:val="0"/>
              <w:spacing w:line="240" w:lineRule="auto"/>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通过分别设置集气罩，采用过滤棉+活性炭吸附后，通过15米高排气筒排放。</w:t>
            </w:r>
          </w:p>
        </w:tc>
        <w:tc>
          <w:tcPr>
            <w:tcW w:w="2600" w:type="dxa"/>
            <w:vMerge w:val="continue"/>
            <w:vAlign w:val="center"/>
          </w:tcPr>
          <w:p>
            <w:pPr>
              <w:adjustRightInd w:val="0"/>
              <w:snapToGrid w:val="0"/>
              <w:spacing w:line="240" w:lineRule="auto"/>
              <w:jc w:val="center"/>
              <w:rPr>
                <w:color w:val="000000" w:themeColor="text1"/>
                <w:kern w:val="0"/>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8" w:hRule="atLeast"/>
          <w:jc w:val="center"/>
        </w:trPr>
        <w:tc>
          <w:tcPr>
            <w:tcW w:w="950" w:type="dxa"/>
            <w:vMerge w:val="continue"/>
            <w:vAlign w:val="center"/>
          </w:tcPr>
          <w:p>
            <w:pPr>
              <w:adjustRightInd w:val="0"/>
              <w:snapToGrid w:val="0"/>
              <w:spacing w:line="240" w:lineRule="auto"/>
              <w:jc w:val="center"/>
              <w:rPr>
                <w:color w:val="000000" w:themeColor="text1"/>
                <w:kern w:val="0"/>
                <w14:textFill>
                  <w14:solidFill>
                    <w14:schemeClr w14:val="tx1"/>
                  </w14:solidFill>
                </w14:textFill>
              </w:rPr>
            </w:pPr>
          </w:p>
        </w:tc>
        <w:tc>
          <w:tcPr>
            <w:tcW w:w="1350" w:type="dxa"/>
            <w:vAlign w:val="center"/>
          </w:tcPr>
          <w:p>
            <w:pPr>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食堂油烟排放口</w:t>
            </w:r>
          </w:p>
        </w:tc>
        <w:tc>
          <w:tcPr>
            <w:tcW w:w="1230" w:type="dxa"/>
            <w:vAlign w:val="center"/>
          </w:tcPr>
          <w:p>
            <w:pPr>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油烟</w:t>
            </w:r>
          </w:p>
        </w:tc>
        <w:tc>
          <w:tcPr>
            <w:tcW w:w="2670" w:type="dxa"/>
            <w:vAlign w:val="center"/>
          </w:tcPr>
          <w:p>
            <w:pPr>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设1台油烟净化器处理，处理效率≥60%。</w:t>
            </w:r>
          </w:p>
        </w:tc>
        <w:tc>
          <w:tcPr>
            <w:tcW w:w="2600" w:type="dxa"/>
            <w:vAlign w:val="center"/>
          </w:tcPr>
          <w:p>
            <w:pPr>
              <w:adjustRightInd w:val="0"/>
              <w:snapToGrid w:val="0"/>
              <w:spacing w:line="240" w:lineRule="auto"/>
              <w:jc w:val="center"/>
              <w:rPr>
                <w:color w:val="000000" w:themeColor="text1"/>
                <w:kern w:val="0"/>
                <w14:textFill>
                  <w14:solidFill>
                    <w14:schemeClr w14:val="tx1"/>
                  </w14:solidFill>
                </w14:textFill>
              </w:rPr>
            </w:pPr>
            <w:r>
              <w:rPr>
                <w:bCs/>
                <w:color w:val="000000" w:themeColor="text1"/>
                <w:kern w:val="0"/>
                <w14:textFill>
                  <w14:solidFill>
                    <w14:schemeClr w14:val="tx1"/>
                  </w14:solidFill>
                </w14:textFill>
              </w:rPr>
              <w:t>《饮食业油烟排放标准（试行）》（GB18483-2001）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0" w:type="dxa"/>
            <w:vMerge w:val="restart"/>
            <w:vAlign w:val="center"/>
          </w:tcPr>
          <w:p>
            <w:pPr>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地表水环境</w:t>
            </w:r>
          </w:p>
        </w:tc>
        <w:tc>
          <w:tcPr>
            <w:tcW w:w="1350" w:type="dxa"/>
            <w:vAlign w:val="center"/>
          </w:tcPr>
          <w:p>
            <w:pPr>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食堂废水</w:t>
            </w:r>
          </w:p>
        </w:tc>
        <w:tc>
          <w:tcPr>
            <w:tcW w:w="1230" w:type="dxa"/>
            <w:vAlign w:val="center"/>
          </w:tcPr>
          <w:p>
            <w:pPr>
              <w:adjustRightInd w:val="0"/>
              <w:snapToGrid w:val="0"/>
              <w:spacing w:line="240" w:lineRule="auto"/>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泔水</w:t>
            </w:r>
          </w:p>
        </w:tc>
        <w:tc>
          <w:tcPr>
            <w:tcW w:w="2670" w:type="dxa"/>
            <w:vAlign w:val="center"/>
          </w:tcPr>
          <w:p>
            <w:pPr>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设1个1.0m</w:t>
            </w:r>
            <w:r>
              <w:rPr>
                <w:color w:val="000000" w:themeColor="text1"/>
                <w:kern w:val="0"/>
                <w:vertAlign w:val="superscript"/>
                <w14:textFill>
                  <w14:solidFill>
                    <w14:schemeClr w14:val="tx1"/>
                  </w14:solidFill>
                </w14:textFill>
              </w:rPr>
              <w:t>3</w:t>
            </w:r>
            <w:r>
              <w:rPr>
                <w:color w:val="000000" w:themeColor="text1"/>
                <w:kern w:val="0"/>
                <w14:textFill>
                  <w14:solidFill>
                    <w14:schemeClr w14:val="tx1"/>
                  </w14:solidFill>
                </w14:textFill>
              </w:rPr>
              <w:t>的隔油池进行预处理</w:t>
            </w:r>
          </w:p>
        </w:tc>
        <w:tc>
          <w:tcPr>
            <w:tcW w:w="2600" w:type="dxa"/>
            <w:vAlign w:val="center"/>
          </w:tcPr>
          <w:p>
            <w:pPr>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《昆明市餐厨废弃物管理办法》（昆明市政府令第109号）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0" w:type="dxa"/>
            <w:vMerge w:val="continue"/>
            <w:vAlign w:val="center"/>
          </w:tcPr>
          <w:p>
            <w:pPr>
              <w:adjustRightInd w:val="0"/>
              <w:snapToGrid w:val="0"/>
              <w:spacing w:line="240" w:lineRule="auto"/>
              <w:jc w:val="center"/>
              <w:rPr>
                <w:color w:val="000000" w:themeColor="text1"/>
                <w:kern w:val="0"/>
                <w14:textFill>
                  <w14:solidFill>
                    <w14:schemeClr w14:val="tx1"/>
                  </w14:solidFill>
                </w14:textFill>
              </w:rPr>
            </w:pPr>
          </w:p>
        </w:tc>
        <w:tc>
          <w:tcPr>
            <w:tcW w:w="1350" w:type="dxa"/>
            <w:vAlign w:val="center"/>
          </w:tcPr>
          <w:p>
            <w:pPr>
              <w:adjustRightInd w:val="0"/>
              <w:snapToGrid w:val="0"/>
              <w:spacing w:line="240" w:lineRule="auto"/>
              <w:jc w:val="center"/>
              <w:rPr>
                <w:color w:val="000000" w:themeColor="text1"/>
                <w:kern w:val="0"/>
                <w14:textFill>
                  <w14:solidFill>
                    <w14:schemeClr w14:val="tx1"/>
                  </w14:solidFill>
                </w14:textFill>
              </w:rPr>
            </w:pPr>
            <w:r>
              <w:rPr>
                <w:bCs/>
                <w:color w:val="000000" w:themeColor="text1"/>
                <w14:textFill>
                  <w14:solidFill>
                    <w14:schemeClr w14:val="tx1"/>
                  </w14:solidFill>
                </w14:textFill>
              </w:rPr>
              <w:t>生活污水</w:t>
            </w:r>
          </w:p>
        </w:tc>
        <w:tc>
          <w:tcPr>
            <w:tcW w:w="1230" w:type="dxa"/>
            <w:vAlign w:val="center"/>
          </w:tcPr>
          <w:p>
            <w:pPr>
              <w:adjustRightInd w:val="0"/>
              <w:snapToGrid w:val="0"/>
              <w:spacing w:line="240" w:lineRule="auto"/>
              <w:jc w:val="center"/>
              <w:rPr>
                <w:color w:val="000000" w:themeColor="text1"/>
                <w:kern w:val="0"/>
                <w14:textFill>
                  <w14:solidFill>
                    <w14:schemeClr w14:val="tx1"/>
                  </w14:solidFill>
                </w14:textFill>
              </w:rPr>
            </w:pPr>
            <w:r>
              <w:rPr>
                <w:bCs/>
                <w:color w:val="000000" w:themeColor="text1"/>
                <w14:textFill>
                  <w14:solidFill>
                    <w14:schemeClr w14:val="tx1"/>
                  </w14:solidFill>
                </w14:textFill>
              </w:rPr>
              <w:t>COD</w:t>
            </w:r>
            <w:r>
              <w:rPr>
                <w:bCs/>
                <w:color w:val="000000" w:themeColor="text1"/>
                <w:vertAlign w:val="subscript"/>
                <w14:textFill>
                  <w14:solidFill>
                    <w14:schemeClr w14:val="tx1"/>
                  </w14:solidFill>
                </w14:textFill>
              </w:rPr>
              <w:t>cr</w:t>
            </w:r>
            <w:r>
              <w:rPr>
                <w:bCs/>
                <w:color w:val="000000" w:themeColor="text1"/>
                <w14:textFill>
                  <w14:solidFill>
                    <w14:schemeClr w14:val="tx1"/>
                  </w14:solidFill>
                </w14:textFill>
              </w:rPr>
              <w:t>、BOD</w:t>
            </w:r>
            <w:r>
              <w:rPr>
                <w:bCs/>
                <w:color w:val="000000" w:themeColor="text1"/>
                <w:vertAlign w:val="subscript"/>
                <w14:textFill>
                  <w14:solidFill>
                    <w14:schemeClr w14:val="tx1"/>
                  </w14:solidFill>
                </w14:textFill>
              </w:rPr>
              <w:t>5</w:t>
            </w:r>
            <w:r>
              <w:rPr>
                <w:bCs/>
                <w:color w:val="000000" w:themeColor="text1"/>
                <w14:textFill>
                  <w14:solidFill>
                    <w14:schemeClr w14:val="tx1"/>
                  </w14:solidFill>
                </w14:textFill>
              </w:rPr>
              <w:t>、NH</w:t>
            </w:r>
            <w:r>
              <w:rPr>
                <w:bCs/>
                <w:color w:val="000000" w:themeColor="text1"/>
                <w:vertAlign w:val="subscript"/>
                <w14:textFill>
                  <w14:solidFill>
                    <w14:schemeClr w14:val="tx1"/>
                  </w14:solidFill>
                </w14:textFill>
              </w:rPr>
              <w:t>3</w:t>
            </w:r>
            <w:r>
              <w:rPr>
                <w:bCs/>
                <w:color w:val="000000" w:themeColor="text1"/>
                <w14:textFill>
                  <w14:solidFill>
                    <w14:schemeClr w14:val="tx1"/>
                  </w14:solidFill>
                </w14:textFill>
              </w:rPr>
              <w:t>-N、TN、TP、动植物油</w:t>
            </w:r>
          </w:p>
        </w:tc>
        <w:tc>
          <w:tcPr>
            <w:tcW w:w="2670" w:type="dxa"/>
            <w:vAlign w:val="center"/>
          </w:tcPr>
          <w:p>
            <w:pPr>
              <w:adjustRightInd w:val="0"/>
              <w:snapToGrid w:val="0"/>
              <w:spacing w:line="240" w:lineRule="auto"/>
              <w:jc w:val="center"/>
              <w:rPr>
                <w:color w:val="000000" w:themeColor="text1"/>
                <w:kern w:val="0"/>
                <w14:textFill>
                  <w14:solidFill>
                    <w14:schemeClr w14:val="tx1"/>
                  </w14:solidFill>
                </w14:textFill>
              </w:rPr>
            </w:pPr>
            <w:r>
              <w:rPr>
                <w:rFonts w:hint="eastAsia"/>
                <w:bCs/>
                <w:color w:val="000000" w:themeColor="text1"/>
                <w14:textFill>
                  <w14:solidFill>
                    <w14:schemeClr w14:val="tx1"/>
                  </w14:solidFill>
                </w14:textFill>
              </w:rPr>
              <w:t>依托晋宁志诚物流有限责任公司</w:t>
            </w:r>
            <w:r>
              <w:rPr>
                <w:bCs/>
                <w:color w:val="000000" w:themeColor="text1"/>
                <w14:textFill>
                  <w14:solidFill>
                    <w14:schemeClr w14:val="tx1"/>
                  </w14:solidFill>
                </w14:textFill>
              </w:rPr>
              <w:t>1个</w:t>
            </w:r>
            <w:r>
              <w:rPr>
                <w:rFonts w:hint="eastAsia"/>
                <w:bCs/>
                <w:color w:val="000000" w:themeColor="text1"/>
                <w14:textFill>
                  <w14:solidFill>
                    <w14:schemeClr w14:val="tx1"/>
                  </w14:solidFill>
                </w14:textFill>
              </w:rPr>
              <w:t>5</w:t>
            </w:r>
            <w:r>
              <w:rPr>
                <w:bCs/>
                <w:color w:val="000000" w:themeColor="text1"/>
                <w14:textFill>
                  <w14:solidFill>
                    <w14:schemeClr w14:val="tx1"/>
                  </w14:solidFill>
                </w14:textFill>
              </w:rPr>
              <w:t>m</w:t>
            </w:r>
            <w:r>
              <w:rPr>
                <w:bCs/>
                <w:color w:val="000000" w:themeColor="text1"/>
                <w:vertAlign w:val="superscript"/>
                <w14:textFill>
                  <w14:solidFill>
                    <w14:schemeClr w14:val="tx1"/>
                  </w14:solidFill>
                </w14:textFill>
              </w:rPr>
              <w:t>3</w:t>
            </w:r>
            <w:r>
              <w:rPr>
                <w:bCs/>
                <w:color w:val="000000" w:themeColor="text1"/>
                <w14:textFill>
                  <w14:solidFill>
                    <w14:schemeClr w14:val="tx1"/>
                  </w14:solidFill>
                </w14:textFill>
              </w:rPr>
              <w:t>的化粪池进行处理</w:t>
            </w:r>
          </w:p>
        </w:tc>
        <w:tc>
          <w:tcPr>
            <w:tcW w:w="2600" w:type="dxa"/>
            <w:vAlign w:val="center"/>
          </w:tcPr>
          <w:p>
            <w:pPr>
              <w:adjustRightInd w:val="0"/>
              <w:snapToGrid w:val="0"/>
              <w:spacing w:line="240" w:lineRule="auto"/>
              <w:jc w:val="center"/>
              <w:rPr>
                <w:color w:val="000000" w:themeColor="text1"/>
                <w:kern w:val="0"/>
                <w14:textFill>
                  <w14:solidFill>
                    <w14:schemeClr w14:val="tx1"/>
                  </w14:solidFill>
                </w14:textFill>
              </w:rPr>
            </w:pPr>
            <w:r>
              <w:rPr>
                <w:bCs/>
                <w:color w:val="000000" w:themeColor="text1"/>
                <w14:textFill>
                  <w14:solidFill>
                    <w14:schemeClr w14:val="tx1"/>
                  </w14:solidFill>
                </w14:textFill>
              </w:rPr>
              <w:t>《污水排入城镇下水道水质标准》（GB/T31962-2015）A级标准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50" w:type="dxa"/>
            <w:vAlign w:val="center"/>
          </w:tcPr>
          <w:p>
            <w:pPr>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声环境</w:t>
            </w:r>
          </w:p>
        </w:tc>
        <w:tc>
          <w:tcPr>
            <w:tcW w:w="1350" w:type="dxa"/>
            <w:vAlign w:val="center"/>
          </w:tcPr>
          <w:p>
            <w:pPr>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生产设备</w:t>
            </w:r>
          </w:p>
        </w:tc>
        <w:tc>
          <w:tcPr>
            <w:tcW w:w="1230" w:type="dxa"/>
            <w:vAlign w:val="center"/>
          </w:tcPr>
          <w:p>
            <w:pPr>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噪声</w:t>
            </w:r>
          </w:p>
        </w:tc>
        <w:tc>
          <w:tcPr>
            <w:tcW w:w="2670" w:type="dxa"/>
            <w:vAlign w:val="center"/>
          </w:tcPr>
          <w:p>
            <w:pPr>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厂房隔声+基础减震</w:t>
            </w:r>
          </w:p>
        </w:tc>
        <w:tc>
          <w:tcPr>
            <w:tcW w:w="2600" w:type="dxa"/>
            <w:vAlign w:val="center"/>
          </w:tcPr>
          <w:p>
            <w:pPr>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《工业企业厂界环境噪声排放标准》（GB12348-2008）中3类标准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950" w:type="dxa"/>
            <w:vAlign w:val="center"/>
          </w:tcPr>
          <w:p>
            <w:pPr>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固体废物</w:t>
            </w:r>
          </w:p>
        </w:tc>
        <w:tc>
          <w:tcPr>
            <w:tcW w:w="7850" w:type="dxa"/>
            <w:gridSpan w:val="4"/>
            <w:vAlign w:val="center"/>
          </w:tcPr>
          <w:tbl>
            <w:tblPr>
              <w:tblStyle w:val="2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5"/>
              <w:gridCol w:w="1064"/>
              <w:gridCol w:w="1963"/>
              <w:gridCol w:w="1937"/>
              <w:gridCol w:w="1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2"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产生环节</w:t>
                  </w:r>
                </w:p>
              </w:tc>
              <w:tc>
                <w:tcPr>
                  <w:tcW w:w="698"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污染物名称</w:t>
                  </w:r>
                </w:p>
              </w:tc>
              <w:tc>
                <w:tcPr>
                  <w:tcW w:w="1287"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属性</w:t>
                  </w:r>
                </w:p>
              </w:tc>
              <w:tc>
                <w:tcPr>
                  <w:tcW w:w="1270"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贮存方式</w:t>
                  </w:r>
                </w:p>
              </w:tc>
              <w:tc>
                <w:tcPr>
                  <w:tcW w:w="1070"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b/>
                      <w:bCs/>
                      <w:color w:val="000000" w:themeColor="text1"/>
                      <w:kern w:val="0"/>
                      <w14:textFill>
                        <w14:solidFill>
                          <w14:schemeClr w14:val="tx1"/>
                        </w14:solidFill>
                      </w14:textFill>
                    </w:rPr>
                  </w:pPr>
                  <w:r>
                    <w:rPr>
                      <w:b/>
                      <w:bCs/>
                      <w:color w:val="000000" w:themeColor="text1"/>
                      <w:kern w:val="0"/>
                      <w14:textFill>
                        <w14:solidFill>
                          <w14:schemeClr w14:val="tx1"/>
                        </w14:solidFill>
                      </w14:textFill>
                    </w:rPr>
                    <w:t>利用处置方式和去向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672"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员工生活</w:t>
                  </w:r>
                </w:p>
              </w:tc>
              <w:tc>
                <w:tcPr>
                  <w:tcW w:w="698"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生活垃圾</w:t>
                  </w:r>
                </w:p>
              </w:tc>
              <w:tc>
                <w:tcPr>
                  <w:tcW w:w="1287"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一般固废</w:t>
                  </w:r>
                </w:p>
              </w:tc>
              <w:tc>
                <w:tcPr>
                  <w:tcW w:w="1270"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存垃圾桶</w:t>
                  </w:r>
                </w:p>
              </w:tc>
              <w:tc>
                <w:tcPr>
                  <w:tcW w:w="1070"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交环卫部门处置。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2"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食堂</w:t>
                  </w:r>
                </w:p>
              </w:tc>
              <w:tc>
                <w:tcPr>
                  <w:tcW w:w="698"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泔水</w:t>
                  </w:r>
                </w:p>
              </w:tc>
              <w:tc>
                <w:tcPr>
                  <w:tcW w:w="1287"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一般固废</w:t>
                  </w:r>
                </w:p>
              </w:tc>
              <w:tc>
                <w:tcPr>
                  <w:tcW w:w="1270"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桶装</w:t>
                  </w:r>
                </w:p>
              </w:tc>
              <w:tc>
                <w:tcPr>
                  <w:tcW w:w="1070" w:type="pct"/>
                  <w:vMerge w:val="restar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2"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食堂废水处理</w:t>
                  </w:r>
                </w:p>
              </w:tc>
              <w:tc>
                <w:tcPr>
                  <w:tcW w:w="698"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废油脂</w:t>
                  </w:r>
                </w:p>
              </w:tc>
              <w:tc>
                <w:tcPr>
                  <w:tcW w:w="1287"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一般固废</w:t>
                  </w:r>
                </w:p>
              </w:tc>
              <w:tc>
                <w:tcPr>
                  <w:tcW w:w="1270"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桶装</w:t>
                  </w:r>
                </w:p>
              </w:tc>
              <w:tc>
                <w:tcPr>
                  <w:tcW w:w="1070" w:type="pct"/>
                  <w:vMerge w:val="continue"/>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2"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机械维修</w:t>
                  </w:r>
                </w:p>
              </w:tc>
              <w:tc>
                <w:tcPr>
                  <w:tcW w:w="698"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废零件</w:t>
                  </w:r>
                </w:p>
              </w:tc>
              <w:tc>
                <w:tcPr>
                  <w:tcW w:w="1287"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一般固废</w:t>
                  </w:r>
                </w:p>
              </w:tc>
              <w:tc>
                <w:tcPr>
                  <w:tcW w:w="1270"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14:textFill>
                        <w14:solidFill>
                          <w14:schemeClr w14:val="tx1"/>
                        </w14:solidFill>
                      </w14:textFill>
                    </w:rPr>
                  </w:pPr>
                  <w:r>
                    <w:rPr>
                      <w:color w:val="000000" w:themeColor="text1"/>
                      <w:kern w:val="0"/>
                      <w14:textFill>
                        <w14:solidFill>
                          <w14:schemeClr w14:val="tx1"/>
                        </w14:solidFill>
                      </w14:textFill>
                    </w:rPr>
                    <w:t>仓库内存放</w:t>
                  </w:r>
                </w:p>
              </w:tc>
              <w:tc>
                <w:tcPr>
                  <w:tcW w:w="1070"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由厂家回收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2"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机械维修</w:t>
                  </w:r>
                </w:p>
              </w:tc>
              <w:tc>
                <w:tcPr>
                  <w:tcW w:w="698"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废混凝土、颗粒物</w:t>
                  </w:r>
                </w:p>
              </w:tc>
              <w:tc>
                <w:tcPr>
                  <w:tcW w:w="1287"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一般固废</w:t>
                  </w:r>
                </w:p>
              </w:tc>
              <w:tc>
                <w:tcPr>
                  <w:tcW w:w="1270"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垃圾桶存放</w:t>
                  </w:r>
                </w:p>
              </w:tc>
              <w:tc>
                <w:tcPr>
                  <w:tcW w:w="1070"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14:textFill>
                        <w14:solidFill>
                          <w14:schemeClr w14:val="tx1"/>
                        </w14:solidFill>
                      </w14:textFill>
                    </w:rPr>
                  </w:pPr>
                  <w:r>
                    <w:rPr>
                      <w:color w:val="000000" w:themeColor="text1"/>
                      <w:kern w:val="0"/>
                      <w14:textFill>
                        <w14:solidFill>
                          <w14:schemeClr w14:val="tx1"/>
                        </w14:solidFill>
                      </w14:textFill>
                    </w:rPr>
                    <w:t>交环卫部门处置。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2"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设备、</w:t>
                  </w:r>
                  <w:r>
                    <w:rPr>
                      <w:rFonts w:hint="eastAsia"/>
                      <w:color w:val="000000" w:themeColor="text1"/>
                      <w:kern w:val="0"/>
                      <w14:textFill>
                        <w14:solidFill>
                          <w14:schemeClr w14:val="tx1"/>
                        </w14:solidFill>
                      </w14:textFill>
                    </w:rPr>
                    <w:t>台车</w:t>
                  </w:r>
                  <w:r>
                    <w:rPr>
                      <w:color w:val="000000" w:themeColor="text1"/>
                      <w:kern w:val="0"/>
                      <w14:textFill>
                        <w14:solidFill>
                          <w14:schemeClr w14:val="tx1"/>
                        </w14:solidFill>
                      </w14:textFill>
                    </w:rPr>
                    <w:t>维修</w:t>
                  </w:r>
                </w:p>
              </w:tc>
              <w:tc>
                <w:tcPr>
                  <w:tcW w:w="698"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废</w:t>
                  </w:r>
                  <w:r>
                    <w:rPr>
                      <w:rFonts w:hint="eastAsia"/>
                      <w:color w:val="000000" w:themeColor="text1"/>
                      <w:kern w:val="0"/>
                      <w14:textFill>
                        <w14:solidFill>
                          <w14:schemeClr w14:val="tx1"/>
                        </w14:solidFill>
                      </w14:textFill>
                    </w:rPr>
                    <w:t>矿物油废油桶</w:t>
                  </w:r>
                </w:p>
              </w:tc>
              <w:tc>
                <w:tcPr>
                  <w:tcW w:w="1287"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危险废物</w:t>
                  </w:r>
                </w:p>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14:textFill>
                        <w14:solidFill>
                          <w14:schemeClr w14:val="tx1"/>
                        </w14:solidFill>
                      </w14:textFill>
                    </w:rPr>
                  </w:pPr>
                  <w:r>
                    <w:rPr>
                      <w:bCs/>
                      <w:color w:val="000000" w:themeColor="text1"/>
                      <w:kern w:val="0"/>
                      <w14:textFill>
                        <w14:solidFill>
                          <w14:schemeClr w14:val="tx1"/>
                        </w14:solidFill>
                      </w14:textFill>
                    </w:rPr>
                    <w:t>HW08废矿物油及含矿物油废物（900-</w:t>
                  </w:r>
                  <w:r>
                    <w:rPr>
                      <w:rFonts w:hint="eastAsia"/>
                      <w:bCs/>
                      <w:color w:val="000000" w:themeColor="text1"/>
                      <w:kern w:val="0"/>
                      <w14:textFill>
                        <w14:solidFill>
                          <w14:schemeClr w14:val="tx1"/>
                        </w14:solidFill>
                      </w14:textFill>
                    </w:rPr>
                    <w:t>214</w:t>
                  </w:r>
                  <w:r>
                    <w:rPr>
                      <w:bCs/>
                      <w:color w:val="000000" w:themeColor="text1"/>
                      <w:kern w:val="0"/>
                      <w14:textFill>
                        <w14:solidFill>
                          <w14:schemeClr w14:val="tx1"/>
                        </w14:solidFill>
                      </w14:textFill>
                    </w:rPr>
                    <w:t>-08）</w:t>
                  </w:r>
                </w:p>
              </w:tc>
              <w:tc>
                <w:tcPr>
                  <w:tcW w:w="1270"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可密闭容器收集，危废暂存间贮存</w:t>
                  </w:r>
                </w:p>
              </w:tc>
              <w:tc>
                <w:tcPr>
                  <w:tcW w:w="1070"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委托有资质的单位进行处理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2"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废气处理</w:t>
                  </w:r>
                </w:p>
              </w:tc>
              <w:tc>
                <w:tcPr>
                  <w:tcW w:w="698"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废活性炭、废过滤棉</w:t>
                  </w:r>
                </w:p>
              </w:tc>
              <w:tc>
                <w:tcPr>
                  <w:tcW w:w="1287"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bCs/>
                      <w:color w:val="000000" w:themeColor="text1"/>
                      <w:kern w:val="0"/>
                      <w14:textFill>
                        <w14:solidFill>
                          <w14:schemeClr w14:val="tx1"/>
                        </w14:solidFill>
                      </w14:textFill>
                    </w:rPr>
                  </w:pPr>
                  <w:r>
                    <w:rPr>
                      <w:rFonts w:hint="eastAsia"/>
                      <w:bCs/>
                      <w:color w:val="000000" w:themeColor="text1"/>
                      <w:kern w:val="0"/>
                      <w14:textFill>
                        <w14:solidFill>
                          <w14:schemeClr w14:val="tx1"/>
                        </w14:solidFill>
                      </w14:textFill>
                    </w:rPr>
                    <w:t>危险废物</w:t>
                  </w:r>
                </w:p>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bCs/>
                      <w:color w:val="000000" w:themeColor="text1"/>
                      <w:kern w:val="0"/>
                      <w14:textFill>
                        <w14:solidFill>
                          <w14:schemeClr w14:val="tx1"/>
                        </w14:solidFill>
                      </w14:textFill>
                    </w:rPr>
                  </w:pPr>
                  <w:r>
                    <w:rPr>
                      <w:color w:val="000000" w:themeColor="text1"/>
                      <w:kern w:val="0"/>
                      <w14:textFill>
                        <w14:solidFill>
                          <w14:schemeClr w14:val="tx1"/>
                        </w14:solidFill>
                      </w14:textFill>
                    </w:rPr>
                    <w:t>HW49其他废物</w:t>
                  </w:r>
                  <w:r>
                    <w:rPr>
                      <w:rFonts w:hint="eastAsia"/>
                      <w:color w:val="000000" w:themeColor="text1"/>
                      <w:kern w:val="0"/>
                      <w14:textFill>
                        <w14:solidFill>
                          <w14:schemeClr w14:val="tx1"/>
                        </w14:solidFill>
                      </w14:textFill>
                    </w:rPr>
                    <w:t>（</w:t>
                  </w:r>
                  <w:r>
                    <w:rPr>
                      <w:color w:val="000000" w:themeColor="text1"/>
                      <w:kern w:val="0"/>
                      <w14:textFill>
                        <w14:solidFill>
                          <w14:schemeClr w14:val="tx1"/>
                        </w14:solidFill>
                      </w14:textFill>
                    </w:rPr>
                    <w:t>900-039-49</w:t>
                  </w:r>
                  <w:r>
                    <w:rPr>
                      <w:rFonts w:hint="eastAsia"/>
                      <w:color w:val="000000" w:themeColor="text1"/>
                      <w:kern w:val="0"/>
                      <w14:textFill>
                        <w14:solidFill>
                          <w14:schemeClr w14:val="tx1"/>
                        </w14:solidFill>
                      </w14:textFill>
                    </w:rPr>
                    <w:t>）</w:t>
                  </w:r>
                </w:p>
              </w:tc>
              <w:tc>
                <w:tcPr>
                  <w:tcW w:w="1270"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可密闭容器收集，危废暂存间贮存</w:t>
                  </w:r>
                </w:p>
              </w:tc>
              <w:tc>
                <w:tcPr>
                  <w:tcW w:w="1070"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委托有资质单位进行处理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2"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喷漆、刷漆</w:t>
                  </w:r>
                </w:p>
              </w:tc>
              <w:tc>
                <w:tcPr>
                  <w:tcW w:w="698"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废漆桶、废漆瓶</w:t>
                  </w:r>
                </w:p>
              </w:tc>
              <w:tc>
                <w:tcPr>
                  <w:tcW w:w="1287"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HW12染料、涂料废物（264-013-12）</w:t>
                  </w:r>
                </w:p>
              </w:tc>
              <w:tc>
                <w:tcPr>
                  <w:tcW w:w="1270"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危废暂存间贮存</w:t>
                  </w:r>
                </w:p>
              </w:tc>
              <w:tc>
                <w:tcPr>
                  <w:tcW w:w="1070"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委托有资质单位进行处理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2"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台车修理、生产</w:t>
                  </w:r>
                </w:p>
              </w:tc>
              <w:tc>
                <w:tcPr>
                  <w:tcW w:w="698"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含油及有机溶剂的废棉纱、废劳保用品</w:t>
                  </w:r>
                </w:p>
              </w:tc>
              <w:tc>
                <w:tcPr>
                  <w:tcW w:w="1287"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危险废物</w:t>
                  </w:r>
                </w:p>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14:textFill>
                        <w14:solidFill>
                          <w14:schemeClr w14:val="tx1"/>
                        </w14:solidFill>
                      </w14:textFill>
                    </w:rPr>
                  </w:pPr>
                  <w:r>
                    <w:rPr>
                      <w:bCs/>
                      <w:color w:val="000000" w:themeColor="text1"/>
                      <w:kern w:val="0"/>
                      <w14:textFill>
                        <w14:solidFill>
                          <w14:schemeClr w14:val="tx1"/>
                        </w14:solidFill>
                      </w14:textFill>
                    </w:rPr>
                    <w:t>HW08废矿物油及含矿物油废物（900-</w:t>
                  </w:r>
                  <w:r>
                    <w:rPr>
                      <w:rFonts w:hint="eastAsia"/>
                      <w:bCs/>
                      <w:color w:val="000000" w:themeColor="text1"/>
                      <w:kern w:val="0"/>
                      <w14:textFill>
                        <w14:solidFill>
                          <w14:schemeClr w14:val="tx1"/>
                        </w14:solidFill>
                      </w14:textFill>
                    </w:rPr>
                    <w:t>041</w:t>
                  </w:r>
                  <w:r>
                    <w:rPr>
                      <w:bCs/>
                      <w:color w:val="000000" w:themeColor="text1"/>
                      <w:kern w:val="0"/>
                      <w14:textFill>
                        <w14:solidFill>
                          <w14:schemeClr w14:val="tx1"/>
                        </w14:solidFill>
                      </w14:textFill>
                    </w:rPr>
                    <w:t>-</w:t>
                  </w:r>
                  <w:r>
                    <w:rPr>
                      <w:rFonts w:hint="eastAsia"/>
                      <w:bCs/>
                      <w:color w:val="000000" w:themeColor="text1"/>
                      <w:kern w:val="0"/>
                      <w14:textFill>
                        <w14:solidFill>
                          <w14:schemeClr w14:val="tx1"/>
                        </w14:solidFill>
                      </w14:textFill>
                    </w:rPr>
                    <w:t>49</w:t>
                  </w:r>
                  <w:r>
                    <w:rPr>
                      <w:bCs/>
                      <w:color w:val="000000" w:themeColor="text1"/>
                      <w:kern w:val="0"/>
                      <w14:textFill>
                        <w14:solidFill>
                          <w14:schemeClr w14:val="tx1"/>
                        </w14:solidFill>
                      </w14:textFill>
                    </w:rPr>
                    <w:t>）</w:t>
                  </w:r>
                </w:p>
              </w:tc>
              <w:tc>
                <w:tcPr>
                  <w:tcW w:w="1270"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危废暂存间贮存</w:t>
                  </w:r>
                </w:p>
              </w:tc>
              <w:tc>
                <w:tcPr>
                  <w:tcW w:w="1070" w:type="pct"/>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委托有资质单位进行处理</w:t>
                  </w:r>
                </w:p>
              </w:tc>
            </w:tr>
          </w:tbl>
          <w:p>
            <w:pPr>
              <w:adjustRightInd w:val="0"/>
              <w:snapToGrid w:val="0"/>
              <w:spacing w:line="240" w:lineRule="auto"/>
              <w:jc w:val="center"/>
              <w:rPr>
                <w:color w:val="000000" w:themeColor="text1"/>
                <w:kern w:val="0"/>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950" w:type="dxa"/>
            <w:vAlign w:val="center"/>
          </w:tcPr>
          <w:p>
            <w:pPr>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土壤及地下水污染防治措施</w:t>
            </w:r>
          </w:p>
        </w:tc>
        <w:tc>
          <w:tcPr>
            <w:tcW w:w="7850" w:type="dxa"/>
            <w:gridSpan w:val="4"/>
            <w:vAlign w:val="center"/>
          </w:tcPr>
          <w:p>
            <w:pPr>
              <w:adjustRightInd w:val="0"/>
              <w:snapToGrid w:val="0"/>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危废暂存间按照《危险废物贮存污染控制标准》（GB18597-2001）中要求，对地面和裙角进行防渗建设</w:t>
            </w:r>
            <w:r>
              <w:rPr>
                <w:rStyle w:val="35"/>
                <w:rFonts w:hint="eastAsia"/>
                <w:color w:val="000000" w:themeColor="text1"/>
                <w:kern w:val="0"/>
                <w:szCs w:val="20"/>
                <w:lang w:eastAsia="zh-CN"/>
                <w14:textFill>
                  <w14:solidFill>
                    <w14:schemeClr w14:val="tx1"/>
                  </w14:solidFill>
                </w14:textFill>
              </w:rPr>
              <w:t>、</w:t>
            </w:r>
            <w:r>
              <w:rPr>
                <w:rStyle w:val="35"/>
                <w:rFonts w:hint="eastAsia"/>
                <w:color w:val="000000" w:themeColor="text1"/>
                <w:kern w:val="0"/>
                <w:sz w:val="24"/>
                <w:szCs w:val="24"/>
                <w:lang w:eastAsia="zh-CN"/>
                <w14:textFill>
                  <w14:solidFill>
                    <w14:schemeClr w14:val="tx1"/>
                  </w14:solidFill>
                </w14:textFill>
              </w:rPr>
              <w:t>油品存放区</w:t>
            </w:r>
            <w:r>
              <w:rPr>
                <w:color w:val="000000" w:themeColor="text1"/>
                <w:kern w:val="0"/>
                <w14:textFill>
                  <w14:solidFill>
                    <w14:schemeClr w14:val="tx1"/>
                  </w14:solidFill>
                </w14:textFill>
              </w:rPr>
              <w:t>对地面和裙角进行防渗建设。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6" w:hRule="atLeast"/>
          <w:jc w:val="center"/>
        </w:trPr>
        <w:tc>
          <w:tcPr>
            <w:tcW w:w="950" w:type="dxa"/>
            <w:vAlign w:val="center"/>
          </w:tcPr>
          <w:p>
            <w:pPr>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生态保护措施</w:t>
            </w:r>
          </w:p>
        </w:tc>
        <w:tc>
          <w:tcPr>
            <w:tcW w:w="7850" w:type="dxa"/>
            <w:gridSpan w:val="4"/>
            <w:vAlign w:val="center"/>
          </w:tcPr>
          <w:p>
            <w:pPr>
              <w:adjustRightInd w:val="0"/>
              <w:snapToGrid w:val="0"/>
              <w:spacing w:line="240" w:lineRule="auto"/>
              <w:rPr>
                <w:color w:val="000000" w:themeColor="text1"/>
                <w:kern w:val="0"/>
                <w14:textFill>
                  <w14:solidFill>
                    <w14:schemeClr w14:val="tx1"/>
                  </w14:solidFill>
                </w14:textFill>
              </w:rPr>
            </w:pPr>
            <w:r>
              <w:rPr>
                <w:color w:val="000000" w:themeColor="text1"/>
                <w:kern w:val="0"/>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950" w:type="dxa"/>
            <w:vAlign w:val="center"/>
          </w:tcPr>
          <w:p>
            <w:pPr>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环境风险防范措施</w:t>
            </w:r>
          </w:p>
        </w:tc>
        <w:tc>
          <w:tcPr>
            <w:tcW w:w="7850" w:type="dxa"/>
            <w:gridSpan w:val="4"/>
            <w:vAlign w:val="center"/>
          </w:tcPr>
          <w:p>
            <w:pPr>
              <w:numPr>
                <w:ilvl w:val="0"/>
                <w:numId w:val="24"/>
              </w:numPr>
              <w:tabs>
                <w:tab w:val="left" w:pos="540"/>
                <w:tab w:val="left" w:pos="851"/>
                <w:tab w:val="left" w:pos="994"/>
                <w:tab w:val="left" w:pos="1260"/>
                <w:tab w:val="left" w:pos="3108"/>
                <w:tab w:val="left" w:pos="3150"/>
              </w:tabs>
              <w:adjustRightInd w:val="0"/>
              <w:snapToGrid w:val="0"/>
              <w:rPr>
                <w:color w:val="000000" w:themeColor="text1"/>
                <w:kern w:val="0"/>
                <w14:textFill>
                  <w14:solidFill>
                    <w14:schemeClr w14:val="tx1"/>
                  </w14:solidFill>
                </w14:textFill>
              </w:rPr>
            </w:pPr>
            <w:r>
              <w:rPr>
                <w:color w:val="000000" w:themeColor="text1"/>
                <w:kern w:val="0"/>
                <w14:textFill>
                  <w14:solidFill>
                    <w14:schemeClr w14:val="tx1"/>
                  </w14:solidFill>
                </w14:textFill>
              </w:rPr>
              <w:t>危废暂存间严格按照《危险废物贮存污染控制标准》（GB18597-2001）要求进行建设，地面和裙角进行防渗设计，防渗系数≤1.0×10</w:t>
            </w:r>
            <w:r>
              <w:rPr>
                <w:color w:val="000000" w:themeColor="text1"/>
                <w:kern w:val="0"/>
                <w:vertAlign w:val="superscript"/>
                <w14:textFill>
                  <w14:solidFill>
                    <w14:schemeClr w14:val="tx1"/>
                  </w14:solidFill>
                </w14:textFill>
              </w:rPr>
              <w:t>-10</w:t>
            </w:r>
            <w:r>
              <w:rPr>
                <w:color w:val="000000" w:themeColor="text1"/>
                <w:kern w:val="0"/>
                <w14:textFill>
                  <w14:solidFill>
                    <w14:schemeClr w14:val="tx1"/>
                  </w14:solidFill>
                </w14:textFill>
              </w:rPr>
              <w:t>cm/s，地面向内形成一定的坡度，并设置围堰或在门口设置门槛，防止废</w:t>
            </w:r>
            <w:r>
              <w:rPr>
                <w:rFonts w:hint="eastAsia"/>
                <w:color w:val="000000" w:themeColor="text1"/>
                <w:kern w:val="0"/>
                <w14:textFill>
                  <w14:solidFill>
                    <w14:schemeClr w14:val="tx1"/>
                  </w14:solidFill>
                </w14:textFill>
              </w:rPr>
              <w:t>矿物油</w:t>
            </w:r>
            <w:r>
              <w:rPr>
                <w:color w:val="000000" w:themeColor="text1"/>
                <w:kern w:val="0"/>
                <w14:textFill>
                  <w14:solidFill>
                    <w14:schemeClr w14:val="tx1"/>
                  </w14:solidFill>
                </w14:textFill>
              </w:rPr>
              <w:t>泄漏后进入外环境。</w:t>
            </w:r>
          </w:p>
          <w:p>
            <w:pPr>
              <w:numPr>
                <w:ilvl w:val="0"/>
                <w:numId w:val="24"/>
              </w:numPr>
              <w:tabs>
                <w:tab w:val="left" w:pos="540"/>
                <w:tab w:val="left" w:pos="851"/>
                <w:tab w:val="left" w:pos="994"/>
                <w:tab w:val="left" w:pos="1260"/>
                <w:tab w:val="left" w:pos="3108"/>
                <w:tab w:val="left" w:pos="3150"/>
              </w:tabs>
              <w:adjustRightInd w:val="0"/>
              <w:snapToGrid w:val="0"/>
              <w:rPr>
                <w:color w:val="000000" w:themeColor="text1"/>
                <w:kern w:val="0"/>
                <w14:textFill>
                  <w14:solidFill>
                    <w14:schemeClr w14:val="tx1"/>
                  </w14:solidFill>
                </w14:textFill>
              </w:rPr>
            </w:pPr>
            <w:r>
              <w:rPr>
                <w:rFonts w:hint="eastAsia"/>
                <w:color w:val="000000" w:themeColor="text1"/>
                <w:kern w:val="0"/>
                <w14:textFill>
                  <w14:solidFill>
                    <w14:schemeClr w14:val="tx1"/>
                  </w14:solidFill>
                </w14:textFill>
              </w:rPr>
              <w:t>油品存放区</w:t>
            </w:r>
            <w:r>
              <w:rPr>
                <w:color w:val="000000" w:themeColor="text1"/>
                <w:kern w:val="0"/>
                <w14:textFill>
                  <w14:solidFill>
                    <w14:schemeClr w14:val="tx1"/>
                  </w14:solidFill>
                </w14:textFill>
              </w:rPr>
              <w:t>地面和裙角进行防渗设计</w:t>
            </w:r>
            <w:r>
              <w:rPr>
                <w:rFonts w:hint="eastAsia"/>
                <w:color w:val="000000" w:themeColor="text1"/>
                <w:kern w:val="0"/>
                <w14:textFill>
                  <w14:solidFill>
                    <w14:schemeClr w14:val="tx1"/>
                  </w14:solidFill>
                </w14:textFill>
              </w:rPr>
              <w:t>，</w:t>
            </w:r>
            <w:r>
              <w:rPr>
                <w:color w:val="000000" w:themeColor="text1"/>
                <w:kern w:val="0"/>
                <w14:textFill>
                  <w14:solidFill>
                    <w14:schemeClr w14:val="tx1"/>
                  </w14:solidFill>
                </w14:textFill>
              </w:rPr>
              <w:t>防渗系数≤</w:t>
            </w:r>
            <w:r>
              <w:rPr>
                <w:rFonts w:hint="eastAsia"/>
                <w:color w:val="000000" w:themeColor="text1"/>
                <w:kern w:val="0"/>
                <w14:textFill>
                  <w14:solidFill>
                    <w14:schemeClr w14:val="tx1"/>
                  </w14:solidFill>
                </w14:textFill>
              </w:rPr>
              <w:t>1.0×</w:t>
            </w:r>
            <w:r>
              <w:rPr>
                <w:color w:val="000000" w:themeColor="text1"/>
                <w:kern w:val="0"/>
                <w14:textFill>
                  <w14:solidFill>
                    <w14:schemeClr w14:val="tx1"/>
                  </w14:solidFill>
                </w14:textFill>
              </w:rPr>
              <w:t>10</w:t>
            </w:r>
            <w:r>
              <w:rPr>
                <w:color w:val="000000" w:themeColor="text1"/>
                <w:kern w:val="0"/>
                <w:vertAlign w:val="superscript"/>
                <w14:textFill>
                  <w14:solidFill>
                    <w14:schemeClr w14:val="tx1"/>
                  </w14:solidFill>
                </w14:textFill>
              </w:rPr>
              <w:t>-10</w:t>
            </w:r>
            <w:r>
              <w:rPr>
                <w:color w:val="000000" w:themeColor="text1"/>
                <w:kern w:val="0"/>
                <w14:textFill>
                  <w14:solidFill>
                    <w14:schemeClr w14:val="tx1"/>
                  </w14:solidFill>
                </w14:textFill>
              </w:rPr>
              <w:t>cm/s，设置围堰，防止</w:t>
            </w:r>
            <w:r>
              <w:rPr>
                <w:rFonts w:hint="eastAsia"/>
                <w:color w:val="000000" w:themeColor="text1"/>
                <w:kern w:val="0"/>
                <w14:textFill>
                  <w14:solidFill>
                    <w14:schemeClr w14:val="tx1"/>
                  </w14:solidFill>
                </w14:textFill>
              </w:rPr>
              <w:t>矿物油</w:t>
            </w:r>
            <w:r>
              <w:rPr>
                <w:color w:val="000000" w:themeColor="text1"/>
                <w:kern w:val="0"/>
                <w14:textFill>
                  <w14:solidFill>
                    <w14:schemeClr w14:val="tx1"/>
                  </w14:solidFill>
                </w14:textFill>
              </w:rPr>
              <w:t>泄漏后进入外环境</w:t>
            </w:r>
            <w:r>
              <w:rPr>
                <w:rFonts w:hint="eastAsia"/>
                <w:color w:val="000000" w:themeColor="text1"/>
                <w:kern w:val="0"/>
                <w:lang w:eastAsia="zh-CN"/>
                <w14:textFill>
                  <w14:solidFill>
                    <w14:schemeClr w14:val="tx1"/>
                  </w14:solidFill>
                </w14:textFill>
              </w:rPr>
              <w:t>。</w:t>
            </w:r>
          </w:p>
          <w:p>
            <w:pPr>
              <w:tabs>
                <w:tab w:val="left" w:pos="540"/>
                <w:tab w:val="left" w:pos="851"/>
                <w:tab w:val="left" w:pos="994"/>
                <w:tab w:val="left" w:pos="1260"/>
                <w:tab w:val="left" w:pos="3108"/>
                <w:tab w:val="left" w:pos="3150"/>
              </w:tabs>
              <w:adjustRightInd w:val="0"/>
              <w:snapToGrid w:val="0"/>
              <w:rPr>
                <w:color w:val="000000" w:themeColor="text1"/>
                <w:kern w:val="0"/>
                <w14:textFill>
                  <w14:solidFill>
                    <w14:schemeClr w14:val="tx1"/>
                  </w14:solidFill>
                </w14:textFill>
              </w:rPr>
            </w:pPr>
            <w:r>
              <w:rPr>
                <w:color w:val="000000" w:themeColor="text1"/>
                <w:kern w:val="0"/>
                <w14:textFill>
                  <w14:solidFill>
                    <w14:schemeClr w14:val="tx1"/>
                  </w14:solidFill>
                </w14:textFill>
              </w:rPr>
              <w:t>（3）设置专人进行管理，定期对废机油收集桶、气瓶区进行检查，并做好巡检记录及时发现事故隐患并迅速给以消除。</w:t>
            </w:r>
          </w:p>
          <w:p>
            <w:pPr>
              <w:tabs>
                <w:tab w:val="left" w:pos="540"/>
                <w:tab w:val="left" w:pos="851"/>
                <w:tab w:val="left" w:pos="994"/>
                <w:tab w:val="left" w:pos="1260"/>
                <w:tab w:val="left" w:pos="3108"/>
                <w:tab w:val="left" w:pos="3150"/>
              </w:tabs>
              <w:adjustRightInd w:val="0"/>
              <w:snapToGrid w:val="0"/>
              <w:rPr>
                <w:color w:val="000000" w:themeColor="text1"/>
                <w:kern w:val="0"/>
                <w14:textFill>
                  <w14:solidFill>
                    <w14:schemeClr w14:val="tx1"/>
                  </w14:solidFill>
                </w14:textFill>
              </w:rPr>
            </w:pPr>
            <w:r>
              <w:rPr>
                <w:color w:val="000000" w:themeColor="text1"/>
                <w:kern w:val="0"/>
                <w14:textFill>
                  <w14:solidFill>
                    <w14:schemeClr w14:val="tx1"/>
                  </w14:solidFill>
                </w14:textFill>
              </w:rPr>
              <w:t>（</w:t>
            </w:r>
            <w:r>
              <w:rPr>
                <w:rFonts w:hint="eastAsia"/>
                <w:color w:val="000000" w:themeColor="text1"/>
                <w:kern w:val="0"/>
                <w:lang w:val="en-US" w:eastAsia="zh-CN"/>
                <w14:textFill>
                  <w14:solidFill>
                    <w14:schemeClr w14:val="tx1"/>
                  </w14:solidFill>
                </w14:textFill>
              </w:rPr>
              <w:t>4</w:t>
            </w:r>
            <w:r>
              <w:rPr>
                <w:color w:val="000000" w:themeColor="text1"/>
                <w:kern w:val="0"/>
                <w14:textFill>
                  <w14:solidFill>
                    <w14:schemeClr w14:val="tx1"/>
                  </w14:solidFill>
                </w14:textFill>
              </w:rPr>
              <w:t>）按照《突发环境事件应急预案管理暂行办法》的要求，编制突发环境事件应急预案，并报昆明市生态环境局晋宁分局备案。建立完善的应急报告制度，落实应急物资和经费，日常加强应急演练。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950" w:type="dxa"/>
            <w:vAlign w:val="center"/>
          </w:tcPr>
          <w:p>
            <w:pPr>
              <w:adjustRightInd w:val="0"/>
              <w:snapToGrid w:val="0"/>
              <w:spacing w:line="240" w:lineRule="auto"/>
              <w:jc w:val="center"/>
              <w:rPr>
                <w:color w:val="000000" w:themeColor="text1"/>
                <w:kern w:val="0"/>
                <w14:textFill>
                  <w14:solidFill>
                    <w14:schemeClr w14:val="tx1"/>
                  </w14:solidFill>
                </w14:textFill>
              </w:rPr>
            </w:pPr>
            <w:r>
              <w:rPr>
                <w:color w:val="000000" w:themeColor="text1"/>
                <w:kern w:val="0"/>
                <w14:textFill>
                  <w14:solidFill>
                    <w14:schemeClr w14:val="tx1"/>
                  </w14:solidFill>
                </w14:textFill>
              </w:rPr>
              <w:t>其他环境管理要求</w:t>
            </w:r>
          </w:p>
        </w:tc>
        <w:tc>
          <w:tcPr>
            <w:tcW w:w="7850" w:type="dxa"/>
            <w:gridSpan w:val="4"/>
            <w:vAlign w:val="center"/>
          </w:tcPr>
          <w:p>
            <w:pPr>
              <w:adjustRightInd w:val="0"/>
              <w:snapToGrid w:val="0"/>
              <w:spacing w:line="240" w:lineRule="auto"/>
              <w:rPr>
                <w:color w:val="000000" w:themeColor="text1"/>
                <w:kern w:val="0"/>
                <w14:textFill>
                  <w14:solidFill>
                    <w14:schemeClr w14:val="tx1"/>
                  </w14:solidFill>
                </w14:textFill>
              </w:rPr>
            </w:pPr>
            <w:r>
              <w:rPr>
                <w:color w:val="000000" w:themeColor="text1"/>
                <w:kern w:val="0"/>
                <w14:textFill>
                  <w14:solidFill>
                    <w14:schemeClr w14:val="tx1"/>
                  </w14:solidFill>
                </w14:textFill>
              </w:rPr>
              <w:t>无</w:t>
            </w:r>
          </w:p>
          <w:p>
            <w:pPr>
              <w:adjustRightInd w:val="0"/>
              <w:snapToGrid w:val="0"/>
              <w:spacing w:line="240" w:lineRule="auto"/>
              <w:jc w:val="center"/>
              <w:rPr>
                <w:color w:val="000000" w:themeColor="text1"/>
                <w:kern w:val="0"/>
                <w14:textFill>
                  <w14:solidFill>
                    <w14:schemeClr w14:val="tx1"/>
                  </w14:solidFill>
                </w14:textFill>
              </w:rPr>
            </w:pPr>
          </w:p>
          <w:p>
            <w:pPr>
              <w:adjustRightInd w:val="0"/>
              <w:snapToGrid w:val="0"/>
              <w:spacing w:line="240" w:lineRule="auto"/>
              <w:rPr>
                <w:color w:val="000000" w:themeColor="text1"/>
                <w:kern w:val="0"/>
                <w14:textFill>
                  <w14:solidFill>
                    <w14:schemeClr w14:val="tx1"/>
                  </w14:solidFill>
                </w14:textFill>
              </w:rPr>
            </w:pPr>
          </w:p>
          <w:p>
            <w:pPr>
              <w:adjustRightInd w:val="0"/>
              <w:snapToGrid w:val="0"/>
              <w:spacing w:line="240" w:lineRule="auto"/>
              <w:rPr>
                <w:color w:val="000000" w:themeColor="text1"/>
                <w:kern w:val="0"/>
                <w14:textFill>
                  <w14:solidFill>
                    <w14:schemeClr w14:val="tx1"/>
                  </w14:solidFill>
                </w14:textFill>
              </w:rPr>
            </w:pPr>
          </w:p>
          <w:p>
            <w:pPr>
              <w:adjustRightInd w:val="0"/>
              <w:snapToGrid w:val="0"/>
              <w:spacing w:line="240" w:lineRule="auto"/>
              <w:rPr>
                <w:color w:val="000000" w:themeColor="text1"/>
                <w:kern w:val="0"/>
                <w14:textFill>
                  <w14:solidFill>
                    <w14:schemeClr w14:val="tx1"/>
                  </w14:solidFill>
                </w14:textFill>
              </w:rPr>
            </w:pPr>
          </w:p>
          <w:p>
            <w:pPr>
              <w:adjustRightInd w:val="0"/>
              <w:snapToGrid w:val="0"/>
              <w:spacing w:line="240" w:lineRule="auto"/>
              <w:rPr>
                <w:color w:val="000000" w:themeColor="text1"/>
                <w:kern w:val="0"/>
                <w14:textFill>
                  <w14:solidFill>
                    <w14:schemeClr w14:val="tx1"/>
                  </w14:solidFill>
                </w14:textFill>
              </w:rPr>
            </w:pPr>
          </w:p>
        </w:tc>
      </w:tr>
    </w:tbl>
    <w:p>
      <w:pPr>
        <w:pStyle w:val="24"/>
        <w:spacing w:before="0" w:beforeAutospacing="0" w:after="0" w:afterAutospacing="0"/>
        <w:jc w:val="center"/>
        <w:outlineLvl w:val="0"/>
        <w:rPr>
          <w:rFonts w:ascii="Times New Roman" w:hAnsi="Times New Roman"/>
          <w:snapToGrid w:val="0"/>
          <w:color w:val="000000" w:themeColor="text1"/>
          <w:sz w:val="30"/>
          <w:szCs w:val="30"/>
          <w14:textFill>
            <w14:solidFill>
              <w14:schemeClr w14:val="tx1"/>
            </w14:solidFill>
          </w14:textFill>
        </w:rPr>
      </w:pPr>
      <w:r>
        <w:rPr>
          <w:rFonts w:ascii="Times New Roman" w:hAnsi="Times New Roman"/>
          <w:snapToGrid w:val="0"/>
          <w:color w:val="000000" w:themeColor="text1"/>
          <w14:textFill>
            <w14:solidFill>
              <w14:schemeClr w14:val="tx1"/>
            </w14:solidFill>
          </w14:textFill>
        </w:rPr>
        <w:br w:type="page"/>
      </w:r>
      <w:bookmarkStart w:id="44" w:name="_Toc17513"/>
      <w:r>
        <w:rPr>
          <w:rFonts w:ascii="Times New Roman" w:hAnsi="Times New Roman"/>
          <w:snapToGrid w:val="0"/>
          <w:color w:val="000000" w:themeColor="text1"/>
          <w:sz w:val="30"/>
          <w:szCs w:val="30"/>
          <w14:textFill>
            <w14:solidFill>
              <w14:schemeClr w14:val="tx1"/>
            </w14:solidFill>
          </w14:textFill>
        </w:rPr>
        <w:t>六、结论</w:t>
      </w:r>
      <w:bookmarkEnd w:id="44"/>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widowControl/>
              <w:ind w:firstLine="480" w:firstLineChars="200"/>
              <w:rPr>
                <w:color w:val="000000" w:themeColor="text1"/>
                <w:kern w:val="0"/>
                <w14:textFill>
                  <w14:solidFill>
                    <w14:schemeClr w14:val="tx1"/>
                  </w14:solidFill>
                </w14:textFill>
              </w:rPr>
            </w:pPr>
            <w:r>
              <w:rPr>
                <w:color w:val="000000" w:themeColor="text1"/>
                <w:kern w:val="0"/>
                <w14:textFill>
                  <w14:solidFill>
                    <w14:schemeClr w14:val="tx1"/>
                  </w14:solidFill>
                </w14:textFill>
              </w:rPr>
              <w:t>从环境保护角度论证，本项目的建设可行。</w:t>
            </w:r>
          </w:p>
        </w:tc>
      </w:tr>
    </w:tbl>
    <w:p>
      <w:pPr>
        <w:rPr>
          <w:color w:val="000000" w:themeColor="text1"/>
          <w:kern w:val="0"/>
          <w14:textFill>
            <w14:solidFill>
              <w14:schemeClr w14:val="tx1"/>
            </w14:solidFill>
          </w14:textFill>
        </w:rPr>
        <w:sectPr>
          <w:pgSz w:w="11906" w:h="16838"/>
          <w:pgMar w:top="1701" w:right="1531" w:bottom="1701" w:left="1531" w:header="851" w:footer="851" w:gutter="0"/>
          <w:cols w:space="720" w:num="1"/>
          <w:docGrid w:linePitch="312" w:charSpace="0"/>
        </w:sectPr>
      </w:pPr>
    </w:p>
    <w:p>
      <w:pPr>
        <w:pStyle w:val="24"/>
        <w:adjustRightInd w:val="0"/>
        <w:snapToGrid w:val="0"/>
        <w:spacing w:before="0" w:beforeAutospacing="0" w:after="0" w:afterAutospacing="0"/>
        <w:outlineLvl w:val="0"/>
        <w:rPr>
          <w:rFonts w:ascii="Times New Roman" w:hAnsi="Times New Roman"/>
          <w:snapToGrid w:val="0"/>
          <w:color w:val="000000" w:themeColor="text1"/>
          <w:sz w:val="32"/>
          <w:szCs w:val="32"/>
          <w14:textFill>
            <w14:solidFill>
              <w14:schemeClr w14:val="tx1"/>
            </w14:solidFill>
          </w14:textFill>
        </w:rPr>
      </w:pPr>
      <w:bookmarkStart w:id="45" w:name="_Toc23350"/>
      <w:r>
        <w:rPr>
          <w:rFonts w:ascii="Times New Roman" w:hAnsi="Times New Roman"/>
          <w:snapToGrid w:val="0"/>
          <w:color w:val="000000" w:themeColor="text1"/>
          <w:sz w:val="32"/>
          <w:szCs w:val="32"/>
          <w14:textFill>
            <w14:solidFill>
              <w14:schemeClr w14:val="tx1"/>
            </w14:solidFill>
          </w14:textFill>
        </w:rPr>
        <w:t>附表</w:t>
      </w:r>
      <w:bookmarkEnd w:id="45"/>
    </w:p>
    <w:p>
      <w:pPr>
        <w:pStyle w:val="24"/>
        <w:adjustRightInd w:val="0"/>
        <w:snapToGrid w:val="0"/>
        <w:spacing w:before="0" w:beforeAutospacing="0" w:after="0" w:afterAutospacing="0" w:line="240" w:lineRule="auto"/>
        <w:jc w:val="center"/>
        <w:outlineLvl w:val="0"/>
        <w:rPr>
          <w:rFonts w:ascii="Times New Roman" w:hAnsi="Times New Roman"/>
          <w:snapToGrid w:val="0"/>
          <w:color w:val="000000" w:themeColor="text1"/>
          <w:sz w:val="32"/>
          <w:szCs w:val="32"/>
          <w14:textFill>
            <w14:solidFill>
              <w14:schemeClr w14:val="tx1"/>
            </w14:solidFill>
          </w14:textFill>
        </w:rPr>
      </w:pPr>
      <w:bookmarkStart w:id="46" w:name="_Toc3395"/>
      <w:r>
        <w:rPr>
          <w:rFonts w:ascii="Times New Roman" w:hAnsi="Times New Roman"/>
          <w:snapToGrid w:val="0"/>
          <w:color w:val="000000" w:themeColor="text1"/>
          <w:sz w:val="32"/>
          <w:szCs w:val="32"/>
          <w14:textFill>
            <w14:solidFill>
              <w14:schemeClr w14:val="tx1"/>
            </w14:solidFill>
          </w14:textFill>
        </w:rPr>
        <w:t>建设项目污染物排放量汇总表</w:t>
      </w:r>
      <w:bookmarkEnd w:id="46"/>
    </w:p>
    <w:tbl>
      <w:tblPr>
        <w:tblStyle w:val="28"/>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89"/>
        <w:gridCol w:w="2016"/>
        <w:gridCol w:w="1701"/>
        <w:gridCol w:w="1138"/>
        <w:gridCol w:w="1485"/>
        <w:gridCol w:w="1755"/>
        <w:gridCol w:w="1695"/>
        <w:gridCol w:w="1845"/>
        <w:gridCol w:w="116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89" w:type="dxa"/>
            <w:tcBorders>
              <w:tl2br w:val="single" w:color="auto" w:sz="4" w:space="0"/>
            </w:tcBorders>
            <w:tcMar>
              <w:left w:w="28" w:type="dxa"/>
              <w:right w:w="28" w:type="dxa"/>
            </w:tcMar>
            <w:vAlign w:val="center"/>
          </w:tcPr>
          <w:p>
            <w:pPr>
              <w:pStyle w:val="48"/>
              <w:spacing w:beforeLines="0" w:afterLines="0" w:line="240" w:lineRule="auto"/>
              <w:ind w:firstLine="0" w:firstLineChars="0"/>
              <w:jc w:val="right"/>
              <w:rPr>
                <w:rFonts w:ascii="Times New Roman"/>
                <w:snapToGrid w:val="0"/>
                <w:color w:val="000000" w:themeColor="text1"/>
                <w:szCs w:val="21"/>
                <w14:textFill>
                  <w14:solidFill>
                    <w14:schemeClr w14:val="tx1"/>
                  </w14:solidFill>
                </w14:textFill>
              </w:rPr>
            </w:pPr>
            <w:r>
              <w:rPr>
                <w:rFonts w:ascii="Times New Roman"/>
                <w:snapToGrid w:val="0"/>
                <w:color w:val="000000" w:themeColor="text1"/>
                <w:szCs w:val="21"/>
                <w14:textFill>
                  <w14:solidFill>
                    <w14:schemeClr w14:val="tx1"/>
                  </w14:solidFill>
                </w14:textFill>
              </w:rPr>
              <w:t>项目</w:t>
            </w:r>
          </w:p>
          <w:p>
            <w:pPr>
              <w:pStyle w:val="48"/>
              <w:spacing w:beforeLines="0" w:afterLines="0" w:line="240" w:lineRule="auto"/>
              <w:ind w:firstLine="0" w:firstLineChars="0"/>
              <w:jc w:val="left"/>
              <w:rPr>
                <w:rFonts w:ascii="Times New Roman"/>
                <w:snapToGrid w:val="0"/>
                <w:color w:val="000000" w:themeColor="text1"/>
                <w:szCs w:val="21"/>
                <w14:textFill>
                  <w14:solidFill>
                    <w14:schemeClr w14:val="tx1"/>
                  </w14:solidFill>
                </w14:textFill>
              </w:rPr>
            </w:pPr>
            <w:r>
              <w:rPr>
                <w:rFonts w:ascii="Times New Roman"/>
                <w:snapToGrid w:val="0"/>
                <w:color w:val="000000" w:themeColor="text1"/>
                <w:szCs w:val="21"/>
                <w14:textFill>
                  <w14:solidFill>
                    <w14:schemeClr w14:val="tx1"/>
                  </w14:solidFill>
                </w14:textFill>
              </w:rPr>
              <w:t>分类</w:t>
            </w:r>
          </w:p>
        </w:tc>
        <w:tc>
          <w:tcPr>
            <w:tcW w:w="2016" w:type="dxa"/>
            <w:tcMar>
              <w:left w:w="28" w:type="dxa"/>
              <w:right w:w="28" w:type="dxa"/>
            </w:tcMar>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r>
              <w:rPr>
                <w:rFonts w:ascii="Times New Roman"/>
                <w:snapToGrid w:val="0"/>
                <w:color w:val="000000" w:themeColor="text1"/>
                <w:szCs w:val="21"/>
                <w14:textFill>
                  <w14:solidFill>
                    <w14:schemeClr w14:val="tx1"/>
                  </w14:solidFill>
                </w14:textFill>
              </w:rPr>
              <w:t>污染物名称</w:t>
            </w:r>
          </w:p>
        </w:tc>
        <w:tc>
          <w:tcPr>
            <w:tcW w:w="1701" w:type="dxa"/>
            <w:tcMar>
              <w:left w:w="28" w:type="dxa"/>
              <w:right w:w="28" w:type="dxa"/>
            </w:tcMar>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r>
              <w:rPr>
                <w:rFonts w:ascii="Times New Roman"/>
                <w:snapToGrid w:val="0"/>
                <w:color w:val="000000" w:themeColor="text1"/>
                <w:szCs w:val="21"/>
                <w14:textFill>
                  <w14:solidFill>
                    <w14:schemeClr w14:val="tx1"/>
                  </w14:solidFill>
                </w14:textFill>
              </w:rPr>
              <w:t>现有工程</w:t>
            </w:r>
          </w:p>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r>
              <w:rPr>
                <w:rFonts w:ascii="Times New Roman"/>
                <w:snapToGrid w:val="0"/>
                <w:color w:val="000000" w:themeColor="text1"/>
                <w:szCs w:val="21"/>
                <w14:textFill>
                  <w14:solidFill>
                    <w14:schemeClr w14:val="tx1"/>
                  </w14:solidFill>
                </w14:textFill>
              </w:rPr>
              <w:t>排放量（固体废物产生量）</w:t>
            </w:r>
            <w:r>
              <w:rPr>
                <w:rFonts w:ascii="Times New Roman"/>
                <w:snapToGrid w:val="0"/>
                <w:color w:val="000000" w:themeColor="text1"/>
                <w:szCs w:val="21"/>
                <w14:textFill>
                  <w14:solidFill>
                    <w14:schemeClr w14:val="tx1"/>
                  </w14:solidFill>
                </w14:textFill>
              </w:rPr>
              <w:fldChar w:fldCharType="begin"/>
            </w:r>
            <w:r>
              <w:rPr>
                <w:rFonts w:ascii="Times New Roman"/>
                <w:snapToGrid w:val="0"/>
                <w:color w:val="000000" w:themeColor="text1"/>
                <w:szCs w:val="21"/>
                <w14:textFill>
                  <w14:solidFill>
                    <w14:schemeClr w14:val="tx1"/>
                  </w14:solidFill>
                </w14:textFill>
              </w:rPr>
              <w:instrText xml:space="preserve"> = 1 \* GB3 \* MERGEFORMAT </w:instrText>
            </w:r>
            <w:r>
              <w:rPr>
                <w:rFonts w:ascii="Times New Roman"/>
                <w:snapToGrid w:val="0"/>
                <w:color w:val="000000" w:themeColor="text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①</w:t>
            </w:r>
            <w:r>
              <w:rPr>
                <w:rFonts w:ascii="Times New Roman"/>
                <w:snapToGrid w:val="0"/>
                <w:color w:val="000000" w:themeColor="text1"/>
                <w:szCs w:val="21"/>
                <w14:textFill>
                  <w14:solidFill>
                    <w14:schemeClr w14:val="tx1"/>
                  </w14:solidFill>
                </w14:textFill>
              </w:rPr>
              <w:fldChar w:fldCharType="end"/>
            </w:r>
          </w:p>
        </w:tc>
        <w:tc>
          <w:tcPr>
            <w:tcW w:w="1138" w:type="dxa"/>
            <w:tcMar>
              <w:left w:w="28" w:type="dxa"/>
              <w:right w:w="28" w:type="dxa"/>
            </w:tcMar>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r>
              <w:rPr>
                <w:rFonts w:ascii="Times New Roman"/>
                <w:snapToGrid w:val="0"/>
                <w:color w:val="000000" w:themeColor="text1"/>
                <w:szCs w:val="21"/>
                <w14:textFill>
                  <w14:solidFill>
                    <w14:schemeClr w14:val="tx1"/>
                  </w14:solidFill>
                </w14:textFill>
              </w:rPr>
              <w:t>现有工程</w:t>
            </w:r>
          </w:p>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r>
              <w:rPr>
                <w:rFonts w:ascii="Times New Roman"/>
                <w:snapToGrid w:val="0"/>
                <w:color w:val="000000" w:themeColor="text1"/>
                <w:szCs w:val="21"/>
                <w14:textFill>
                  <w14:solidFill>
                    <w14:schemeClr w14:val="tx1"/>
                  </w14:solidFill>
                </w14:textFill>
              </w:rPr>
              <w:t>许可排放量</w:t>
            </w:r>
          </w:p>
          <w:p>
            <w:pPr>
              <w:pStyle w:val="48"/>
              <w:spacing w:beforeLines="0" w:afterLines="0"/>
              <w:ind w:firstLine="0" w:firstLineChars="0"/>
              <w:rPr>
                <w:rFonts w:ascii="Times New Roman"/>
                <w:snapToGrid w:val="0"/>
                <w:color w:val="000000" w:themeColor="text1"/>
                <w:szCs w:val="21"/>
                <w14:textFill>
                  <w14:solidFill>
                    <w14:schemeClr w14:val="tx1"/>
                  </w14:solidFill>
                </w14:textFill>
              </w:rPr>
            </w:pPr>
            <w:r>
              <w:rPr>
                <w:rFonts w:ascii="Times New Roman"/>
                <w:snapToGrid w:val="0"/>
                <w:color w:val="000000" w:themeColor="text1"/>
                <w:szCs w:val="21"/>
                <w14:textFill>
                  <w14:solidFill>
                    <w14:schemeClr w14:val="tx1"/>
                  </w14:solidFill>
                </w14:textFill>
              </w:rPr>
              <w:fldChar w:fldCharType="begin"/>
            </w:r>
            <w:r>
              <w:rPr>
                <w:rFonts w:ascii="Times New Roman"/>
                <w:snapToGrid w:val="0"/>
                <w:color w:val="000000" w:themeColor="text1"/>
                <w:szCs w:val="21"/>
                <w14:textFill>
                  <w14:solidFill>
                    <w14:schemeClr w14:val="tx1"/>
                  </w14:solidFill>
                </w14:textFill>
              </w:rPr>
              <w:instrText xml:space="preserve"> = 2 \* GB3 \* MERGEFORMAT </w:instrText>
            </w:r>
            <w:r>
              <w:rPr>
                <w:rFonts w:ascii="Times New Roman"/>
                <w:snapToGrid w:val="0"/>
                <w:color w:val="000000" w:themeColor="text1"/>
                <w:szCs w:val="21"/>
                <w14:textFill>
                  <w14:solidFill>
                    <w14:schemeClr w14:val="tx1"/>
                  </w14:solidFill>
                </w14:textFill>
              </w:rPr>
              <w:fldChar w:fldCharType="separate"/>
            </w:r>
            <w:r>
              <w:rPr>
                <w:rFonts w:ascii="Times New Roman"/>
                <w:snapToGrid w:val="0"/>
                <w:color w:val="000000" w:themeColor="text1"/>
                <w:szCs w:val="21"/>
                <w14:textFill>
                  <w14:solidFill>
                    <w14:schemeClr w14:val="tx1"/>
                  </w14:solidFill>
                </w14:textFill>
              </w:rPr>
              <w:t>②</w:t>
            </w:r>
            <w:r>
              <w:rPr>
                <w:rFonts w:ascii="Times New Roman"/>
                <w:snapToGrid w:val="0"/>
                <w:color w:val="000000" w:themeColor="text1"/>
                <w:szCs w:val="21"/>
                <w14:textFill>
                  <w14:solidFill>
                    <w14:schemeClr w14:val="tx1"/>
                  </w14:solidFill>
                </w14:textFill>
              </w:rPr>
              <w:fldChar w:fldCharType="end"/>
            </w:r>
          </w:p>
        </w:tc>
        <w:tc>
          <w:tcPr>
            <w:tcW w:w="1485" w:type="dxa"/>
            <w:tcMar>
              <w:left w:w="28" w:type="dxa"/>
              <w:right w:w="28" w:type="dxa"/>
            </w:tcMar>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r>
              <w:rPr>
                <w:rFonts w:ascii="Times New Roman"/>
                <w:snapToGrid w:val="0"/>
                <w:color w:val="000000" w:themeColor="text1"/>
                <w:szCs w:val="21"/>
                <w14:textFill>
                  <w14:solidFill>
                    <w14:schemeClr w14:val="tx1"/>
                  </w14:solidFill>
                </w14:textFill>
              </w:rPr>
              <w:t>在建工程</w:t>
            </w:r>
          </w:p>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r>
              <w:rPr>
                <w:rFonts w:ascii="Times New Roman"/>
                <w:snapToGrid w:val="0"/>
                <w:color w:val="000000" w:themeColor="text1"/>
                <w:szCs w:val="21"/>
                <w14:textFill>
                  <w14:solidFill>
                    <w14:schemeClr w14:val="tx1"/>
                  </w14:solidFill>
                </w14:textFill>
              </w:rPr>
              <w:t>排放量（固体废物产生量）</w:t>
            </w:r>
            <w:r>
              <w:rPr>
                <w:rFonts w:ascii="Times New Roman"/>
                <w:snapToGrid w:val="0"/>
                <w:color w:val="000000" w:themeColor="text1"/>
                <w:szCs w:val="21"/>
                <w14:textFill>
                  <w14:solidFill>
                    <w14:schemeClr w14:val="tx1"/>
                  </w14:solidFill>
                </w14:textFill>
              </w:rPr>
              <w:fldChar w:fldCharType="begin"/>
            </w:r>
            <w:r>
              <w:rPr>
                <w:rFonts w:ascii="Times New Roman"/>
                <w:snapToGrid w:val="0"/>
                <w:color w:val="000000" w:themeColor="text1"/>
                <w:szCs w:val="21"/>
                <w14:textFill>
                  <w14:solidFill>
                    <w14:schemeClr w14:val="tx1"/>
                  </w14:solidFill>
                </w14:textFill>
              </w:rPr>
              <w:instrText xml:space="preserve"> = 3 \* GB3 \* MERGEFORMAT </w:instrText>
            </w:r>
            <w:r>
              <w:rPr>
                <w:rFonts w:ascii="Times New Roman"/>
                <w:snapToGrid w:val="0"/>
                <w:color w:val="000000" w:themeColor="text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③</w:t>
            </w:r>
            <w:r>
              <w:rPr>
                <w:rFonts w:ascii="Times New Roman"/>
                <w:snapToGrid w:val="0"/>
                <w:color w:val="000000" w:themeColor="text1"/>
                <w:szCs w:val="21"/>
                <w14:textFill>
                  <w14:solidFill>
                    <w14:schemeClr w14:val="tx1"/>
                  </w14:solidFill>
                </w14:textFill>
              </w:rPr>
              <w:fldChar w:fldCharType="end"/>
            </w:r>
          </w:p>
        </w:tc>
        <w:tc>
          <w:tcPr>
            <w:tcW w:w="1755" w:type="dxa"/>
            <w:tcMar>
              <w:left w:w="28" w:type="dxa"/>
              <w:right w:w="28" w:type="dxa"/>
            </w:tcMar>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r>
              <w:rPr>
                <w:rFonts w:ascii="Times New Roman"/>
                <w:snapToGrid w:val="0"/>
                <w:color w:val="000000" w:themeColor="text1"/>
                <w:szCs w:val="21"/>
                <w14:textFill>
                  <w14:solidFill>
                    <w14:schemeClr w14:val="tx1"/>
                  </w14:solidFill>
                </w14:textFill>
              </w:rPr>
              <w:t>本项目</w:t>
            </w:r>
          </w:p>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r>
              <w:rPr>
                <w:rFonts w:ascii="Times New Roman"/>
                <w:snapToGrid w:val="0"/>
                <w:color w:val="000000" w:themeColor="text1"/>
                <w:szCs w:val="21"/>
                <w14:textFill>
                  <w14:solidFill>
                    <w14:schemeClr w14:val="tx1"/>
                  </w14:solidFill>
                </w14:textFill>
              </w:rPr>
              <w:t>排放量（固体废物产生量）</w:t>
            </w:r>
            <w:r>
              <w:rPr>
                <w:rFonts w:ascii="Times New Roman"/>
                <w:snapToGrid w:val="0"/>
                <w:color w:val="000000" w:themeColor="text1"/>
                <w:szCs w:val="21"/>
                <w14:textFill>
                  <w14:solidFill>
                    <w14:schemeClr w14:val="tx1"/>
                  </w14:solidFill>
                </w14:textFill>
              </w:rPr>
              <w:fldChar w:fldCharType="begin"/>
            </w:r>
            <w:r>
              <w:rPr>
                <w:rFonts w:ascii="Times New Roman"/>
                <w:snapToGrid w:val="0"/>
                <w:color w:val="000000" w:themeColor="text1"/>
                <w:szCs w:val="21"/>
                <w14:textFill>
                  <w14:solidFill>
                    <w14:schemeClr w14:val="tx1"/>
                  </w14:solidFill>
                </w14:textFill>
              </w:rPr>
              <w:instrText xml:space="preserve"> = 4 \* GB3 \* MERGEFORMAT </w:instrText>
            </w:r>
            <w:r>
              <w:rPr>
                <w:rFonts w:ascii="Times New Roman"/>
                <w:snapToGrid w:val="0"/>
                <w:color w:val="000000" w:themeColor="text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④</w:t>
            </w:r>
            <w:r>
              <w:rPr>
                <w:rFonts w:ascii="Times New Roman"/>
                <w:snapToGrid w:val="0"/>
                <w:color w:val="000000" w:themeColor="text1"/>
                <w:szCs w:val="21"/>
                <w14:textFill>
                  <w14:solidFill>
                    <w14:schemeClr w14:val="tx1"/>
                  </w14:solidFill>
                </w14:textFill>
              </w:rPr>
              <w:fldChar w:fldCharType="end"/>
            </w:r>
          </w:p>
        </w:tc>
        <w:tc>
          <w:tcPr>
            <w:tcW w:w="1695" w:type="dxa"/>
            <w:tcMar>
              <w:left w:w="28" w:type="dxa"/>
              <w:right w:w="28" w:type="dxa"/>
            </w:tcMar>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r>
              <w:rPr>
                <w:rFonts w:ascii="Times New Roman"/>
                <w:snapToGrid w:val="0"/>
                <w:color w:val="000000" w:themeColor="text1"/>
                <w:szCs w:val="21"/>
                <w14:textFill>
                  <w14:solidFill>
                    <w14:schemeClr w14:val="tx1"/>
                  </w14:solidFill>
                </w14:textFill>
              </w:rPr>
              <w:t>以新带老削减量</w:t>
            </w:r>
          </w:p>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r>
              <w:rPr>
                <w:rFonts w:ascii="Times New Roman"/>
                <w:snapToGrid w:val="0"/>
                <w:color w:val="000000" w:themeColor="text1"/>
                <w:szCs w:val="21"/>
                <w14:textFill>
                  <w14:solidFill>
                    <w14:schemeClr w14:val="tx1"/>
                  </w14:solidFill>
                </w14:textFill>
              </w:rPr>
              <w:t>（新建项目不填）</w:t>
            </w:r>
            <w:r>
              <w:rPr>
                <w:rFonts w:ascii="Times New Roman"/>
                <w:snapToGrid w:val="0"/>
                <w:color w:val="000000" w:themeColor="text1"/>
                <w:szCs w:val="21"/>
                <w14:textFill>
                  <w14:solidFill>
                    <w14:schemeClr w14:val="tx1"/>
                  </w14:solidFill>
                </w14:textFill>
              </w:rPr>
              <w:fldChar w:fldCharType="begin"/>
            </w:r>
            <w:r>
              <w:rPr>
                <w:rFonts w:ascii="Times New Roman"/>
                <w:snapToGrid w:val="0"/>
                <w:color w:val="000000" w:themeColor="text1"/>
                <w:szCs w:val="21"/>
                <w14:textFill>
                  <w14:solidFill>
                    <w14:schemeClr w14:val="tx1"/>
                  </w14:solidFill>
                </w14:textFill>
              </w:rPr>
              <w:instrText xml:space="preserve"> = 5 \* GB3 \* MERGEFORMAT </w:instrText>
            </w:r>
            <w:r>
              <w:rPr>
                <w:rFonts w:ascii="Times New Roman"/>
                <w:snapToGrid w:val="0"/>
                <w:color w:val="000000" w:themeColor="text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⑤</w:t>
            </w:r>
            <w:r>
              <w:rPr>
                <w:rFonts w:ascii="Times New Roman"/>
                <w:snapToGrid w:val="0"/>
                <w:color w:val="000000" w:themeColor="text1"/>
                <w:szCs w:val="21"/>
                <w14:textFill>
                  <w14:solidFill>
                    <w14:schemeClr w14:val="tx1"/>
                  </w14:solidFill>
                </w14:textFill>
              </w:rPr>
              <w:fldChar w:fldCharType="end"/>
            </w:r>
          </w:p>
        </w:tc>
        <w:tc>
          <w:tcPr>
            <w:tcW w:w="1845" w:type="dxa"/>
            <w:tcMar>
              <w:left w:w="28" w:type="dxa"/>
              <w:right w:w="28" w:type="dxa"/>
            </w:tcMar>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r>
              <w:rPr>
                <w:rFonts w:ascii="Times New Roman"/>
                <w:snapToGrid w:val="0"/>
                <w:color w:val="000000" w:themeColor="text1"/>
                <w:szCs w:val="21"/>
                <w14:textFill>
                  <w14:solidFill>
                    <w14:schemeClr w14:val="tx1"/>
                  </w14:solidFill>
                </w14:textFill>
              </w:rPr>
              <w:t>本项目建成后</w:t>
            </w:r>
          </w:p>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r>
              <w:rPr>
                <w:rFonts w:ascii="Times New Roman"/>
                <w:snapToGrid w:val="0"/>
                <w:color w:val="000000" w:themeColor="text1"/>
                <w:szCs w:val="21"/>
                <w14:textFill>
                  <w14:solidFill>
                    <w14:schemeClr w14:val="tx1"/>
                  </w14:solidFill>
                </w14:textFill>
              </w:rPr>
              <w:t>全厂排放量（固体废物产生量）</w:t>
            </w:r>
            <w:r>
              <w:rPr>
                <w:rFonts w:ascii="Times New Roman"/>
                <w:snapToGrid w:val="0"/>
                <w:color w:val="000000" w:themeColor="text1"/>
                <w:szCs w:val="21"/>
                <w14:textFill>
                  <w14:solidFill>
                    <w14:schemeClr w14:val="tx1"/>
                  </w14:solidFill>
                </w14:textFill>
              </w:rPr>
              <w:fldChar w:fldCharType="begin"/>
            </w:r>
            <w:r>
              <w:rPr>
                <w:rFonts w:ascii="Times New Roman"/>
                <w:snapToGrid w:val="0"/>
                <w:color w:val="000000" w:themeColor="text1"/>
                <w:szCs w:val="21"/>
                <w14:textFill>
                  <w14:solidFill>
                    <w14:schemeClr w14:val="tx1"/>
                  </w14:solidFill>
                </w14:textFill>
              </w:rPr>
              <w:instrText xml:space="preserve"> = 6 \* GB3 \* MERGEFORMAT </w:instrText>
            </w:r>
            <w:r>
              <w:rPr>
                <w:rFonts w:ascii="Times New Roman"/>
                <w:snapToGrid w:val="0"/>
                <w:color w:val="000000" w:themeColor="text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⑥</w:t>
            </w:r>
            <w:r>
              <w:rPr>
                <w:rFonts w:ascii="Times New Roman"/>
                <w:snapToGrid w:val="0"/>
                <w:color w:val="000000" w:themeColor="text1"/>
                <w:szCs w:val="21"/>
                <w14:textFill>
                  <w14:solidFill>
                    <w14:schemeClr w14:val="tx1"/>
                  </w14:solidFill>
                </w14:textFill>
              </w:rPr>
              <w:fldChar w:fldCharType="end"/>
            </w:r>
          </w:p>
        </w:tc>
        <w:tc>
          <w:tcPr>
            <w:tcW w:w="1164" w:type="dxa"/>
            <w:tcMar>
              <w:left w:w="28" w:type="dxa"/>
              <w:right w:w="28" w:type="dxa"/>
            </w:tcMar>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r>
              <w:rPr>
                <w:rFonts w:ascii="Times New Roman"/>
                <w:snapToGrid w:val="0"/>
                <w:color w:val="000000" w:themeColor="text1"/>
                <w:szCs w:val="21"/>
                <w14:textFill>
                  <w14:solidFill>
                    <w14:schemeClr w14:val="tx1"/>
                  </w14:solidFill>
                </w14:textFill>
              </w:rPr>
              <w:t>变化量</w:t>
            </w:r>
          </w:p>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r>
              <w:rPr>
                <w:rFonts w:ascii="Times New Roman"/>
                <w:snapToGrid w:val="0"/>
                <w:color w:val="000000" w:themeColor="text1"/>
                <w:szCs w:val="21"/>
                <w14:textFill>
                  <w14:solidFill>
                    <w14:schemeClr w14:val="tx1"/>
                  </w14:solidFill>
                </w14:textFill>
              </w:rPr>
              <w:fldChar w:fldCharType="begin"/>
            </w:r>
            <w:r>
              <w:rPr>
                <w:rFonts w:ascii="Times New Roman"/>
                <w:snapToGrid w:val="0"/>
                <w:color w:val="000000" w:themeColor="text1"/>
                <w:szCs w:val="21"/>
                <w14:textFill>
                  <w14:solidFill>
                    <w14:schemeClr w14:val="tx1"/>
                  </w14:solidFill>
                </w14:textFill>
              </w:rPr>
              <w:instrText xml:space="preserve"> = 7 \* GB3 \* MERGEFORMAT </w:instrText>
            </w:r>
            <w:r>
              <w:rPr>
                <w:rFonts w:ascii="Times New Roman"/>
                <w:snapToGrid w:val="0"/>
                <w:color w:val="000000" w:themeColor="text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⑦</w:t>
            </w:r>
            <w:r>
              <w:rPr>
                <w:rFonts w:ascii="Times New Roman"/>
                <w:snapToGrid w:val="0"/>
                <w:color w:val="000000" w:themeColor="text1"/>
                <w:szCs w:val="21"/>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89" w:type="dxa"/>
            <w:vMerge w:val="restart"/>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r>
              <w:rPr>
                <w:rFonts w:ascii="Times New Roman"/>
                <w:snapToGrid w:val="0"/>
                <w:color w:val="000000" w:themeColor="text1"/>
                <w:szCs w:val="21"/>
                <w14:textFill>
                  <w14:solidFill>
                    <w14:schemeClr w14:val="tx1"/>
                  </w14:solidFill>
                </w14:textFill>
              </w:rPr>
              <w:t>废气</w:t>
            </w:r>
          </w:p>
        </w:tc>
        <w:tc>
          <w:tcPr>
            <w:tcW w:w="2016" w:type="dxa"/>
            <w:vAlign w:val="center"/>
          </w:tcPr>
          <w:p>
            <w:pPr>
              <w:adjustRightInd w:val="0"/>
              <w:snapToGrid w:val="0"/>
              <w:spacing w:line="240" w:lineRule="auto"/>
              <w:jc w:val="center"/>
              <w:rPr>
                <w:snapToGrid w:val="0"/>
                <w:color w:val="000000" w:themeColor="text1"/>
                <w:kern w:val="0"/>
                <w:sz w:val="21"/>
                <w:szCs w:val="21"/>
                <w14:textFill>
                  <w14:solidFill>
                    <w14:schemeClr w14:val="tx1"/>
                  </w14:solidFill>
                </w14:textFill>
              </w:rPr>
            </w:pPr>
            <w:r>
              <w:rPr>
                <w:snapToGrid w:val="0"/>
                <w:color w:val="000000" w:themeColor="text1"/>
                <w:kern w:val="0"/>
                <w:sz w:val="21"/>
                <w:szCs w:val="21"/>
                <w14:textFill>
                  <w14:solidFill>
                    <w14:schemeClr w14:val="tx1"/>
                  </w14:solidFill>
                </w14:textFill>
              </w:rPr>
              <w:t>废气量（万Nm</w:t>
            </w:r>
            <w:r>
              <w:rPr>
                <w:snapToGrid w:val="0"/>
                <w:color w:val="000000" w:themeColor="text1"/>
                <w:kern w:val="0"/>
                <w:sz w:val="21"/>
                <w:szCs w:val="21"/>
                <w:vertAlign w:val="superscript"/>
                <w14:textFill>
                  <w14:solidFill>
                    <w14:schemeClr w14:val="tx1"/>
                  </w14:solidFill>
                </w14:textFill>
              </w:rPr>
              <w:t>3</w:t>
            </w:r>
            <w:r>
              <w:rPr>
                <w:snapToGrid w:val="0"/>
                <w:color w:val="000000" w:themeColor="text1"/>
                <w:kern w:val="0"/>
                <w:sz w:val="21"/>
                <w:szCs w:val="21"/>
                <w14:textFill>
                  <w14:solidFill>
                    <w14:schemeClr w14:val="tx1"/>
                  </w14:solidFill>
                </w14:textFill>
              </w:rPr>
              <w:t>/a）</w:t>
            </w:r>
          </w:p>
        </w:tc>
        <w:tc>
          <w:tcPr>
            <w:tcW w:w="1701" w:type="dxa"/>
            <w:vAlign w:val="center"/>
          </w:tcPr>
          <w:p>
            <w:pPr>
              <w:adjustRightInd w:val="0"/>
              <w:snapToGrid w:val="0"/>
              <w:spacing w:line="240" w:lineRule="auto"/>
              <w:jc w:val="center"/>
              <w:rPr>
                <w:snapToGrid w:val="0"/>
                <w:color w:val="000000" w:themeColor="text1"/>
                <w:kern w:val="0"/>
                <w:sz w:val="21"/>
                <w:szCs w:val="21"/>
                <w14:textFill>
                  <w14:solidFill>
                    <w14:schemeClr w14:val="tx1"/>
                  </w14:solidFill>
                </w14:textFill>
              </w:rPr>
            </w:pPr>
          </w:p>
        </w:tc>
        <w:tc>
          <w:tcPr>
            <w:tcW w:w="1138" w:type="dxa"/>
            <w:vAlign w:val="center"/>
          </w:tcPr>
          <w:p>
            <w:pPr>
              <w:adjustRightInd w:val="0"/>
              <w:snapToGrid w:val="0"/>
              <w:spacing w:line="240" w:lineRule="auto"/>
              <w:jc w:val="center"/>
              <w:rPr>
                <w:snapToGrid w:val="0"/>
                <w:color w:val="000000" w:themeColor="text1"/>
                <w:kern w:val="0"/>
                <w:sz w:val="21"/>
                <w:szCs w:val="21"/>
                <w14:textFill>
                  <w14:solidFill>
                    <w14:schemeClr w14:val="tx1"/>
                  </w14:solidFill>
                </w14:textFill>
              </w:rPr>
            </w:pPr>
          </w:p>
        </w:tc>
        <w:tc>
          <w:tcPr>
            <w:tcW w:w="1485"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1755"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r>
              <w:rPr>
                <w:rFonts w:hint="eastAsia" w:ascii="Times New Roman"/>
                <w:snapToGrid w:val="0"/>
                <w:color w:val="000000" w:themeColor="text1"/>
                <w:szCs w:val="21"/>
                <w14:textFill>
                  <w14:solidFill>
                    <w14:schemeClr w14:val="tx1"/>
                  </w14:solidFill>
                </w14:textFill>
              </w:rPr>
              <w:t>960</w:t>
            </w:r>
          </w:p>
        </w:tc>
        <w:tc>
          <w:tcPr>
            <w:tcW w:w="1695"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1845"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1164"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r>
              <w:rPr>
                <w:rFonts w:hint="eastAsia" w:ascii="Times New Roman"/>
                <w:snapToGrid w:val="0"/>
                <w:color w:val="000000" w:themeColor="text1"/>
                <w:szCs w:val="21"/>
                <w14:textFill>
                  <w14:solidFill>
                    <w14:schemeClr w14:val="tx1"/>
                  </w14:solidFill>
                </w14:textFill>
              </w:rPr>
              <w:t>+960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89" w:type="dxa"/>
            <w:vMerge w:val="continue"/>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2016" w:type="dxa"/>
            <w:vAlign w:val="center"/>
          </w:tcPr>
          <w:p>
            <w:pPr>
              <w:adjustRightInd w:val="0"/>
              <w:snapToGrid w:val="0"/>
              <w:spacing w:line="240" w:lineRule="auto"/>
              <w:jc w:val="center"/>
              <w:rPr>
                <w:snapToGrid w:val="0"/>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颗粒物（t/a）</w:t>
            </w:r>
          </w:p>
        </w:tc>
        <w:tc>
          <w:tcPr>
            <w:tcW w:w="1701" w:type="dxa"/>
            <w:vAlign w:val="center"/>
          </w:tcPr>
          <w:p>
            <w:pPr>
              <w:adjustRightInd w:val="0"/>
              <w:snapToGrid w:val="0"/>
              <w:spacing w:line="240" w:lineRule="auto"/>
              <w:jc w:val="center"/>
              <w:rPr>
                <w:snapToGrid w:val="0"/>
                <w:color w:val="000000" w:themeColor="text1"/>
                <w:kern w:val="0"/>
                <w:sz w:val="21"/>
                <w:szCs w:val="21"/>
                <w14:textFill>
                  <w14:solidFill>
                    <w14:schemeClr w14:val="tx1"/>
                  </w14:solidFill>
                </w14:textFill>
              </w:rPr>
            </w:pPr>
          </w:p>
        </w:tc>
        <w:tc>
          <w:tcPr>
            <w:tcW w:w="1138" w:type="dxa"/>
            <w:vAlign w:val="center"/>
          </w:tcPr>
          <w:p>
            <w:pPr>
              <w:adjustRightInd w:val="0"/>
              <w:snapToGrid w:val="0"/>
              <w:spacing w:line="240" w:lineRule="auto"/>
              <w:jc w:val="center"/>
              <w:rPr>
                <w:snapToGrid w:val="0"/>
                <w:color w:val="000000" w:themeColor="text1"/>
                <w:kern w:val="0"/>
                <w:sz w:val="21"/>
                <w:szCs w:val="21"/>
                <w14:textFill>
                  <w14:solidFill>
                    <w14:schemeClr w14:val="tx1"/>
                  </w14:solidFill>
                </w14:textFill>
              </w:rPr>
            </w:pPr>
          </w:p>
        </w:tc>
        <w:tc>
          <w:tcPr>
            <w:tcW w:w="1485"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1755"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0.05467</w:t>
            </w:r>
          </w:p>
        </w:tc>
        <w:tc>
          <w:tcPr>
            <w:tcW w:w="1695"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1845"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0.0164</w:t>
            </w:r>
          </w:p>
        </w:tc>
        <w:tc>
          <w:tcPr>
            <w:tcW w:w="1164"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w:t>
            </w:r>
            <w:r>
              <w:rPr>
                <w:rFonts w:hint="eastAsia" w:ascii="Times New Roman"/>
                <w:color w:val="000000" w:themeColor="text1"/>
                <w:szCs w:val="21"/>
                <w14:textFill>
                  <w14:solidFill>
                    <w14:schemeClr w14:val="tx1"/>
                  </w14:solidFill>
                </w14:textFill>
              </w:rPr>
              <w:t>0.0164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89" w:type="dxa"/>
            <w:vMerge w:val="continue"/>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2016" w:type="dxa"/>
            <w:vAlign w:val="center"/>
          </w:tcPr>
          <w:p>
            <w:pPr>
              <w:adjustRightInd w:val="0"/>
              <w:snapToGrid w:val="0"/>
              <w:spacing w:line="240" w:lineRule="auto"/>
              <w:jc w:val="center"/>
              <w:rPr>
                <w:snapToGrid w:val="0"/>
                <w:color w:val="000000" w:themeColor="text1"/>
                <w:kern w:val="0"/>
                <w:sz w:val="21"/>
                <w:szCs w:val="21"/>
                <w14:textFill>
                  <w14:solidFill>
                    <w14:schemeClr w14:val="tx1"/>
                  </w14:solidFill>
                </w14:textFill>
              </w:rPr>
            </w:pPr>
            <w:r>
              <w:rPr>
                <w:snapToGrid w:val="0"/>
                <w:color w:val="000000" w:themeColor="text1"/>
                <w:kern w:val="0"/>
                <w:sz w:val="21"/>
                <w:szCs w:val="21"/>
                <w14:textFill>
                  <w14:solidFill>
                    <w14:schemeClr w14:val="tx1"/>
                  </w14:solidFill>
                </w14:textFill>
              </w:rPr>
              <w:t>挥发性有机物</w:t>
            </w:r>
            <w:r>
              <w:rPr>
                <w:color w:val="000000" w:themeColor="text1"/>
                <w:kern w:val="0"/>
                <w:sz w:val="21"/>
                <w:szCs w:val="21"/>
                <w14:textFill>
                  <w14:solidFill>
                    <w14:schemeClr w14:val="tx1"/>
                  </w14:solidFill>
                </w14:textFill>
              </w:rPr>
              <w:t>（t/a）</w:t>
            </w:r>
          </w:p>
        </w:tc>
        <w:tc>
          <w:tcPr>
            <w:tcW w:w="1701" w:type="dxa"/>
            <w:vAlign w:val="center"/>
          </w:tcPr>
          <w:p>
            <w:pPr>
              <w:adjustRightInd w:val="0"/>
              <w:snapToGrid w:val="0"/>
              <w:spacing w:line="240" w:lineRule="auto"/>
              <w:jc w:val="center"/>
              <w:rPr>
                <w:snapToGrid w:val="0"/>
                <w:color w:val="000000" w:themeColor="text1"/>
                <w:kern w:val="0"/>
                <w:sz w:val="21"/>
                <w:szCs w:val="21"/>
                <w14:textFill>
                  <w14:solidFill>
                    <w14:schemeClr w14:val="tx1"/>
                  </w14:solidFill>
                </w14:textFill>
              </w:rPr>
            </w:pPr>
          </w:p>
        </w:tc>
        <w:tc>
          <w:tcPr>
            <w:tcW w:w="1138" w:type="dxa"/>
            <w:vAlign w:val="center"/>
          </w:tcPr>
          <w:p>
            <w:pPr>
              <w:adjustRightInd w:val="0"/>
              <w:snapToGrid w:val="0"/>
              <w:spacing w:line="240" w:lineRule="auto"/>
              <w:jc w:val="center"/>
              <w:rPr>
                <w:snapToGrid w:val="0"/>
                <w:color w:val="000000" w:themeColor="text1"/>
                <w:kern w:val="0"/>
                <w:sz w:val="21"/>
                <w:szCs w:val="21"/>
                <w14:textFill>
                  <w14:solidFill>
                    <w14:schemeClr w14:val="tx1"/>
                  </w14:solidFill>
                </w14:textFill>
              </w:rPr>
            </w:pPr>
          </w:p>
        </w:tc>
        <w:tc>
          <w:tcPr>
            <w:tcW w:w="1485"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1755"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0.20736</w:t>
            </w:r>
          </w:p>
        </w:tc>
        <w:tc>
          <w:tcPr>
            <w:tcW w:w="1695"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1845"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r>
              <w:rPr>
                <w:rFonts w:hint="eastAsia" w:ascii="Times New Roman"/>
                <w:color w:val="000000" w:themeColor="text1"/>
                <w:szCs w:val="21"/>
                <w14:textFill>
                  <w14:solidFill>
                    <w14:schemeClr w14:val="tx1"/>
                  </w14:solidFill>
                </w14:textFill>
              </w:rPr>
              <w:t>0.14816</w:t>
            </w:r>
          </w:p>
        </w:tc>
        <w:tc>
          <w:tcPr>
            <w:tcW w:w="1164"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r>
              <w:rPr>
                <w:rFonts w:ascii="Times New Roman"/>
                <w:color w:val="000000" w:themeColor="text1"/>
                <w:szCs w:val="21"/>
                <w14:textFill>
                  <w14:solidFill>
                    <w14:schemeClr w14:val="tx1"/>
                  </w14:solidFill>
                </w14:textFill>
              </w:rPr>
              <w:t>+</w:t>
            </w:r>
            <w:r>
              <w:rPr>
                <w:rFonts w:hint="eastAsia" w:ascii="Times New Roman"/>
                <w:color w:val="000000" w:themeColor="text1"/>
                <w:szCs w:val="21"/>
                <w14:textFill>
                  <w14:solidFill>
                    <w14:schemeClr w14:val="tx1"/>
                  </w14:solidFill>
                </w14:textFill>
              </w:rPr>
              <w:t>0.14816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89" w:type="dxa"/>
            <w:vMerge w:val="restart"/>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r>
              <w:rPr>
                <w:rFonts w:ascii="Times New Roman"/>
                <w:snapToGrid w:val="0"/>
                <w:color w:val="000000" w:themeColor="text1"/>
                <w:szCs w:val="21"/>
                <w14:textFill>
                  <w14:solidFill>
                    <w14:schemeClr w14:val="tx1"/>
                  </w14:solidFill>
                </w14:textFill>
              </w:rPr>
              <w:t>废水</w:t>
            </w:r>
          </w:p>
        </w:tc>
        <w:tc>
          <w:tcPr>
            <w:tcW w:w="2016"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r>
              <w:rPr>
                <w:rFonts w:ascii="Times New Roman"/>
                <w:snapToGrid w:val="0"/>
                <w:color w:val="000000" w:themeColor="text1"/>
                <w:szCs w:val="21"/>
                <w14:textFill>
                  <w14:solidFill>
                    <w14:schemeClr w14:val="tx1"/>
                  </w14:solidFill>
                </w14:textFill>
              </w:rPr>
              <w:t>生活污水</w:t>
            </w:r>
            <w:r>
              <w:rPr>
                <w:rFonts w:ascii="Times New Roman"/>
                <w:color w:val="000000" w:themeColor="text1"/>
                <w:szCs w:val="21"/>
                <w14:textFill>
                  <w14:solidFill>
                    <w14:schemeClr w14:val="tx1"/>
                  </w14:solidFill>
                </w14:textFill>
              </w:rPr>
              <w:t>（m</w:t>
            </w:r>
            <w:r>
              <w:rPr>
                <w:rFonts w:ascii="Times New Roman"/>
                <w:color w:val="000000" w:themeColor="text1"/>
                <w:szCs w:val="21"/>
                <w:vertAlign w:val="superscript"/>
                <w14:textFill>
                  <w14:solidFill>
                    <w14:schemeClr w14:val="tx1"/>
                  </w14:solidFill>
                </w14:textFill>
              </w:rPr>
              <w:t>3</w:t>
            </w:r>
            <w:r>
              <w:rPr>
                <w:rFonts w:ascii="Times New Roman"/>
                <w:color w:val="000000" w:themeColor="text1"/>
                <w:szCs w:val="21"/>
                <w14:textFill>
                  <w14:solidFill>
                    <w14:schemeClr w14:val="tx1"/>
                  </w14:solidFill>
                </w14:textFill>
              </w:rPr>
              <w:t>/a）</w:t>
            </w:r>
          </w:p>
        </w:tc>
        <w:tc>
          <w:tcPr>
            <w:tcW w:w="1701"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1138"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1485"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1755"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r>
              <w:rPr>
                <w:rFonts w:hint="eastAsia" w:ascii="Times New Roman"/>
                <w:snapToGrid w:val="0"/>
                <w:color w:val="000000" w:themeColor="text1"/>
                <w:szCs w:val="21"/>
                <w14:textFill>
                  <w14:solidFill>
                    <w14:schemeClr w14:val="tx1"/>
                  </w14:solidFill>
                </w14:textFill>
              </w:rPr>
              <w:t>480</w:t>
            </w:r>
          </w:p>
        </w:tc>
        <w:tc>
          <w:tcPr>
            <w:tcW w:w="1695"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1845"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r>
              <w:rPr>
                <w:rFonts w:hint="eastAsia" w:ascii="Times New Roman"/>
                <w:snapToGrid w:val="0"/>
                <w:color w:val="000000" w:themeColor="text1"/>
                <w:szCs w:val="21"/>
                <w14:textFill>
                  <w14:solidFill>
                    <w14:schemeClr w14:val="tx1"/>
                  </w14:solidFill>
                </w14:textFill>
              </w:rPr>
              <w:t>480</w:t>
            </w:r>
          </w:p>
        </w:tc>
        <w:tc>
          <w:tcPr>
            <w:tcW w:w="1164"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r>
              <w:rPr>
                <w:rFonts w:ascii="Times New Roman"/>
                <w:snapToGrid w:val="0"/>
                <w:color w:val="000000" w:themeColor="text1"/>
                <w:szCs w:val="21"/>
                <w14:textFill>
                  <w14:solidFill>
                    <w14:schemeClr w14:val="tx1"/>
                  </w14:solidFill>
                </w14:textFill>
              </w:rPr>
              <w:t>+</w:t>
            </w:r>
            <w:r>
              <w:rPr>
                <w:rFonts w:hint="eastAsia" w:ascii="Times New Roman"/>
                <w:snapToGrid w:val="0"/>
                <w:color w:val="000000" w:themeColor="text1"/>
                <w:szCs w:val="21"/>
                <w14:textFill>
                  <w14:solidFill>
                    <w14:schemeClr w14:val="tx1"/>
                  </w14:solidFill>
                </w14:textFill>
              </w:rPr>
              <w:t>480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89" w:type="dxa"/>
            <w:vMerge w:val="continue"/>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2016"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r>
              <w:rPr>
                <w:rFonts w:ascii="Times New Roman"/>
                <w:snapToGrid w:val="0"/>
                <w:color w:val="000000" w:themeColor="text1"/>
                <w:szCs w:val="21"/>
                <w14:textFill>
                  <w14:solidFill>
                    <w14:schemeClr w14:val="tx1"/>
                  </w14:solidFill>
                </w14:textFill>
              </w:rPr>
              <w:t>CODcr</w:t>
            </w:r>
            <w:r>
              <w:rPr>
                <w:rFonts w:ascii="Times New Roman"/>
                <w:color w:val="000000" w:themeColor="text1"/>
                <w:szCs w:val="21"/>
                <w14:textFill>
                  <w14:solidFill>
                    <w14:schemeClr w14:val="tx1"/>
                  </w14:solidFill>
                </w14:textFill>
              </w:rPr>
              <w:t>（t/a）</w:t>
            </w:r>
          </w:p>
        </w:tc>
        <w:tc>
          <w:tcPr>
            <w:tcW w:w="1701"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1138"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1485"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1755"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r>
              <w:rPr>
                <w:rFonts w:ascii="Times New Roman"/>
                <w:snapToGrid w:val="0"/>
                <w:color w:val="000000" w:themeColor="text1"/>
                <w:szCs w:val="21"/>
                <w14:textFill>
                  <w14:solidFill>
                    <w14:schemeClr w14:val="tx1"/>
                  </w14:solidFill>
                </w14:textFill>
              </w:rPr>
              <w:t>0.</w:t>
            </w:r>
            <w:r>
              <w:rPr>
                <w:rFonts w:hint="eastAsia" w:ascii="Times New Roman"/>
                <w:snapToGrid w:val="0"/>
                <w:color w:val="000000" w:themeColor="text1"/>
                <w:szCs w:val="21"/>
                <w14:textFill>
                  <w14:solidFill>
                    <w14:schemeClr w14:val="tx1"/>
                  </w14:solidFill>
                </w14:textFill>
              </w:rPr>
              <w:t>2419</w:t>
            </w:r>
          </w:p>
        </w:tc>
        <w:tc>
          <w:tcPr>
            <w:tcW w:w="1695"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1845"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r>
              <w:rPr>
                <w:rFonts w:ascii="Times New Roman"/>
                <w:snapToGrid w:val="0"/>
                <w:color w:val="000000" w:themeColor="text1"/>
                <w:szCs w:val="21"/>
                <w14:textFill>
                  <w14:solidFill>
                    <w14:schemeClr w14:val="tx1"/>
                  </w14:solidFill>
                </w14:textFill>
              </w:rPr>
              <w:t>0.</w:t>
            </w:r>
            <w:r>
              <w:rPr>
                <w:rFonts w:hint="eastAsia" w:ascii="Times New Roman"/>
                <w:snapToGrid w:val="0"/>
                <w:color w:val="000000" w:themeColor="text1"/>
                <w:szCs w:val="21"/>
                <w14:textFill>
                  <w14:solidFill>
                    <w14:schemeClr w14:val="tx1"/>
                  </w14:solidFill>
                </w14:textFill>
              </w:rPr>
              <w:t>2013</w:t>
            </w:r>
          </w:p>
        </w:tc>
        <w:tc>
          <w:tcPr>
            <w:tcW w:w="1164"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r>
              <w:rPr>
                <w:rFonts w:ascii="Times New Roman"/>
                <w:snapToGrid w:val="0"/>
                <w:color w:val="000000" w:themeColor="text1"/>
                <w:szCs w:val="21"/>
                <w14:textFill>
                  <w14:solidFill>
                    <w14:schemeClr w14:val="tx1"/>
                  </w14:solidFill>
                </w14:textFill>
              </w:rPr>
              <w:t>+0.</w:t>
            </w:r>
            <w:r>
              <w:rPr>
                <w:rFonts w:hint="eastAsia" w:ascii="Times New Roman"/>
                <w:snapToGrid w:val="0"/>
                <w:color w:val="000000" w:themeColor="text1"/>
                <w:szCs w:val="21"/>
                <w14:textFill>
                  <w14:solidFill>
                    <w14:schemeClr w14:val="tx1"/>
                  </w14:solidFill>
                </w14:textFill>
              </w:rPr>
              <w:t>2013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89" w:type="dxa"/>
            <w:vMerge w:val="continue"/>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2016"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r>
              <w:rPr>
                <w:rFonts w:ascii="Times New Roman"/>
                <w:snapToGrid w:val="0"/>
                <w:color w:val="000000" w:themeColor="text1"/>
                <w:szCs w:val="21"/>
                <w14:textFill>
                  <w14:solidFill>
                    <w14:schemeClr w14:val="tx1"/>
                  </w14:solidFill>
                </w14:textFill>
              </w:rPr>
              <w:t>NH</w:t>
            </w:r>
            <w:r>
              <w:rPr>
                <w:rFonts w:ascii="Times New Roman"/>
                <w:snapToGrid w:val="0"/>
                <w:color w:val="000000" w:themeColor="text1"/>
                <w:szCs w:val="21"/>
                <w:vertAlign w:val="subscript"/>
                <w14:textFill>
                  <w14:solidFill>
                    <w14:schemeClr w14:val="tx1"/>
                  </w14:solidFill>
                </w14:textFill>
              </w:rPr>
              <w:t>3</w:t>
            </w:r>
            <w:r>
              <w:rPr>
                <w:rFonts w:ascii="Times New Roman"/>
                <w:snapToGrid w:val="0"/>
                <w:color w:val="000000" w:themeColor="text1"/>
                <w:szCs w:val="21"/>
                <w14:textFill>
                  <w14:solidFill>
                    <w14:schemeClr w14:val="tx1"/>
                  </w14:solidFill>
                </w14:textFill>
              </w:rPr>
              <w:t>-N</w:t>
            </w:r>
            <w:r>
              <w:rPr>
                <w:rFonts w:ascii="Times New Roman"/>
                <w:color w:val="000000" w:themeColor="text1"/>
                <w:szCs w:val="21"/>
                <w14:textFill>
                  <w14:solidFill>
                    <w14:schemeClr w14:val="tx1"/>
                  </w14:solidFill>
                </w14:textFill>
              </w:rPr>
              <w:t>（t/a）</w:t>
            </w:r>
          </w:p>
        </w:tc>
        <w:tc>
          <w:tcPr>
            <w:tcW w:w="1701"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1138"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1485"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1755"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r>
              <w:rPr>
                <w:rFonts w:ascii="Times New Roman"/>
                <w:snapToGrid w:val="0"/>
                <w:color w:val="000000" w:themeColor="text1"/>
                <w:szCs w:val="21"/>
                <w14:textFill>
                  <w14:solidFill>
                    <w14:schemeClr w14:val="tx1"/>
                  </w14:solidFill>
                </w14:textFill>
              </w:rPr>
              <w:t>0.0</w:t>
            </w:r>
            <w:r>
              <w:rPr>
                <w:rFonts w:hint="eastAsia" w:ascii="Times New Roman"/>
                <w:snapToGrid w:val="0"/>
                <w:color w:val="000000" w:themeColor="text1"/>
                <w:szCs w:val="21"/>
                <w14:textFill>
                  <w14:solidFill>
                    <w14:schemeClr w14:val="tx1"/>
                  </w14:solidFill>
                </w14:textFill>
              </w:rPr>
              <w:t>243</w:t>
            </w:r>
          </w:p>
        </w:tc>
        <w:tc>
          <w:tcPr>
            <w:tcW w:w="1695"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1845"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r>
              <w:rPr>
                <w:rFonts w:ascii="Times New Roman"/>
                <w:snapToGrid w:val="0"/>
                <w:color w:val="000000" w:themeColor="text1"/>
                <w:szCs w:val="21"/>
                <w14:textFill>
                  <w14:solidFill>
                    <w14:schemeClr w14:val="tx1"/>
                  </w14:solidFill>
                </w14:textFill>
              </w:rPr>
              <w:t>0.00</w:t>
            </w:r>
            <w:r>
              <w:rPr>
                <w:rFonts w:hint="eastAsia" w:ascii="Times New Roman"/>
                <w:snapToGrid w:val="0"/>
                <w:color w:val="000000" w:themeColor="text1"/>
                <w:szCs w:val="21"/>
                <w14:textFill>
                  <w14:solidFill>
                    <w14:schemeClr w14:val="tx1"/>
                  </w14:solidFill>
                </w14:textFill>
              </w:rPr>
              <w:t>22</w:t>
            </w:r>
          </w:p>
        </w:tc>
        <w:tc>
          <w:tcPr>
            <w:tcW w:w="1164"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r>
              <w:rPr>
                <w:rFonts w:ascii="Times New Roman"/>
                <w:snapToGrid w:val="0"/>
                <w:color w:val="000000" w:themeColor="text1"/>
                <w:szCs w:val="21"/>
                <w14:textFill>
                  <w14:solidFill>
                    <w14:schemeClr w14:val="tx1"/>
                  </w14:solidFill>
                </w14:textFill>
              </w:rPr>
              <w:t>+0.00</w:t>
            </w:r>
            <w:r>
              <w:rPr>
                <w:rFonts w:hint="eastAsia" w:ascii="Times New Roman"/>
                <w:snapToGrid w:val="0"/>
                <w:color w:val="000000" w:themeColor="text1"/>
                <w:szCs w:val="21"/>
                <w14:textFill>
                  <w14:solidFill>
                    <w14:schemeClr w14:val="tx1"/>
                  </w14:solidFill>
                </w14:textFill>
              </w:rPr>
              <w:t>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89" w:type="dxa"/>
            <w:vMerge w:val="continue"/>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2016"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r>
              <w:rPr>
                <w:rFonts w:ascii="Times New Roman"/>
                <w:snapToGrid w:val="0"/>
                <w:color w:val="000000" w:themeColor="text1"/>
                <w:szCs w:val="21"/>
                <w14:textFill>
                  <w14:solidFill>
                    <w14:schemeClr w14:val="tx1"/>
                  </w14:solidFill>
                </w14:textFill>
              </w:rPr>
              <w:t>TP</w:t>
            </w:r>
            <w:r>
              <w:rPr>
                <w:rFonts w:ascii="Times New Roman"/>
                <w:color w:val="000000" w:themeColor="text1"/>
                <w:szCs w:val="21"/>
                <w14:textFill>
                  <w14:solidFill>
                    <w14:schemeClr w14:val="tx1"/>
                  </w14:solidFill>
                </w14:textFill>
              </w:rPr>
              <w:t>（t/a）</w:t>
            </w:r>
          </w:p>
        </w:tc>
        <w:tc>
          <w:tcPr>
            <w:tcW w:w="1701"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1138"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1485"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1755"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r>
              <w:rPr>
                <w:rFonts w:ascii="Times New Roman"/>
                <w:snapToGrid w:val="0"/>
                <w:color w:val="000000" w:themeColor="text1"/>
                <w:szCs w:val="21"/>
                <w14:textFill>
                  <w14:solidFill>
                    <w14:schemeClr w14:val="tx1"/>
                  </w14:solidFill>
                </w14:textFill>
              </w:rPr>
              <w:t>0.0</w:t>
            </w:r>
            <w:r>
              <w:rPr>
                <w:rFonts w:hint="eastAsia" w:ascii="Times New Roman"/>
                <w:snapToGrid w:val="0"/>
                <w:color w:val="000000" w:themeColor="text1"/>
                <w:szCs w:val="21"/>
                <w14:textFill>
                  <w14:solidFill>
                    <w14:schemeClr w14:val="tx1"/>
                  </w14:solidFill>
                </w14:textFill>
              </w:rPr>
              <w:t>033</w:t>
            </w:r>
          </w:p>
        </w:tc>
        <w:tc>
          <w:tcPr>
            <w:tcW w:w="1695"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1845"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r>
              <w:rPr>
                <w:rFonts w:ascii="Times New Roman"/>
                <w:snapToGrid w:val="0"/>
                <w:color w:val="000000" w:themeColor="text1"/>
                <w:szCs w:val="21"/>
                <w14:textFill>
                  <w14:solidFill>
                    <w14:schemeClr w14:val="tx1"/>
                  </w14:solidFill>
                </w14:textFill>
              </w:rPr>
              <w:t>0.00</w:t>
            </w:r>
            <w:r>
              <w:rPr>
                <w:rFonts w:hint="eastAsia" w:ascii="Times New Roman"/>
                <w:snapToGrid w:val="0"/>
                <w:color w:val="000000" w:themeColor="text1"/>
                <w:szCs w:val="21"/>
                <w14:textFill>
                  <w14:solidFill>
                    <w14:schemeClr w14:val="tx1"/>
                  </w14:solidFill>
                </w14:textFill>
              </w:rPr>
              <w:t>29</w:t>
            </w:r>
          </w:p>
        </w:tc>
        <w:tc>
          <w:tcPr>
            <w:tcW w:w="1164"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r>
              <w:rPr>
                <w:rFonts w:ascii="Times New Roman"/>
                <w:snapToGrid w:val="0"/>
                <w:color w:val="000000" w:themeColor="text1"/>
                <w:szCs w:val="21"/>
                <w14:textFill>
                  <w14:solidFill>
                    <w14:schemeClr w14:val="tx1"/>
                  </w14:solidFill>
                </w14:textFill>
              </w:rPr>
              <w:t>+0.00</w:t>
            </w:r>
            <w:r>
              <w:rPr>
                <w:rFonts w:hint="eastAsia" w:ascii="Times New Roman"/>
                <w:snapToGrid w:val="0"/>
                <w:color w:val="000000" w:themeColor="text1"/>
                <w:szCs w:val="21"/>
                <w14:textFill>
                  <w14:solidFill>
                    <w14:schemeClr w14:val="tx1"/>
                  </w14:solidFill>
                </w14:textFill>
              </w:rPr>
              <w:t>29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89" w:type="dxa"/>
            <w:vMerge w:val="restart"/>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r>
              <w:rPr>
                <w:rFonts w:ascii="Times New Roman"/>
                <w:snapToGrid w:val="0"/>
                <w:color w:val="000000" w:themeColor="text1"/>
                <w:szCs w:val="21"/>
                <w14:textFill>
                  <w14:solidFill>
                    <w14:schemeClr w14:val="tx1"/>
                  </w14:solidFill>
                </w14:textFill>
              </w:rPr>
              <w:t>一般工业固体废物</w:t>
            </w:r>
            <w:r>
              <w:rPr>
                <w:rFonts w:ascii="Times New Roman"/>
                <w:color w:val="000000" w:themeColor="text1"/>
                <w:szCs w:val="21"/>
                <w14:textFill>
                  <w14:solidFill>
                    <w14:schemeClr w14:val="tx1"/>
                  </w14:solidFill>
                </w14:textFill>
              </w:rPr>
              <w:t>（t/a）</w:t>
            </w:r>
          </w:p>
        </w:tc>
        <w:tc>
          <w:tcPr>
            <w:tcW w:w="2016" w:type="dxa"/>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生活垃圾</w:t>
            </w:r>
          </w:p>
        </w:tc>
        <w:tc>
          <w:tcPr>
            <w:tcW w:w="1701"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1138"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1485"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1755" w:type="dxa"/>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6</w:t>
            </w:r>
          </w:p>
        </w:tc>
        <w:tc>
          <w:tcPr>
            <w:tcW w:w="1695"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1845" w:type="dxa"/>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6</w:t>
            </w:r>
          </w:p>
        </w:tc>
        <w:tc>
          <w:tcPr>
            <w:tcW w:w="1164" w:type="dxa"/>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w:t>
            </w:r>
            <w:r>
              <w:rPr>
                <w:rFonts w:hint="eastAsia"/>
                <w:color w:val="000000" w:themeColor="text1"/>
                <w:kern w:val="0"/>
                <w:sz w:val="21"/>
                <w:szCs w:val="21"/>
                <w14:textFill>
                  <w14:solidFill>
                    <w14:schemeClr w14:val="tx1"/>
                  </w14:solidFill>
                </w14:textFill>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89" w:type="dxa"/>
            <w:vMerge w:val="continue"/>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2016" w:type="dxa"/>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泔水</w:t>
            </w:r>
          </w:p>
        </w:tc>
        <w:tc>
          <w:tcPr>
            <w:tcW w:w="1701"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1138"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1485"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1755" w:type="dxa"/>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2.4</w:t>
            </w:r>
          </w:p>
        </w:tc>
        <w:tc>
          <w:tcPr>
            <w:tcW w:w="1695"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1845" w:type="dxa"/>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2.4</w:t>
            </w:r>
          </w:p>
        </w:tc>
        <w:tc>
          <w:tcPr>
            <w:tcW w:w="1164" w:type="dxa"/>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w:t>
            </w:r>
            <w:r>
              <w:rPr>
                <w:rFonts w:hint="eastAsia"/>
                <w:color w:val="000000" w:themeColor="text1"/>
                <w:kern w:val="0"/>
                <w:sz w:val="21"/>
                <w:szCs w:val="21"/>
                <w14:textFill>
                  <w14:solidFill>
                    <w14:schemeClr w14:val="tx1"/>
                  </w14:solidFill>
                </w14:textFill>
              </w:rPr>
              <w:t>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89" w:type="dxa"/>
            <w:vMerge w:val="continue"/>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2016" w:type="dxa"/>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废零件</w:t>
            </w:r>
          </w:p>
        </w:tc>
        <w:tc>
          <w:tcPr>
            <w:tcW w:w="1701"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1138"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1485"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1755" w:type="dxa"/>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0.12</w:t>
            </w:r>
          </w:p>
        </w:tc>
        <w:tc>
          <w:tcPr>
            <w:tcW w:w="1695"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1845" w:type="dxa"/>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0.12</w:t>
            </w:r>
          </w:p>
        </w:tc>
        <w:tc>
          <w:tcPr>
            <w:tcW w:w="1164" w:type="dxa"/>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89" w:type="dxa"/>
            <w:vMerge w:val="continue"/>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2016" w:type="dxa"/>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隔油池污泥</w:t>
            </w:r>
          </w:p>
        </w:tc>
        <w:tc>
          <w:tcPr>
            <w:tcW w:w="1701"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1138"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1485"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1755" w:type="dxa"/>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0.021</w:t>
            </w:r>
          </w:p>
        </w:tc>
        <w:tc>
          <w:tcPr>
            <w:tcW w:w="1695"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1845" w:type="dxa"/>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0.021</w:t>
            </w:r>
          </w:p>
        </w:tc>
        <w:tc>
          <w:tcPr>
            <w:tcW w:w="1164" w:type="dxa"/>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+0.021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89" w:type="dxa"/>
            <w:vMerge w:val="restart"/>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r>
              <w:rPr>
                <w:rFonts w:ascii="Times New Roman"/>
                <w:snapToGrid w:val="0"/>
                <w:color w:val="000000" w:themeColor="text1"/>
                <w:szCs w:val="21"/>
                <w14:textFill>
                  <w14:solidFill>
                    <w14:schemeClr w14:val="tx1"/>
                  </w14:solidFill>
                </w14:textFill>
              </w:rPr>
              <w:t>危险废物</w:t>
            </w:r>
            <w:r>
              <w:rPr>
                <w:rFonts w:ascii="Times New Roman"/>
                <w:color w:val="000000" w:themeColor="text1"/>
                <w:szCs w:val="21"/>
                <w14:textFill>
                  <w14:solidFill>
                    <w14:schemeClr w14:val="tx1"/>
                  </w14:solidFill>
                </w14:textFill>
              </w:rPr>
              <w:t>（t/a）</w:t>
            </w:r>
          </w:p>
        </w:tc>
        <w:tc>
          <w:tcPr>
            <w:tcW w:w="2016" w:type="dxa"/>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废</w:t>
            </w:r>
            <w:r>
              <w:rPr>
                <w:rFonts w:hint="eastAsia"/>
                <w:color w:val="000000" w:themeColor="text1"/>
                <w:kern w:val="0"/>
                <w:sz w:val="21"/>
                <w:szCs w:val="21"/>
                <w14:textFill>
                  <w14:solidFill>
                    <w14:schemeClr w14:val="tx1"/>
                  </w14:solidFill>
                </w14:textFill>
              </w:rPr>
              <w:t>矿物油</w:t>
            </w:r>
            <w:r>
              <w:rPr>
                <w:color w:val="000000" w:themeColor="text1"/>
                <w:kern w:val="0"/>
                <w:sz w:val="21"/>
                <w:szCs w:val="21"/>
                <w14:textFill>
                  <w14:solidFill>
                    <w14:schemeClr w14:val="tx1"/>
                  </w14:solidFill>
                </w14:textFill>
              </w:rPr>
              <w:t>及废</w:t>
            </w:r>
            <w:r>
              <w:rPr>
                <w:rFonts w:hint="eastAsia"/>
                <w:color w:val="000000" w:themeColor="text1"/>
                <w:kern w:val="0"/>
                <w:sz w:val="21"/>
                <w:szCs w:val="21"/>
                <w14:textFill>
                  <w14:solidFill>
                    <w14:schemeClr w14:val="tx1"/>
                  </w14:solidFill>
                </w14:textFill>
              </w:rPr>
              <w:t>矿物油</w:t>
            </w:r>
            <w:r>
              <w:rPr>
                <w:color w:val="000000" w:themeColor="text1"/>
                <w:kern w:val="0"/>
                <w:sz w:val="21"/>
                <w:szCs w:val="21"/>
                <w14:textFill>
                  <w14:solidFill>
                    <w14:schemeClr w14:val="tx1"/>
                  </w14:solidFill>
                </w14:textFill>
              </w:rPr>
              <w:t>桶</w:t>
            </w:r>
          </w:p>
        </w:tc>
        <w:tc>
          <w:tcPr>
            <w:tcW w:w="1701"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1138"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1485"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1755" w:type="dxa"/>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0.</w:t>
            </w:r>
            <w:r>
              <w:rPr>
                <w:rFonts w:hint="eastAsia"/>
                <w:color w:val="000000" w:themeColor="text1"/>
                <w:kern w:val="0"/>
                <w:sz w:val="21"/>
                <w:szCs w:val="21"/>
                <w14:textFill>
                  <w14:solidFill>
                    <w14:schemeClr w14:val="tx1"/>
                  </w14:solidFill>
                </w14:textFill>
              </w:rPr>
              <w:t>497</w:t>
            </w:r>
          </w:p>
        </w:tc>
        <w:tc>
          <w:tcPr>
            <w:tcW w:w="1695"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1845" w:type="dxa"/>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0.</w:t>
            </w:r>
            <w:r>
              <w:rPr>
                <w:rFonts w:hint="eastAsia"/>
                <w:color w:val="000000" w:themeColor="text1"/>
                <w:kern w:val="0"/>
                <w:sz w:val="21"/>
                <w:szCs w:val="21"/>
                <w14:textFill>
                  <w14:solidFill>
                    <w14:schemeClr w14:val="tx1"/>
                  </w14:solidFill>
                </w14:textFill>
              </w:rPr>
              <w:t>497</w:t>
            </w:r>
          </w:p>
        </w:tc>
        <w:tc>
          <w:tcPr>
            <w:tcW w:w="1164" w:type="dxa"/>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color w:val="000000" w:themeColor="text1"/>
                <w:kern w:val="0"/>
                <w:sz w:val="21"/>
                <w:szCs w:val="21"/>
                <w14:textFill>
                  <w14:solidFill>
                    <w14:schemeClr w14:val="tx1"/>
                  </w14:solidFill>
                </w14:textFill>
              </w:rPr>
              <w:t>+0.</w:t>
            </w:r>
            <w:r>
              <w:rPr>
                <w:rFonts w:hint="eastAsia"/>
                <w:color w:val="000000" w:themeColor="text1"/>
                <w:kern w:val="0"/>
                <w:sz w:val="21"/>
                <w:szCs w:val="21"/>
                <w14:textFill>
                  <w14:solidFill>
                    <w14:schemeClr w14:val="tx1"/>
                  </w14:solidFill>
                </w14:textFill>
              </w:rPr>
              <w:t>497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89" w:type="dxa"/>
            <w:vMerge w:val="continue"/>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2016" w:type="dxa"/>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废过滤棉</w:t>
            </w:r>
          </w:p>
        </w:tc>
        <w:tc>
          <w:tcPr>
            <w:tcW w:w="1701"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1138"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1485"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1755" w:type="dxa"/>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0.05</w:t>
            </w:r>
          </w:p>
        </w:tc>
        <w:tc>
          <w:tcPr>
            <w:tcW w:w="1695"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1845" w:type="dxa"/>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0.05</w:t>
            </w:r>
          </w:p>
        </w:tc>
        <w:tc>
          <w:tcPr>
            <w:tcW w:w="1164" w:type="dxa"/>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89" w:type="dxa"/>
            <w:vMerge w:val="continue"/>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2016" w:type="dxa"/>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废活性炭</w:t>
            </w:r>
          </w:p>
        </w:tc>
        <w:tc>
          <w:tcPr>
            <w:tcW w:w="1701"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1138"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1485"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1755" w:type="dxa"/>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0.124</w:t>
            </w:r>
          </w:p>
        </w:tc>
        <w:tc>
          <w:tcPr>
            <w:tcW w:w="1695"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1845" w:type="dxa"/>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0.124</w:t>
            </w:r>
          </w:p>
        </w:tc>
        <w:tc>
          <w:tcPr>
            <w:tcW w:w="1164" w:type="dxa"/>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+0.124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89" w:type="dxa"/>
            <w:vMerge w:val="continue"/>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2016" w:type="dxa"/>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废漆桶/瓶</w:t>
            </w:r>
          </w:p>
        </w:tc>
        <w:tc>
          <w:tcPr>
            <w:tcW w:w="1701"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1138"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1485"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1755" w:type="dxa"/>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0.07</w:t>
            </w:r>
          </w:p>
        </w:tc>
        <w:tc>
          <w:tcPr>
            <w:tcW w:w="1695"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1845" w:type="dxa"/>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0.07</w:t>
            </w:r>
          </w:p>
        </w:tc>
        <w:tc>
          <w:tcPr>
            <w:tcW w:w="1164" w:type="dxa"/>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+0.07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89" w:type="dxa"/>
            <w:vMerge w:val="continue"/>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2016" w:type="dxa"/>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⑦含油及有机溶剂的废棉纱、废劳保用品</w:t>
            </w:r>
          </w:p>
        </w:tc>
        <w:tc>
          <w:tcPr>
            <w:tcW w:w="1701"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1138"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1485"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1755" w:type="dxa"/>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0.2</w:t>
            </w:r>
          </w:p>
        </w:tc>
        <w:tc>
          <w:tcPr>
            <w:tcW w:w="1695" w:type="dxa"/>
            <w:vAlign w:val="center"/>
          </w:tcPr>
          <w:p>
            <w:pPr>
              <w:pStyle w:val="48"/>
              <w:spacing w:beforeLines="0" w:afterLines="0" w:line="240" w:lineRule="auto"/>
              <w:ind w:firstLine="0" w:firstLineChars="0"/>
              <w:rPr>
                <w:rFonts w:ascii="Times New Roman"/>
                <w:snapToGrid w:val="0"/>
                <w:color w:val="000000" w:themeColor="text1"/>
                <w:szCs w:val="21"/>
                <w14:textFill>
                  <w14:solidFill>
                    <w14:schemeClr w14:val="tx1"/>
                  </w14:solidFill>
                </w14:textFill>
              </w:rPr>
            </w:pPr>
          </w:p>
        </w:tc>
        <w:tc>
          <w:tcPr>
            <w:tcW w:w="1845" w:type="dxa"/>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0.2</w:t>
            </w:r>
          </w:p>
        </w:tc>
        <w:tc>
          <w:tcPr>
            <w:tcW w:w="1164" w:type="dxa"/>
            <w:vAlign w:val="center"/>
          </w:tcPr>
          <w:p>
            <w:pPr>
              <w:widowControl/>
              <w:tabs>
                <w:tab w:val="left" w:pos="540"/>
                <w:tab w:val="left" w:pos="851"/>
                <w:tab w:val="left" w:pos="994"/>
                <w:tab w:val="left" w:pos="1260"/>
                <w:tab w:val="left" w:pos="3108"/>
                <w:tab w:val="left" w:pos="3150"/>
              </w:tabs>
              <w:autoSpaceDE w:val="0"/>
              <w:autoSpaceDN w:val="0"/>
              <w:adjustRightInd w:val="0"/>
              <w:snapToGrid w:val="0"/>
              <w:spacing w:line="240" w:lineRule="auto"/>
              <w:jc w:val="center"/>
              <w:rPr>
                <w:color w:val="000000" w:themeColor="text1"/>
                <w:kern w:val="0"/>
                <w:sz w:val="21"/>
                <w:szCs w:val="21"/>
                <w14:textFill>
                  <w14:solidFill>
                    <w14:schemeClr w14:val="tx1"/>
                  </w14:solidFill>
                </w14:textFill>
              </w:rPr>
            </w:pPr>
            <w:r>
              <w:rPr>
                <w:rFonts w:hint="eastAsia"/>
                <w:color w:val="000000" w:themeColor="text1"/>
                <w:kern w:val="0"/>
                <w:sz w:val="21"/>
                <w:szCs w:val="21"/>
                <w14:textFill>
                  <w14:solidFill>
                    <w14:schemeClr w14:val="tx1"/>
                  </w14:solidFill>
                </w14:textFill>
              </w:rPr>
              <w:t>+0.2</w:t>
            </w:r>
          </w:p>
        </w:tc>
      </w:tr>
    </w:tbl>
    <w:p>
      <w:pPr>
        <w:pStyle w:val="48"/>
        <w:spacing w:beforeLines="0" w:afterLines="0" w:line="240" w:lineRule="auto"/>
        <w:ind w:firstLine="0" w:firstLineChars="0"/>
        <w:jc w:val="left"/>
        <w:rPr>
          <w:rFonts w:ascii="Times New Roman"/>
          <w:color w:val="000000" w:themeColor="text1"/>
          <w14:textFill>
            <w14:solidFill>
              <w14:schemeClr w14:val="tx1"/>
            </w14:solidFill>
          </w14:textFill>
        </w:rPr>
      </w:pPr>
      <w:r>
        <w:rPr>
          <w:rFonts w:ascii="Times New Roman"/>
          <w:snapToGrid w:val="0"/>
          <w:color w:val="000000" w:themeColor="text1"/>
          <w:szCs w:val="21"/>
          <w14:textFill>
            <w14:solidFill>
              <w14:schemeClr w14:val="tx1"/>
            </w14:solidFill>
          </w14:textFill>
        </w:rPr>
        <w:t>注：</w:t>
      </w:r>
      <w:r>
        <w:rPr>
          <w:rFonts w:ascii="Times New Roman"/>
          <w:snapToGrid w:val="0"/>
          <w:color w:val="000000" w:themeColor="text1"/>
          <w:szCs w:val="21"/>
          <w14:textFill>
            <w14:solidFill>
              <w14:schemeClr w14:val="tx1"/>
            </w14:solidFill>
          </w14:textFill>
        </w:rPr>
        <w:fldChar w:fldCharType="begin"/>
      </w:r>
      <w:r>
        <w:rPr>
          <w:rFonts w:ascii="Times New Roman"/>
          <w:snapToGrid w:val="0"/>
          <w:color w:val="000000" w:themeColor="text1"/>
          <w:szCs w:val="21"/>
          <w14:textFill>
            <w14:solidFill>
              <w14:schemeClr w14:val="tx1"/>
            </w14:solidFill>
          </w14:textFill>
        </w:rPr>
        <w:instrText xml:space="preserve"> = 6 \* GB3 \* MERGEFORMAT </w:instrText>
      </w:r>
      <w:r>
        <w:rPr>
          <w:rFonts w:ascii="Times New Roman"/>
          <w:snapToGrid w:val="0"/>
          <w:color w:val="000000" w:themeColor="text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⑥</w:t>
      </w:r>
      <w:r>
        <w:rPr>
          <w:rFonts w:ascii="Times New Roman"/>
          <w:snapToGrid w:val="0"/>
          <w:color w:val="000000" w:themeColor="text1"/>
          <w:szCs w:val="21"/>
          <w14:textFill>
            <w14:solidFill>
              <w14:schemeClr w14:val="tx1"/>
            </w14:solidFill>
          </w14:textFill>
        </w:rPr>
        <w:fldChar w:fldCharType="end"/>
      </w:r>
      <w:r>
        <w:rPr>
          <w:rFonts w:ascii="Times New Roman"/>
          <w:snapToGrid w:val="0"/>
          <w:color w:val="000000" w:themeColor="text1"/>
          <w:szCs w:val="21"/>
          <w14:textFill>
            <w14:solidFill>
              <w14:schemeClr w14:val="tx1"/>
            </w14:solidFill>
          </w14:textFill>
        </w:rPr>
        <w:t>=</w:t>
      </w:r>
      <w:r>
        <w:rPr>
          <w:rFonts w:ascii="Times New Roman"/>
          <w:snapToGrid w:val="0"/>
          <w:color w:val="000000" w:themeColor="text1"/>
          <w:szCs w:val="21"/>
          <w14:textFill>
            <w14:solidFill>
              <w14:schemeClr w14:val="tx1"/>
            </w14:solidFill>
          </w14:textFill>
        </w:rPr>
        <w:fldChar w:fldCharType="begin"/>
      </w:r>
      <w:r>
        <w:rPr>
          <w:rFonts w:ascii="Times New Roman"/>
          <w:snapToGrid w:val="0"/>
          <w:color w:val="000000" w:themeColor="text1"/>
          <w:szCs w:val="21"/>
          <w14:textFill>
            <w14:solidFill>
              <w14:schemeClr w14:val="tx1"/>
            </w14:solidFill>
          </w14:textFill>
        </w:rPr>
        <w:instrText xml:space="preserve"> = 1 \* GB3 \* MERGEFORMAT </w:instrText>
      </w:r>
      <w:r>
        <w:rPr>
          <w:rFonts w:ascii="Times New Roman"/>
          <w:snapToGrid w:val="0"/>
          <w:color w:val="000000" w:themeColor="text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①</w:t>
      </w:r>
      <w:r>
        <w:rPr>
          <w:rFonts w:ascii="Times New Roman"/>
          <w:snapToGrid w:val="0"/>
          <w:color w:val="000000" w:themeColor="text1"/>
          <w:szCs w:val="21"/>
          <w14:textFill>
            <w14:solidFill>
              <w14:schemeClr w14:val="tx1"/>
            </w14:solidFill>
          </w14:textFill>
        </w:rPr>
        <w:fldChar w:fldCharType="end"/>
      </w:r>
      <w:r>
        <w:rPr>
          <w:rFonts w:ascii="Times New Roman"/>
          <w:snapToGrid w:val="0"/>
          <w:color w:val="000000" w:themeColor="text1"/>
          <w:szCs w:val="21"/>
          <w14:textFill>
            <w14:solidFill>
              <w14:schemeClr w14:val="tx1"/>
            </w14:solidFill>
          </w14:textFill>
        </w:rPr>
        <w:t>+</w:t>
      </w:r>
      <w:r>
        <w:rPr>
          <w:rFonts w:ascii="Times New Roman"/>
          <w:snapToGrid w:val="0"/>
          <w:color w:val="000000" w:themeColor="text1"/>
          <w:szCs w:val="21"/>
          <w14:textFill>
            <w14:solidFill>
              <w14:schemeClr w14:val="tx1"/>
            </w14:solidFill>
          </w14:textFill>
        </w:rPr>
        <w:fldChar w:fldCharType="begin"/>
      </w:r>
      <w:r>
        <w:rPr>
          <w:rFonts w:ascii="Times New Roman"/>
          <w:snapToGrid w:val="0"/>
          <w:color w:val="000000" w:themeColor="text1"/>
          <w:szCs w:val="21"/>
          <w14:textFill>
            <w14:solidFill>
              <w14:schemeClr w14:val="tx1"/>
            </w14:solidFill>
          </w14:textFill>
        </w:rPr>
        <w:instrText xml:space="preserve"> = 3 \* GB3 \* MERGEFORMAT </w:instrText>
      </w:r>
      <w:r>
        <w:rPr>
          <w:rFonts w:ascii="Times New Roman"/>
          <w:snapToGrid w:val="0"/>
          <w:color w:val="000000" w:themeColor="text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③</w:t>
      </w:r>
      <w:r>
        <w:rPr>
          <w:rFonts w:ascii="Times New Roman"/>
          <w:snapToGrid w:val="0"/>
          <w:color w:val="000000" w:themeColor="text1"/>
          <w:szCs w:val="21"/>
          <w14:textFill>
            <w14:solidFill>
              <w14:schemeClr w14:val="tx1"/>
            </w14:solidFill>
          </w14:textFill>
        </w:rPr>
        <w:fldChar w:fldCharType="end"/>
      </w:r>
      <w:r>
        <w:rPr>
          <w:rFonts w:ascii="Times New Roman"/>
          <w:snapToGrid w:val="0"/>
          <w:color w:val="000000" w:themeColor="text1"/>
          <w:szCs w:val="21"/>
          <w14:textFill>
            <w14:solidFill>
              <w14:schemeClr w14:val="tx1"/>
            </w14:solidFill>
          </w14:textFill>
        </w:rPr>
        <w:t>+</w:t>
      </w:r>
      <w:r>
        <w:rPr>
          <w:rFonts w:ascii="Times New Roman"/>
          <w:snapToGrid w:val="0"/>
          <w:color w:val="000000" w:themeColor="text1"/>
          <w:szCs w:val="21"/>
          <w14:textFill>
            <w14:solidFill>
              <w14:schemeClr w14:val="tx1"/>
            </w14:solidFill>
          </w14:textFill>
        </w:rPr>
        <w:fldChar w:fldCharType="begin"/>
      </w:r>
      <w:r>
        <w:rPr>
          <w:rFonts w:ascii="Times New Roman"/>
          <w:snapToGrid w:val="0"/>
          <w:color w:val="000000" w:themeColor="text1"/>
          <w:szCs w:val="21"/>
          <w14:textFill>
            <w14:solidFill>
              <w14:schemeClr w14:val="tx1"/>
            </w14:solidFill>
          </w14:textFill>
        </w:rPr>
        <w:instrText xml:space="preserve"> = 4 \* GB3 \* MERGEFORMAT </w:instrText>
      </w:r>
      <w:r>
        <w:rPr>
          <w:rFonts w:ascii="Times New Roman"/>
          <w:snapToGrid w:val="0"/>
          <w:color w:val="000000" w:themeColor="text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④</w:t>
      </w:r>
      <w:r>
        <w:rPr>
          <w:rFonts w:ascii="Times New Roman"/>
          <w:snapToGrid w:val="0"/>
          <w:color w:val="000000" w:themeColor="text1"/>
          <w:szCs w:val="21"/>
          <w14:textFill>
            <w14:solidFill>
              <w14:schemeClr w14:val="tx1"/>
            </w14:solidFill>
          </w14:textFill>
        </w:rPr>
        <w:fldChar w:fldCharType="end"/>
      </w:r>
      <w:r>
        <w:rPr>
          <w:rFonts w:ascii="Times New Roman"/>
          <w:snapToGrid w:val="0"/>
          <w:color w:val="000000" w:themeColor="text1"/>
          <w:szCs w:val="21"/>
          <w14:textFill>
            <w14:solidFill>
              <w14:schemeClr w14:val="tx1"/>
            </w14:solidFill>
          </w14:textFill>
        </w:rPr>
        <w:t>-</w:t>
      </w:r>
      <w:r>
        <w:rPr>
          <w:rFonts w:ascii="Times New Roman"/>
          <w:snapToGrid w:val="0"/>
          <w:color w:val="000000" w:themeColor="text1"/>
          <w:szCs w:val="21"/>
          <w14:textFill>
            <w14:solidFill>
              <w14:schemeClr w14:val="tx1"/>
            </w14:solidFill>
          </w14:textFill>
        </w:rPr>
        <w:fldChar w:fldCharType="begin"/>
      </w:r>
      <w:r>
        <w:rPr>
          <w:rFonts w:ascii="Times New Roman"/>
          <w:snapToGrid w:val="0"/>
          <w:color w:val="000000" w:themeColor="text1"/>
          <w:szCs w:val="21"/>
          <w14:textFill>
            <w14:solidFill>
              <w14:schemeClr w14:val="tx1"/>
            </w14:solidFill>
          </w14:textFill>
        </w:rPr>
        <w:instrText xml:space="preserve"> = 5 \* GB3 \* MERGEFORMAT </w:instrText>
      </w:r>
      <w:r>
        <w:rPr>
          <w:rFonts w:ascii="Times New Roman"/>
          <w:snapToGrid w:val="0"/>
          <w:color w:val="000000" w:themeColor="text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⑤</w:t>
      </w:r>
      <w:r>
        <w:rPr>
          <w:rFonts w:ascii="Times New Roman"/>
          <w:snapToGrid w:val="0"/>
          <w:color w:val="000000" w:themeColor="text1"/>
          <w:szCs w:val="21"/>
          <w14:textFill>
            <w14:solidFill>
              <w14:schemeClr w14:val="tx1"/>
            </w14:solidFill>
          </w14:textFill>
        </w:rPr>
        <w:fldChar w:fldCharType="end"/>
      </w:r>
      <w:r>
        <w:rPr>
          <w:rFonts w:ascii="Times New Roman"/>
          <w:snapToGrid w:val="0"/>
          <w:color w:val="000000" w:themeColor="text1"/>
          <w:szCs w:val="21"/>
          <w14:textFill>
            <w14:solidFill>
              <w14:schemeClr w14:val="tx1"/>
            </w14:solidFill>
          </w14:textFill>
        </w:rPr>
        <w:t>；</w:t>
      </w:r>
      <w:r>
        <w:rPr>
          <w:rFonts w:ascii="Times New Roman"/>
          <w:snapToGrid w:val="0"/>
          <w:color w:val="000000" w:themeColor="text1"/>
          <w:szCs w:val="21"/>
          <w14:textFill>
            <w14:solidFill>
              <w14:schemeClr w14:val="tx1"/>
            </w14:solidFill>
          </w14:textFill>
        </w:rPr>
        <w:fldChar w:fldCharType="begin"/>
      </w:r>
      <w:r>
        <w:rPr>
          <w:rFonts w:ascii="Times New Roman"/>
          <w:snapToGrid w:val="0"/>
          <w:color w:val="000000" w:themeColor="text1"/>
          <w:szCs w:val="21"/>
          <w14:textFill>
            <w14:solidFill>
              <w14:schemeClr w14:val="tx1"/>
            </w14:solidFill>
          </w14:textFill>
        </w:rPr>
        <w:instrText xml:space="preserve"> = 7 \* GB3 \* MERGEFORMAT </w:instrText>
      </w:r>
      <w:r>
        <w:rPr>
          <w:rFonts w:ascii="Times New Roman"/>
          <w:snapToGrid w:val="0"/>
          <w:color w:val="000000" w:themeColor="text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⑦</w:t>
      </w:r>
      <w:r>
        <w:rPr>
          <w:rFonts w:ascii="Times New Roman"/>
          <w:snapToGrid w:val="0"/>
          <w:color w:val="000000" w:themeColor="text1"/>
          <w:szCs w:val="21"/>
          <w14:textFill>
            <w14:solidFill>
              <w14:schemeClr w14:val="tx1"/>
            </w14:solidFill>
          </w14:textFill>
        </w:rPr>
        <w:fldChar w:fldCharType="end"/>
      </w:r>
      <w:r>
        <w:rPr>
          <w:rFonts w:ascii="Times New Roman"/>
          <w:snapToGrid w:val="0"/>
          <w:color w:val="000000" w:themeColor="text1"/>
          <w:szCs w:val="21"/>
          <w14:textFill>
            <w14:solidFill>
              <w14:schemeClr w14:val="tx1"/>
            </w14:solidFill>
          </w14:textFill>
        </w:rPr>
        <w:t>=</w:t>
      </w:r>
      <w:r>
        <w:rPr>
          <w:rFonts w:ascii="Times New Roman"/>
          <w:snapToGrid w:val="0"/>
          <w:color w:val="000000" w:themeColor="text1"/>
          <w:szCs w:val="21"/>
          <w14:textFill>
            <w14:solidFill>
              <w14:schemeClr w14:val="tx1"/>
            </w14:solidFill>
          </w14:textFill>
        </w:rPr>
        <w:fldChar w:fldCharType="begin"/>
      </w:r>
      <w:r>
        <w:rPr>
          <w:rFonts w:ascii="Times New Roman"/>
          <w:snapToGrid w:val="0"/>
          <w:color w:val="000000" w:themeColor="text1"/>
          <w:szCs w:val="21"/>
          <w14:textFill>
            <w14:solidFill>
              <w14:schemeClr w14:val="tx1"/>
            </w14:solidFill>
          </w14:textFill>
        </w:rPr>
        <w:instrText xml:space="preserve"> = 6 \* GB3 \* MERGEFORMAT </w:instrText>
      </w:r>
      <w:r>
        <w:rPr>
          <w:rFonts w:ascii="Times New Roman"/>
          <w:snapToGrid w:val="0"/>
          <w:color w:val="000000" w:themeColor="text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⑥</w:t>
      </w:r>
      <w:r>
        <w:rPr>
          <w:rFonts w:ascii="Times New Roman"/>
          <w:snapToGrid w:val="0"/>
          <w:color w:val="000000" w:themeColor="text1"/>
          <w:szCs w:val="21"/>
          <w14:textFill>
            <w14:solidFill>
              <w14:schemeClr w14:val="tx1"/>
            </w14:solidFill>
          </w14:textFill>
        </w:rPr>
        <w:fldChar w:fldCharType="end"/>
      </w:r>
      <w:r>
        <w:rPr>
          <w:rFonts w:ascii="Times New Roman"/>
          <w:snapToGrid w:val="0"/>
          <w:color w:val="000000" w:themeColor="text1"/>
          <w:szCs w:val="21"/>
          <w14:textFill>
            <w14:solidFill>
              <w14:schemeClr w14:val="tx1"/>
            </w14:solidFill>
          </w14:textFill>
        </w:rPr>
        <w:t>-</w:t>
      </w:r>
      <w:r>
        <w:rPr>
          <w:rFonts w:ascii="Times New Roman"/>
          <w:snapToGrid w:val="0"/>
          <w:color w:val="000000" w:themeColor="text1"/>
          <w:szCs w:val="21"/>
          <w14:textFill>
            <w14:solidFill>
              <w14:schemeClr w14:val="tx1"/>
            </w14:solidFill>
          </w14:textFill>
        </w:rPr>
        <w:fldChar w:fldCharType="begin"/>
      </w:r>
      <w:r>
        <w:rPr>
          <w:rFonts w:ascii="Times New Roman"/>
          <w:snapToGrid w:val="0"/>
          <w:color w:val="000000" w:themeColor="text1"/>
          <w:szCs w:val="21"/>
          <w14:textFill>
            <w14:solidFill>
              <w14:schemeClr w14:val="tx1"/>
            </w14:solidFill>
          </w14:textFill>
        </w:rPr>
        <w:instrText xml:space="preserve"> = 1 \* GB3 \* MERGEFORMAT </w:instrText>
      </w:r>
      <w:r>
        <w:rPr>
          <w:rFonts w:ascii="Times New Roman"/>
          <w:snapToGrid w:val="0"/>
          <w:color w:val="000000" w:themeColor="text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①</w:t>
      </w:r>
      <w:r>
        <w:rPr>
          <w:rFonts w:ascii="Times New Roman"/>
          <w:snapToGrid w:val="0"/>
          <w:color w:val="000000" w:themeColor="text1"/>
          <w:szCs w:val="21"/>
          <w14:textFill>
            <w14:solidFill>
              <w14:schemeClr w14:val="tx1"/>
            </w14:solidFill>
          </w14:textFill>
        </w:rPr>
        <w:fldChar w:fldCharType="end"/>
      </w:r>
    </w:p>
    <w:sectPr>
      <w:headerReference r:id="rId9" w:type="default"/>
      <w:footerReference r:id="rId10" w:type="default"/>
      <w:pgSz w:w="16838" w:h="11906" w:orient="landscape"/>
      <w:pgMar w:top="1531" w:right="1701" w:bottom="1531" w:left="1701" w:header="851" w:footer="851" w:gutter="0"/>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outside" w:y="1"/>
      <w:rPr>
        <w:rStyle w:val="31"/>
        <w:rFonts w:ascii="宋体" w:hAnsi="宋体"/>
        <w:sz w:val="28"/>
        <w:szCs w:val="28"/>
      </w:rPr>
    </w:pPr>
    <w:r>
      <w:rPr>
        <w:rStyle w:val="31"/>
        <w:rFonts w:hint="eastAsia" w:ascii="宋体" w:hAnsi="宋体"/>
        <w:sz w:val="28"/>
        <w:szCs w:val="28"/>
      </w:rPr>
      <w:t>—</w:t>
    </w:r>
    <w:r>
      <w:rPr>
        <w:rStyle w:val="31"/>
        <w:rFonts w:hint="eastAsia" w:ascii="宋体" w:hAnsi="宋体"/>
        <w:sz w:val="20"/>
      </w:rPr>
      <w:t xml:space="preserve">  </w:t>
    </w:r>
    <w:r>
      <w:rPr>
        <w:rFonts w:ascii="宋体" w:hAnsi="宋体"/>
        <w:sz w:val="26"/>
        <w:szCs w:val="26"/>
      </w:rPr>
      <w:fldChar w:fldCharType="begin"/>
    </w:r>
    <w:r>
      <w:rPr>
        <w:rStyle w:val="31"/>
        <w:rFonts w:ascii="宋体" w:hAnsi="宋体"/>
        <w:sz w:val="26"/>
        <w:szCs w:val="26"/>
      </w:rPr>
      <w:instrText xml:space="preserve">PAGE  </w:instrText>
    </w:r>
    <w:r>
      <w:rPr>
        <w:rFonts w:ascii="宋体" w:hAnsi="宋体"/>
        <w:sz w:val="26"/>
        <w:szCs w:val="26"/>
      </w:rPr>
      <w:fldChar w:fldCharType="separate"/>
    </w:r>
    <w:r>
      <w:rPr>
        <w:rStyle w:val="31"/>
        <w:rFonts w:ascii="宋体" w:hAnsi="宋体"/>
        <w:sz w:val="26"/>
        <w:szCs w:val="26"/>
      </w:rPr>
      <w:t>51</w:t>
    </w:r>
    <w:r>
      <w:rPr>
        <w:rFonts w:ascii="宋体" w:hAnsi="宋体"/>
        <w:sz w:val="26"/>
        <w:szCs w:val="26"/>
      </w:rPr>
      <w:fldChar w:fldCharType="end"/>
    </w:r>
    <w:r>
      <w:rPr>
        <w:rStyle w:val="31"/>
        <w:rFonts w:hint="eastAsia" w:ascii="宋体" w:hAnsi="宋体"/>
        <w:sz w:val="20"/>
      </w:rPr>
      <w:t xml:space="preserve">  </w:t>
    </w:r>
    <w:r>
      <w:rPr>
        <w:rStyle w:val="31"/>
        <w:rFonts w:hint="eastAsia" w:ascii="宋体" w:hAnsi="宋体"/>
        <w:sz w:val="28"/>
        <w:szCs w:val="28"/>
      </w:rPr>
      <w:t>—</w:t>
    </w:r>
  </w:p>
  <w:p>
    <w:pPr>
      <w:pStyle w:val="22"/>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4FBB84"/>
    <w:multiLevelType w:val="singleLevel"/>
    <w:tmpl w:val="944FBB84"/>
    <w:lvl w:ilvl="0" w:tentative="0">
      <w:start w:val="1"/>
      <w:numFmt w:val="chineseCounting"/>
      <w:suff w:val="nothing"/>
      <w:lvlText w:val="%1、"/>
      <w:lvlJc w:val="left"/>
      <w:rPr>
        <w:rFonts w:hint="eastAsia"/>
      </w:rPr>
    </w:lvl>
  </w:abstractNum>
  <w:abstractNum w:abstractNumId="1">
    <w:nsid w:val="960CA4FE"/>
    <w:multiLevelType w:val="singleLevel"/>
    <w:tmpl w:val="960CA4FE"/>
    <w:lvl w:ilvl="0" w:tentative="0">
      <w:start w:val="1"/>
      <w:numFmt w:val="chineseCounting"/>
      <w:suff w:val="nothing"/>
      <w:lvlText w:val="（%1）"/>
      <w:lvlJc w:val="left"/>
      <w:rPr>
        <w:rFonts w:hint="eastAsia"/>
      </w:rPr>
    </w:lvl>
  </w:abstractNum>
  <w:abstractNum w:abstractNumId="2">
    <w:nsid w:val="A925CE60"/>
    <w:multiLevelType w:val="singleLevel"/>
    <w:tmpl w:val="A925CE60"/>
    <w:lvl w:ilvl="0" w:tentative="0">
      <w:start w:val="9"/>
      <w:numFmt w:val="chineseCounting"/>
      <w:suff w:val="nothing"/>
      <w:lvlText w:val="%1、"/>
      <w:lvlJc w:val="left"/>
      <w:rPr>
        <w:rFonts w:hint="eastAsia"/>
      </w:rPr>
    </w:lvl>
  </w:abstractNum>
  <w:abstractNum w:abstractNumId="3">
    <w:nsid w:val="A93C6776"/>
    <w:multiLevelType w:val="singleLevel"/>
    <w:tmpl w:val="A93C6776"/>
    <w:lvl w:ilvl="0" w:tentative="0">
      <w:start w:val="1"/>
      <w:numFmt w:val="upperLetter"/>
      <w:suff w:val="nothing"/>
      <w:lvlText w:val="%1、"/>
      <w:lvlJc w:val="left"/>
    </w:lvl>
  </w:abstractNum>
  <w:abstractNum w:abstractNumId="4">
    <w:nsid w:val="C865BFF6"/>
    <w:multiLevelType w:val="singleLevel"/>
    <w:tmpl w:val="C865BFF6"/>
    <w:lvl w:ilvl="0" w:tentative="0">
      <w:start w:val="1"/>
      <w:numFmt w:val="chineseCounting"/>
      <w:suff w:val="nothing"/>
      <w:lvlText w:val="%1、"/>
      <w:lvlJc w:val="left"/>
      <w:rPr>
        <w:rFonts w:hint="eastAsia"/>
      </w:rPr>
    </w:lvl>
  </w:abstractNum>
  <w:abstractNum w:abstractNumId="5">
    <w:nsid w:val="F290E2DD"/>
    <w:multiLevelType w:val="singleLevel"/>
    <w:tmpl w:val="F290E2DD"/>
    <w:lvl w:ilvl="0" w:tentative="0">
      <w:start w:val="1"/>
      <w:numFmt w:val="decimal"/>
      <w:suff w:val="nothing"/>
      <w:lvlText w:val="（%1）"/>
      <w:lvlJc w:val="left"/>
    </w:lvl>
  </w:abstractNum>
  <w:abstractNum w:abstractNumId="6">
    <w:nsid w:val="F98747F4"/>
    <w:multiLevelType w:val="singleLevel"/>
    <w:tmpl w:val="F98747F4"/>
    <w:lvl w:ilvl="0" w:tentative="0">
      <w:start w:val="1"/>
      <w:numFmt w:val="decimal"/>
      <w:suff w:val="nothing"/>
      <w:lvlText w:val="%1、"/>
      <w:lvlJc w:val="left"/>
    </w:lvl>
  </w:abstractNum>
  <w:abstractNum w:abstractNumId="7">
    <w:nsid w:val="0615438E"/>
    <w:multiLevelType w:val="singleLevel"/>
    <w:tmpl w:val="0615438E"/>
    <w:lvl w:ilvl="0" w:tentative="0">
      <w:start w:val="1"/>
      <w:numFmt w:val="decimal"/>
      <w:suff w:val="nothing"/>
      <w:lvlText w:val="（%1）"/>
      <w:lvlJc w:val="left"/>
    </w:lvl>
  </w:abstractNum>
  <w:abstractNum w:abstractNumId="8">
    <w:nsid w:val="0BB9B6E7"/>
    <w:multiLevelType w:val="singleLevel"/>
    <w:tmpl w:val="0BB9B6E7"/>
    <w:lvl w:ilvl="0" w:tentative="0">
      <w:start w:val="1"/>
      <w:numFmt w:val="decimal"/>
      <w:suff w:val="nothing"/>
      <w:lvlText w:val="%1）"/>
      <w:lvlJc w:val="left"/>
      <w:rPr>
        <w:rFonts w:hint="default"/>
        <w:color w:val="000000" w:themeColor="text1"/>
        <w:sz w:val="24"/>
        <w:szCs w:val="24"/>
        <w14:textFill>
          <w14:solidFill>
            <w14:schemeClr w14:val="tx1"/>
          </w14:solidFill>
        </w14:textFill>
      </w:rPr>
    </w:lvl>
  </w:abstractNum>
  <w:abstractNum w:abstractNumId="9">
    <w:nsid w:val="18C962FD"/>
    <w:multiLevelType w:val="singleLevel"/>
    <w:tmpl w:val="18C962FD"/>
    <w:lvl w:ilvl="0" w:tentative="0">
      <w:start w:val="1"/>
      <w:numFmt w:val="decimal"/>
      <w:suff w:val="nothing"/>
      <w:lvlText w:val="%1、"/>
      <w:lvlJc w:val="left"/>
    </w:lvl>
  </w:abstractNum>
  <w:abstractNum w:abstractNumId="10">
    <w:nsid w:val="18D40AEF"/>
    <w:multiLevelType w:val="singleLevel"/>
    <w:tmpl w:val="18D40AEF"/>
    <w:lvl w:ilvl="0" w:tentative="0">
      <w:start w:val="1"/>
      <w:numFmt w:val="chineseCounting"/>
      <w:suff w:val="nothing"/>
      <w:lvlText w:val="（%1）"/>
      <w:lvlJc w:val="left"/>
      <w:rPr>
        <w:rFonts w:hint="eastAsia"/>
      </w:rPr>
    </w:lvl>
  </w:abstractNum>
  <w:abstractNum w:abstractNumId="11">
    <w:nsid w:val="1CDFE20D"/>
    <w:multiLevelType w:val="singleLevel"/>
    <w:tmpl w:val="1CDFE20D"/>
    <w:lvl w:ilvl="0" w:tentative="0">
      <w:start w:val="1"/>
      <w:numFmt w:val="decimal"/>
      <w:suff w:val="nothing"/>
      <w:lvlText w:val="（%1）"/>
      <w:lvlJc w:val="left"/>
    </w:lvl>
  </w:abstractNum>
  <w:abstractNum w:abstractNumId="12">
    <w:nsid w:val="210E5441"/>
    <w:multiLevelType w:val="singleLevel"/>
    <w:tmpl w:val="210E5441"/>
    <w:lvl w:ilvl="0" w:tentative="0">
      <w:start w:val="1"/>
      <w:numFmt w:val="decimal"/>
      <w:suff w:val="nothing"/>
      <w:lvlText w:val="（%1）"/>
      <w:lvlJc w:val="left"/>
    </w:lvl>
  </w:abstractNum>
  <w:abstractNum w:abstractNumId="13">
    <w:nsid w:val="2B378580"/>
    <w:multiLevelType w:val="singleLevel"/>
    <w:tmpl w:val="2B378580"/>
    <w:lvl w:ilvl="0" w:tentative="0">
      <w:start w:val="1"/>
      <w:numFmt w:val="chineseCounting"/>
      <w:suff w:val="nothing"/>
      <w:lvlText w:val="（%1）"/>
      <w:lvlJc w:val="left"/>
      <w:rPr>
        <w:rFonts w:hint="eastAsia"/>
      </w:rPr>
    </w:lvl>
  </w:abstractNum>
  <w:abstractNum w:abstractNumId="14">
    <w:nsid w:val="3154E15C"/>
    <w:multiLevelType w:val="singleLevel"/>
    <w:tmpl w:val="3154E15C"/>
    <w:lvl w:ilvl="0" w:tentative="0">
      <w:start w:val="1"/>
      <w:numFmt w:val="decimal"/>
      <w:suff w:val="nothing"/>
      <w:lvlText w:val="%1）"/>
      <w:lvlJc w:val="left"/>
    </w:lvl>
  </w:abstractNum>
  <w:abstractNum w:abstractNumId="15">
    <w:nsid w:val="37A230EC"/>
    <w:multiLevelType w:val="multilevel"/>
    <w:tmpl w:val="37A230EC"/>
    <w:lvl w:ilvl="0" w:tentative="0">
      <w:start w:val="1"/>
      <w:numFmt w:val="decimal"/>
      <w:suff w:val="nothing"/>
      <w:lvlText w:val="附件%1："/>
      <w:lvlJc w:val="left"/>
      <w:pPr>
        <w:tabs>
          <w:tab w:val="left" w:pos="420"/>
        </w:tabs>
        <w:ind w:left="0" w:firstLine="0"/>
      </w:pPr>
      <w:rPr>
        <w:rFonts w:hint="default" w:ascii="Times New Roman" w:hAnsi="Times New Roman" w:eastAsia="宋体" w:cs="宋体"/>
        <w:outline w:val="0"/>
        <w:shadow w:val="0"/>
        <w:emboss w:val="0"/>
        <w:imprint w:val="0"/>
        <w:color w:val="000000"/>
        <w:sz w:val="24"/>
        <w:szCs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3B926C04"/>
    <w:multiLevelType w:val="singleLevel"/>
    <w:tmpl w:val="3B926C04"/>
    <w:lvl w:ilvl="0" w:tentative="0">
      <w:start w:val="1"/>
      <w:numFmt w:val="upperLetter"/>
      <w:suff w:val="nothing"/>
      <w:lvlText w:val="%1、"/>
      <w:lvlJc w:val="left"/>
    </w:lvl>
  </w:abstractNum>
  <w:abstractNum w:abstractNumId="17">
    <w:nsid w:val="3E3296EC"/>
    <w:multiLevelType w:val="singleLevel"/>
    <w:tmpl w:val="3E3296EC"/>
    <w:lvl w:ilvl="0" w:tentative="0">
      <w:start w:val="1"/>
      <w:numFmt w:val="lowerLetter"/>
      <w:lvlText w:val="%1."/>
      <w:lvlJc w:val="left"/>
      <w:pPr>
        <w:tabs>
          <w:tab w:val="left" w:pos="312"/>
        </w:tabs>
      </w:pPr>
    </w:lvl>
  </w:abstractNum>
  <w:abstractNum w:abstractNumId="18">
    <w:nsid w:val="40C481C2"/>
    <w:multiLevelType w:val="singleLevel"/>
    <w:tmpl w:val="40C481C2"/>
    <w:lvl w:ilvl="0" w:tentative="0">
      <w:start w:val="5"/>
      <w:numFmt w:val="decimal"/>
      <w:suff w:val="nothing"/>
      <w:lvlText w:val="（%1）"/>
      <w:lvlJc w:val="left"/>
    </w:lvl>
  </w:abstractNum>
  <w:abstractNum w:abstractNumId="19">
    <w:nsid w:val="4503B5C7"/>
    <w:multiLevelType w:val="singleLevel"/>
    <w:tmpl w:val="4503B5C7"/>
    <w:lvl w:ilvl="0" w:tentative="0">
      <w:start w:val="1"/>
      <w:numFmt w:val="decimal"/>
      <w:suff w:val="nothing"/>
      <w:lvlText w:val="%1、"/>
      <w:lvlJc w:val="left"/>
    </w:lvl>
  </w:abstractNum>
  <w:abstractNum w:abstractNumId="20">
    <w:nsid w:val="45A06B8C"/>
    <w:multiLevelType w:val="singleLevel"/>
    <w:tmpl w:val="45A06B8C"/>
    <w:lvl w:ilvl="0" w:tentative="0">
      <w:start w:val="1"/>
      <w:numFmt w:val="bullet"/>
      <w:lvlText w:val=""/>
      <w:lvlJc w:val="left"/>
      <w:pPr>
        <w:ind w:left="420" w:hanging="420"/>
      </w:pPr>
      <w:rPr>
        <w:rFonts w:hint="default" w:ascii="Wingdings" w:hAnsi="Wingdings"/>
      </w:rPr>
    </w:lvl>
  </w:abstractNum>
  <w:abstractNum w:abstractNumId="21">
    <w:nsid w:val="576CEBC4"/>
    <w:multiLevelType w:val="singleLevel"/>
    <w:tmpl w:val="576CEBC4"/>
    <w:lvl w:ilvl="0" w:tentative="0">
      <w:start w:val="1"/>
      <w:numFmt w:val="decimal"/>
      <w:suff w:val="nothing"/>
      <w:lvlText w:val="%1、"/>
      <w:lvlJc w:val="left"/>
    </w:lvl>
  </w:abstractNum>
  <w:abstractNum w:abstractNumId="22">
    <w:nsid w:val="605B3E86"/>
    <w:multiLevelType w:val="multilevel"/>
    <w:tmpl w:val="605B3E86"/>
    <w:lvl w:ilvl="0" w:tentative="0">
      <w:start w:val="1"/>
      <w:numFmt w:val="decimal"/>
      <w:suff w:val="nothing"/>
      <w:lvlText w:val="附图%1："/>
      <w:lvlJc w:val="left"/>
      <w:pPr>
        <w:tabs>
          <w:tab w:val="left" w:pos="0"/>
        </w:tabs>
        <w:ind w:left="0" w:firstLine="0"/>
      </w:pPr>
      <w:rPr>
        <w:rFonts w:hint="default" w:ascii="Times New Roman" w:hAnsi="Times New Roman" w:eastAsia="宋体" w:cs="宋体"/>
        <w:outline w:val="0"/>
        <w:shadow w:val="0"/>
        <w:emboss w:val="0"/>
        <w:imprint w:val="0"/>
        <w:color w:val="000000"/>
        <w:sz w:val="24"/>
        <w:szCs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3">
    <w:nsid w:val="77C55552"/>
    <w:multiLevelType w:val="singleLevel"/>
    <w:tmpl w:val="77C55552"/>
    <w:lvl w:ilvl="0" w:tentative="0">
      <w:start w:val="2"/>
      <w:numFmt w:val="chineseCounting"/>
      <w:suff w:val="nothing"/>
      <w:lvlText w:val="%1、"/>
      <w:lvlJc w:val="left"/>
      <w:rPr>
        <w:rFonts w:hint="eastAsia"/>
      </w:rPr>
    </w:lvl>
  </w:abstractNum>
  <w:num w:numId="1">
    <w:abstractNumId w:val="22"/>
  </w:num>
  <w:num w:numId="2">
    <w:abstractNumId w:val="15"/>
  </w:num>
  <w:num w:numId="3">
    <w:abstractNumId w:val="23"/>
  </w:num>
  <w:num w:numId="4">
    <w:abstractNumId w:val="9"/>
  </w:num>
  <w:num w:numId="5">
    <w:abstractNumId w:val="1"/>
  </w:num>
  <w:num w:numId="6">
    <w:abstractNumId w:val="13"/>
  </w:num>
  <w:num w:numId="7">
    <w:abstractNumId w:val="4"/>
  </w:num>
  <w:num w:numId="8">
    <w:abstractNumId w:val="10"/>
  </w:num>
  <w:num w:numId="9">
    <w:abstractNumId w:val="2"/>
  </w:num>
  <w:num w:numId="10">
    <w:abstractNumId w:val="0"/>
  </w:num>
  <w:num w:numId="11">
    <w:abstractNumId w:val="12"/>
  </w:num>
  <w:num w:numId="12">
    <w:abstractNumId w:val="5"/>
  </w:num>
  <w:num w:numId="13">
    <w:abstractNumId w:val="19"/>
  </w:num>
  <w:num w:numId="14">
    <w:abstractNumId w:val="6"/>
  </w:num>
  <w:num w:numId="15">
    <w:abstractNumId w:val="21"/>
  </w:num>
  <w:num w:numId="16">
    <w:abstractNumId w:val="17"/>
  </w:num>
  <w:num w:numId="17">
    <w:abstractNumId w:val="18"/>
  </w:num>
  <w:num w:numId="18">
    <w:abstractNumId w:val="11"/>
  </w:num>
  <w:num w:numId="19">
    <w:abstractNumId w:val="14"/>
  </w:num>
  <w:num w:numId="20">
    <w:abstractNumId w:val="8"/>
  </w:num>
  <w:num w:numId="21">
    <w:abstractNumId w:val="20"/>
  </w:num>
  <w:num w:numId="22">
    <w:abstractNumId w:val="3"/>
  </w:num>
  <w:num w:numId="23">
    <w:abstractNumId w:val="16"/>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dit="trackedChanges" w:enforcement="0"/>
  <w:defaultTabStop w:val="420"/>
  <w:doNotHyphenateCaps/>
  <w:drawingGridVerticalSpacing w:val="156"/>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226F"/>
    <w:rsid w:val="000032C4"/>
    <w:rsid w:val="000060B3"/>
    <w:rsid w:val="000074F1"/>
    <w:rsid w:val="00016FFD"/>
    <w:rsid w:val="00017C28"/>
    <w:rsid w:val="000275CD"/>
    <w:rsid w:val="00031325"/>
    <w:rsid w:val="0004364B"/>
    <w:rsid w:val="0004417E"/>
    <w:rsid w:val="0004621A"/>
    <w:rsid w:val="00060904"/>
    <w:rsid w:val="00061B1F"/>
    <w:rsid w:val="00065978"/>
    <w:rsid w:val="00065996"/>
    <w:rsid w:val="000733C4"/>
    <w:rsid w:val="00074783"/>
    <w:rsid w:val="0008070B"/>
    <w:rsid w:val="000810AC"/>
    <w:rsid w:val="00081A02"/>
    <w:rsid w:val="00082231"/>
    <w:rsid w:val="00092206"/>
    <w:rsid w:val="00092D38"/>
    <w:rsid w:val="0009377B"/>
    <w:rsid w:val="0009738E"/>
    <w:rsid w:val="000A20C9"/>
    <w:rsid w:val="000A2D0A"/>
    <w:rsid w:val="000B058F"/>
    <w:rsid w:val="000B4467"/>
    <w:rsid w:val="000B4D03"/>
    <w:rsid w:val="000B4DB9"/>
    <w:rsid w:val="000C01A0"/>
    <w:rsid w:val="000C0531"/>
    <w:rsid w:val="000C09AC"/>
    <w:rsid w:val="000C11A9"/>
    <w:rsid w:val="000C22B8"/>
    <w:rsid w:val="000C767F"/>
    <w:rsid w:val="000D5A44"/>
    <w:rsid w:val="000D6433"/>
    <w:rsid w:val="000E0C58"/>
    <w:rsid w:val="000E3ED2"/>
    <w:rsid w:val="000E7C9C"/>
    <w:rsid w:val="0010335D"/>
    <w:rsid w:val="0011103F"/>
    <w:rsid w:val="00111ED1"/>
    <w:rsid w:val="00112B7D"/>
    <w:rsid w:val="0011694A"/>
    <w:rsid w:val="00127C8C"/>
    <w:rsid w:val="00131605"/>
    <w:rsid w:val="00131F42"/>
    <w:rsid w:val="00132CB1"/>
    <w:rsid w:val="001357F1"/>
    <w:rsid w:val="00140FA8"/>
    <w:rsid w:val="001426E7"/>
    <w:rsid w:val="00142FEB"/>
    <w:rsid w:val="00143A2D"/>
    <w:rsid w:val="00145510"/>
    <w:rsid w:val="00145A41"/>
    <w:rsid w:val="00145C7E"/>
    <w:rsid w:val="00151675"/>
    <w:rsid w:val="00157435"/>
    <w:rsid w:val="00162C7E"/>
    <w:rsid w:val="0016489A"/>
    <w:rsid w:val="00164EA5"/>
    <w:rsid w:val="00172A27"/>
    <w:rsid w:val="0017504D"/>
    <w:rsid w:val="0017580C"/>
    <w:rsid w:val="0017671A"/>
    <w:rsid w:val="00177422"/>
    <w:rsid w:val="00182F33"/>
    <w:rsid w:val="00184590"/>
    <w:rsid w:val="001870D1"/>
    <w:rsid w:val="0018781E"/>
    <w:rsid w:val="0019262D"/>
    <w:rsid w:val="001A1B35"/>
    <w:rsid w:val="001A34EF"/>
    <w:rsid w:val="001A48A2"/>
    <w:rsid w:val="001A4F2A"/>
    <w:rsid w:val="001A6F61"/>
    <w:rsid w:val="001B15CE"/>
    <w:rsid w:val="001B4DB1"/>
    <w:rsid w:val="001B72B8"/>
    <w:rsid w:val="001C69B3"/>
    <w:rsid w:val="001D164D"/>
    <w:rsid w:val="001D5595"/>
    <w:rsid w:val="001D7874"/>
    <w:rsid w:val="001D7F22"/>
    <w:rsid w:val="001E3164"/>
    <w:rsid w:val="001E33EF"/>
    <w:rsid w:val="001E6D9F"/>
    <w:rsid w:val="001F0F17"/>
    <w:rsid w:val="001F3347"/>
    <w:rsid w:val="001F5C13"/>
    <w:rsid w:val="001F69E4"/>
    <w:rsid w:val="001F6E2B"/>
    <w:rsid w:val="002125B4"/>
    <w:rsid w:val="00214B62"/>
    <w:rsid w:val="002155B8"/>
    <w:rsid w:val="00224839"/>
    <w:rsid w:val="002249B2"/>
    <w:rsid w:val="00225622"/>
    <w:rsid w:val="00226574"/>
    <w:rsid w:val="002278EC"/>
    <w:rsid w:val="002312DD"/>
    <w:rsid w:val="0023280E"/>
    <w:rsid w:val="002328AA"/>
    <w:rsid w:val="002377D1"/>
    <w:rsid w:val="00237C75"/>
    <w:rsid w:val="002469D7"/>
    <w:rsid w:val="002506BC"/>
    <w:rsid w:val="00254345"/>
    <w:rsid w:val="0025448B"/>
    <w:rsid w:val="00264557"/>
    <w:rsid w:val="002667E4"/>
    <w:rsid w:val="00273E8A"/>
    <w:rsid w:val="002805AB"/>
    <w:rsid w:val="00284204"/>
    <w:rsid w:val="00291773"/>
    <w:rsid w:val="002925F9"/>
    <w:rsid w:val="002970FF"/>
    <w:rsid w:val="002A168C"/>
    <w:rsid w:val="002A3DC7"/>
    <w:rsid w:val="002A4552"/>
    <w:rsid w:val="002B49E2"/>
    <w:rsid w:val="002B7B00"/>
    <w:rsid w:val="002B7C44"/>
    <w:rsid w:val="002C2B17"/>
    <w:rsid w:val="002D3DD0"/>
    <w:rsid w:val="002E1F3A"/>
    <w:rsid w:val="002E298A"/>
    <w:rsid w:val="002F2DAA"/>
    <w:rsid w:val="00301978"/>
    <w:rsid w:val="00301F1D"/>
    <w:rsid w:val="0030332C"/>
    <w:rsid w:val="003051C2"/>
    <w:rsid w:val="00312296"/>
    <w:rsid w:val="00314F0E"/>
    <w:rsid w:val="00321D8E"/>
    <w:rsid w:val="00325556"/>
    <w:rsid w:val="00325928"/>
    <w:rsid w:val="00331FD9"/>
    <w:rsid w:val="00332863"/>
    <w:rsid w:val="00335652"/>
    <w:rsid w:val="0033574C"/>
    <w:rsid w:val="0033684D"/>
    <w:rsid w:val="00337B42"/>
    <w:rsid w:val="00341B42"/>
    <w:rsid w:val="0034348F"/>
    <w:rsid w:val="0035020A"/>
    <w:rsid w:val="003562B4"/>
    <w:rsid w:val="00356653"/>
    <w:rsid w:val="00356D4A"/>
    <w:rsid w:val="0035743F"/>
    <w:rsid w:val="00357BE2"/>
    <w:rsid w:val="0036142A"/>
    <w:rsid w:val="0036170C"/>
    <w:rsid w:val="00366E0F"/>
    <w:rsid w:val="00371C0D"/>
    <w:rsid w:val="0037577B"/>
    <w:rsid w:val="003774E6"/>
    <w:rsid w:val="00381A72"/>
    <w:rsid w:val="00384676"/>
    <w:rsid w:val="00387112"/>
    <w:rsid w:val="00390857"/>
    <w:rsid w:val="00394B65"/>
    <w:rsid w:val="0039781E"/>
    <w:rsid w:val="003A00D6"/>
    <w:rsid w:val="003A4BF3"/>
    <w:rsid w:val="003B0380"/>
    <w:rsid w:val="003B420D"/>
    <w:rsid w:val="003C3945"/>
    <w:rsid w:val="003C6C16"/>
    <w:rsid w:val="003D288E"/>
    <w:rsid w:val="003D4404"/>
    <w:rsid w:val="003D794D"/>
    <w:rsid w:val="003E15C9"/>
    <w:rsid w:val="003E3058"/>
    <w:rsid w:val="003E53D0"/>
    <w:rsid w:val="003E76A9"/>
    <w:rsid w:val="003E7F4E"/>
    <w:rsid w:val="003F0809"/>
    <w:rsid w:val="003F5DAB"/>
    <w:rsid w:val="003F6A8C"/>
    <w:rsid w:val="003F755C"/>
    <w:rsid w:val="00400531"/>
    <w:rsid w:val="00406F01"/>
    <w:rsid w:val="004135A5"/>
    <w:rsid w:val="0041627F"/>
    <w:rsid w:val="00416D50"/>
    <w:rsid w:val="00416FD5"/>
    <w:rsid w:val="00417591"/>
    <w:rsid w:val="00417772"/>
    <w:rsid w:val="00420E6A"/>
    <w:rsid w:val="00421B80"/>
    <w:rsid w:val="00425A9E"/>
    <w:rsid w:val="00426D6B"/>
    <w:rsid w:val="00431E6C"/>
    <w:rsid w:val="00433CE7"/>
    <w:rsid w:val="0043552D"/>
    <w:rsid w:val="00435BA5"/>
    <w:rsid w:val="004415D4"/>
    <w:rsid w:val="00452259"/>
    <w:rsid w:val="00452738"/>
    <w:rsid w:val="00456091"/>
    <w:rsid w:val="00466321"/>
    <w:rsid w:val="0046657A"/>
    <w:rsid w:val="00466C9B"/>
    <w:rsid w:val="004733A3"/>
    <w:rsid w:val="00484B9B"/>
    <w:rsid w:val="004855F6"/>
    <w:rsid w:val="0048661E"/>
    <w:rsid w:val="004927A5"/>
    <w:rsid w:val="00494670"/>
    <w:rsid w:val="004947D4"/>
    <w:rsid w:val="004A01D4"/>
    <w:rsid w:val="004A10C9"/>
    <w:rsid w:val="004A3823"/>
    <w:rsid w:val="004A7F0F"/>
    <w:rsid w:val="004C2CD4"/>
    <w:rsid w:val="004C326C"/>
    <w:rsid w:val="004C69E6"/>
    <w:rsid w:val="004E0893"/>
    <w:rsid w:val="004E6946"/>
    <w:rsid w:val="004F1805"/>
    <w:rsid w:val="004F1AD8"/>
    <w:rsid w:val="00500075"/>
    <w:rsid w:val="005039CB"/>
    <w:rsid w:val="00503D28"/>
    <w:rsid w:val="0050558F"/>
    <w:rsid w:val="00506286"/>
    <w:rsid w:val="00510813"/>
    <w:rsid w:val="00511990"/>
    <w:rsid w:val="00511DE0"/>
    <w:rsid w:val="00514870"/>
    <w:rsid w:val="00514B9B"/>
    <w:rsid w:val="00517F02"/>
    <w:rsid w:val="00524303"/>
    <w:rsid w:val="005258A2"/>
    <w:rsid w:val="005258FE"/>
    <w:rsid w:val="005401AE"/>
    <w:rsid w:val="00542E07"/>
    <w:rsid w:val="00545424"/>
    <w:rsid w:val="0054554A"/>
    <w:rsid w:val="0055278A"/>
    <w:rsid w:val="00554A7B"/>
    <w:rsid w:val="0055572C"/>
    <w:rsid w:val="005602E6"/>
    <w:rsid w:val="0056106A"/>
    <w:rsid w:val="0056431A"/>
    <w:rsid w:val="0056723C"/>
    <w:rsid w:val="005720AE"/>
    <w:rsid w:val="00591004"/>
    <w:rsid w:val="00592025"/>
    <w:rsid w:val="00594D77"/>
    <w:rsid w:val="005969E4"/>
    <w:rsid w:val="005A06B7"/>
    <w:rsid w:val="005A1759"/>
    <w:rsid w:val="005A68A7"/>
    <w:rsid w:val="005B12E6"/>
    <w:rsid w:val="005C0FCC"/>
    <w:rsid w:val="005C2695"/>
    <w:rsid w:val="005D15F0"/>
    <w:rsid w:val="005D36AB"/>
    <w:rsid w:val="00613807"/>
    <w:rsid w:val="006178CF"/>
    <w:rsid w:val="00617CC3"/>
    <w:rsid w:val="006216EB"/>
    <w:rsid w:val="006377A6"/>
    <w:rsid w:val="00637A3D"/>
    <w:rsid w:val="006411EF"/>
    <w:rsid w:val="00667997"/>
    <w:rsid w:val="00672DFA"/>
    <w:rsid w:val="006748B8"/>
    <w:rsid w:val="0067496F"/>
    <w:rsid w:val="00674E23"/>
    <w:rsid w:val="0067667A"/>
    <w:rsid w:val="006775C3"/>
    <w:rsid w:val="0068024E"/>
    <w:rsid w:val="00684071"/>
    <w:rsid w:val="00690F9F"/>
    <w:rsid w:val="006927FF"/>
    <w:rsid w:val="0069290A"/>
    <w:rsid w:val="00693E28"/>
    <w:rsid w:val="0069765A"/>
    <w:rsid w:val="0069775A"/>
    <w:rsid w:val="00697813"/>
    <w:rsid w:val="00697AA0"/>
    <w:rsid w:val="006A3EE8"/>
    <w:rsid w:val="006A6C5B"/>
    <w:rsid w:val="006A72BF"/>
    <w:rsid w:val="006B03F2"/>
    <w:rsid w:val="006B339F"/>
    <w:rsid w:val="006B37DC"/>
    <w:rsid w:val="006B4F68"/>
    <w:rsid w:val="006C0592"/>
    <w:rsid w:val="006C272E"/>
    <w:rsid w:val="006C5479"/>
    <w:rsid w:val="006D13B5"/>
    <w:rsid w:val="006D22DF"/>
    <w:rsid w:val="006E12FF"/>
    <w:rsid w:val="006E367A"/>
    <w:rsid w:val="006E607E"/>
    <w:rsid w:val="006F06D7"/>
    <w:rsid w:val="00701049"/>
    <w:rsid w:val="00706C5D"/>
    <w:rsid w:val="00732922"/>
    <w:rsid w:val="0075162E"/>
    <w:rsid w:val="007517C0"/>
    <w:rsid w:val="00754034"/>
    <w:rsid w:val="007547F9"/>
    <w:rsid w:val="00756556"/>
    <w:rsid w:val="007618C4"/>
    <w:rsid w:val="00767980"/>
    <w:rsid w:val="00770B19"/>
    <w:rsid w:val="0077338A"/>
    <w:rsid w:val="0077453A"/>
    <w:rsid w:val="0077463F"/>
    <w:rsid w:val="00774655"/>
    <w:rsid w:val="00780414"/>
    <w:rsid w:val="007836EA"/>
    <w:rsid w:val="00784CDA"/>
    <w:rsid w:val="007906C4"/>
    <w:rsid w:val="007940EA"/>
    <w:rsid w:val="007956E7"/>
    <w:rsid w:val="007967E8"/>
    <w:rsid w:val="00797326"/>
    <w:rsid w:val="007A2170"/>
    <w:rsid w:val="007A22BF"/>
    <w:rsid w:val="007A253A"/>
    <w:rsid w:val="007A3323"/>
    <w:rsid w:val="007A510D"/>
    <w:rsid w:val="007A6B39"/>
    <w:rsid w:val="007B1759"/>
    <w:rsid w:val="007B4D3A"/>
    <w:rsid w:val="007B72B8"/>
    <w:rsid w:val="007B7A58"/>
    <w:rsid w:val="007C21B5"/>
    <w:rsid w:val="007C27B4"/>
    <w:rsid w:val="007D1DB4"/>
    <w:rsid w:val="007D4384"/>
    <w:rsid w:val="007E4BD2"/>
    <w:rsid w:val="007F6826"/>
    <w:rsid w:val="00801393"/>
    <w:rsid w:val="00801DE6"/>
    <w:rsid w:val="00802F88"/>
    <w:rsid w:val="00803676"/>
    <w:rsid w:val="0081293E"/>
    <w:rsid w:val="00815465"/>
    <w:rsid w:val="00817E9A"/>
    <w:rsid w:val="0082241B"/>
    <w:rsid w:val="00822D11"/>
    <w:rsid w:val="00824D8B"/>
    <w:rsid w:val="00826992"/>
    <w:rsid w:val="0083069F"/>
    <w:rsid w:val="008306BD"/>
    <w:rsid w:val="00831A80"/>
    <w:rsid w:val="00833034"/>
    <w:rsid w:val="00833743"/>
    <w:rsid w:val="008340A4"/>
    <w:rsid w:val="0084542B"/>
    <w:rsid w:val="00862561"/>
    <w:rsid w:val="00862A06"/>
    <w:rsid w:val="00870387"/>
    <w:rsid w:val="0087135F"/>
    <w:rsid w:val="0087270B"/>
    <w:rsid w:val="00872AD9"/>
    <w:rsid w:val="00872D94"/>
    <w:rsid w:val="008800B2"/>
    <w:rsid w:val="00880364"/>
    <w:rsid w:val="00881702"/>
    <w:rsid w:val="00891592"/>
    <w:rsid w:val="00891E9E"/>
    <w:rsid w:val="0089777A"/>
    <w:rsid w:val="008A2F68"/>
    <w:rsid w:val="008A54E9"/>
    <w:rsid w:val="008A650E"/>
    <w:rsid w:val="008B4FA6"/>
    <w:rsid w:val="008B5282"/>
    <w:rsid w:val="008B7C17"/>
    <w:rsid w:val="008C163F"/>
    <w:rsid w:val="008C2067"/>
    <w:rsid w:val="008C2D01"/>
    <w:rsid w:val="008C40E6"/>
    <w:rsid w:val="008C72C4"/>
    <w:rsid w:val="008D0F7A"/>
    <w:rsid w:val="008D5599"/>
    <w:rsid w:val="008D68E4"/>
    <w:rsid w:val="008E0506"/>
    <w:rsid w:val="008E0CFF"/>
    <w:rsid w:val="008E5D6B"/>
    <w:rsid w:val="008E76F0"/>
    <w:rsid w:val="008F15FE"/>
    <w:rsid w:val="008F2D29"/>
    <w:rsid w:val="008F3195"/>
    <w:rsid w:val="008F5187"/>
    <w:rsid w:val="008F60D8"/>
    <w:rsid w:val="008F6EB8"/>
    <w:rsid w:val="00902727"/>
    <w:rsid w:val="0090312B"/>
    <w:rsid w:val="00910467"/>
    <w:rsid w:val="00910A07"/>
    <w:rsid w:val="0091654F"/>
    <w:rsid w:val="00916874"/>
    <w:rsid w:val="0091736D"/>
    <w:rsid w:val="009242D5"/>
    <w:rsid w:val="009264F5"/>
    <w:rsid w:val="0093037A"/>
    <w:rsid w:val="00930790"/>
    <w:rsid w:val="0093663B"/>
    <w:rsid w:val="0094154D"/>
    <w:rsid w:val="0094474C"/>
    <w:rsid w:val="00946E6B"/>
    <w:rsid w:val="0095155F"/>
    <w:rsid w:val="00954429"/>
    <w:rsid w:val="009563CE"/>
    <w:rsid w:val="009712B3"/>
    <w:rsid w:val="00976328"/>
    <w:rsid w:val="0097680D"/>
    <w:rsid w:val="00982438"/>
    <w:rsid w:val="0098404C"/>
    <w:rsid w:val="00984A8D"/>
    <w:rsid w:val="00985283"/>
    <w:rsid w:val="0098727E"/>
    <w:rsid w:val="0099467B"/>
    <w:rsid w:val="00995992"/>
    <w:rsid w:val="009A03E5"/>
    <w:rsid w:val="009A0F3B"/>
    <w:rsid w:val="009A1BB4"/>
    <w:rsid w:val="009A2628"/>
    <w:rsid w:val="009A29BA"/>
    <w:rsid w:val="009A3200"/>
    <w:rsid w:val="009A5D4B"/>
    <w:rsid w:val="009B0897"/>
    <w:rsid w:val="009B364C"/>
    <w:rsid w:val="009B4B9A"/>
    <w:rsid w:val="009B7BD9"/>
    <w:rsid w:val="009C787F"/>
    <w:rsid w:val="009C7DD5"/>
    <w:rsid w:val="009D42BA"/>
    <w:rsid w:val="009D53CB"/>
    <w:rsid w:val="009E1289"/>
    <w:rsid w:val="009E227D"/>
    <w:rsid w:val="009E5019"/>
    <w:rsid w:val="009E7AAA"/>
    <w:rsid w:val="009F313C"/>
    <w:rsid w:val="009F3FD8"/>
    <w:rsid w:val="00A04F1B"/>
    <w:rsid w:val="00A0501B"/>
    <w:rsid w:val="00A11AE7"/>
    <w:rsid w:val="00A11D8A"/>
    <w:rsid w:val="00A124CE"/>
    <w:rsid w:val="00A14947"/>
    <w:rsid w:val="00A15C8E"/>
    <w:rsid w:val="00A243F3"/>
    <w:rsid w:val="00A30BA8"/>
    <w:rsid w:val="00A32A83"/>
    <w:rsid w:val="00A35501"/>
    <w:rsid w:val="00A368DB"/>
    <w:rsid w:val="00A40C49"/>
    <w:rsid w:val="00A423AA"/>
    <w:rsid w:val="00A45CA9"/>
    <w:rsid w:val="00A46024"/>
    <w:rsid w:val="00A468F7"/>
    <w:rsid w:val="00A52137"/>
    <w:rsid w:val="00A532E0"/>
    <w:rsid w:val="00A53EC6"/>
    <w:rsid w:val="00A55C0F"/>
    <w:rsid w:val="00A576B4"/>
    <w:rsid w:val="00A57F7C"/>
    <w:rsid w:val="00A64F59"/>
    <w:rsid w:val="00A674B2"/>
    <w:rsid w:val="00A81DF6"/>
    <w:rsid w:val="00A82BC2"/>
    <w:rsid w:val="00A86C41"/>
    <w:rsid w:val="00A8713F"/>
    <w:rsid w:val="00A90BA1"/>
    <w:rsid w:val="00A91CAD"/>
    <w:rsid w:val="00A9439D"/>
    <w:rsid w:val="00A97A9A"/>
    <w:rsid w:val="00AA0671"/>
    <w:rsid w:val="00AA2531"/>
    <w:rsid w:val="00AA2C15"/>
    <w:rsid w:val="00AA31D4"/>
    <w:rsid w:val="00AB1E09"/>
    <w:rsid w:val="00AB3670"/>
    <w:rsid w:val="00AB4869"/>
    <w:rsid w:val="00AB5330"/>
    <w:rsid w:val="00AB7747"/>
    <w:rsid w:val="00AB7D77"/>
    <w:rsid w:val="00AC14CE"/>
    <w:rsid w:val="00AC2A56"/>
    <w:rsid w:val="00AC5110"/>
    <w:rsid w:val="00AC624D"/>
    <w:rsid w:val="00AD055E"/>
    <w:rsid w:val="00AD3C03"/>
    <w:rsid w:val="00AD4276"/>
    <w:rsid w:val="00AD47A7"/>
    <w:rsid w:val="00AE0309"/>
    <w:rsid w:val="00AF0CBF"/>
    <w:rsid w:val="00AF257F"/>
    <w:rsid w:val="00AF33CF"/>
    <w:rsid w:val="00AF4D50"/>
    <w:rsid w:val="00AF6179"/>
    <w:rsid w:val="00B1295A"/>
    <w:rsid w:val="00B175EC"/>
    <w:rsid w:val="00B20A45"/>
    <w:rsid w:val="00B21D70"/>
    <w:rsid w:val="00B22C5C"/>
    <w:rsid w:val="00B23B75"/>
    <w:rsid w:val="00B24F30"/>
    <w:rsid w:val="00B31ABF"/>
    <w:rsid w:val="00B3278F"/>
    <w:rsid w:val="00B33BE3"/>
    <w:rsid w:val="00B4426A"/>
    <w:rsid w:val="00B53B5D"/>
    <w:rsid w:val="00B6055E"/>
    <w:rsid w:val="00B6317D"/>
    <w:rsid w:val="00B64E2B"/>
    <w:rsid w:val="00B73E2E"/>
    <w:rsid w:val="00B765B9"/>
    <w:rsid w:val="00B7723F"/>
    <w:rsid w:val="00B80534"/>
    <w:rsid w:val="00B8433C"/>
    <w:rsid w:val="00B87491"/>
    <w:rsid w:val="00B940EE"/>
    <w:rsid w:val="00B94F4E"/>
    <w:rsid w:val="00B9723F"/>
    <w:rsid w:val="00BA29E9"/>
    <w:rsid w:val="00BA34EA"/>
    <w:rsid w:val="00BA7142"/>
    <w:rsid w:val="00BB16FF"/>
    <w:rsid w:val="00BB237C"/>
    <w:rsid w:val="00BB41A3"/>
    <w:rsid w:val="00BB5057"/>
    <w:rsid w:val="00BC1459"/>
    <w:rsid w:val="00BC32DC"/>
    <w:rsid w:val="00BC35B6"/>
    <w:rsid w:val="00BC36BB"/>
    <w:rsid w:val="00BC475F"/>
    <w:rsid w:val="00BC729D"/>
    <w:rsid w:val="00BD1335"/>
    <w:rsid w:val="00BD1B51"/>
    <w:rsid w:val="00BD4596"/>
    <w:rsid w:val="00BE1405"/>
    <w:rsid w:val="00BE312D"/>
    <w:rsid w:val="00BF1C20"/>
    <w:rsid w:val="00BF3D2E"/>
    <w:rsid w:val="00BF46EE"/>
    <w:rsid w:val="00BF606C"/>
    <w:rsid w:val="00C0413B"/>
    <w:rsid w:val="00C0436B"/>
    <w:rsid w:val="00C05FA8"/>
    <w:rsid w:val="00C06057"/>
    <w:rsid w:val="00C10578"/>
    <w:rsid w:val="00C135BC"/>
    <w:rsid w:val="00C15361"/>
    <w:rsid w:val="00C15C95"/>
    <w:rsid w:val="00C16BE8"/>
    <w:rsid w:val="00C21696"/>
    <w:rsid w:val="00C22CCD"/>
    <w:rsid w:val="00C2596A"/>
    <w:rsid w:val="00C27537"/>
    <w:rsid w:val="00C30CC4"/>
    <w:rsid w:val="00C30F7F"/>
    <w:rsid w:val="00C3203A"/>
    <w:rsid w:val="00C3283D"/>
    <w:rsid w:val="00C328FE"/>
    <w:rsid w:val="00C33507"/>
    <w:rsid w:val="00C4409D"/>
    <w:rsid w:val="00C44E72"/>
    <w:rsid w:val="00C45A06"/>
    <w:rsid w:val="00C47E5B"/>
    <w:rsid w:val="00C53ECA"/>
    <w:rsid w:val="00C61659"/>
    <w:rsid w:val="00C61E4B"/>
    <w:rsid w:val="00C64BFF"/>
    <w:rsid w:val="00C704E9"/>
    <w:rsid w:val="00C7628A"/>
    <w:rsid w:val="00C763C9"/>
    <w:rsid w:val="00C80057"/>
    <w:rsid w:val="00C82232"/>
    <w:rsid w:val="00C82913"/>
    <w:rsid w:val="00C8295F"/>
    <w:rsid w:val="00C91848"/>
    <w:rsid w:val="00C94DF2"/>
    <w:rsid w:val="00C956F3"/>
    <w:rsid w:val="00C972B1"/>
    <w:rsid w:val="00CA2CCE"/>
    <w:rsid w:val="00CA43FD"/>
    <w:rsid w:val="00CA58D6"/>
    <w:rsid w:val="00CA7EF8"/>
    <w:rsid w:val="00CC0958"/>
    <w:rsid w:val="00CC3C07"/>
    <w:rsid w:val="00CC489B"/>
    <w:rsid w:val="00CC73A2"/>
    <w:rsid w:val="00CD2481"/>
    <w:rsid w:val="00CD2BCD"/>
    <w:rsid w:val="00CD3A4C"/>
    <w:rsid w:val="00CD4B1F"/>
    <w:rsid w:val="00CD4DBA"/>
    <w:rsid w:val="00CE10E9"/>
    <w:rsid w:val="00CE287A"/>
    <w:rsid w:val="00CE2910"/>
    <w:rsid w:val="00CE5393"/>
    <w:rsid w:val="00CF36BE"/>
    <w:rsid w:val="00CF6000"/>
    <w:rsid w:val="00D003F3"/>
    <w:rsid w:val="00D0364F"/>
    <w:rsid w:val="00D06834"/>
    <w:rsid w:val="00D12829"/>
    <w:rsid w:val="00D12AD3"/>
    <w:rsid w:val="00D22923"/>
    <w:rsid w:val="00D23ED6"/>
    <w:rsid w:val="00D308ED"/>
    <w:rsid w:val="00D335C6"/>
    <w:rsid w:val="00D365E2"/>
    <w:rsid w:val="00D36D86"/>
    <w:rsid w:val="00D428AA"/>
    <w:rsid w:val="00D50A34"/>
    <w:rsid w:val="00D538C0"/>
    <w:rsid w:val="00D53EFA"/>
    <w:rsid w:val="00D57D9A"/>
    <w:rsid w:val="00D629ED"/>
    <w:rsid w:val="00D672FD"/>
    <w:rsid w:val="00D87859"/>
    <w:rsid w:val="00D94A7C"/>
    <w:rsid w:val="00D9510E"/>
    <w:rsid w:val="00D95896"/>
    <w:rsid w:val="00DB2983"/>
    <w:rsid w:val="00DB6CBF"/>
    <w:rsid w:val="00DC0225"/>
    <w:rsid w:val="00DC0444"/>
    <w:rsid w:val="00DC1257"/>
    <w:rsid w:val="00DC3DC0"/>
    <w:rsid w:val="00DC5A1B"/>
    <w:rsid w:val="00DC5B2B"/>
    <w:rsid w:val="00DD318D"/>
    <w:rsid w:val="00DE06B7"/>
    <w:rsid w:val="00DE1BB2"/>
    <w:rsid w:val="00DE290D"/>
    <w:rsid w:val="00DF017C"/>
    <w:rsid w:val="00DF0896"/>
    <w:rsid w:val="00DF2E12"/>
    <w:rsid w:val="00DF514A"/>
    <w:rsid w:val="00DF6690"/>
    <w:rsid w:val="00DF6804"/>
    <w:rsid w:val="00E0358D"/>
    <w:rsid w:val="00E04323"/>
    <w:rsid w:val="00E0527D"/>
    <w:rsid w:val="00E060A5"/>
    <w:rsid w:val="00E0665D"/>
    <w:rsid w:val="00E070A2"/>
    <w:rsid w:val="00E14CF2"/>
    <w:rsid w:val="00E216A4"/>
    <w:rsid w:val="00E2656A"/>
    <w:rsid w:val="00E32EC4"/>
    <w:rsid w:val="00E412D0"/>
    <w:rsid w:val="00E41CD7"/>
    <w:rsid w:val="00E4708D"/>
    <w:rsid w:val="00E508E2"/>
    <w:rsid w:val="00E56322"/>
    <w:rsid w:val="00E568B9"/>
    <w:rsid w:val="00E60982"/>
    <w:rsid w:val="00E62C62"/>
    <w:rsid w:val="00E654C1"/>
    <w:rsid w:val="00E65D97"/>
    <w:rsid w:val="00E72A5A"/>
    <w:rsid w:val="00E73354"/>
    <w:rsid w:val="00E9242D"/>
    <w:rsid w:val="00E95386"/>
    <w:rsid w:val="00EA1BE7"/>
    <w:rsid w:val="00EA3B0C"/>
    <w:rsid w:val="00EB24D2"/>
    <w:rsid w:val="00EB5255"/>
    <w:rsid w:val="00EB5C47"/>
    <w:rsid w:val="00EB6DB5"/>
    <w:rsid w:val="00EB6E6A"/>
    <w:rsid w:val="00ED0639"/>
    <w:rsid w:val="00ED20BC"/>
    <w:rsid w:val="00EE20AE"/>
    <w:rsid w:val="00EE2C7E"/>
    <w:rsid w:val="00EE58C2"/>
    <w:rsid w:val="00EF4755"/>
    <w:rsid w:val="00EF6041"/>
    <w:rsid w:val="00EF7135"/>
    <w:rsid w:val="00F027DB"/>
    <w:rsid w:val="00F0522A"/>
    <w:rsid w:val="00F14874"/>
    <w:rsid w:val="00F14A7A"/>
    <w:rsid w:val="00F216A2"/>
    <w:rsid w:val="00F22985"/>
    <w:rsid w:val="00F241DC"/>
    <w:rsid w:val="00F31670"/>
    <w:rsid w:val="00F3383E"/>
    <w:rsid w:val="00F36946"/>
    <w:rsid w:val="00F4220B"/>
    <w:rsid w:val="00F42F31"/>
    <w:rsid w:val="00F448A8"/>
    <w:rsid w:val="00F465A7"/>
    <w:rsid w:val="00F46A44"/>
    <w:rsid w:val="00F477CA"/>
    <w:rsid w:val="00F50B7C"/>
    <w:rsid w:val="00F54998"/>
    <w:rsid w:val="00F550E6"/>
    <w:rsid w:val="00F57307"/>
    <w:rsid w:val="00F60D29"/>
    <w:rsid w:val="00F659B7"/>
    <w:rsid w:val="00F71A26"/>
    <w:rsid w:val="00F74345"/>
    <w:rsid w:val="00F80A0A"/>
    <w:rsid w:val="00F82B19"/>
    <w:rsid w:val="00F83E17"/>
    <w:rsid w:val="00F844DF"/>
    <w:rsid w:val="00F9212D"/>
    <w:rsid w:val="00F925DB"/>
    <w:rsid w:val="00F965DA"/>
    <w:rsid w:val="00F9787D"/>
    <w:rsid w:val="00FA406A"/>
    <w:rsid w:val="00FA54EE"/>
    <w:rsid w:val="00FB17E5"/>
    <w:rsid w:val="00FB27F1"/>
    <w:rsid w:val="00FB503A"/>
    <w:rsid w:val="00FB516C"/>
    <w:rsid w:val="00FD0236"/>
    <w:rsid w:val="00FD0309"/>
    <w:rsid w:val="00FD18F4"/>
    <w:rsid w:val="00FD54DB"/>
    <w:rsid w:val="00FD619F"/>
    <w:rsid w:val="00FE6278"/>
    <w:rsid w:val="00FE6881"/>
    <w:rsid w:val="00FF04A2"/>
    <w:rsid w:val="00FF64D4"/>
    <w:rsid w:val="01290F7E"/>
    <w:rsid w:val="0144646F"/>
    <w:rsid w:val="01556C87"/>
    <w:rsid w:val="015D1E09"/>
    <w:rsid w:val="01890503"/>
    <w:rsid w:val="018E39C1"/>
    <w:rsid w:val="01AD51EF"/>
    <w:rsid w:val="02097D73"/>
    <w:rsid w:val="023C0D74"/>
    <w:rsid w:val="02697903"/>
    <w:rsid w:val="02796752"/>
    <w:rsid w:val="02990F2D"/>
    <w:rsid w:val="029F0C3F"/>
    <w:rsid w:val="02D75BE2"/>
    <w:rsid w:val="02F0387F"/>
    <w:rsid w:val="02F96569"/>
    <w:rsid w:val="033D0455"/>
    <w:rsid w:val="038668A6"/>
    <w:rsid w:val="03EA7B21"/>
    <w:rsid w:val="03EE3B84"/>
    <w:rsid w:val="03F97AF5"/>
    <w:rsid w:val="044F776A"/>
    <w:rsid w:val="046965BC"/>
    <w:rsid w:val="0488537A"/>
    <w:rsid w:val="04976320"/>
    <w:rsid w:val="05815511"/>
    <w:rsid w:val="05E97C02"/>
    <w:rsid w:val="05F83EAE"/>
    <w:rsid w:val="062F4C70"/>
    <w:rsid w:val="063D070F"/>
    <w:rsid w:val="063E7D85"/>
    <w:rsid w:val="065B27D8"/>
    <w:rsid w:val="069D5EBB"/>
    <w:rsid w:val="06C77F3B"/>
    <w:rsid w:val="06CB1E26"/>
    <w:rsid w:val="07293586"/>
    <w:rsid w:val="07295285"/>
    <w:rsid w:val="07636392"/>
    <w:rsid w:val="07770C56"/>
    <w:rsid w:val="077F427C"/>
    <w:rsid w:val="07A42527"/>
    <w:rsid w:val="07AB189B"/>
    <w:rsid w:val="07CB5B92"/>
    <w:rsid w:val="08262A58"/>
    <w:rsid w:val="08394268"/>
    <w:rsid w:val="085B0674"/>
    <w:rsid w:val="087465CB"/>
    <w:rsid w:val="0879075D"/>
    <w:rsid w:val="0885708A"/>
    <w:rsid w:val="08892785"/>
    <w:rsid w:val="088D1BEC"/>
    <w:rsid w:val="08C74640"/>
    <w:rsid w:val="08DD1C62"/>
    <w:rsid w:val="09093D3B"/>
    <w:rsid w:val="091A4893"/>
    <w:rsid w:val="092217DD"/>
    <w:rsid w:val="093A7294"/>
    <w:rsid w:val="09864488"/>
    <w:rsid w:val="09E40182"/>
    <w:rsid w:val="09ED4AF2"/>
    <w:rsid w:val="0A263993"/>
    <w:rsid w:val="0A2D3AC2"/>
    <w:rsid w:val="0A502CC6"/>
    <w:rsid w:val="0AA755DF"/>
    <w:rsid w:val="0AE87AF2"/>
    <w:rsid w:val="0B0B3877"/>
    <w:rsid w:val="0B120D44"/>
    <w:rsid w:val="0B1B0350"/>
    <w:rsid w:val="0B36725A"/>
    <w:rsid w:val="0BCD2632"/>
    <w:rsid w:val="0BD07118"/>
    <w:rsid w:val="0BD27BF6"/>
    <w:rsid w:val="0BF857C7"/>
    <w:rsid w:val="0C1D3D48"/>
    <w:rsid w:val="0C39355C"/>
    <w:rsid w:val="0C3B3C7D"/>
    <w:rsid w:val="0C5B5EEC"/>
    <w:rsid w:val="0C6756FE"/>
    <w:rsid w:val="0C8D493E"/>
    <w:rsid w:val="0CAB2EAE"/>
    <w:rsid w:val="0CE90435"/>
    <w:rsid w:val="0D5F57A4"/>
    <w:rsid w:val="0D621C7D"/>
    <w:rsid w:val="0DA92C4C"/>
    <w:rsid w:val="0DB20E77"/>
    <w:rsid w:val="0DC74CAC"/>
    <w:rsid w:val="0E05622A"/>
    <w:rsid w:val="0E06383A"/>
    <w:rsid w:val="0E73034D"/>
    <w:rsid w:val="0EDE738E"/>
    <w:rsid w:val="0EE5411F"/>
    <w:rsid w:val="0EEB4905"/>
    <w:rsid w:val="0F0F391D"/>
    <w:rsid w:val="0F13775A"/>
    <w:rsid w:val="0F20425A"/>
    <w:rsid w:val="0F4F70B9"/>
    <w:rsid w:val="0F5F45FE"/>
    <w:rsid w:val="0F9A112B"/>
    <w:rsid w:val="0FCA218D"/>
    <w:rsid w:val="100445EF"/>
    <w:rsid w:val="10421A6C"/>
    <w:rsid w:val="10581B22"/>
    <w:rsid w:val="106D2F64"/>
    <w:rsid w:val="10B00BDA"/>
    <w:rsid w:val="10B63710"/>
    <w:rsid w:val="10E0676D"/>
    <w:rsid w:val="10F10820"/>
    <w:rsid w:val="11190825"/>
    <w:rsid w:val="111C2F7A"/>
    <w:rsid w:val="11665CA1"/>
    <w:rsid w:val="1172493C"/>
    <w:rsid w:val="119E1677"/>
    <w:rsid w:val="11BB0A2F"/>
    <w:rsid w:val="12010C62"/>
    <w:rsid w:val="121775BF"/>
    <w:rsid w:val="125F0924"/>
    <w:rsid w:val="130A5F18"/>
    <w:rsid w:val="13504AA8"/>
    <w:rsid w:val="13951726"/>
    <w:rsid w:val="13A23A4A"/>
    <w:rsid w:val="13C948DF"/>
    <w:rsid w:val="141372FA"/>
    <w:rsid w:val="14275C5F"/>
    <w:rsid w:val="142C1E45"/>
    <w:rsid w:val="14342E74"/>
    <w:rsid w:val="14396509"/>
    <w:rsid w:val="146F7241"/>
    <w:rsid w:val="1476726A"/>
    <w:rsid w:val="14855DF6"/>
    <w:rsid w:val="14C94848"/>
    <w:rsid w:val="14CC4237"/>
    <w:rsid w:val="14DD2C3C"/>
    <w:rsid w:val="15487015"/>
    <w:rsid w:val="15920A0E"/>
    <w:rsid w:val="15960707"/>
    <w:rsid w:val="16087E1D"/>
    <w:rsid w:val="16272B54"/>
    <w:rsid w:val="162C170A"/>
    <w:rsid w:val="16362512"/>
    <w:rsid w:val="164A73D4"/>
    <w:rsid w:val="16D464D4"/>
    <w:rsid w:val="17687490"/>
    <w:rsid w:val="17701D14"/>
    <w:rsid w:val="17735226"/>
    <w:rsid w:val="17D55CB9"/>
    <w:rsid w:val="17EE0F74"/>
    <w:rsid w:val="184A294F"/>
    <w:rsid w:val="184F4967"/>
    <w:rsid w:val="188E3583"/>
    <w:rsid w:val="189F624C"/>
    <w:rsid w:val="18A128EA"/>
    <w:rsid w:val="18B94F3A"/>
    <w:rsid w:val="18E02C72"/>
    <w:rsid w:val="18E32D93"/>
    <w:rsid w:val="18EA7389"/>
    <w:rsid w:val="18F85480"/>
    <w:rsid w:val="18FA5544"/>
    <w:rsid w:val="19121562"/>
    <w:rsid w:val="193703AB"/>
    <w:rsid w:val="193D28CC"/>
    <w:rsid w:val="19470CB2"/>
    <w:rsid w:val="19617AB6"/>
    <w:rsid w:val="1987522A"/>
    <w:rsid w:val="198C38C9"/>
    <w:rsid w:val="19B92862"/>
    <w:rsid w:val="19CF4114"/>
    <w:rsid w:val="19E37971"/>
    <w:rsid w:val="19E57C3C"/>
    <w:rsid w:val="19EE3559"/>
    <w:rsid w:val="1A1C66C0"/>
    <w:rsid w:val="1A24493F"/>
    <w:rsid w:val="1A42393B"/>
    <w:rsid w:val="1A4B00F8"/>
    <w:rsid w:val="1A6E3D86"/>
    <w:rsid w:val="1AAD45DE"/>
    <w:rsid w:val="1AE413E4"/>
    <w:rsid w:val="1AEC6ED6"/>
    <w:rsid w:val="1B046F80"/>
    <w:rsid w:val="1B070BC2"/>
    <w:rsid w:val="1B11756E"/>
    <w:rsid w:val="1B271AF7"/>
    <w:rsid w:val="1B282FAA"/>
    <w:rsid w:val="1B2F1023"/>
    <w:rsid w:val="1B3267B5"/>
    <w:rsid w:val="1B40161D"/>
    <w:rsid w:val="1B4148A5"/>
    <w:rsid w:val="1B43778A"/>
    <w:rsid w:val="1B441859"/>
    <w:rsid w:val="1B4E765F"/>
    <w:rsid w:val="1B6606B1"/>
    <w:rsid w:val="1B950CD0"/>
    <w:rsid w:val="1C5E7925"/>
    <w:rsid w:val="1C954930"/>
    <w:rsid w:val="1CA52A7E"/>
    <w:rsid w:val="1CF702F6"/>
    <w:rsid w:val="1CFD070F"/>
    <w:rsid w:val="1D24594A"/>
    <w:rsid w:val="1D5D1FAD"/>
    <w:rsid w:val="1D5F6196"/>
    <w:rsid w:val="1D6132A5"/>
    <w:rsid w:val="1D8E56D5"/>
    <w:rsid w:val="1DA72EB9"/>
    <w:rsid w:val="1DFE4AC7"/>
    <w:rsid w:val="1E0E3278"/>
    <w:rsid w:val="1E1905D7"/>
    <w:rsid w:val="1E7A43DA"/>
    <w:rsid w:val="1E94756D"/>
    <w:rsid w:val="1E984655"/>
    <w:rsid w:val="1EB12898"/>
    <w:rsid w:val="1EDF447D"/>
    <w:rsid w:val="1EDF4B53"/>
    <w:rsid w:val="1F040A9C"/>
    <w:rsid w:val="1F1A2394"/>
    <w:rsid w:val="1F5150CF"/>
    <w:rsid w:val="1F762026"/>
    <w:rsid w:val="1FAF5450"/>
    <w:rsid w:val="1FD34AAD"/>
    <w:rsid w:val="1FDB4495"/>
    <w:rsid w:val="1FE7539E"/>
    <w:rsid w:val="202E3D50"/>
    <w:rsid w:val="20671BE0"/>
    <w:rsid w:val="207833EF"/>
    <w:rsid w:val="20963CB8"/>
    <w:rsid w:val="20A81A1B"/>
    <w:rsid w:val="20B07FB6"/>
    <w:rsid w:val="20B646FB"/>
    <w:rsid w:val="20BB6D17"/>
    <w:rsid w:val="2112429D"/>
    <w:rsid w:val="21165F59"/>
    <w:rsid w:val="213B74B1"/>
    <w:rsid w:val="215A2310"/>
    <w:rsid w:val="216812A3"/>
    <w:rsid w:val="216F3E0A"/>
    <w:rsid w:val="21DC76FB"/>
    <w:rsid w:val="21DE318A"/>
    <w:rsid w:val="21EF5B80"/>
    <w:rsid w:val="222243ED"/>
    <w:rsid w:val="22576990"/>
    <w:rsid w:val="22743F13"/>
    <w:rsid w:val="22F47480"/>
    <w:rsid w:val="22FE0BB1"/>
    <w:rsid w:val="234B5EE6"/>
    <w:rsid w:val="236A0040"/>
    <w:rsid w:val="236A4E31"/>
    <w:rsid w:val="23DB14FB"/>
    <w:rsid w:val="23DE1C48"/>
    <w:rsid w:val="23EF14AC"/>
    <w:rsid w:val="240210CD"/>
    <w:rsid w:val="2404451A"/>
    <w:rsid w:val="24220680"/>
    <w:rsid w:val="247926D8"/>
    <w:rsid w:val="24836F8B"/>
    <w:rsid w:val="24A9730A"/>
    <w:rsid w:val="24BF09F7"/>
    <w:rsid w:val="24C7188B"/>
    <w:rsid w:val="24FD6F93"/>
    <w:rsid w:val="252D53FE"/>
    <w:rsid w:val="25EC2D81"/>
    <w:rsid w:val="25F77F02"/>
    <w:rsid w:val="266955F1"/>
    <w:rsid w:val="26885300"/>
    <w:rsid w:val="270E38A9"/>
    <w:rsid w:val="27190705"/>
    <w:rsid w:val="27301CBE"/>
    <w:rsid w:val="274B657E"/>
    <w:rsid w:val="277057A2"/>
    <w:rsid w:val="27BB388B"/>
    <w:rsid w:val="27E272E9"/>
    <w:rsid w:val="2813600D"/>
    <w:rsid w:val="281C71DF"/>
    <w:rsid w:val="283E0502"/>
    <w:rsid w:val="28EF0462"/>
    <w:rsid w:val="291F4C7D"/>
    <w:rsid w:val="29206EB8"/>
    <w:rsid w:val="292B375A"/>
    <w:rsid w:val="29595666"/>
    <w:rsid w:val="29874881"/>
    <w:rsid w:val="29A13322"/>
    <w:rsid w:val="29E325E0"/>
    <w:rsid w:val="29E566BE"/>
    <w:rsid w:val="2A452503"/>
    <w:rsid w:val="2A9631CE"/>
    <w:rsid w:val="2AC65675"/>
    <w:rsid w:val="2ACB6DF0"/>
    <w:rsid w:val="2B514D66"/>
    <w:rsid w:val="2BA936A8"/>
    <w:rsid w:val="2BFE70AC"/>
    <w:rsid w:val="2C1316B1"/>
    <w:rsid w:val="2C194E03"/>
    <w:rsid w:val="2C315A5A"/>
    <w:rsid w:val="2C403070"/>
    <w:rsid w:val="2C4B1C25"/>
    <w:rsid w:val="2C620B98"/>
    <w:rsid w:val="2C6F3390"/>
    <w:rsid w:val="2C775C21"/>
    <w:rsid w:val="2C7D70B0"/>
    <w:rsid w:val="2C87340F"/>
    <w:rsid w:val="2D1D1F5E"/>
    <w:rsid w:val="2D443896"/>
    <w:rsid w:val="2D94141F"/>
    <w:rsid w:val="2D9E56F5"/>
    <w:rsid w:val="2DBF225A"/>
    <w:rsid w:val="2DE603A2"/>
    <w:rsid w:val="2E667F96"/>
    <w:rsid w:val="2E6E6CBB"/>
    <w:rsid w:val="2E7646C4"/>
    <w:rsid w:val="2E815727"/>
    <w:rsid w:val="2E8226AB"/>
    <w:rsid w:val="2EC06EDA"/>
    <w:rsid w:val="2ECF28E2"/>
    <w:rsid w:val="2ED14A85"/>
    <w:rsid w:val="2EE569A6"/>
    <w:rsid w:val="2F01350B"/>
    <w:rsid w:val="2F4C1F70"/>
    <w:rsid w:val="2FA2713A"/>
    <w:rsid w:val="2FD065E6"/>
    <w:rsid w:val="2FD252A8"/>
    <w:rsid w:val="2FD96870"/>
    <w:rsid w:val="30012821"/>
    <w:rsid w:val="30580BC9"/>
    <w:rsid w:val="30EB6378"/>
    <w:rsid w:val="311E2ED7"/>
    <w:rsid w:val="312946B5"/>
    <w:rsid w:val="31457432"/>
    <w:rsid w:val="315619EE"/>
    <w:rsid w:val="315C449C"/>
    <w:rsid w:val="315D7742"/>
    <w:rsid w:val="319670B6"/>
    <w:rsid w:val="31A438EB"/>
    <w:rsid w:val="31B82709"/>
    <w:rsid w:val="31BF59D9"/>
    <w:rsid w:val="31D05482"/>
    <w:rsid w:val="32256938"/>
    <w:rsid w:val="32400B34"/>
    <w:rsid w:val="32762FFC"/>
    <w:rsid w:val="32926C96"/>
    <w:rsid w:val="32986648"/>
    <w:rsid w:val="329E6876"/>
    <w:rsid w:val="32A61050"/>
    <w:rsid w:val="32AE42C4"/>
    <w:rsid w:val="32E90CAD"/>
    <w:rsid w:val="330A0802"/>
    <w:rsid w:val="333015F2"/>
    <w:rsid w:val="333B1B56"/>
    <w:rsid w:val="334B6320"/>
    <w:rsid w:val="33544A5F"/>
    <w:rsid w:val="33611D60"/>
    <w:rsid w:val="33D934D4"/>
    <w:rsid w:val="33FE2F6A"/>
    <w:rsid w:val="340D2387"/>
    <w:rsid w:val="340E07E5"/>
    <w:rsid w:val="34116789"/>
    <w:rsid w:val="341629DC"/>
    <w:rsid w:val="34235BF7"/>
    <w:rsid w:val="34354E78"/>
    <w:rsid w:val="3440188F"/>
    <w:rsid w:val="349D3A41"/>
    <w:rsid w:val="34C61DAD"/>
    <w:rsid w:val="351044D7"/>
    <w:rsid w:val="352E5B46"/>
    <w:rsid w:val="35394339"/>
    <w:rsid w:val="35781610"/>
    <w:rsid w:val="358C5FA8"/>
    <w:rsid w:val="35C15DF1"/>
    <w:rsid w:val="36074A7F"/>
    <w:rsid w:val="361853CF"/>
    <w:rsid w:val="36923549"/>
    <w:rsid w:val="36B75FBF"/>
    <w:rsid w:val="36BD0C45"/>
    <w:rsid w:val="3700004D"/>
    <w:rsid w:val="371F1419"/>
    <w:rsid w:val="376218B2"/>
    <w:rsid w:val="378522C6"/>
    <w:rsid w:val="378D1CF2"/>
    <w:rsid w:val="379E7F96"/>
    <w:rsid w:val="37D4505D"/>
    <w:rsid w:val="37E00298"/>
    <w:rsid w:val="37E8355B"/>
    <w:rsid w:val="384A1D52"/>
    <w:rsid w:val="38B302F9"/>
    <w:rsid w:val="38C13B4B"/>
    <w:rsid w:val="38D816EF"/>
    <w:rsid w:val="38EC004F"/>
    <w:rsid w:val="38F12CD3"/>
    <w:rsid w:val="38F94775"/>
    <w:rsid w:val="392971ED"/>
    <w:rsid w:val="39325651"/>
    <w:rsid w:val="39822C77"/>
    <w:rsid w:val="3A641AFE"/>
    <w:rsid w:val="3A872856"/>
    <w:rsid w:val="3ABB1447"/>
    <w:rsid w:val="3AF0370C"/>
    <w:rsid w:val="3AFB1756"/>
    <w:rsid w:val="3B29601D"/>
    <w:rsid w:val="3B2A16DA"/>
    <w:rsid w:val="3B3763D1"/>
    <w:rsid w:val="3B407E15"/>
    <w:rsid w:val="3B565316"/>
    <w:rsid w:val="3BFA71D9"/>
    <w:rsid w:val="3BFC0835"/>
    <w:rsid w:val="3C053DEC"/>
    <w:rsid w:val="3C0635D5"/>
    <w:rsid w:val="3C2F6E1E"/>
    <w:rsid w:val="3C4F64BA"/>
    <w:rsid w:val="3C677FD2"/>
    <w:rsid w:val="3C707B3E"/>
    <w:rsid w:val="3CDA245A"/>
    <w:rsid w:val="3CDC59A4"/>
    <w:rsid w:val="3CE733F6"/>
    <w:rsid w:val="3D1E06B7"/>
    <w:rsid w:val="3D314C4A"/>
    <w:rsid w:val="3D942D5F"/>
    <w:rsid w:val="3DAF26AF"/>
    <w:rsid w:val="3DC46529"/>
    <w:rsid w:val="3E5D1F36"/>
    <w:rsid w:val="3EDA0523"/>
    <w:rsid w:val="3F024ECF"/>
    <w:rsid w:val="3FB220E2"/>
    <w:rsid w:val="3FC26CB0"/>
    <w:rsid w:val="40011222"/>
    <w:rsid w:val="400B60D3"/>
    <w:rsid w:val="40113426"/>
    <w:rsid w:val="40172731"/>
    <w:rsid w:val="405525A5"/>
    <w:rsid w:val="40601969"/>
    <w:rsid w:val="407A6407"/>
    <w:rsid w:val="40DF4951"/>
    <w:rsid w:val="4101202D"/>
    <w:rsid w:val="418E691C"/>
    <w:rsid w:val="41A25E09"/>
    <w:rsid w:val="4200449D"/>
    <w:rsid w:val="42281916"/>
    <w:rsid w:val="422B3184"/>
    <w:rsid w:val="423A3BCC"/>
    <w:rsid w:val="424E57D2"/>
    <w:rsid w:val="42A166E3"/>
    <w:rsid w:val="42B26C49"/>
    <w:rsid w:val="42D34960"/>
    <w:rsid w:val="430A12BB"/>
    <w:rsid w:val="4313582C"/>
    <w:rsid w:val="43327179"/>
    <w:rsid w:val="433A6FE6"/>
    <w:rsid w:val="43480868"/>
    <w:rsid w:val="4350713C"/>
    <w:rsid w:val="43553EFD"/>
    <w:rsid w:val="4365788E"/>
    <w:rsid w:val="436653E0"/>
    <w:rsid w:val="43A57452"/>
    <w:rsid w:val="43C4431A"/>
    <w:rsid w:val="43D27098"/>
    <w:rsid w:val="448801F4"/>
    <w:rsid w:val="449A2C44"/>
    <w:rsid w:val="449A7229"/>
    <w:rsid w:val="44B951CC"/>
    <w:rsid w:val="44CD14E0"/>
    <w:rsid w:val="44F20B0B"/>
    <w:rsid w:val="44FE0847"/>
    <w:rsid w:val="452E5F4C"/>
    <w:rsid w:val="453C193C"/>
    <w:rsid w:val="45612018"/>
    <w:rsid w:val="456F5F4E"/>
    <w:rsid w:val="458946E9"/>
    <w:rsid w:val="45955050"/>
    <w:rsid w:val="45A47C0E"/>
    <w:rsid w:val="45AB36C7"/>
    <w:rsid w:val="463B7D95"/>
    <w:rsid w:val="46577FD6"/>
    <w:rsid w:val="466A1202"/>
    <w:rsid w:val="466A3547"/>
    <w:rsid w:val="46C71579"/>
    <w:rsid w:val="46D955A7"/>
    <w:rsid w:val="47133957"/>
    <w:rsid w:val="47197E2A"/>
    <w:rsid w:val="475B48E7"/>
    <w:rsid w:val="47A07E0C"/>
    <w:rsid w:val="47CA5BC4"/>
    <w:rsid w:val="47CF498A"/>
    <w:rsid w:val="47E63F04"/>
    <w:rsid w:val="47F07974"/>
    <w:rsid w:val="48445C81"/>
    <w:rsid w:val="485A3107"/>
    <w:rsid w:val="486B1A7A"/>
    <w:rsid w:val="4870272E"/>
    <w:rsid w:val="48C616B6"/>
    <w:rsid w:val="48CC5568"/>
    <w:rsid w:val="48DE50D2"/>
    <w:rsid w:val="495824D6"/>
    <w:rsid w:val="4988305D"/>
    <w:rsid w:val="49CA58C3"/>
    <w:rsid w:val="49DC7715"/>
    <w:rsid w:val="4A023139"/>
    <w:rsid w:val="4A024BDC"/>
    <w:rsid w:val="4A60538D"/>
    <w:rsid w:val="4A7B576F"/>
    <w:rsid w:val="4AF561A9"/>
    <w:rsid w:val="4B2034DA"/>
    <w:rsid w:val="4B3D02F5"/>
    <w:rsid w:val="4C186C22"/>
    <w:rsid w:val="4C2045CE"/>
    <w:rsid w:val="4C2116FA"/>
    <w:rsid w:val="4C4A0649"/>
    <w:rsid w:val="4C797CD4"/>
    <w:rsid w:val="4C7E5ECA"/>
    <w:rsid w:val="4C876AA5"/>
    <w:rsid w:val="4CB91F37"/>
    <w:rsid w:val="4CE22EC5"/>
    <w:rsid w:val="4D0E00FB"/>
    <w:rsid w:val="4D176606"/>
    <w:rsid w:val="4D81429F"/>
    <w:rsid w:val="4DA6339A"/>
    <w:rsid w:val="4DEC4FB0"/>
    <w:rsid w:val="4E002A15"/>
    <w:rsid w:val="4E075D8A"/>
    <w:rsid w:val="4E275D62"/>
    <w:rsid w:val="4E307AE8"/>
    <w:rsid w:val="4E621349"/>
    <w:rsid w:val="4EAF4089"/>
    <w:rsid w:val="4EC00FAD"/>
    <w:rsid w:val="4ECD2B12"/>
    <w:rsid w:val="4ED30EC7"/>
    <w:rsid w:val="4EDC536C"/>
    <w:rsid w:val="4EDF541C"/>
    <w:rsid w:val="4F070FD5"/>
    <w:rsid w:val="4F156E8D"/>
    <w:rsid w:val="4F7B2534"/>
    <w:rsid w:val="4F9843DC"/>
    <w:rsid w:val="4FA12E8D"/>
    <w:rsid w:val="4FC62A8C"/>
    <w:rsid w:val="4FD07250"/>
    <w:rsid w:val="4FE20F0D"/>
    <w:rsid w:val="4FE51552"/>
    <w:rsid w:val="503419BD"/>
    <w:rsid w:val="50504C4B"/>
    <w:rsid w:val="509C6E7C"/>
    <w:rsid w:val="509F49DC"/>
    <w:rsid w:val="50DB4711"/>
    <w:rsid w:val="50ED082B"/>
    <w:rsid w:val="50F638CE"/>
    <w:rsid w:val="5115493D"/>
    <w:rsid w:val="5162104E"/>
    <w:rsid w:val="517F7316"/>
    <w:rsid w:val="51861D06"/>
    <w:rsid w:val="519F5147"/>
    <w:rsid w:val="51C55CE2"/>
    <w:rsid w:val="51E04D0E"/>
    <w:rsid w:val="520B6E81"/>
    <w:rsid w:val="52183E73"/>
    <w:rsid w:val="521B326C"/>
    <w:rsid w:val="5269464F"/>
    <w:rsid w:val="52F0782E"/>
    <w:rsid w:val="52F35F45"/>
    <w:rsid w:val="530F1D81"/>
    <w:rsid w:val="53491651"/>
    <w:rsid w:val="53913B94"/>
    <w:rsid w:val="53A039CC"/>
    <w:rsid w:val="53A1505A"/>
    <w:rsid w:val="54063E08"/>
    <w:rsid w:val="54115C3F"/>
    <w:rsid w:val="541D3AE1"/>
    <w:rsid w:val="543437E8"/>
    <w:rsid w:val="54362EC9"/>
    <w:rsid w:val="545D60DA"/>
    <w:rsid w:val="5493323A"/>
    <w:rsid w:val="54B0611C"/>
    <w:rsid w:val="54B357BD"/>
    <w:rsid w:val="54F73313"/>
    <w:rsid w:val="54F80955"/>
    <w:rsid w:val="55014BE6"/>
    <w:rsid w:val="5508189D"/>
    <w:rsid w:val="553B59DD"/>
    <w:rsid w:val="55431ECC"/>
    <w:rsid w:val="555170A7"/>
    <w:rsid w:val="5587536D"/>
    <w:rsid w:val="559B174B"/>
    <w:rsid w:val="55B06606"/>
    <w:rsid w:val="55B4733C"/>
    <w:rsid w:val="55B82404"/>
    <w:rsid w:val="55CE0CF4"/>
    <w:rsid w:val="562B193E"/>
    <w:rsid w:val="569404CC"/>
    <w:rsid w:val="56B22A9C"/>
    <w:rsid w:val="56C062D2"/>
    <w:rsid w:val="577D6BC0"/>
    <w:rsid w:val="578467C0"/>
    <w:rsid w:val="579C5447"/>
    <w:rsid w:val="57B72A76"/>
    <w:rsid w:val="57BC7B9F"/>
    <w:rsid w:val="57C3426C"/>
    <w:rsid w:val="57CE1F93"/>
    <w:rsid w:val="57FE2642"/>
    <w:rsid w:val="581B0D4D"/>
    <w:rsid w:val="588743D1"/>
    <w:rsid w:val="5887701A"/>
    <w:rsid w:val="58930412"/>
    <w:rsid w:val="58FA7CF7"/>
    <w:rsid w:val="5962116A"/>
    <w:rsid w:val="59694382"/>
    <w:rsid w:val="59C0439F"/>
    <w:rsid w:val="59E170F9"/>
    <w:rsid w:val="59EE637C"/>
    <w:rsid w:val="5A0569EC"/>
    <w:rsid w:val="5A22173D"/>
    <w:rsid w:val="5A8E4F2E"/>
    <w:rsid w:val="5AA622BF"/>
    <w:rsid w:val="5AB770BA"/>
    <w:rsid w:val="5ABE2233"/>
    <w:rsid w:val="5ABE45A2"/>
    <w:rsid w:val="5B0A214F"/>
    <w:rsid w:val="5B412855"/>
    <w:rsid w:val="5B532459"/>
    <w:rsid w:val="5B7E1333"/>
    <w:rsid w:val="5BDF5D95"/>
    <w:rsid w:val="5BE35B4D"/>
    <w:rsid w:val="5BFE7528"/>
    <w:rsid w:val="5C0C67D8"/>
    <w:rsid w:val="5C1B3E7F"/>
    <w:rsid w:val="5C367546"/>
    <w:rsid w:val="5C4A63D6"/>
    <w:rsid w:val="5C59437B"/>
    <w:rsid w:val="5D4E448F"/>
    <w:rsid w:val="5DD402E3"/>
    <w:rsid w:val="5DD53F0D"/>
    <w:rsid w:val="5E1A65C9"/>
    <w:rsid w:val="5E23145B"/>
    <w:rsid w:val="5E2467F1"/>
    <w:rsid w:val="5EB45186"/>
    <w:rsid w:val="5ED32616"/>
    <w:rsid w:val="5F1A2B43"/>
    <w:rsid w:val="5F300AFB"/>
    <w:rsid w:val="5F733AB2"/>
    <w:rsid w:val="5F873E09"/>
    <w:rsid w:val="5FB837BB"/>
    <w:rsid w:val="5FBC33ED"/>
    <w:rsid w:val="5FE5067E"/>
    <w:rsid w:val="5FFF2AA2"/>
    <w:rsid w:val="60363F88"/>
    <w:rsid w:val="607D0176"/>
    <w:rsid w:val="609F1099"/>
    <w:rsid w:val="60CC405A"/>
    <w:rsid w:val="61280557"/>
    <w:rsid w:val="61D30BFE"/>
    <w:rsid w:val="61E215D8"/>
    <w:rsid w:val="621B3775"/>
    <w:rsid w:val="621E6123"/>
    <w:rsid w:val="62364782"/>
    <w:rsid w:val="623D44B3"/>
    <w:rsid w:val="623E2642"/>
    <w:rsid w:val="62C2571F"/>
    <w:rsid w:val="62C50CEC"/>
    <w:rsid w:val="62C71FE3"/>
    <w:rsid w:val="630B58A0"/>
    <w:rsid w:val="63176370"/>
    <w:rsid w:val="63412143"/>
    <w:rsid w:val="637D7A96"/>
    <w:rsid w:val="63924488"/>
    <w:rsid w:val="6394356A"/>
    <w:rsid w:val="63A55DF9"/>
    <w:rsid w:val="63C02946"/>
    <w:rsid w:val="63C61B2C"/>
    <w:rsid w:val="63D40BE9"/>
    <w:rsid w:val="63F51D29"/>
    <w:rsid w:val="63F52F21"/>
    <w:rsid w:val="64102431"/>
    <w:rsid w:val="64407E9B"/>
    <w:rsid w:val="645667E8"/>
    <w:rsid w:val="649E4C52"/>
    <w:rsid w:val="64A5243A"/>
    <w:rsid w:val="64F531DE"/>
    <w:rsid w:val="65243CC6"/>
    <w:rsid w:val="65373578"/>
    <w:rsid w:val="65411C0E"/>
    <w:rsid w:val="65595851"/>
    <w:rsid w:val="65596C97"/>
    <w:rsid w:val="655E4A93"/>
    <w:rsid w:val="657C5102"/>
    <w:rsid w:val="658D7355"/>
    <w:rsid w:val="65A803D5"/>
    <w:rsid w:val="65F55A7B"/>
    <w:rsid w:val="667E122A"/>
    <w:rsid w:val="66D86336"/>
    <w:rsid w:val="670B2E2D"/>
    <w:rsid w:val="671F124A"/>
    <w:rsid w:val="67563041"/>
    <w:rsid w:val="677A33C6"/>
    <w:rsid w:val="677D24C8"/>
    <w:rsid w:val="679D2567"/>
    <w:rsid w:val="67BB172E"/>
    <w:rsid w:val="67FE3634"/>
    <w:rsid w:val="680B1995"/>
    <w:rsid w:val="681F6961"/>
    <w:rsid w:val="68610A2F"/>
    <w:rsid w:val="68724017"/>
    <w:rsid w:val="688021E3"/>
    <w:rsid w:val="68805514"/>
    <w:rsid w:val="689243F3"/>
    <w:rsid w:val="689838EA"/>
    <w:rsid w:val="68A30A18"/>
    <w:rsid w:val="68B764ED"/>
    <w:rsid w:val="68DE5C6D"/>
    <w:rsid w:val="68E23EBE"/>
    <w:rsid w:val="69261AEE"/>
    <w:rsid w:val="69316E2F"/>
    <w:rsid w:val="694E2071"/>
    <w:rsid w:val="69747710"/>
    <w:rsid w:val="69766163"/>
    <w:rsid w:val="69797A16"/>
    <w:rsid w:val="697A3B33"/>
    <w:rsid w:val="698C441D"/>
    <w:rsid w:val="69A07A56"/>
    <w:rsid w:val="69D44760"/>
    <w:rsid w:val="6A2061EB"/>
    <w:rsid w:val="6A343A53"/>
    <w:rsid w:val="6A520EC7"/>
    <w:rsid w:val="6A52312A"/>
    <w:rsid w:val="6AF87E20"/>
    <w:rsid w:val="6B322639"/>
    <w:rsid w:val="6B8F4A7B"/>
    <w:rsid w:val="6BBB5CAF"/>
    <w:rsid w:val="6C2F4B62"/>
    <w:rsid w:val="6C383D04"/>
    <w:rsid w:val="6C636C38"/>
    <w:rsid w:val="6C80615E"/>
    <w:rsid w:val="6C8F3264"/>
    <w:rsid w:val="6CA9163E"/>
    <w:rsid w:val="6CBA305C"/>
    <w:rsid w:val="6CE77B48"/>
    <w:rsid w:val="6D131FFF"/>
    <w:rsid w:val="6D280DA5"/>
    <w:rsid w:val="6DB34098"/>
    <w:rsid w:val="6DB545B6"/>
    <w:rsid w:val="6DBB00B1"/>
    <w:rsid w:val="6DBF7612"/>
    <w:rsid w:val="6DE02FB4"/>
    <w:rsid w:val="6DE15490"/>
    <w:rsid w:val="6E2026D5"/>
    <w:rsid w:val="6E514CED"/>
    <w:rsid w:val="6EB563D5"/>
    <w:rsid w:val="6ED92677"/>
    <w:rsid w:val="6F225983"/>
    <w:rsid w:val="6F4A2B42"/>
    <w:rsid w:val="6F981801"/>
    <w:rsid w:val="6FC6134C"/>
    <w:rsid w:val="6FC829DE"/>
    <w:rsid w:val="6FFC5590"/>
    <w:rsid w:val="706D1DD0"/>
    <w:rsid w:val="70856B87"/>
    <w:rsid w:val="70D527EE"/>
    <w:rsid w:val="70FA0726"/>
    <w:rsid w:val="710260F9"/>
    <w:rsid w:val="71126777"/>
    <w:rsid w:val="715B5300"/>
    <w:rsid w:val="715F498C"/>
    <w:rsid w:val="71A1231F"/>
    <w:rsid w:val="71A70907"/>
    <w:rsid w:val="71AF4825"/>
    <w:rsid w:val="71BD2AB8"/>
    <w:rsid w:val="71C82C3E"/>
    <w:rsid w:val="71D27F8A"/>
    <w:rsid w:val="72553024"/>
    <w:rsid w:val="72BA0530"/>
    <w:rsid w:val="72DB7073"/>
    <w:rsid w:val="73122968"/>
    <w:rsid w:val="73154F97"/>
    <w:rsid w:val="731F5D5E"/>
    <w:rsid w:val="73804818"/>
    <w:rsid w:val="73A50094"/>
    <w:rsid w:val="73C51AD5"/>
    <w:rsid w:val="740875A3"/>
    <w:rsid w:val="74185330"/>
    <w:rsid w:val="741E793C"/>
    <w:rsid w:val="7432150C"/>
    <w:rsid w:val="745E3944"/>
    <w:rsid w:val="74787281"/>
    <w:rsid w:val="74A206DC"/>
    <w:rsid w:val="74D803D1"/>
    <w:rsid w:val="75020396"/>
    <w:rsid w:val="75580D51"/>
    <w:rsid w:val="75903A3F"/>
    <w:rsid w:val="75FA081B"/>
    <w:rsid w:val="75FC2503"/>
    <w:rsid w:val="760C368C"/>
    <w:rsid w:val="761611E9"/>
    <w:rsid w:val="7635099D"/>
    <w:rsid w:val="76B007C7"/>
    <w:rsid w:val="76BD6F04"/>
    <w:rsid w:val="76DC1C72"/>
    <w:rsid w:val="776108A7"/>
    <w:rsid w:val="77762421"/>
    <w:rsid w:val="779677B1"/>
    <w:rsid w:val="77B56B1F"/>
    <w:rsid w:val="77EE169A"/>
    <w:rsid w:val="780F09F4"/>
    <w:rsid w:val="783E2857"/>
    <w:rsid w:val="784C59CD"/>
    <w:rsid w:val="78A90480"/>
    <w:rsid w:val="78ED5F92"/>
    <w:rsid w:val="79315448"/>
    <w:rsid w:val="79411B28"/>
    <w:rsid w:val="79C1647E"/>
    <w:rsid w:val="7A1B3600"/>
    <w:rsid w:val="7A364017"/>
    <w:rsid w:val="7A3C0E66"/>
    <w:rsid w:val="7A44428C"/>
    <w:rsid w:val="7A8265E1"/>
    <w:rsid w:val="7A835DEB"/>
    <w:rsid w:val="7A992CF5"/>
    <w:rsid w:val="7ACA529A"/>
    <w:rsid w:val="7AEE59D4"/>
    <w:rsid w:val="7AFC6836"/>
    <w:rsid w:val="7B301B2A"/>
    <w:rsid w:val="7B433C3F"/>
    <w:rsid w:val="7B5F0185"/>
    <w:rsid w:val="7B60160D"/>
    <w:rsid w:val="7B686D42"/>
    <w:rsid w:val="7B841746"/>
    <w:rsid w:val="7C6C5AC7"/>
    <w:rsid w:val="7CB74366"/>
    <w:rsid w:val="7CC6544B"/>
    <w:rsid w:val="7CC93B6C"/>
    <w:rsid w:val="7D0239FF"/>
    <w:rsid w:val="7D154945"/>
    <w:rsid w:val="7D1B6BB6"/>
    <w:rsid w:val="7D5E40CD"/>
    <w:rsid w:val="7DB76FBB"/>
    <w:rsid w:val="7DC9633D"/>
    <w:rsid w:val="7DCD56F2"/>
    <w:rsid w:val="7E012947"/>
    <w:rsid w:val="7E5B50B3"/>
    <w:rsid w:val="7EBB481D"/>
    <w:rsid w:val="7ECF58BB"/>
    <w:rsid w:val="7F001CE7"/>
    <w:rsid w:val="7F32401E"/>
    <w:rsid w:val="7F5D2EB9"/>
    <w:rsid w:val="7FE47E50"/>
    <w:rsid w:val="7FEE52AE"/>
    <w:rsid w:val="7FFE2E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name="heading 2" w:locked="1"/>
    <w:lsdException w:qFormat="1" w:uiPriority="0" w:name="heading 3" w:locked="1"/>
    <w:lsdException w:qFormat="1" w:unhideWhenUsed="0" w:uiPriority="1"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qFormat="1" w:uiPriority="99" w:semiHidden="0" w:name="toa heading" w:locked="1"/>
    <w:lsdException w:qFormat="1" w:unhideWhenUsed="0" w:uiPriority="99" w:semiHidden="0" w:name="List" w:locked="1"/>
    <w:lsdException w:unhideWhenUsed="0" w:uiPriority="0" w:semiHidden="0" w:name="List Bullet" w:locked="1"/>
    <w:lsdException w:unhideWhenUsed="0" w:uiPriority="0" w:semiHidden="0" w:name="List Number" w:locked="1"/>
    <w:lsdException w:qFormat="1"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qFormat="1" w:uiPriority="0" w:semiHidden="0" w:name="Body Text 3" w:locked="1"/>
    <w:lsdException w:qFormat="1" w:unhideWhenUsed="0" w:uiPriority="99"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3"/>
    <w:basedOn w:val="1"/>
    <w:next w:val="1"/>
    <w:semiHidden/>
    <w:unhideWhenUsed/>
    <w:qFormat/>
    <w:locked/>
    <w:uiPriority w:val="0"/>
    <w:pPr>
      <w:spacing w:beforeAutospacing="1" w:afterAutospacing="1"/>
      <w:jc w:val="left"/>
      <w:outlineLvl w:val="2"/>
    </w:pPr>
    <w:rPr>
      <w:rFonts w:hint="eastAsia" w:ascii="宋体" w:hAnsi="宋体"/>
      <w:b/>
      <w:bCs/>
      <w:kern w:val="0"/>
      <w:sz w:val="27"/>
      <w:szCs w:val="27"/>
    </w:rPr>
  </w:style>
  <w:style w:type="paragraph" w:styleId="4">
    <w:name w:val="heading 4"/>
    <w:basedOn w:val="1"/>
    <w:next w:val="1"/>
    <w:qFormat/>
    <w:locked/>
    <w:uiPriority w:val="1"/>
    <w:pPr>
      <w:keepNext/>
      <w:keepLines/>
      <w:adjustRightInd w:val="0"/>
      <w:snapToGrid w:val="0"/>
      <w:spacing w:line="500" w:lineRule="exact"/>
      <w:outlineLvl w:val="3"/>
    </w:pPr>
    <w:rPr>
      <w:rFonts w:ascii="Arial" w:hAnsi="Arial"/>
      <w:szCs w:val="20"/>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qFormat/>
    <w:locked/>
    <w:uiPriority w:val="0"/>
    <w:pPr>
      <w:ind w:firstLine="420" w:firstLineChars="200"/>
    </w:pPr>
    <w:rPr>
      <w:sz w:val="21"/>
    </w:rPr>
  </w:style>
  <w:style w:type="paragraph" w:customStyle="1" w:styleId="6">
    <w:name w:val="报告正文"/>
    <w:basedOn w:val="1"/>
    <w:next w:val="1"/>
    <w:qFormat/>
    <w:uiPriority w:val="99"/>
    <w:pPr>
      <w:tabs>
        <w:tab w:val="left" w:pos="540"/>
        <w:tab w:val="left" w:pos="851"/>
        <w:tab w:val="left" w:pos="994"/>
        <w:tab w:val="left" w:pos="1260"/>
        <w:tab w:val="left" w:pos="3108"/>
        <w:tab w:val="left" w:pos="3150"/>
      </w:tabs>
      <w:ind w:firstLine="536"/>
    </w:pPr>
    <w:rPr>
      <w:snapToGrid w:val="0"/>
      <w:spacing w:val="14"/>
      <w:szCs w:val="20"/>
    </w:rPr>
  </w:style>
  <w:style w:type="paragraph" w:styleId="7">
    <w:name w:val="Document Map"/>
    <w:basedOn w:val="1"/>
    <w:link w:val="38"/>
    <w:qFormat/>
    <w:locked/>
    <w:uiPriority w:val="0"/>
    <w:rPr>
      <w:rFonts w:ascii="宋体"/>
      <w:sz w:val="18"/>
      <w:szCs w:val="18"/>
    </w:rPr>
  </w:style>
  <w:style w:type="paragraph" w:styleId="8">
    <w:name w:val="toa heading"/>
    <w:basedOn w:val="1"/>
    <w:next w:val="1"/>
    <w:unhideWhenUsed/>
    <w:qFormat/>
    <w:locked/>
    <w:uiPriority w:val="99"/>
    <w:pPr>
      <w:spacing w:before="120"/>
    </w:pPr>
    <w:rPr>
      <w:rFonts w:ascii="Arial" w:hAnsi="Arial" w:cs="Arial"/>
    </w:rPr>
  </w:style>
  <w:style w:type="paragraph" w:styleId="9">
    <w:name w:val="annotation text"/>
    <w:basedOn w:val="1"/>
    <w:link w:val="39"/>
    <w:semiHidden/>
    <w:qFormat/>
    <w:uiPriority w:val="0"/>
    <w:pPr>
      <w:jc w:val="left"/>
    </w:pPr>
    <w:rPr>
      <w:kern w:val="0"/>
      <w:szCs w:val="20"/>
    </w:rPr>
  </w:style>
  <w:style w:type="paragraph" w:styleId="10">
    <w:name w:val="Body Text 3"/>
    <w:basedOn w:val="1"/>
    <w:unhideWhenUsed/>
    <w:qFormat/>
    <w:locked/>
    <w:uiPriority w:val="0"/>
    <w:pPr>
      <w:ind w:firstLine="200" w:firstLineChars="200"/>
      <w:jc w:val="center"/>
    </w:pPr>
    <w:rPr>
      <w:rFonts w:eastAsia="黑体"/>
      <w:szCs w:val="20"/>
    </w:rPr>
  </w:style>
  <w:style w:type="paragraph" w:styleId="11">
    <w:name w:val="Body Text"/>
    <w:basedOn w:val="1"/>
    <w:next w:val="12"/>
    <w:link w:val="40"/>
    <w:qFormat/>
    <w:uiPriority w:val="0"/>
    <w:pPr>
      <w:widowControl/>
      <w:snapToGrid w:val="0"/>
      <w:spacing w:before="60" w:after="160" w:line="259" w:lineRule="auto"/>
      <w:ind w:right="113"/>
    </w:pPr>
    <w:rPr>
      <w:kern w:val="0"/>
      <w:sz w:val="18"/>
      <w:szCs w:val="20"/>
    </w:rPr>
  </w:style>
  <w:style w:type="paragraph" w:customStyle="1" w:styleId="12">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styleId="13">
    <w:name w:val="Body Text Indent"/>
    <w:basedOn w:val="1"/>
    <w:next w:val="14"/>
    <w:link w:val="41"/>
    <w:qFormat/>
    <w:uiPriority w:val="0"/>
    <w:pPr>
      <w:spacing w:after="120"/>
      <w:ind w:left="420" w:leftChars="200"/>
    </w:pPr>
    <w:rPr>
      <w:kern w:val="0"/>
      <w:szCs w:val="20"/>
    </w:rPr>
  </w:style>
  <w:style w:type="paragraph" w:styleId="14">
    <w:name w:val="header"/>
    <w:basedOn w:val="1"/>
    <w:next w:val="15"/>
    <w:link w:val="37"/>
    <w:qFormat/>
    <w:uiPriority w:val="0"/>
    <w:pPr>
      <w:pBdr>
        <w:bottom w:val="single" w:color="auto" w:sz="6" w:space="1"/>
      </w:pBdr>
      <w:tabs>
        <w:tab w:val="center" w:pos="4153"/>
        <w:tab w:val="right" w:pos="8306"/>
      </w:tabs>
      <w:snapToGrid w:val="0"/>
      <w:jc w:val="center"/>
    </w:pPr>
    <w:rPr>
      <w:kern w:val="0"/>
      <w:sz w:val="18"/>
      <w:szCs w:val="20"/>
    </w:rPr>
  </w:style>
  <w:style w:type="paragraph" w:styleId="15">
    <w:name w:val="index heading"/>
    <w:basedOn w:val="1"/>
    <w:next w:val="16"/>
    <w:qFormat/>
    <w:locked/>
    <w:uiPriority w:val="0"/>
    <w:rPr>
      <w:rFonts w:ascii="Arial" w:hAnsi="Arial"/>
      <w:b/>
    </w:rPr>
  </w:style>
  <w:style w:type="paragraph" w:styleId="16">
    <w:name w:val="index 1"/>
    <w:basedOn w:val="1"/>
    <w:next w:val="1"/>
    <w:semiHidden/>
    <w:qFormat/>
    <w:locked/>
    <w:uiPriority w:val="0"/>
    <w:pPr>
      <w:adjustRightInd w:val="0"/>
      <w:snapToGrid w:val="0"/>
      <w:ind w:firstLine="823" w:firstLineChars="358"/>
      <w:jc w:val="left"/>
    </w:pPr>
    <w:rPr>
      <w:rFonts w:ascii="宋体" w:hAnsi="宋体"/>
      <w:spacing w:val="10"/>
    </w:rPr>
  </w:style>
  <w:style w:type="paragraph" w:styleId="17">
    <w:name w:val="List 2"/>
    <w:basedOn w:val="1"/>
    <w:qFormat/>
    <w:locked/>
    <w:uiPriority w:val="0"/>
    <w:pPr>
      <w:ind w:left="100" w:leftChars="200" w:hanging="200" w:hangingChars="200"/>
    </w:pPr>
  </w:style>
  <w:style w:type="paragraph" w:styleId="18">
    <w:name w:val="Plain Text"/>
    <w:basedOn w:val="1"/>
    <w:next w:val="1"/>
    <w:qFormat/>
    <w:locked/>
    <w:uiPriority w:val="0"/>
    <w:rPr>
      <w:rFonts w:ascii="宋体" w:hAnsi="Courier New"/>
    </w:rPr>
  </w:style>
  <w:style w:type="paragraph" w:styleId="19">
    <w:name w:val="Date"/>
    <w:basedOn w:val="1"/>
    <w:next w:val="1"/>
    <w:link w:val="42"/>
    <w:qFormat/>
    <w:uiPriority w:val="0"/>
    <w:pPr>
      <w:ind w:left="100" w:leftChars="2500"/>
    </w:pPr>
    <w:rPr>
      <w:kern w:val="0"/>
      <w:szCs w:val="20"/>
    </w:rPr>
  </w:style>
  <w:style w:type="paragraph" w:styleId="20">
    <w:name w:val="Body Text Indent 2"/>
    <w:basedOn w:val="1"/>
    <w:qFormat/>
    <w:locked/>
    <w:uiPriority w:val="99"/>
    <w:pPr>
      <w:spacing w:after="120" w:line="480" w:lineRule="auto"/>
      <w:ind w:left="420" w:leftChars="200"/>
    </w:pPr>
  </w:style>
  <w:style w:type="paragraph" w:styleId="21">
    <w:name w:val="Balloon Text"/>
    <w:basedOn w:val="1"/>
    <w:link w:val="43"/>
    <w:semiHidden/>
    <w:qFormat/>
    <w:uiPriority w:val="0"/>
    <w:rPr>
      <w:kern w:val="0"/>
      <w:sz w:val="18"/>
      <w:szCs w:val="20"/>
    </w:rPr>
  </w:style>
  <w:style w:type="paragraph" w:styleId="22">
    <w:name w:val="footer"/>
    <w:basedOn w:val="1"/>
    <w:link w:val="44"/>
    <w:qFormat/>
    <w:uiPriority w:val="99"/>
    <w:pPr>
      <w:tabs>
        <w:tab w:val="center" w:pos="4153"/>
        <w:tab w:val="right" w:pos="8306"/>
      </w:tabs>
      <w:snapToGrid w:val="0"/>
      <w:jc w:val="left"/>
    </w:pPr>
    <w:rPr>
      <w:kern w:val="0"/>
      <w:sz w:val="18"/>
      <w:szCs w:val="20"/>
    </w:rPr>
  </w:style>
  <w:style w:type="paragraph" w:styleId="23">
    <w:name w:val="List"/>
    <w:basedOn w:val="17"/>
    <w:next w:val="1"/>
    <w:qFormat/>
    <w:locked/>
    <w:uiPriority w:val="99"/>
    <w:pPr>
      <w:spacing w:line="280" w:lineRule="exact"/>
      <w:jc w:val="center"/>
    </w:pPr>
    <w:rPr>
      <w:rFonts w:ascii="宋体"/>
      <w:kern w:val="24"/>
    </w:rPr>
  </w:style>
  <w:style w:type="paragraph" w:styleId="24">
    <w:name w:val="Normal (Web)"/>
    <w:basedOn w:val="1"/>
    <w:link w:val="45"/>
    <w:qFormat/>
    <w:uiPriority w:val="0"/>
    <w:pPr>
      <w:widowControl/>
      <w:spacing w:before="100" w:beforeAutospacing="1" w:after="100" w:afterAutospacing="1"/>
      <w:jc w:val="left"/>
    </w:pPr>
    <w:rPr>
      <w:rFonts w:ascii="宋体" w:hAnsi="宋体"/>
      <w:kern w:val="0"/>
      <w:szCs w:val="20"/>
    </w:rPr>
  </w:style>
  <w:style w:type="paragraph" w:styleId="25">
    <w:name w:val="annotation subject"/>
    <w:basedOn w:val="9"/>
    <w:next w:val="9"/>
    <w:link w:val="46"/>
    <w:semiHidden/>
    <w:qFormat/>
    <w:uiPriority w:val="0"/>
    <w:rPr>
      <w:b/>
      <w:kern w:val="2"/>
    </w:rPr>
  </w:style>
  <w:style w:type="paragraph" w:styleId="26">
    <w:name w:val="Body Text First Indent"/>
    <w:basedOn w:val="11"/>
    <w:next w:val="1"/>
    <w:qFormat/>
    <w:locked/>
    <w:uiPriority w:val="0"/>
    <w:pPr>
      <w:spacing w:after="120" w:line="240" w:lineRule="auto"/>
      <w:ind w:firstLine="420" w:firstLineChars="100"/>
    </w:pPr>
    <w:rPr>
      <w:sz w:val="21"/>
      <w:szCs w:val="24"/>
    </w:rPr>
  </w:style>
  <w:style w:type="paragraph" w:styleId="27">
    <w:name w:val="Body Text First Indent 2"/>
    <w:basedOn w:val="1"/>
    <w:next w:val="26"/>
    <w:qFormat/>
    <w:locked/>
    <w:uiPriority w:val="0"/>
    <w:pPr>
      <w:spacing w:line="240" w:lineRule="auto"/>
      <w:ind w:firstLine="420"/>
    </w:pPr>
    <w:rPr>
      <w:sz w:val="21"/>
    </w:rPr>
  </w:style>
  <w:style w:type="table" w:styleId="29">
    <w:name w:val="Table Grid"/>
    <w:basedOn w:val="2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page number"/>
    <w:basedOn w:val="30"/>
    <w:qFormat/>
    <w:locked/>
    <w:uiPriority w:val="0"/>
  </w:style>
  <w:style w:type="character" w:styleId="32">
    <w:name w:val="FollowedHyperlink"/>
    <w:basedOn w:val="30"/>
    <w:qFormat/>
    <w:locked/>
    <w:uiPriority w:val="0"/>
    <w:rPr>
      <w:color w:val="800080"/>
      <w:u w:val="none"/>
    </w:rPr>
  </w:style>
  <w:style w:type="character" w:styleId="33">
    <w:name w:val="Emphasis"/>
    <w:basedOn w:val="30"/>
    <w:qFormat/>
    <w:locked/>
    <w:uiPriority w:val="0"/>
  </w:style>
  <w:style w:type="character" w:styleId="34">
    <w:name w:val="Hyperlink"/>
    <w:basedOn w:val="30"/>
    <w:qFormat/>
    <w:locked/>
    <w:uiPriority w:val="0"/>
    <w:rPr>
      <w:color w:val="0000FF"/>
      <w:u w:val="none"/>
    </w:rPr>
  </w:style>
  <w:style w:type="character" w:styleId="35">
    <w:name w:val="annotation reference"/>
    <w:semiHidden/>
    <w:qFormat/>
    <w:uiPriority w:val="0"/>
    <w:rPr>
      <w:sz w:val="21"/>
    </w:rPr>
  </w:style>
  <w:style w:type="paragraph" w:customStyle="1" w:styleId="36">
    <w:name w:val="Default"/>
    <w:unhideWhenUsed/>
    <w:qFormat/>
    <w:uiPriority w:val="99"/>
    <w:pPr>
      <w:widowControl w:val="0"/>
      <w:autoSpaceDE w:val="0"/>
      <w:autoSpaceDN w:val="0"/>
      <w:adjustRightInd w:val="0"/>
    </w:pPr>
    <w:rPr>
      <w:rFonts w:hint="eastAsia" w:ascii="Calibri" w:hAnsi="Calibri" w:eastAsia="Times New Roman" w:cs="Times New Roman"/>
      <w:color w:val="000000"/>
      <w:sz w:val="24"/>
      <w:szCs w:val="22"/>
      <w:lang w:val="en-US" w:eastAsia="zh-CN" w:bidi="ar-SA"/>
    </w:rPr>
  </w:style>
  <w:style w:type="character" w:customStyle="1" w:styleId="37">
    <w:name w:val="页眉 Char"/>
    <w:link w:val="14"/>
    <w:qFormat/>
    <w:locked/>
    <w:uiPriority w:val="0"/>
    <w:rPr>
      <w:sz w:val="18"/>
    </w:rPr>
  </w:style>
  <w:style w:type="character" w:customStyle="1" w:styleId="38">
    <w:name w:val="文档结构图 Char"/>
    <w:basedOn w:val="30"/>
    <w:link w:val="7"/>
    <w:qFormat/>
    <w:uiPriority w:val="0"/>
    <w:rPr>
      <w:rFonts w:ascii="宋体"/>
      <w:kern w:val="2"/>
      <w:sz w:val="18"/>
      <w:szCs w:val="18"/>
    </w:rPr>
  </w:style>
  <w:style w:type="character" w:customStyle="1" w:styleId="39">
    <w:name w:val="批注文字 Char"/>
    <w:link w:val="9"/>
    <w:qFormat/>
    <w:locked/>
    <w:uiPriority w:val="0"/>
    <w:rPr>
      <w:rFonts w:ascii="Times New Roman" w:hAnsi="Times New Roman" w:eastAsia="宋体"/>
      <w:sz w:val="24"/>
    </w:rPr>
  </w:style>
  <w:style w:type="character" w:customStyle="1" w:styleId="40">
    <w:name w:val="正文文本 Char"/>
    <w:link w:val="11"/>
    <w:qFormat/>
    <w:locked/>
    <w:uiPriority w:val="0"/>
    <w:rPr>
      <w:sz w:val="18"/>
    </w:rPr>
  </w:style>
  <w:style w:type="character" w:customStyle="1" w:styleId="41">
    <w:name w:val="正文文本缩进 Char"/>
    <w:link w:val="13"/>
    <w:semiHidden/>
    <w:qFormat/>
    <w:locked/>
    <w:uiPriority w:val="0"/>
    <w:rPr>
      <w:rFonts w:ascii="Times New Roman" w:hAnsi="Times New Roman" w:eastAsia="宋体"/>
      <w:sz w:val="24"/>
    </w:rPr>
  </w:style>
  <w:style w:type="character" w:customStyle="1" w:styleId="42">
    <w:name w:val="日期 Char"/>
    <w:link w:val="19"/>
    <w:qFormat/>
    <w:locked/>
    <w:uiPriority w:val="0"/>
    <w:rPr>
      <w:rFonts w:ascii="Times New Roman" w:hAnsi="Times New Roman" w:eastAsia="宋体"/>
      <w:sz w:val="24"/>
    </w:rPr>
  </w:style>
  <w:style w:type="character" w:customStyle="1" w:styleId="43">
    <w:name w:val="批注框文本 Char"/>
    <w:link w:val="21"/>
    <w:semiHidden/>
    <w:qFormat/>
    <w:locked/>
    <w:uiPriority w:val="0"/>
    <w:rPr>
      <w:rFonts w:ascii="Times New Roman" w:hAnsi="Times New Roman" w:eastAsia="宋体"/>
      <w:sz w:val="18"/>
    </w:rPr>
  </w:style>
  <w:style w:type="character" w:customStyle="1" w:styleId="44">
    <w:name w:val="页脚 Char"/>
    <w:link w:val="22"/>
    <w:qFormat/>
    <w:locked/>
    <w:uiPriority w:val="99"/>
    <w:rPr>
      <w:sz w:val="18"/>
    </w:rPr>
  </w:style>
  <w:style w:type="character" w:customStyle="1" w:styleId="45">
    <w:name w:val="普通(网站) Char"/>
    <w:link w:val="24"/>
    <w:qFormat/>
    <w:locked/>
    <w:uiPriority w:val="0"/>
    <w:rPr>
      <w:rFonts w:ascii="宋体" w:hAnsi="宋体" w:eastAsia="宋体"/>
      <w:sz w:val="24"/>
    </w:rPr>
  </w:style>
  <w:style w:type="character" w:customStyle="1" w:styleId="46">
    <w:name w:val="批注主题 Char"/>
    <w:link w:val="25"/>
    <w:semiHidden/>
    <w:qFormat/>
    <w:locked/>
    <w:uiPriority w:val="0"/>
    <w:rPr>
      <w:rFonts w:ascii="Times New Roman" w:hAnsi="Times New Roman" w:eastAsia="宋体"/>
      <w:b/>
      <w:kern w:val="2"/>
      <w:sz w:val="24"/>
    </w:rPr>
  </w:style>
  <w:style w:type="character" w:customStyle="1" w:styleId="47">
    <w:name w:val="表格 Char"/>
    <w:link w:val="48"/>
    <w:qFormat/>
    <w:locked/>
    <w:uiPriority w:val="0"/>
    <w:rPr>
      <w:rFonts w:ascii="宋体"/>
      <w:sz w:val="21"/>
    </w:rPr>
  </w:style>
  <w:style w:type="paragraph" w:customStyle="1" w:styleId="48">
    <w:name w:val="表格"/>
    <w:basedOn w:val="5"/>
    <w:next w:val="1"/>
    <w:link w:val="47"/>
    <w:qFormat/>
    <w:uiPriority w:val="0"/>
    <w:pPr>
      <w:adjustRightInd w:val="0"/>
      <w:snapToGrid w:val="0"/>
      <w:spacing w:beforeLines="10" w:afterLines="10" w:line="259" w:lineRule="auto"/>
      <w:jc w:val="center"/>
    </w:pPr>
    <w:rPr>
      <w:rFonts w:ascii="宋体"/>
      <w:kern w:val="0"/>
      <w:szCs w:val="20"/>
    </w:rPr>
  </w:style>
  <w:style w:type="character" w:customStyle="1" w:styleId="49">
    <w:name w:val="日期 字符"/>
    <w:semiHidden/>
    <w:qFormat/>
    <w:uiPriority w:val="0"/>
    <w:rPr>
      <w:rFonts w:ascii="Times New Roman" w:hAnsi="Times New Roman" w:eastAsia="宋体"/>
      <w:sz w:val="24"/>
    </w:rPr>
  </w:style>
  <w:style w:type="character" w:customStyle="1" w:styleId="50">
    <w:name w:val="批注文字 字符1"/>
    <w:semiHidden/>
    <w:qFormat/>
    <w:uiPriority w:val="0"/>
    <w:rPr>
      <w:rFonts w:ascii="Times New Roman" w:hAnsi="Times New Roman" w:eastAsia="宋体"/>
      <w:sz w:val="24"/>
    </w:rPr>
  </w:style>
  <w:style w:type="character" w:customStyle="1" w:styleId="51">
    <w:name w:val="znspantitle"/>
    <w:basedOn w:val="30"/>
    <w:qFormat/>
    <w:uiPriority w:val="0"/>
    <w:rPr>
      <w:b/>
      <w:color w:val="333333"/>
    </w:rPr>
  </w:style>
  <w:style w:type="character" w:customStyle="1" w:styleId="52">
    <w:name w:val="disabled"/>
    <w:basedOn w:val="30"/>
    <w:qFormat/>
    <w:uiPriority w:val="0"/>
    <w:rPr>
      <w:vanish/>
    </w:rPr>
  </w:style>
  <w:style w:type="character" w:customStyle="1" w:styleId="53">
    <w:name w:val="页脚 字符"/>
    <w:basedOn w:val="30"/>
    <w:qFormat/>
    <w:uiPriority w:val="99"/>
  </w:style>
  <w:style w:type="character" w:customStyle="1" w:styleId="54">
    <w:name w:val="正文文本 字符1"/>
    <w:semiHidden/>
    <w:qFormat/>
    <w:uiPriority w:val="0"/>
    <w:rPr>
      <w:rFonts w:ascii="Times New Roman" w:hAnsi="Times New Roman" w:eastAsia="宋体"/>
      <w:sz w:val="24"/>
    </w:rPr>
  </w:style>
  <w:style w:type="paragraph" w:customStyle="1" w:styleId="55">
    <w:name w:val="1正文"/>
    <w:basedOn w:val="1"/>
    <w:qFormat/>
    <w:uiPriority w:val="0"/>
    <w:pPr>
      <w:spacing w:line="500" w:lineRule="exact"/>
      <w:ind w:firstLine="588" w:firstLineChars="196"/>
    </w:pPr>
    <w:rPr>
      <w:rFonts w:eastAsia="楷体_GB2312"/>
      <w:sz w:val="30"/>
      <w:szCs w:val="30"/>
    </w:rPr>
  </w:style>
  <w:style w:type="paragraph" w:customStyle="1" w:styleId="56">
    <w:name w:val="文本内容"/>
    <w:basedOn w:val="1"/>
    <w:qFormat/>
    <w:uiPriority w:val="0"/>
    <w:pPr>
      <w:widowControl/>
      <w:adjustRightInd w:val="0"/>
      <w:snapToGrid w:val="0"/>
      <w:ind w:firstLine="546" w:firstLineChars="200"/>
      <w:jc w:val="left"/>
    </w:pPr>
    <w:rPr>
      <w:sz w:val="28"/>
      <w:szCs w:val="20"/>
    </w:rPr>
  </w:style>
  <w:style w:type="paragraph" w:customStyle="1" w:styleId="57">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sz w:val="28"/>
      <w:lang w:val="en-US" w:eastAsia="zh-CN" w:bidi="ar-SA"/>
    </w:rPr>
  </w:style>
  <w:style w:type="paragraph" w:customStyle="1" w:styleId="58">
    <w:name w:val="表格式"/>
    <w:basedOn w:val="23"/>
    <w:qFormat/>
    <w:uiPriority w:val="0"/>
    <w:pPr>
      <w:spacing w:beforeLines="50" w:afterLines="50" w:line="240" w:lineRule="exact"/>
    </w:pPr>
    <w:rPr>
      <w:rFonts w:ascii="Times New Roman"/>
      <w:kern w:val="2"/>
    </w:rPr>
  </w:style>
  <w:style w:type="paragraph" w:customStyle="1" w:styleId="59">
    <w:name w:val="表格表头"/>
    <w:basedOn w:val="60"/>
    <w:next w:val="48"/>
    <w:qFormat/>
    <w:uiPriority w:val="0"/>
    <w:pPr>
      <w:snapToGrid w:val="0"/>
      <w:jc w:val="center"/>
    </w:pPr>
    <w:rPr>
      <w:rFonts w:ascii="Times New Roman" w:hAnsi="Times New Roman"/>
      <w:b/>
      <w:snapToGrid w:val="0"/>
      <w:lang w:val="zh-CN"/>
    </w:rPr>
  </w:style>
  <w:style w:type="paragraph" w:customStyle="1" w:styleId="60">
    <w:name w:val="p0"/>
    <w:basedOn w:val="1"/>
    <w:qFormat/>
    <w:uiPriority w:val="0"/>
    <w:pPr>
      <w:widowControl/>
      <w:spacing w:before="100" w:beforeAutospacing="1" w:after="100" w:afterAutospacing="1"/>
      <w:jc w:val="left"/>
    </w:pPr>
    <w:rPr>
      <w:rFonts w:ascii="宋体" w:hAnsi="宋体" w:cs="宋体"/>
      <w:kern w:val="0"/>
    </w:rPr>
  </w:style>
  <w:style w:type="paragraph" w:customStyle="1" w:styleId="61">
    <w:name w:val="表头"/>
    <w:basedOn w:val="57"/>
    <w:next w:val="1"/>
    <w:qFormat/>
    <w:uiPriority w:val="0"/>
    <w:pPr>
      <w:spacing w:line="240" w:lineRule="auto"/>
      <w:ind w:firstLine="0" w:firstLineChars="0"/>
      <w:jc w:val="center"/>
    </w:pPr>
    <w:rPr>
      <w:b/>
      <w:sz w:val="21"/>
    </w:rPr>
  </w:style>
  <w:style w:type="paragraph" w:customStyle="1" w:styleId="62">
    <w:name w:val="表格文字"/>
    <w:basedOn w:val="5"/>
    <w:next w:val="11"/>
    <w:qFormat/>
    <w:uiPriority w:val="0"/>
    <w:pPr>
      <w:autoSpaceDE w:val="0"/>
      <w:autoSpaceDN w:val="0"/>
      <w:adjustRightInd w:val="0"/>
      <w:spacing w:line="240" w:lineRule="auto"/>
      <w:ind w:firstLine="0" w:firstLineChars="0"/>
      <w:jc w:val="center"/>
      <w:textAlignment w:val="bottom"/>
    </w:pPr>
    <w:rPr>
      <w:color w:val="000000"/>
      <w:szCs w:val="21"/>
    </w:rPr>
  </w:style>
  <w:style w:type="paragraph" w:customStyle="1" w:styleId="63">
    <w:name w:val="WPSOffice手动目录 1"/>
    <w:qFormat/>
    <w:uiPriority w:val="0"/>
    <w:rPr>
      <w:rFonts w:ascii="Times New Roman" w:hAnsi="Times New Roman" w:eastAsia="宋体" w:cs="Times New Roman"/>
      <w:lang w:val="en-US" w:eastAsia="zh-CN" w:bidi="ar-SA"/>
    </w:rPr>
  </w:style>
  <w:style w:type="paragraph" w:customStyle="1" w:styleId="64">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5">
    <w:name w:val="报告书表格"/>
    <w:basedOn w:val="1"/>
    <w:qFormat/>
    <w:uiPriority w:val="0"/>
    <w:pPr>
      <w:adjustRightInd w:val="0"/>
      <w:spacing w:before="60" w:after="60" w:line="240" w:lineRule="atLeast"/>
      <w:jc w:val="center"/>
      <w:textAlignment w:val="baseline"/>
    </w:pPr>
    <w:rPr>
      <w:kern w:val="0"/>
    </w:rPr>
  </w:style>
  <w:style w:type="paragraph" w:styleId="66">
    <w:name w:val="List Paragraph"/>
    <w:basedOn w:val="1"/>
    <w:qFormat/>
    <w:uiPriority w:val="0"/>
    <w:pPr>
      <w:ind w:firstLine="420" w:firstLineChars="200"/>
    </w:pPr>
  </w:style>
  <w:style w:type="paragraph" w:customStyle="1" w:styleId="67">
    <w:name w:val="普通(网站)2"/>
    <w:basedOn w:val="1"/>
    <w:qFormat/>
    <w:uiPriority w:val="0"/>
    <w:pPr>
      <w:widowControl/>
      <w:spacing w:before="100" w:beforeAutospacing="1" w:after="100" w:afterAutospacing="1"/>
      <w:jc w:val="left"/>
    </w:pPr>
    <w:rPr>
      <w:rFonts w:ascii="宋体" w:hAnsi="宋体"/>
      <w:szCs w:val="20"/>
    </w:rPr>
  </w:style>
  <w:style w:type="paragraph" w:customStyle="1" w:styleId="68">
    <w:name w:val="表标题"/>
    <w:basedOn w:val="1"/>
    <w:qFormat/>
    <w:uiPriority w:val="0"/>
    <w:pPr>
      <w:jc w:val="center"/>
    </w:pPr>
    <w:rPr>
      <w:b/>
      <w:sz w:val="21"/>
    </w:rPr>
  </w:style>
  <w:style w:type="paragraph" w:customStyle="1" w:styleId="69">
    <w:name w:val="Table Paragraph"/>
    <w:basedOn w:val="1"/>
    <w:qFormat/>
    <w:uiPriority w:val="1"/>
    <w:rPr>
      <w:rFonts w:eastAsia="Times New Roman"/>
      <w:lang w:eastAsia="en-US" w:bidi="en-US"/>
    </w:rPr>
  </w:style>
  <w:style w:type="paragraph" w:customStyle="1" w:styleId="70">
    <w:name w:val="F正文"/>
    <w:basedOn w:val="1"/>
    <w:qFormat/>
    <w:uiPriority w:val="0"/>
    <w:pPr>
      <w:ind w:firstLine="200" w:firstLineChars="200"/>
    </w:pPr>
    <w:rPr>
      <w:color w:val="000000"/>
      <w:kern w:val="0"/>
    </w:rPr>
  </w:style>
  <w:style w:type="paragraph" w:customStyle="1" w:styleId="71">
    <w:name w:val="制表格"/>
    <w:basedOn w:val="1"/>
    <w:qFormat/>
    <w:uiPriority w:val="0"/>
    <w:pPr>
      <w:jc w:val="center"/>
    </w:pPr>
    <w:rPr>
      <w:snapToGrid w:val="0"/>
      <w:kern w:val="0"/>
      <w:szCs w:val="28"/>
    </w:rPr>
  </w:style>
  <w:style w:type="paragraph" w:customStyle="1" w:styleId="72">
    <w:name w:val="样式 标题 1 + 四号 段前: 0 磅 段后: 0 磅 行距: 1.5 倍行距"/>
    <w:basedOn w:val="55"/>
    <w:next w:val="1"/>
    <w:qFormat/>
    <w:uiPriority w:val="0"/>
    <w:pPr>
      <w:spacing w:line="360" w:lineRule="auto"/>
      <w:jc w:val="center"/>
    </w:pPr>
  </w:style>
  <w:style w:type="paragraph" w:customStyle="1" w:styleId="73">
    <w:name w:val="表格内容"/>
    <w:basedOn w:val="1"/>
    <w:next w:val="1"/>
    <w:qFormat/>
    <w:uiPriority w:val="0"/>
    <w:pPr>
      <w:tabs>
        <w:tab w:val="left" w:pos="-2400"/>
        <w:tab w:val="left" w:pos="780"/>
        <w:tab w:val="left" w:pos="1320"/>
        <w:tab w:val="left" w:pos="3360"/>
        <w:tab w:val="left" w:pos="3878"/>
        <w:tab w:val="left" w:pos="6080"/>
        <w:tab w:val="left" w:pos="6580"/>
        <w:tab w:val="left" w:pos="8137"/>
      </w:tabs>
      <w:adjustRightInd w:val="0"/>
      <w:spacing w:line="240" w:lineRule="auto"/>
      <w:jc w:val="center"/>
    </w:pPr>
    <w:rPr>
      <w:szCs w:val="20"/>
    </w:rPr>
  </w:style>
  <w:style w:type="character" w:customStyle="1" w:styleId="74">
    <w:name w:val="radio-btn"/>
    <w:basedOn w:val="30"/>
    <w:qFormat/>
    <w:uiPriority w:val="0"/>
    <w:rPr>
      <w:sz w:val="21"/>
      <w:szCs w:val="21"/>
    </w:rPr>
  </w:style>
  <w:style w:type="character" w:customStyle="1" w:styleId="75">
    <w:name w:val="radio-btn1"/>
    <w:basedOn w:val="30"/>
    <w:qFormat/>
    <w:uiPriority w:val="0"/>
    <w:rPr>
      <w:sz w:val="24"/>
      <w:szCs w:val="24"/>
    </w:rPr>
  </w:style>
  <w:style w:type="character" w:customStyle="1" w:styleId="76">
    <w:name w:val="radio-btn2"/>
    <w:basedOn w:val="30"/>
    <w:qFormat/>
    <w:uiPriority w:val="0"/>
    <w:rPr>
      <w:sz w:val="24"/>
      <w:szCs w:val="24"/>
    </w:rPr>
  </w:style>
  <w:style w:type="character" w:customStyle="1" w:styleId="77">
    <w:name w:val="lable"/>
    <w:basedOn w:val="30"/>
    <w:qFormat/>
    <w:uiPriority w:val="0"/>
    <w:rPr>
      <w:sz w:val="24"/>
      <w:szCs w:val="24"/>
    </w:rPr>
  </w:style>
  <w:style w:type="character" w:customStyle="1" w:styleId="78">
    <w:name w:val="lishishuju"/>
    <w:basedOn w:val="30"/>
    <w:qFormat/>
    <w:uiPriority w:val="0"/>
    <w:rPr>
      <w:b/>
      <w:bCs/>
      <w:color w:val="000052"/>
      <w:sz w:val="24"/>
      <w:szCs w:val="24"/>
      <w:bdr w:val="single" w:color="E3E3E3" w:sz="6" w:space="0"/>
    </w:rPr>
  </w:style>
  <w:style w:type="character" w:customStyle="1" w:styleId="79">
    <w:name w:val="cur1"/>
    <w:basedOn w:val="30"/>
    <w:qFormat/>
    <w:uiPriority w:val="0"/>
    <w:rPr>
      <w:color w:val="FFFFFF"/>
      <w:shd w:val="clear" w:color="auto" w:fill="2F6B98"/>
    </w:rPr>
  </w:style>
  <w:style w:type="character" w:customStyle="1" w:styleId="80">
    <w:name w:val="cur"/>
    <w:basedOn w:val="30"/>
    <w:qFormat/>
    <w:uiPriority w:val="0"/>
    <w:rPr>
      <w:color w:val="FFFFFF"/>
      <w:shd w:val="clear" w:color="auto" w:fill="2F6B98"/>
    </w:rPr>
  </w:style>
  <w:style w:type="character" w:customStyle="1" w:styleId="81">
    <w:name w:val="font41"/>
    <w:basedOn w:val="30"/>
    <w:qFormat/>
    <w:uiPriority w:val="0"/>
    <w:rPr>
      <w:rFonts w:hint="default" w:ascii="Times New Roman" w:hAnsi="Times New Roman" w:cs="Times New Roman"/>
      <w:b/>
      <w:bCs/>
      <w:color w:val="FF0000"/>
      <w:sz w:val="21"/>
      <w:szCs w:val="21"/>
      <w:u w:val="none"/>
      <w:vertAlign w:val="subscript"/>
    </w:rPr>
  </w:style>
  <w:style w:type="character" w:customStyle="1" w:styleId="82">
    <w:name w:val="font21"/>
    <w:basedOn w:val="30"/>
    <w:qFormat/>
    <w:uiPriority w:val="0"/>
    <w:rPr>
      <w:rFonts w:hint="default" w:ascii="Times New Roman" w:hAnsi="Times New Roman" w:cs="Times New Roman"/>
      <w:b/>
      <w:bCs/>
      <w:color w:val="FF0000"/>
      <w:sz w:val="21"/>
      <w:szCs w:val="21"/>
      <w:u w:val="none"/>
    </w:rPr>
  </w:style>
  <w:style w:type="character" w:customStyle="1" w:styleId="83">
    <w:name w:val="font31"/>
    <w:basedOn w:val="30"/>
    <w:qFormat/>
    <w:uiPriority w:val="0"/>
    <w:rPr>
      <w:rFonts w:hint="eastAsia" w:ascii="宋体" w:hAnsi="宋体" w:eastAsia="宋体" w:cs="宋体"/>
      <w:color w:val="FF0000"/>
      <w:sz w:val="21"/>
      <w:szCs w:val="21"/>
      <w:u w:val="none"/>
    </w:rPr>
  </w:style>
  <w:style w:type="character" w:customStyle="1" w:styleId="84">
    <w:name w:val="font51"/>
    <w:basedOn w:val="30"/>
    <w:qFormat/>
    <w:uiPriority w:val="0"/>
    <w:rPr>
      <w:rFonts w:hint="default" w:ascii="Times New Roman" w:hAnsi="Times New Roman" w:cs="Times New Roman"/>
      <w:color w:val="FF0000"/>
      <w:sz w:val="21"/>
      <w:szCs w:val="21"/>
      <w:u w:val="none"/>
      <w:vertAlign w:val="superscript"/>
    </w:rPr>
  </w:style>
  <w:style w:type="character" w:customStyle="1" w:styleId="85">
    <w:name w:val="font01"/>
    <w:basedOn w:val="30"/>
    <w:qFormat/>
    <w:uiPriority w:val="0"/>
    <w:rPr>
      <w:rFonts w:hint="default" w:ascii="Times New Roman" w:hAnsi="Times New Roman" w:cs="Times New Roman"/>
      <w:color w:val="FF0000"/>
      <w:sz w:val="21"/>
      <w:szCs w:val="21"/>
      <w:u w:val="none"/>
    </w:rPr>
  </w:style>
  <w:style w:type="character" w:customStyle="1" w:styleId="86">
    <w:name w:val="font11"/>
    <w:basedOn w:val="30"/>
    <w:qFormat/>
    <w:uiPriority w:val="0"/>
    <w:rPr>
      <w:rFonts w:hint="default" w:ascii="Times New Roman" w:hAnsi="Times New Roman" w:cs="Times New Roman"/>
      <w:b/>
      <w:bCs/>
      <w:color w:val="000000"/>
      <w:sz w:val="18"/>
      <w:szCs w:val="18"/>
      <w:u w:val="none"/>
    </w:rPr>
  </w:style>
  <w:style w:type="character" w:customStyle="1" w:styleId="87">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1.emf"/><Relationship Id="rId24" Type="http://schemas.openxmlformats.org/officeDocument/2006/relationships/oleObject" Target="embeddings/oleObject3.bin"/><Relationship Id="rId23" Type="http://schemas.openxmlformats.org/officeDocument/2006/relationships/image" Target="media/image10.emf"/><Relationship Id="rId22" Type="http://schemas.openxmlformats.org/officeDocument/2006/relationships/oleObject" Target="embeddings/oleObject2.bin"/><Relationship Id="rId21" Type="http://schemas.openxmlformats.org/officeDocument/2006/relationships/image" Target="media/image9.e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71</Pages>
  <Words>7532</Words>
  <Characters>42933</Characters>
  <Lines>357</Lines>
  <Paragraphs>100</Paragraphs>
  <TotalTime>53</TotalTime>
  <ScaleCrop>false</ScaleCrop>
  <LinksUpToDate>false</LinksUpToDate>
  <CharactersWithSpaces>50365</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2021-09-23T13:01:00Z</dcterms:created>
  <dc:creator>lhj</dc:creator>
  <cp:lastModifiedBy>我是你欢姐</cp:lastModifiedBy>
  <cp:lastPrinted>2020-12-29T02:43:00Z</cp:lastPrinted>
  <dcterms:modified xsi:type="dcterms:W3CDTF">2022-02-16T09:49:56Z</dcterms:modified>
  <dc:title>附件2</dc:title>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73101481B283431AB48CA636F5844018</vt:lpwstr>
  </property>
</Properties>
</file>